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Gerber Andrew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11605 N. COMMUNITY HOUSE RD.</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Paymentus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PAY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03/09/2026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General Counsel and Secretary</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CHARLOTTE  NC</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28277</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03/09/2026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23,274</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118,619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equal number of restricted stock units ("RSUs") granted pursuant to the Issuer's 2021 Equity Incentive Plan. Each RSU represents the right to receive a share of the Issuer's Class A common stock on the date it vests, subject to continued service of the reporting person through the applicable vesting date. One fifth of the RSUs will vest on March 9, 2027, and one twentieth of the RSUs will vest on a quarterly basis thereafter on each Quarterly Vesting Date beginning on August 15, 2027. Quarterly Vesting Dates with respect to any calendar year means February 15, May 15, August 15 and November 15.</w:t>
      </w:r>
    </w:p>
    <w:p>
      <w:pPr>
        <w:spacing w:after="0" w:line="4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Andrew A. Gerber</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03/11/2026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07459" TargetMode="External"/><Relationship Id="rId14" Type="http://schemas.openxmlformats.org/officeDocument/2006/relationships/hyperlink" Target="http://www.sec.gov/cgi-bin/browse-edgar?action=getcompany&amp;CIK=00018411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2026-03-11T16:02:27Z</dcterms:created>
  <dcterms:modified xsi:type="dcterms:W3CDTF">2026-03-11T16:02:27Z</dcterms:modified>
</cp:coreProperties>
</file>