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Accel-KKR Holdings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ACCEL-KKR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2180 SAND HILL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Paymentus Holdings, Inc.</w:t>
              </w:r>
            </w:hyperlink>
            <w:r>
              <w:rPr/>
              <w:t xml:space="preserve"> [ </w:t>
            </w:r>
            <w:r>
              <w:rPr>
                <w:rFonts w:ascii="Times;serif" w:hAnsi="Times;serif"/>
                <w:color w:val="0000FF"/>
                <w:sz w:val="24"/>
                <w:shd w:fill="FFFFFF" w:val="clear"/>
              </w:rPr>
              <w:t>PAY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14"/>
        <w:gridCol w:w="930"/>
        <w:gridCol w:w="799"/>
        <w:gridCol w:w="618"/>
        <w:gridCol w:w="344"/>
        <w:gridCol w:w="920"/>
        <w:gridCol w:w="426"/>
        <w:gridCol w:w="595"/>
        <w:gridCol w:w="1265"/>
        <w:gridCol w:w="977"/>
        <w:gridCol w:w="13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1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1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37,350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Accel-KKR Growth Capital Partners II, LP</w:t>
            </w:r>
            <w:r>
              <w:rPr>
                <w:rFonts w:ascii="Times;serif" w:hAnsi="Times;serif"/>
                <w:color w:val="008000"/>
                <w:position w:val="7"/>
                <w:sz w:val="16"/>
                <w:sz w:val="20"/>
                <w:shd w:fill="FFFFFF" w:val="clear"/>
              </w:rPr>
              <w:t>(3)(4)(5)</w:t>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3,168</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Accel-KKR Growth Capital Partners II Strategic Fund, LP</w:t>
            </w:r>
            <w:r>
              <w:rPr>
                <w:rFonts w:ascii="Times;serif" w:hAnsi="Times;serif"/>
                <w:color w:val="008000"/>
                <w:position w:val="7"/>
                <w:sz w:val="16"/>
                <w:sz w:val="20"/>
                <w:shd w:fill="FFFFFF" w:val="clear"/>
              </w:rPr>
              <w:t>(3)(4)(5)</w:t>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2,245,886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Accel-KKR Capital Partners CV III, LP</w:t>
            </w:r>
            <w:r>
              <w:rPr>
                <w:rFonts w:ascii="Times;serif" w:hAnsi="Times;serif"/>
                <w:color w:val="008000"/>
                <w:position w:val="7"/>
                <w:sz w:val="16"/>
                <w:sz w:val="20"/>
                <w:shd w:fill="FFFFFF" w:val="clear"/>
              </w:rPr>
              <w:t>(3)(4)(5)</w:t>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94,546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Accel-KKR Growth Capital Partners III, LP</w:t>
            </w:r>
            <w:r>
              <w:rPr>
                <w:rFonts w:ascii="Times;serif" w:hAnsi="Times;serif"/>
                <w:color w:val="008000"/>
                <w:position w:val="7"/>
                <w:sz w:val="16"/>
                <w:sz w:val="20"/>
                <w:shd w:fill="FFFFFF" w:val="clear"/>
              </w:rPr>
              <w:t>(3)(4)(5)</w:t>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7,312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AKKR SC GPI HoldCo LP</w:t>
            </w:r>
            <w:r>
              <w:rPr>
                <w:rFonts w:ascii="Times;serif" w:hAnsi="Times;serif"/>
                <w:color w:val="008000"/>
                <w:position w:val="7"/>
                <w:sz w:val="16"/>
                <w:sz w:val="20"/>
                <w:shd w:fill="FFFFFF" w:val="clear"/>
              </w:rPr>
              <w:t>(3)(4)(5)</w:t>
            </w:r>
          </w:p>
        </w:tc>
      </w:tr>
      <w:tr>
        <w:trPr/>
        <w:tc>
          <w:tcPr>
            <w:tcW w:w="201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950</w:t>
            </w:r>
            <w:r>
              <w:rPr>
                <w:rFonts w:ascii="Times;serif" w:hAnsi="Times;serif"/>
                <w:color w:val="008000"/>
                <w:position w:val="7"/>
                <w:sz w:val="16"/>
                <w:sz w:val="20"/>
                <w:shd w:fill="FFFFFF" w:val="clear"/>
              </w:rPr>
              <w:t>(7)</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AKKR Strategic Capital LP</w:t>
            </w:r>
            <w:r>
              <w:rPr>
                <w:rFonts w:ascii="Times;serif" w:hAnsi="Times;serif"/>
                <w:color w:val="008000"/>
                <w:position w:val="7"/>
                <w:sz w:val="16"/>
                <w:sz w:val="20"/>
                <w:shd w:fill="FFFFFF" w:val="clear"/>
              </w:rPr>
              <w:t>(3)(4)(5)</w:t>
            </w:r>
          </w:p>
        </w:tc>
      </w:tr>
    </w:tbl>
    <w:tbl>
      <w:tblPr>
        <w:tblW w:w="1300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966"/>
        <w:gridCol w:w="906"/>
        <w:gridCol w:w="801"/>
        <w:gridCol w:w="891"/>
        <w:gridCol w:w="1101"/>
        <w:gridCol w:w="801"/>
        <w:gridCol w:w="1026"/>
        <w:gridCol w:w="831"/>
        <w:gridCol w:w="1086"/>
      </w:tblGrid>
      <w:tr>
        <w:trPr>
          <w:tblHeader w:val="true"/>
        </w:trPr>
        <w:tc>
          <w:tcPr>
            <w:tcW w:w="130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7,909,574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7,909,574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9,882,743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Accel-KKR Capital Partners CV III, LP</w:t>
            </w:r>
            <w:r>
              <w:rPr>
                <w:rFonts w:ascii="Times;serif" w:hAnsi="Times;serif"/>
                <w:color w:val="008000"/>
                <w:position w:val="7"/>
                <w:sz w:val="16"/>
                <w:sz w:val="20"/>
                <w:shd w:fill="FFFFFF" w:val="clear"/>
              </w:rPr>
              <w:t>(3)(4)(5)</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395,930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395,930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607,124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Accel-KKR Members Fund, LLC</w:t>
            </w:r>
            <w:r>
              <w:rPr>
                <w:rFonts w:ascii="Times;serif" w:hAnsi="Times;serif"/>
                <w:color w:val="008000"/>
                <w:position w:val="7"/>
                <w:sz w:val="16"/>
                <w:sz w:val="20"/>
                <w:shd w:fill="FFFFFF" w:val="clear"/>
              </w:rPr>
              <w:t>(3)(4)(5)</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332,973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332,973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416,038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Accel-KKR Growth Capital Partners III, LP</w:t>
            </w:r>
            <w:r>
              <w:rPr>
                <w:rFonts w:ascii="Times;serif" w:hAnsi="Times;serif"/>
                <w:color w:val="008000"/>
                <w:position w:val="7"/>
                <w:sz w:val="16"/>
                <w:sz w:val="20"/>
                <w:shd w:fill="FFFFFF" w:val="clear"/>
              </w:rPr>
              <w:t>(3)(4)(5)</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25,100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Accel-KKR Growth Capital Partners II Strategic Fund, LP</w:t>
            </w:r>
            <w:r>
              <w:rPr>
                <w:rFonts w:ascii="Times;serif" w:hAnsi="Times;serif"/>
                <w:color w:val="008000"/>
                <w:position w:val="7"/>
                <w:sz w:val="16"/>
                <w:sz w:val="20"/>
                <w:shd w:fill="FFFFFF" w:val="clear"/>
              </w:rPr>
              <w:t>(3)(4)(5)</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295,905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295,905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Accel-KKR Growth Capital Partners II, LP</w:t>
            </w:r>
            <w:r>
              <w:rPr>
                <w:rFonts w:ascii="Times;serif" w:hAnsi="Times;serif"/>
                <w:color w:val="008000"/>
                <w:position w:val="7"/>
                <w:sz w:val="16"/>
                <w:sz w:val="20"/>
                <w:shd w:fill="FFFFFF" w:val="clear"/>
              </w:rPr>
              <w:t>(3)(4)(5)</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1,206,671</w:t>
            </w:r>
            <w:r>
              <w:rPr>
                <w:rFonts w:ascii="Times;serif" w:hAnsi="Times;serif"/>
                <w:color w:val="008000"/>
                <w:position w:val="7"/>
                <w:sz w:val="16"/>
                <w:sz w:val="20"/>
                <w:shd w:fill="FFFFFF" w:val="clear"/>
              </w:rPr>
              <w:t>(6)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AKKR Strategic Capital LP</w:t>
            </w:r>
            <w:r>
              <w:rPr>
                <w:rFonts w:ascii="Times;serif" w:hAnsi="Times;serif"/>
                <w:color w:val="008000"/>
                <w:position w:val="7"/>
                <w:sz w:val="16"/>
                <w:sz w:val="20"/>
                <w:shd w:fill="FFFFFF" w:val="clear"/>
              </w:rPr>
              <w:t>(3)(4)(5)</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880,489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880,489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AKKR SC GPI HoldCo LP</w:t>
            </w:r>
            <w:r>
              <w:rPr>
                <w:rFonts w:ascii="Times;serif" w:hAnsi="Times;serif"/>
                <w:color w:val="008000"/>
                <w:position w:val="7"/>
                <w:sz w:val="16"/>
                <w:sz w:val="20"/>
                <w:shd w:fill="FFFFFF" w:val="clear"/>
              </w:rPr>
              <w:t>(3)(4)(5)</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Accel-KKR Holdings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ACCEL-KKR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2180 SAND HILL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ACCEL-KKR CAPITAL PARTNERS CV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ACCEL-KKR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2180 SAND HILL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ACCEL-KKR GROWTH CAPITAL PARTNERS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ACCEL-KKR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2180 SAND HILL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Accel-KKR Growth Capital Partners II Strategic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ACCEL-KKR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2180 SAND HILL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Accel-KKR Growth Capital Partners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ACCEL-KKR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2180 SAND HILL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Accel-KKR Members Fund,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ACCEL-KKR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2180 SAND HILL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AKKR SC GPI HoldCo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ACCEL-KKR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2180 SAND HILL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AKKR STRATEGIC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ACCEL-KKR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2180 SAND HILL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Class B Common Stock is convertible at any time, at the holder's election and automatically in connection with certain transfers and upon certain other events, into an equal number of shares of Class A Common Stock and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In-kind pro rata distribution from the Reporting Person to its partners, without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Accel-KKR Holdings GP, LLC, or Topco GP (for which decision making is controlled by Mr. Palumbo and Mr. Barnds), has voting and investment power over the shares of Common Stock of the Issuer owned by (i) Accel-KKR Capital Partners CV III, LP, or CV III; (ii) Accel-KKR Growth Capital Partners III, LP, or GC III; (iii) Accel-KKR Growth Capital Partners II Strategic Fund, LP, or GC II Strategic; (iv) Accel-KKR Growth Capital Partners II, LP, or GC II; (v) (v) Accel-KKR Members Fund, LLC, or Members Fund; (vi) AKKR Strategic Capital LP, or SC; and (vii) AKKR SC GPI HoldCo LP, or SC GPI.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(Continued from footnote 3) AKKR Fund III Management Company CV, LP, or CV III GP, is the sole general partner of CV III. AKKR Growth Capital Management Company III, LP, or GC III GP, is the sole general partner of GC III. AKKR Growth Capital Management Company II, LP, or GC II GP, is the sole general partner of GC II Strategic and GC II. AKKR Strategic Capital GP, or SC GP, is the sole general partner of SC. AKKR Management Company, LLC, or UGP, is the sole managing member of Members Fund and the sole general partner of CV III GP, GC III GP, GC II GP, SC GP and SC GPI. Topco GP, is the sole managing member of UGP. AKKR Fund II Management Company,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(Continued from footnote 4) or the Management Company, is the sole management company of each of the Accel-KKR Funds, and UGP is the general partner of the Management Company. Each of the Reporting Persons disclaims beneficial ownership of the reported securities except to the extent of such Reporting Person's pecuniary interest therein. Mr. Palumbo and Mr. Barnds have separately filed Form 4s reporting their interests.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538,415 shares received from certain of the other reporting persons in the distribution described in footnote 2. Such shares were previously reported as indirectly owned through the entities effecting such distributions.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shares received in the distribution described in footnote 2.</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Accel-KKR Holdings GP, LLC, /s/ Thomas C. Barnds, as its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Accel-KKR Capital Partners CV III, LP, /s/ Thomas C. Barnds, as its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Accel-KKR Growth Capital Partners III, LP, /s/ Thomas C. Barnds, as its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Accel-KKR Growth Capital Partners II Strategic Fund, LP, /s/ Thomas C. Barnds, as its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Accel-KKR Growth Capital Partners II, LP, /s/ Thomas C. Barnds, as its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AKKR Members Fund, LLC /s/ Thomas C. Barnds, as its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AKKR Strategic Capital LP /s/ Thomas C. Barnds, as its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AKKR SC GPI HoldCo LP /s/ Thomas C. Barnds, as its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3465" TargetMode="External"/><Relationship Id="rId5" Type="http://schemas.openxmlformats.org/officeDocument/2006/relationships/hyperlink" Target="http://www.sec.gov/cgi-bin/browse-edgar?action=getcompany&amp;CIK=00018411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863465" TargetMode="External"/><Relationship Id="rId10" Type="http://schemas.openxmlformats.org/officeDocument/2006/relationships/hyperlink" Target="http://www.sec.gov/cgi-bin/browse-edgar?action=getcompany&amp;CIK=0001781975" TargetMode="External"/><Relationship Id="rId11" Type="http://schemas.openxmlformats.org/officeDocument/2006/relationships/hyperlink" Target="http://www.sec.gov/cgi-bin/browse-edgar?action=getcompany&amp;CIK=0001747133" TargetMode="External"/><Relationship Id="rId12" Type="http://schemas.openxmlformats.org/officeDocument/2006/relationships/hyperlink" Target="http://www.sec.gov/cgi-bin/browse-edgar?action=getcompany&amp;CIK=0001602533" TargetMode="External"/><Relationship Id="rId13" Type="http://schemas.openxmlformats.org/officeDocument/2006/relationships/hyperlink" Target="http://www.sec.gov/cgi-bin/browse-edgar?action=getcompany&amp;CIK=0001602532" TargetMode="External"/><Relationship Id="rId14" Type="http://schemas.openxmlformats.org/officeDocument/2006/relationships/hyperlink" Target="http://www.sec.gov/cgi-bin/browse-edgar?action=getcompany&amp;CIK=0001863461" TargetMode="External"/><Relationship Id="rId15" Type="http://schemas.openxmlformats.org/officeDocument/2006/relationships/hyperlink" Target="http://www.sec.gov/cgi-bin/browse-edgar?action=getcompany&amp;CIK=0002047091" TargetMode="External"/><Relationship Id="rId16" Type="http://schemas.openxmlformats.org/officeDocument/2006/relationships/hyperlink" Target="http://www.sec.gov/cgi-bin/browse-edgar?action=getcompany&amp;CIK=0002032597"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1560</Words>
  <Characters>8167</Characters>
  <CharactersWithSpaces>9415</CharactersWithSpaces>
  <Paragraphs>341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