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3920" w:right="2780" w:hanging="3912"/>
        <w:spacing w:after="0" w:line="314" w:lineRule="auto"/>
        <w:tabs>
          <w:tab w:leader="none" w:pos="46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2025</w:t>
      </w:r>
    </w:p>
    <w:p>
      <w:pPr>
        <w:spacing w:after="0" w:line="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35" w:lineRule="exact"/>
        <w:rPr>
          <w:sz w:val="24"/>
          <w:szCs w:val="24"/>
          <w:color w:val="auto"/>
        </w:rPr>
      </w:pPr>
    </w:p>
    <w:p>
      <w:pPr>
        <w:ind w:left="3720"/>
        <w:spacing w:after="0"/>
        <w:tabs>
          <w:tab w:leader="none" w:pos="65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001-40429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4"/>
          <w:szCs w:val="24"/>
          <w:color w:val="auto"/>
        </w:rPr>
      </w:pPr>
    </w:p>
    <w:tbl>
      <w:tblPr>
        <w:tblLayout w:type="fixed"/>
        <w:tblInd w:w="720" w:type="dxa"/>
        <w:tblCellMar>
          <w:top w:w="0" w:type="dxa"/>
          <w:left w:w="0" w:type="dxa"/>
          <w:bottom w:w="0" w:type="dxa"/>
          <w:right w:w="0" w:type="dxa"/>
        </w:tblCellMar>
      </w:tblPr>
      <w:tr>
        <w:trPr>
          <w:trHeight w:val="223"/>
        </w:trPr>
        <w:tc>
          <w:tcPr>
            <w:tcW w:w="4260" w:type="dxa"/>
            <w:vAlign w:val="bottom"/>
          </w:tcPr>
          <w:p>
            <w:pPr>
              <w:jc w:val="center"/>
              <w:spacing w:after="0"/>
              <w:rPr>
                <w:sz w:val="20"/>
                <w:szCs w:val="20"/>
                <w:color w:val="auto"/>
              </w:rPr>
            </w:pPr>
            <w:r>
              <w:rPr>
                <w:rFonts w:ascii="Arial" w:cs="Arial" w:eastAsia="Arial" w:hAnsi="Arial"/>
                <w:sz w:val="16"/>
                <w:szCs w:val="16"/>
                <w:b w:val="1"/>
                <w:bCs w:val="1"/>
                <w:color w:val="auto"/>
                <w:w w:val="99"/>
              </w:rPr>
              <w:t>Delaware</w:t>
            </w:r>
          </w:p>
        </w:tc>
        <w:tc>
          <w:tcPr>
            <w:tcW w:w="4700" w:type="dxa"/>
            <w:vAlign w:val="bottom"/>
          </w:tcPr>
          <w:p>
            <w:pPr>
              <w:jc w:val="right"/>
              <w:ind w:right="739"/>
              <w:spacing w:after="0"/>
              <w:rPr>
                <w:sz w:val="20"/>
                <w:szCs w:val="20"/>
                <w:color w:val="auto"/>
              </w:rPr>
            </w:pPr>
            <w:r>
              <w:rPr>
                <w:rFonts w:ascii="Arial" w:cs="Arial" w:eastAsia="Arial" w:hAnsi="Arial"/>
                <w:sz w:val="16"/>
                <w:szCs w:val="16"/>
                <w:b w:val="1"/>
                <w:bCs w:val="1"/>
                <w:color w:val="auto"/>
              </w:rPr>
              <w:t>45-3188251</w:t>
            </w:r>
          </w:p>
        </w:tc>
      </w:tr>
      <w:tr>
        <w:trPr>
          <w:trHeight w:val="263"/>
        </w:trPr>
        <w:tc>
          <w:tcPr>
            <w:tcW w:w="4260" w:type="dxa"/>
            <w:vAlign w:val="bottom"/>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4700" w:type="dxa"/>
            <w:vAlign w:val="bottom"/>
          </w:tcPr>
          <w:p>
            <w:pPr>
              <w:jc w:val="center"/>
              <w:ind w:left="2119"/>
              <w:spacing w:after="0"/>
              <w:rPr>
                <w:sz w:val="20"/>
                <w:szCs w:val="20"/>
                <w:color w:val="auto"/>
              </w:rPr>
            </w:pPr>
            <w:r>
              <w:rPr>
                <w:rFonts w:ascii="Arial" w:cs="Arial" w:eastAsia="Arial" w:hAnsi="Arial"/>
                <w:sz w:val="16"/>
                <w:szCs w:val="16"/>
                <w:color w:val="auto"/>
              </w:rPr>
              <w:t>(I.R.S. Employer Identification No.)</w:t>
            </w:r>
          </w:p>
        </w:tc>
      </w:tr>
      <w:tr>
        <w:trPr>
          <w:trHeight w:val="189"/>
        </w:trPr>
        <w:tc>
          <w:tcPr>
            <w:tcW w:w="4260" w:type="dxa"/>
            <w:vAlign w:val="bottom"/>
          </w:tcPr>
          <w:p>
            <w:pPr>
              <w:jc w:val="center"/>
              <w:spacing w:after="0"/>
              <w:rPr>
                <w:sz w:val="20"/>
                <w:szCs w:val="20"/>
                <w:color w:val="auto"/>
              </w:rPr>
            </w:pPr>
            <w:r>
              <w:rPr>
                <w:rFonts w:ascii="Arial" w:cs="Arial" w:eastAsia="Arial" w:hAnsi="Arial"/>
                <w:sz w:val="16"/>
                <w:szCs w:val="16"/>
                <w:b w:val="1"/>
                <w:bCs w:val="1"/>
                <w:color w:val="auto"/>
              </w:rPr>
              <w:t>11605 N. Community House Road, Suite 300</w:t>
            </w:r>
          </w:p>
        </w:tc>
        <w:tc>
          <w:tcPr>
            <w:tcW w:w="4700" w:type="dxa"/>
            <w:vAlign w:val="bottom"/>
          </w:tcPr>
          <w:p>
            <w:pPr>
              <w:spacing w:after="0"/>
              <w:rPr>
                <w:sz w:val="16"/>
                <w:szCs w:val="16"/>
                <w:color w:val="auto"/>
              </w:rPr>
            </w:pPr>
          </w:p>
        </w:tc>
      </w:tr>
      <w:tr>
        <w:trPr>
          <w:trHeight w:val="189"/>
        </w:trPr>
        <w:tc>
          <w:tcPr>
            <w:tcW w:w="4260" w:type="dxa"/>
            <w:vAlign w:val="bottom"/>
          </w:tcPr>
          <w:p>
            <w:pPr>
              <w:jc w:val="center"/>
              <w:spacing w:after="0"/>
              <w:rPr>
                <w:sz w:val="20"/>
                <w:szCs w:val="20"/>
                <w:color w:val="auto"/>
              </w:rPr>
            </w:pPr>
            <w:r>
              <w:rPr>
                <w:rFonts w:ascii="Arial" w:cs="Arial" w:eastAsia="Arial" w:hAnsi="Arial"/>
                <w:sz w:val="16"/>
                <w:szCs w:val="16"/>
                <w:b w:val="1"/>
                <w:bCs w:val="1"/>
                <w:color w:val="auto"/>
                <w:w w:val="99"/>
              </w:rPr>
              <w:t>Charlotte, NC</w:t>
            </w:r>
          </w:p>
        </w:tc>
        <w:tc>
          <w:tcPr>
            <w:tcW w:w="4700" w:type="dxa"/>
            <w:vAlign w:val="bottom"/>
          </w:tcPr>
          <w:p>
            <w:pPr>
              <w:jc w:val="right"/>
              <w:ind w:right="939"/>
              <w:spacing w:after="0"/>
              <w:rPr>
                <w:sz w:val="20"/>
                <w:szCs w:val="20"/>
                <w:color w:val="auto"/>
              </w:rPr>
            </w:pPr>
            <w:r>
              <w:rPr>
                <w:rFonts w:ascii="Arial" w:cs="Arial" w:eastAsia="Arial" w:hAnsi="Arial"/>
                <w:sz w:val="16"/>
                <w:szCs w:val="16"/>
                <w:b w:val="1"/>
                <w:bCs w:val="1"/>
                <w:color w:val="auto"/>
              </w:rPr>
              <w:t>28277</w:t>
            </w:r>
          </w:p>
        </w:tc>
      </w:tr>
      <w:tr>
        <w:trPr>
          <w:trHeight w:val="189"/>
        </w:trPr>
        <w:tc>
          <w:tcPr>
            <w:tcW w:w="426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4700" w:type="dxa"/>
            <w:vAlign w:val="bottom"/>
          </w:tcPr>
          <w:p>
            <w:pPr>
              <w:jc w:val="center"/>
              <w:ind w:left="2099"/>
              <w:spacing w:after="0"/>
              <w:rPr>
                <w:sz w:val="20"/>
                <w:szCs w:val="20"/>
                <w:color w:val="auto"/>
              </w:rPr>
            </w:pPr>
            <w:r>
              <w:rPr>
                <w:rFonts w:ascii="Arial" w:cs="Arial" w:eastAsia="Arial" w:hAnsi="Arial"/>
                <w:sz w:val="16"/>
                <w:szCs w:val="16"/>
                <w:color w:val="auto"/>
              </w:rPr>
              <w:t>(Zip Code)</w:t>
            </w:r>
          </w:p>
        </w:tc>
      </w:tr>
      <w:tr>
        <w:trPr>
          <w:trHeight w:val="205"/>
        </w:trPr>
        <w:tc>
          <w:tcPr>
            <w:tcW w:w="4260" w:type="dxa"/>
            <w:vAlign w:val="bottom"/>
          </w:tcPr>
          <w:p>
            <w:pPr>
              <w:spacing w:after="0"/>
              <w:rPr>
                <w:sz w:val="17"/>
                <w:szCs w:val="17"/>
                <w:color w:val="auto"/>
              </w:rPr>
            </w:pPr>
          </w:p>
        </w:tc>
        <w:tc>
          <w:tcPr>
            <w:tcW w:w="4700" w:type="dxa"/>
            <w:vAlign w:val="bottom"/>
          </w:tcPr>
          <w:p>
            <w:pPr>
              <w:jc w:val="right"/>
              <w:ind w:right="3419"/>
              <w:spacing w:after="0"/>
              <w:rPr>
                <w:sz w:val="20"/>
                <w:szCs w:val="20"/>
                <w:color w:val="auto"/>
              </w:rPr>
            </w:pPr>
            <w:r>
              <w:rPr>
                <w:rFonts w:ascii="Arial" w:cs="Arial" w:eastAsia="Arial" w:hAnsi="Arial"/>
                <w:sz w:val="16"/>
                <w:szCs w:val="16"/>
                <w:b w:val="1"/>
                <w:bCs w:val="1"/>
                <w:color w:val="auto"/>
              </w:rPr>
              <w:t>(888) 440-4826</w:t>
            </w:r>
          </w:p>
        </w:tc>
      </w:tr>
    </w:tbl>
    <w:p>
      <w:pPr>
        <w:jc w:val="center"/>
        <w:ind w:right="40"/>
        <w:spacing w:after="0"/>
        <w:rPr>
          <w:sz w:val="20"/>
          <w:szCs w:val="20"/>
          <w:color w:val="auto"/>
        </w:rPr>
      </w:pPr>
      <w:r>
        <w:rPr>
          <w:rFonts w:ascii="Arial" w:cs="Arial" w:eastAsia="Arial" w:hAnsi="Arial"/>
          <w:sz w:val="16"/>
          <w:szCs w:val="16"/>
          <w:color w:val="auto"/>
        </w:rPr>
        <w:t>(Registrant’s telephone number, including area code)</w:t>
      </w:r>
    </w:p>
    <w:p>
      <w:pPr>
        <w:spacing w:after="0" w:line="102"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62230</wp:posOffset>
            </wp:positionV>
            <wp:extent cx="8953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535" cy="15430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62230</wp:posOffset>
            </wp:positionV>
            <wp:extent cx="3365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154305"/>
                    </a:xfrm>
                    <a:prstGeom prst="rect">
                      <a:avLst/>
                    </a:prstGeom>
                    <a:noFill/>
                  </pic:spPr>
                </pic:pic>
              </a:graphicData>
            </a:graphic>
          </wp:anchor>
        </w:drawing>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30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Borders>
              <w:top w:val="single" w:sz="8" w:color="auto"/>
            </w:tcBorders>
          </w:tcPr>
          <w:p>
            <w:pPr>
              <w:spacing w:after="0"/>
              <w:rPr>
                <w:sz w:val="18"/>
                <w:szCs w:val="18"/>
                <w:color w:val="auto"/>
              </w:rPr>
            </w:pP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39"/>
        </w:trPr>
        <w:tc>
          <w:tcPr>
            <w:tcW w:w="4300" w:type="dxa"/>
            <w:vAlign w:val="bottom"/>
            <w:tcBorders>
              <w:left w:val="single" w:sz="8" w:color="auto"/>
              <w:bottom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Class A Common Stock, par value $0.0001 per share</w:t>
            </w:r>
          </w:p>
        </w:tc>
        <w:tc>
          <w:tcPr>
            <w:tcW w:w="12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99"/>
              </w:rPr>
              <w:t>PAY</w:t>
            </w:r>
          </w:p>
        </w:tc>
        <w:tc>
          <w:tcPr>
            <w:tcW w:w="120" w:type="dxa"/>
            <w:vAlign w:val="bottom"/>
            <w:tcBorders>
              <w:bottom w:val="single" w:sz="8" w:color="auto"/>
              <w:right w:val="single" w:sz="8" w:color="auto"/>
            </w:tcBorders>
          </w:tcPr>
          <w:p>
            <w:pPr>
              <w:spacing w:after="0"/>
              <w:rPr>
                <w:sz w:val="12"/>
                <w:szCs w:val="12"/>
                <w:color w:val="auto"/>
              </w:rPr>
            </w:pPr>
          </w:p>
        </w:tc>
        <w:tc>
          <w:tcPr>
            <w:tcW w:w="494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New York Stock Exchange</w:t>
            </w:r>
          </w:p>
        </w:tc>
      </w:tr>
    </w:tbl>
    <w:p>
      <w:pPr>
        <w:spacing w:after="0" w:line="136"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76" w:lineRule="exact"/>
        <w:rPr>
          <w:sz w:val="24"/>
          <w:szCs w:val="24"/>
          <w:color w:val="auto"/>
        </w:rPr>
      </w:pPr>
    </w:p>
    <w:p>
      <w:pPr>
        <w:spacing w:after="0" w:line="150" w:lineRule="exact"/>
        <w:tabs>
          <w:tab w:leader="none" w:pos="7640" w:val="left"/>
        </w:tabs>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07" w:lineRule="exact"/>
        <w:rPr>
          <w:sz w:val="24"/>
          <w:szCs w:val="24"/>
          <w:color w:val="auto"/>
        </w:rPr>
      </w:pPr>
    </w:p>
    <w:p>
      <w:pPr>
        <w:spacing w:after="0" w:line="150" w:lineRule="exact"/>
        <w:tabs>
          <w:tab w:leader="none" w:pos="726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38" w:lineRule="exact"/>
        <w:rPr>
          <w:sz w:val="24"/>
          <w:szCs w:val="24"/>
          <w:color w:val="auto"/>
        </w:rPr>
      </w:pPr>
    </w:p>
    <w:p>
      <w:pPr>
        <w:jc w:val="both"/>
        <w:ind w:right="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1040" w:type="dxa"/>
            <w:vAlign w:val="bottom"/>
            <w:gridSpan w:val="3"/>
          </w:tcPr>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80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chapter) during the preceding 12 months (or for such shorter period that the Registrant was required to submit such files). Yes </w:t>
            </w:r>
            <w:r>
              <w:rPr>
                <w:rFonts w:ascii="MS PGothic" w:cs="MS PGothic" w:eastAsia="MS PGothic" w:hAnsi="MS PGothic"/>
                <w:sz w:val="13"/>
                <w:szCs w:val="13"/>
                <w:color w:val="auto"/>
              </w:rPr>
              <w:t>☒</w:t>
            </w:r>
          </w:p>
        </w:tc>
        <w:tc>
          <w:tcPr>
            <w:tcW w:w="3240" w:type="dxa"/>
            <w:vAlign w:val="bottom"/>
          </w:tcPr>
          <w:p>
            <w:pPr>
              <w:ind w:left="10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040" w:type="dxa"/>
            <w:vAlign w:val="bottom"/>
            <w:gridSpan w:val="3"/>
          </w:tcPr>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040" w:type="dxa"/>
            <w:vAlign w:val="bottom"/>
            <w:gridSpan w:val="3"/>
          </w:tcPr>
          <w:p>
            <w:pPr>
              <w:spacing w:after="0" w:line="134" w:lineRule="exact"/>
              <w:rPr>
                <w:sz w:val="20"/>
                <w:szCs w:val="20"/>
                <w:color w:val="auto"/>
              </w:rPr>
            </w:pPr>
            <w:r>
              <w:rPr>
                <w:rFonts w:ascii="Arial" w:cs="Arial" w:eastAsia="Arial" w:hAnsi="Arial"/>
                <w:sz w:val="13"/>
                <w:szCs w:val="13"/>
                <w:color w:val="auto"/>
              </w:rPr>
              <w:t>the definitions of "large accelerated filer", "accelerated filer", "smaller reporting company", and "emerging growth company" in Rule 12b-2 of the Exchange Act.</w:t>
            </w:r>
          </w:p>
        </w:tc>
        <w:tc>
          <w:tcPr>
            <w:tcW w:w="14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58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3240" w:type="dxa"/>
            <w:vAlign w:val="bottom"/>
          </w:tcPr>
          <w:p>
            <w:pPr>
              <w:ind w:left="560"/>
              <w:spacing w:after="0"/>
              <w:rPr>
                <w:sz w:val="20"/>
                <w:szCs w:val="20"/>
                <w:color w:val="auto"/>
              </w:rPr>
            </w:pPr>
            <w:r>
              <w:rPr>
                <w:rFonts w:ascii="Arial" w:cs="Arial" w:eastAsia="Arial" w:hAnsi="Arial"/>
                <w:sz w:val="13"/>
                <w:szCs w:val="13"/>
                <w:color w:val="auto"/>
              </w:rPr>
              <w:t>Accelerated filer</w:t>
            </w: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58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3240" w:type="dxa"/>
            <w:vAlign w:val="bottom"/>
          </w:tcPr>
          <w:p>
            <w:pPr>
              <w:ind w:left="560"/>
              <w:spacing w:after="0"/>
              <w:rPr>
                <w:sz w:val="20"/>
                <w:szCs w:val="20"/>
                <w:color w:val="auto"/>
              </w:rPr>
            </w:pPr>
            <w:r>
              <w:rPr>
                <w:rFonts w:ascii="Arial" w:cs="Arial" w:eastAsia="Arial" w:hAnsi="Arial"/>
                <w:sz w:val="13"/>
                <w:szCs w:val="13"/>
                <w:color w:val="auto"/>
              </w:rPr>
              <w:t>Smaller reporting company</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27"/>
        </w:trPr>
        <w:tc>
          <w:tcPr>
            <w:tcW w:w="19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58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1" w:lineRule="exact"/>
        <w:rPr>
          <w:sz w:val="24"/>
          <w:szCs w:val="24"/>
          <w:color w:val="auto"/>
        </w:rPr>
      </w:pPr>
    </w:p>
    <w:p>
      <w:pPr>
        <w:ind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02" w:lineRule="exact"/>
        <w:rPr>
          <w:sz w:val="24"/>
          <w:szCs w:val="24"/>
          <w:color w:val="auto"/>
        </w:rPr>
      </w:pPr>
    </w:p>
    <w:p>
      <w:pPr>
        <w:ind w:right="300"/>
        <w:spacing w:after="0" w:line="172" w:lineRule="exact"/>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3"/>
          <w:szCs w:val="13"/>
          <w:color w:val="231F20"/>
        </w:rPr>
        <w:t>.</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61" w:lineRule="exact"/>
        <w:rPr>
          <w:sz w:val="24"/>
          <w:szCs w:val="24"/>
          <w:color w:val="auto"/>
        </w:rPr>
      </w:pPr>
    </w:p>
    <w:p>
      <w:pPr>
        <w:ind w:right="440"/>
        <w:spacing w:after="0" w:line="172"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0" w:lineRule="exact"/>
        <w:rPr>
          <w:sz w:val="24"/>
          <w:szCs w:val="24"/>
          <w:color w:val="auto"/>
        </w:rPr>
      </w:pPr>
    </w:p>
    <w:p>
      <w:pPr>
        <w:spacing w:after="0" w:line="150" w:lineRule="exact"/>
        <w:tabs>
          <w:tab w:leader="none" w:pos="74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38" w:lineRule="exact"/>
        <w:rPr>
          <w:sz w:val="24"/>
          <w:szCs w:val="24"/>
          <w:color w:val="auto"/>
        </w:rPr>
      </w:pPr>
    </w:p>
    <w:p>
      <w:pPr>
        <w:ind w:right="140"/>
        <w:spacing w:after="0" w:line="252" w:lineRule="auto"/>
        <w:rPr>
          <w:sz w:val="20"/>
          <w:szCs w:val="20"/>
          <w:color w:val="auto"/>
        </w:rPr>
      </w:pPr>
      <w:r>
        <w:rPr>
          <w:rFonts w:ascii="Arial" w:cs="Arial" w:eastAsia="Arial" w:hAnsi="Arial"/>
          <w:sz w:val="13"/>
          <w:szCs w:val="13"/>
          <w:color w:val="auto"/>
        </w:rPr>
        <w:t>As of February 19, 2026, there were 62,862,265 shares of the Registrant’s Class A common stock outstanding, $0.0001 par value per share and 62,853,326 shares of the Registrant’s Class B common stock outstanding, $0.0001 par value per share. The aggregate market value of the Class A common stock held by non-affiliates of the Registrant as of the last business day of the Registrant’s most recently completed second fiscal quarter was approximately $1,353.8 million based on the closing sale price of the Class A common stock as reported by the New York Stock Exchange on that date of $32.75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3"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Portions of the Registrant’s Definitive Proxy Statement for the 2026 Annual Meeting of Stockholders, which is expected to be filed within 120 days after the Registrant's fiscal year ended December 31, 2025,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975"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780" w:type="dxa"/>
            <w:vAlign w:val="bottom"/>
            <w:gridSpan w:val="11"/>
          </w:tcPr>
          <w:p>
            <w:pPr>
              <w:ind w:left="1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124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7"/>
        </w:trPr>
        <w:tc>
          <w:tcPr>
            <w:tcW w:w="12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FF"/>
            </w:tcBorders>
          </w:tcPr>
          <w:p>
            <w:pPr>
              <w:ind w:left="20"/>
              <w:spacing w:after="0" w:line="195" w:lineRule="exact"/>
              <w:rPr>
                <w:sz w:val="20"/>
                <w:szCs w:val="20"/>
                <w:color w:val="auto"/>
              </w:rPr>
            </w:pPr>
            <w:r>
              <w:rPr>
                <w:rFonts w:ascii="Arial" w:cs="Arial" w:eastAsia="Arial" w:hAnsi="Arial"/>
                <w:sz w:val="18"/>
                <w:szCs w:val="18"/>
                <w:color w:val="0000FF"/>
                <w:w w:val="95"/>
              </w:rPr>
              <w:t>Business</w:t>
            </w:r>
          </w:p>
        </w:tc>
        <w:tc>
          <w:tcPr>
            <w:tcW w:w="8480" w:type="dxa"/>
            <w:vAlign w:val="bottom"/>
            <w:gridSpan w:val="24"/>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9220" w:type="dxa"/>
            <w:vAlign w:val="bottom"/>
            <w:gridSpan w:val="25"/>
          </w:tcPr>
          <w:p>
            <w:pPr>
              <w:ind w:left="20"/>
              <w:spacing w:after="0" w:line="182"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FF"/>
            </w:tcBorders>
            <w:gridSpan w:val="4"/>
          </w:tcPr>
          <w:p>
            <w:pPr>
              <w:ind w:left="20"/>
              <w:spacing w:after="0" w:line="182" w:lineRule="exact"/>
              <w:rPr>
                <w:sz w:val="20"/>
                <w:szCs w:val="20"/>
                <w:color w:val="auto"/>
              </w:rPr>
            </w:pPr>
            <w:r>
              <w:rPr>
                <w:rFonts w:ascii="Arial" w:cs="Arial" w:eastAsia="Arial" w:hAnsi="Arial"/>
                <w:sz w:val="18"/>
                <w:szCs w:val="18"/>
                <w:color w:val="0000FF"/>
              </w:rPr>
              <w:t>Unresolved</w:t>
            </w:r>
          </w:p>
        </w:tc>
        <w:tc>
          <w:tcPr>
            <w:tcW w:w="20" w:type="dxa"/>
            <w:vAlign w:val="bottom"/>
            <w:tcBorders>
              <w:top w:val="single" w:sz="8" w:color="0000EE"/>
            </w:tcBorders>
          </w:tcPr>
          <w:p>
            <w:pPr>
              <w:spacing w:after="0"/>
              <w:rPr>
                <w:sz w:val="15"/>
                <w:szCs w:val="15"/>
                <w:color w:val="auto"/>
              </w:rPr>
            </w:pPr>
          </w:p>
        </w:tc>
        <w:tc>
          <w:tcPr>
            <w:tcW w:w="8200" w:type="dxa"/>
            <w:vAlign w:val="bottom"/>
            <w:gridSpan w:val="20"/>
          </w:tcPr>
          <w:p>
            <w:pPr>
              <w:spacing w:after="0" w:line="182" w:lineRule="exact"/>
              <w:rPr>
                <w:sz w:val="20"/>
                <w:szCs w:val="20"/>
                <w:color w:val="auto"/>
              </w:rPr>
            </w:pPr>
            <w:r>
              <w:rPr>
                <w:rFonts w:ascii="Arial" w:cs="Arial" w:eastAsia="Arial" w:hAnsi="Arial"/>
                <w:sz w:val="18"/>
                <w:szCs w:val="18"/>
                <w:color w:val="0000FF"/>
              </w:rPr>
              <w:t>Staff Comments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1C.</w:t>
            </w:r>
          </w:p>
        </w:tc>
        <w:tc>
          <w:tcPr>
            <w:tcW w:w="2260" w:type="dxa"/>
            <w:vAlign w:val="bottom"/>
            <w:tcBorders>
              <w:top w:val="single" w:sz="8" w:color="0000FF"/>
            </w:tcBorders>
            <w:gridSpan w:val="12"/>
          </w:tcPr>
          <w:p>
            <w:pPr>
              <w:ind w:left="20"/>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1100" w:type="dxa"/>
            <w:vAlign w:val="bottom"/>
            <w:tcBorders>
              <w:top w:val="single" w:sz="8" w:color="0000FF"/>
            </w:tcBorders>
            <w:gridSpan w:val="6"/>
          </w:tcPr>
          <w:p>
            <w:pPr>
              <w:ind w:left="20"/>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202" w:lineRule="exact"/>
              <w:rPr>
                <w:sz w:val="20"/>
                <w:szCs w:val="20"/>
                <w:color w:val="auto"/>
              </w:rPr>
            </w:pPr>
            <w:r>
              <w:rPr>
                <w:rFonts w:ascii="Arial" w:cs="Arial" w:eastAsia="Arial" w:hAnsi="Arial"/>
                <w:sz w:val="18"/>
                <w:szCs w:val="18"/>
                <w:color w:val="auto"/>
              </w:rPr>
              <w:t>Item 3.</w:t>
            </w: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220" w:type="dxa"/>
            <w:vAlign w:val="bottom"/>
            <w:gridSpan w:val="25"/>
          </w:tcPr>
          <w:p>
            <w:pPr>
              <w:ind w:left="20"/>
              <w:spacing w:after="0" w:line="182"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202" w:lineRule="exact"/>
              <w:rPr>
                <w:sz w:val="20"/>
                <w:szCs w:val="20"/>
                <w:color w:val="auto"/>
              </w:rPr>
            </w:pPr>
            <w:r>
              <w:rPr>
                <w:rFonts w:ascii="Arial" w:cs="Arial" w:eastAsia="Arial" w:hAnsi="Arial"/>
                <w:sz w:val="18"/>
                <w:szCs w:val="18"/>
                <w:color w:val="auto"/>
              </w:rPr>
              <w:t>Item 4.</w:t>
            </w: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220" w:type="dxa"/>
            <w:vAlign w:val="bottom"/>
            <w:gridSpan w:val="25"/>
          </w:tcPr>
          <w:p>
            <w:pPr>
              <w:ind w:left="20"/>
              <w:spacing w:after="0" w:line="182"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0"/>
                <w:szCs w:val="20"/>
                <w:color w:val="auto"/>
              </w:rPr>
            </w:pPr>
            <w:r>
              <w:rPr>
                <w:rFonts w:ascii="Arial" w:cs="Arial" w:eastAsia="Arial" w:hAnsi="Arial"/>
                <w:sz w:val="18"/>
                <w:szCs w:val="18"/>
                <w:color w:val="auto"/>
              </w:rPr>
              <w:t>PART 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line="195" w:lineRule="exact"/>
              <w:rPr>
                <w:sz w:val="20"/>
                <w:szCs w:val="20"/>
                <w:color w:val="auto"/>
              </w:rPr>
            </w:pPr>
            <w:r>
              <w:rPr>
                <w:rFonts w:ascii="Arial" w:cs="Arial" w:eastAsia="Arial" w:hAnsi="Arial"/>
                <w:sz w:val="18"/>
                <w:szCs w:val="18"/>
                <w:color w:val="auto"/>
              </w:rPr>
              <w:t>Item 5.</w:t>
            </w:r>
          </w:p>
        </w:tc>
        <w:tc>
          <w:tcPr>
            <w:tcW w:w="9220" w:type="dxa"/>
            <w:vAlign w:val="bottom"/>
            <w:gridSpan w:val="25"/>
          </w:tcPr>
          <w:p>
            <w:pPr>
              <w:ind w:left="20"/>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8900" w:type="dxa"/>
            <w:vAlign w:val="bottom"/>
            <w:tcBorders>
              <w:top w:val="single" w:sz="8" w:color="0000FF"/>
            </w:tcBorders>
            <w:gridSpan w:val="24"/>
          </w:tcPr>
          <w:p>
            <w:pPr>
              <w:ind w:left="20"/>
              <w:spacing w:after="0" w:line="182" w:lineRule="exact"/>
              <w:rPr>
                <w:sz w:val="20"/>
                <w:szCs w:val="20"/>
                <w:color w:val="auto"/>
              </w:rPr>
            </w:pPr>
            <w:r>
              <w:rPr>
                <w:rFonts w:ascii="Arial" w:cs="Arial" w:eastAsia="Arial" w:hAnsi="Arial"/>
                <w:sz w:val="18"/>
                <w:szCs w:val="18"/>
                <w:color w:val="0000FF"/>
              </w:rPr>
              <w:t>[Reserved]</w:t>
            </w:r>
          </w:p>
        </w:tc>
        <w:tc>
          <w:tcPr>
            <w:tcW w:w="3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202" w:lineRule="exact"/>
              <w:rPr>
                <w:sz w:val="20"/>
                <w:szCs w:val="20"/>
                <w:color w:val="auto"/>
              </w:rPr>
            </w:pPr>
            <w:r>
              <w:rPr>
                <w:rFonts w:ascii="Arial" w:cs="Arial" w:eastAsia="Arial" w:hAnsi="Arial"/>
                <w:sz w:val="18"/>
                <w:szCs w:val="18"/>
                <w:color w:val="auto"/>
              </w:rPr>
              <w:t>Item 7.</w:t>
            </w: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220" w:type="dxa"/>
            <w:vAlign w:val="bottom"/>
            <w:gridSpan w:val="25"/>
          </w:tcPr>
          <w:p>
            <w:pPr>
              <w:ind w:left="20"/>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7A.</w:t>
            </w:r>
          </w:p>
        </w:tc>
        <w:tc>
          <w:tcPr>
            <w:tcW w:w="7100" w:type="dxa"/>
            <w:vAlign w:val="bottom"/>
            <w:tcBorders>
              <w:top w:val="single" w:sz="8" w:color="0000FF"/>
            </w:tcBorders>
            <w:gridSpan w:val="21"/>
          </w:tcPr>
          <w:p>
            <w:pPr>
              <w:ind w:left="20"/>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8.</w:t>
            </w:r>
          </w:p>
        </w:tc>
        <w:tc>
          <w:tcPr>
            <w:tcW w:w="3740" w:type="dxa"/>
            <w:vAlign w:val="bottom"/>
            <w:tcBorders>
              <w:top w:val="single" w:sz="8" w:color="0000FF"/>
              <w:bottom w:val="single" w:sz="8" w:color="0000FF"/>
            </w:tcBorders>
            <w:gridSpan w:val="15"/>
          </w:tcPr>
          <w:p>
            <w:pPr>
              <w:ind w:left="20"/>
              <w:spacing w:after="0" w:line="182" w:lineRule="exact"/>
              <w:rPr>
                <w:sz w:val="20"/>
                <w:szCs w:val="20"/>
                <w:color w:val="auto"/>
              </w:rPr>
            </w:pPr>
            <w:r>
              <w:rPr>
                <w:rFonts w:ascii="Arial" w:cs="Arial" w:eastAsia="Arial" w:hAnsi="Arial"/>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5"/>
                <w:szCs w:val="15"/>
                <w:color w:val="auto"/>
              </w:rPr>
            </w:pPr>
          </w:p>
        </w:tc>
        <w:tc>
          <w:tcPr>
            <w:tcW w:w="960" w:type="dxa"/>
            <w:vAlign w:val="bottom"/>
            <w:tcBorders>
              <w:top w:val="single" w:sz="8" w:color="0000FF"/>
            </w:tcBorders>
            <w:gridSpan w:val="2"/>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9.</w:t>
            </w:r>
          </w:p>
        </w:tc>
        <w:tc>
          <w:tcPr>
            <w:tcW w:w="9220" w:type="dxa"/>
            <w:vAlign w:val="bottom"/>
            <w:gridSpan w:val="25"/>
          </w:tcPr>
          <w:p>
            <w:pPr>
              <w:ind w:left="20"/>
              <w:spacing w:after="0" w:line="182"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9A.</w:t>
            </w:r>
          </w:p>
        </w:tc>
        <w:tc>
          <w:tcPr>
            <w:tcW w:w="7180" w:type="dxa"/>
            <w:vAlign w:val="bottom"/>
            <w:tcBorders>
              <w:top w:val="single" w:sz="8" w:color="0000FF"/>
            </w:tcBorders>
            <w:gridSpan w:val="22"/>
          </w:tcPr>
          <w:p>
            <w:pPr>
              <w:ind w:left="20"/>
              <w:spacing w:after="0" w:line="182" w:lineRule="exact"/>
              <w:rPr>
                <w:sz w:val="20"/>
                <w:szCs w:val="20"/>
                <w:color w:val="auto"/>
              </w:rPr>
            </w:pPr>
            <w:r>
              <w:rPr>
                <w:rFonts w:ascii="Arial" w:cs="Arial" w:eastAsia="Arial" w:hAnsi="Arial"/>
                <w:sz w:val="18"/>
                <w:szCs w:val="18"/>
                <w:color w:val="0000FF"/>
              </w:rPr>
              <w:t>Controls and Procedures</w:t>
            </w:r>
          </w:p>
        </w:tc>
        <w:tc>
          <w:tcPr>
            <w:tcW w:w="84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9B.</w:t>
            </w:r>
          </w:p>
        </w:tc>
        <w:tc>
          <w:tcPr>
            <w:tcW w:w="2020" w:type="dxa"/>
            <w:vAlign w:val="bottom"/>
            <w:tcBorders>
              <w:top w:val="single" w:sz="8" w:color="0000FF"/>
            </w:tcBorders>
            <w:gridSpan w:val="11"/>
          </w:tcPr>
          <w:p>
            <w:pPr>
              <w:ind w:left="20"/>
              <w:spacing w:after="0" w:line="182" w:lineRule="exact"/>
              <w:rPr>
                <w:sz w:val="20"/>
                <w:szCs w:val="20"/>
                <w:color w:val="auto"/>
              </w:rPr>
            </w:pPr>
            <w:r>
              <w:rPr>
                <w:rFonts w:ascii="Arial" w:cs="Arial" w:eastAsia="Arial" w:hAnsi="Arial"/>
                <w:sz w:val="18"/>
                <w:szCs w:val="18"/>
                <w:color w:val="0000FF"/>
              </w:rPr>
              <w:t>Other Information</w:t>
            </w:r>
          </w:p>
        </w:tc>
        <w:tc>
          <w:tcPr>
            <w:tcW w:w="11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spacing w:after="0"/>
              <w:rPr>
                <w:sz w:val="15"/>
                <w:szCs w:val="15"/>
                <w:color w:val="auto"/>
              </w:rPr>
            </w:pPr>
          </w:p>
        </w:tc>
        <w:tc>
          <w:tcPr>
            <w:tcW w:w="9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202" w:lineRule="exact"/>
              <w:rPr>
                <w:sz w:val="20"/>
                <w:szCs w:val="20"/>
                <w:color w:val="auto"/>
              </w:rPr>
            </w:pPr>
            <w:r>
              <w:rPr>
                <w:rFonts w:ascii="Arial" w:cs="Arial" w:eastAsia="Arial" w:hAnsi="Arial"/>
                <w:sz w:val="18"/>
                <w:szCs w:val="18"/>
                <w:color w:val="auto"/>
              </w:rPr>
              <w:t>Item 9C.</w:t>
            </w: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220" w:type="dxa"/>
            <w:vAlign w:val="bottom"/>
            <w:gridSpan w:val="25"/>
          </w:tcPr>
          <w:p>
            <w:pPr>
              <w:ind w:left="20"/>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0"/>
                <w:szCs w:val="20"/>
                <w:color w:val="auto"/>
              </w:rPr>
            </w:pPr>
            <w:r>
              <w:rPr>
                <w:rFonts w:ascii="Arial" w:cs="Arial" w:eastAsia="Arial" w:hAnsi="Arial"/>
                <w:sz w:val="18"/>
                <w:szCs w:val="18"/>
                <w:color w:val="auto"/>
              </w:rPr>
              <w:t>PART III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line="195" w:lineRule="exact"/>
              <w:rPr>
                <w:sz w:val="20"/>
                <w:szCs w:val="20"/>
                <w:color w:val="auto"/>
              </w:rPr>
            </w:pPr>
            <w:r>
              <w:rPr>
                <w:rFonts w:ascii="Arial" w:cs="Arial" w:eastAsia="Arial" w:hAnsi="Arial"/>
                <w:sz w:val="18"/>
                <w:szCs w:val="18"/>
                <w:color w:val="auto"/>
              </w:rPr>
              <w:t>Item 10.</w:t>
            </w:r>
          </w:p>
        </w:tc>
        <w:tc>
          <w:tcPr>
            <w:tcW w:w="9220" w:type="dxa"/>
            <w:vAlign w:val="bottom"/>
            <w:gridSpan w:val="25"/>
          </w:tcPr>
          <w:p>
            <w:pPr>
              <w:ind w:left="20"/>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4520" w:type="dxa"/>
            <w:vAlign w:val="bottom"/>
            <w:tcBorders>
              <w:top w:val="single" w:sz="8" w:color="0000FF"/>
            </w:tcBorders>
            <w:gridSpan w:val="17"/>
          </w:tcPr>
          <w:p>
            <w:pPr>
              <w:ind w:left="20"/>
              <w:spacing w:after="0" w:line="182" w:lineRule="exact"/>
              <w:rPr>
                <w:sz w:val="20"/>
                <w:szCs w:val="20"/>
                <w:color w:val="auto"/>
              </w:rPr>
            </w:pPr>
            <w:r>
              <w:rPr>
                <w:rFonts w:ascii="Arial" w:cs="Arial" w:eastAsia="Arial" w:hAnsi="Arial"/>
                <w:sz w:val="18"/>
                <w:szCs w:val="18"/>
                <w:color w:val="0000FF"/>
              </w:rPr>
              <w:t>Executive Compensation</w:t>
            </w:r>
          </w:p>
        </w:tc>
        <w:tc>
          <w:tcPr>
            <w:tcW w:w="1580" w:type="dxa"/>
            <w:vAlign w:val="bottom"/>
            <w:gridSpan w:val="3"/>
          </w:tcPr>
          <w:p>
            <w:pPr>
              <w:spacing w:after="0"/>
              <w:rPr>
                <w:sz w:val="15"/>
                <w:szCs w:val="15"/>
                <w:color w:val="auto"/>
              </w:rPr>
            </w:pPr>
          </w:p>
        </w:tc>
        <w:tc>
          <w:tcPr>
            <w:tcW w:w="1920" w:type="dxa"/>
            <w:vAlign w:val="bottom"/>
            <w:gridSpan w:val="3"/>
          </w:tcPr>
          <w:p>
            <w:pPr>
              <w:spacing w:after="0"/>
              <w:rPr>
                <w:sz w:val="15"/>
                <w:szCs w:val="15"/>
                <w:color w:val="auto"/>
              </w:rPr>
            </w:pP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202" w:lineRule="exact"/>
              <w:rPr>
                <w:sz w:val="20"/>
                <w:szCs w:val="20"/>
                <w:color w:val="auto"/>
              </w:rPr>
            </w:pPr>
            <w:r>
              <w:rPr>
                <w:rFonts w:ascii="Arial" w:cs="Arial" w:eastAsia="Arial" w:hAnsi="Arial"/>
                <w:sz w:val="18"/>
                <w:szCs w:val="18"/>
                <w:color w:val="auto"/>
              </w:rPr>
              <w:t>Item 12.</w:t>
            </w: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9220" w:type="dxa"/>
            <w:vAlign w:val="bottom"/>
            <w:gridSpan w:val="25"/>
          </w:tcPr>
          <w:p>
            <w:pPr>
              <w:ind w:left="20"/>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8020" w:type="dxa"/>
            <w:vAlign w:val="bottom"/>
            <w:tcBorders>
              <w:top w:val="single" w:sz="8" w:color="0000FF"/>
            </w:tcBorders>
            <w:gridSpan w:val="23"/>
          </w:tcPr>
          <w:p>
            <w:pPr>
              <w:ind w:left="20"/>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6100" w:type="dxa"/>
            <w:vAlign w:val="bottom"/>
            <w:tcBorders>
              <w:top w:val="single" w:sz="8" w:color="0000FF"/>
            </w:tcBorders>
            <w:gridSpan w:val="20"/>
          </w:tcPr>
          <w:p>
            <w:pPr>
              <w:ind w:left="20"/>
              <w:spacing w:after="0" w:line="182" w:lineRule="exact"/>
              <w:rPr>
                <w:sz w:val="20"/>
                <w:szCs w:val="20"/>
                <w:color w:val="auto"/>
              </w:rPr>
            </w:pPr>
            <w:r>
              <w:rPr>
                <w:rFonts w:ascii="Arial" w:cs="Arial" w:eastAsia="Arial" w:hAnsi="Arial"/>
                <w:sz w:val="18"/>
                <w:szCs w:val="18"/>
                <w:color w:val="0000FF"/>
              </w:rPr>
              <w:t>Principal Accounting Fees and Services</w:t>
            </w:r>
          </w:p>
        </w:tc>
        <w:tc>
          <w:tcPr>
            <w:tcW w:w="31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0"/>
                <w:szCs w:val="20"/>
                <w:color w:val="auto"/>
              </w:rPr>
            </w:pPr>
            <w:r>
              <w:rPr>
                <w:rFonts w:ascii="Arial" w:cs="Arial" w:eastAsia="Arial" w:hAnsi="Arial"/>
                <w:sz w:val="18"/>
                <w:szCs w:val="18"/>
                <w:color w:val="auto"/>
              </w:rPr>
              <w:t>PART IV</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line="195" w:lineRule="exact"/>
              <w:rPr>
                <w:sz w:val="20"/>
                <w:szCs w:val="20"/>
                <w:color w:val="auto"/>
              </w:rPr>
            </w:pPr>
            <w:r>
              <w:rPr>
                <w:rFonts w:ascii="Arial" w:cs="Arial" w:eastAsia="Arial" w:hAnsi="Arial"/>
                <w:sz w:val="18"/>
                <w:szCs w:val="18"/>
                <w:color w:val="auto"/>
              </w:rPr>
              <w:t>Item 15.</w:t>
            </w:r>
          </w:p>
        </w:tc>
        <w:tc>
          <w:tcPr>
            <w:tcW w:w="9220" w:type="dxa"/>
            <w:vAlign w:val="bottom"/>
            <w:gridSpan w:val="25"/>
          </w:tcPr>
          <w:p>
            <w:pPr>
              <w:ind w:left="20"/>
              <w:spacing w:after="0" w:line="195" w:lineRule="exact"/>
              <w:rPr>
                <w:sz w:val="20"/>
                <w:szCs w:val="20"/>
                <w:color w:val="auto"/>
              </w:rPr>
            </w:pPr>
            <w:r>
              <w:rPr>
                <w:rFonts w:ascii="Arial" w:cs="Arial" w:eastAsia="Arial" w:hAnsi="Arial"/>
                <w:sz w:val="18"/>
                <w:szCs w:val="18"/>
                <w:color w:val="0000FF"/>
              </w:rPr>
              <w:t>Exhibit and Financial Statement Schedules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1680" w:type="dxa"/>
            <w:vAlign w:val="bottom"/>
            <w:tcBorders>
              <w:top w:val="single" w:sz="8" w:color="0000FF"/>
              <w:bottom w:val="single" w:sz="8" w:color="0000FF"/>
            </w:tcBorders>
            <w:gridSpan w:val="9"/>
          </w:tcPr>
          <w:p>
            <w:pPr>
              <w:ind w:left="20"/>
              <w:spacing w:after="0" w:line="182" w:lineRule="exact"/>
              <w:rPr>
                <w:sz w:val="20"/>
                <w:szCs w:val="20"/>
                <w:color w:val="auto"/>
              </w:rPr>
            </w:pPr>
            <w:r>
              <w:rPr>
                <w:rFonts w:ascii="Arial" w:cs="Arial" w:eastAsia="Arial" w:hAnsi="Arial"/>
                <w:sz w:val="18"/>
                <w:szCs w:val="18"/>
                <w:color w:val="0000FF"/>
                <w:w w:val="98"/>
              </w:rPr>
              <w:t>Form 10-K Summary</w:t>
            </w:r>
          </w:p>
        </w:tc>
        <w:tc>
          <w:tcPr>
            <w:tcW w:w="1760" w:type="dxa"/>
            <w:vAlign w:val="bottom"/>
            <w:tcBorders>
              <w:top w:val="single" w:sz="8" w:color="0000FF"/>
            </w:tcBorders>
            <w:gridSpan w:val="5"/>
          </w:tcPr>
          <w:p>
            <w:pPr>
              <w:spacing w:after="0"/>
              <w:rPr>
                <w:sz w:val="15"/>
                <w:szCs w:val="15"/>
                <w:color w:val="auto"/>
              </w:rPr>
            </w:pPr>
          </w:p>
        </w:tc>
        <w:tc>
          <w:tcPr>
            <w:tcW w:w="5780" w:type="dxa"/>
            <w:vAlign w:val="bottom"/>
            <w:gridSpan w:val="11"/>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220" w:type="dxa"/>
            <w:vAlign w:val="bottom"/>
            <w:gridSpan w:val="25"/>
          </w:tcPr>
          <w:p>
            <w:pPr>
              <w:ind w:left="20"/>
              <w:spacing w:after="0" w:line="196" w:lineRule="exact"/>
              <w:rPr>
                <w:sz w:val="20"/>
                <w:szCs w:val="20"/>
                <w:color w:val="auto"/>
              </w:rPr>
            </w:pPr>
            <w:r>
              <w:rPr>
                <w:rFonts w:ascii="Arial" w:cs="Arial" w:eastAsia="Arial" w:hAnsi="Arial"/>
                <w:sz w:val="18"/>
                <w:szCs w:val="18"/>
                <w:color w:val="0000FF"/>
              </w:rPr>
              <w:t>Signatures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88"/>
        </w:trPr>
        <w:tc>
          <w:tcPr>
            <w:tcW w:w="124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04"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p>
    <w:p>
      <w:pPr>
        <w:spacing w:after="0" w:line="61" w:lineRule="exact"/>
        <w:rPr>
          <w:sz w:val="20"/>
          <w:szCs w:val="20"/>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historical growth rate may not be sustainable or indicative of future growth, and a failure to attract and retain billers and financial institutions could materially harm our business.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partnerships for a portion of our revenue; if we fail to establish, grow or maintain them, our ability to compete and our operating results will be impaired.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cannot manage our infrastructure to support future growth and effectively manage our expanding operations, our business and reputation could be harmed.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profitability is uncertain due to expected increases in costs that may not be offset by revenue growth or expected benefits from investments.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sales efforts to large enterprises are complex, costly and unpredictable, which could cause our results to fluctuate.</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risks and inflationary pressures could negatively affect our financial performance, and we may not be able to adjust our pricing accordingly.</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in which we operate is competitive, and if we cannot compete effectively, our business, operating results and financial condition could be harmed.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our operating results and shifts in payment mix make forecasting difficult; inability to accurately meet our forecasts could cause our stock price to decline.</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third-party payment processors, sponsor banks and printers; service interruptions from these providers could harm our business.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use of artificial intelligence and machine learning presents specific risks that could harm our business and reputation.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operate in an innovative industry and slow or unexpected development by us could negatively impact our revenue.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risk management efforts may be ineffective against fraudulent activities, exposing us to material financial losses, liability and reputational harm.</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our founder and chief executive officer or other key management, or cannot attract and retain qualified executives and employees, our business may be harmed.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provide high-quality customer support could damage our reputation and business, or negatively impact our profitability.</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comply with extensive and evolving financial services, anti-corruption and other laws or applicable requirements could materially harm our business.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Adverse developments in the financial services industry, including events involving liquidity, defaults or non-performance by parties we deal with, could adversely affect our business.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Widespread health issues or pandemics, natural disasters or man-made problems could materially harm our business operations.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Future litigation, investigations or similar matters could adversely affect our business and result in substantial costs.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Although remediated, we have previously identified and resolved material weaknesses in internal control over financial reporting; any future failure to maintain effective internal controls could harm our business and stock price.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Software defects, undetected errors or performance problems in our technology, including open source software, could damage client relations, harm our reputation and expose us to liability.</w:t>
      </w:r>
    </w:p>
    <w:p>
      <w:pPr>
        <w:spacing w:after="0" w:line="46" w:lineRule="exact"/>
        <w:rPr>
          <w:rFonts w:ascii="Times New Roman" w:cs="Times New Roman" w:eastAsia="Times New Roman" w:hAnsi="Times New Roman"/>
          <w:sz w:val="18"/>
          <w:szCs w:val="18"/>
          <w:color w:val="auto"/>
        </w:rPr>
      </w:pPr>
    </w:p>
    <w:p>
      <w:pPr>
        <w:ind w:left="1020" w:hanging="503"/>
        <w:spacing w:after="0" w:line="244"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obtain, maintain, protect or enforce our intellectual property rights could impair our competitive position and harm our business.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Any material cybersecurity incident, real or perceived improper or unauthorized use, disclosure or access to the sensitive and personal data we process could harm our reputation and materially affect our business and financial condition.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dual class structure of our common stock and our stockholders agreement have the effect of concentrating significant voting control with Accel-KKR (AKKR), and our founder and chief executive officer, which limits or precludes your ability to influence corporate matters for the foreseeable future and may depress the market price of our Class A common stock.</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of our Class A common stock may be volatile, or decline steeply, and we may not be able to meet investor or analyst expectations, likely resulting in a material decline of our Class A common stock price.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AKKR controls us, and its interests may conflict with ours or yours in the future.</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spacing w:after="0" w:line="69" w:lineRule="exact"/>
        <w:rPr>
          <w:sz w:val="20"/>
          <w:szCs w:val="20"/>
          <w:color w:val="auto"/>
        </w:rPr>
      </w:pPr>
    </w:p>
    <w:p>
      <w:pPr>
        <w:ind w:firstLine="494"/>
        <w:spacing w:after="0" w:line="245"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This report contains forward-looking statements within the meaning of the federal securities laws, such as those under the heading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 and expand our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timely implement and recognize revenue from new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revenue, expenses and other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material cybersecurity incident on our reputation as a trusted brand or on our business, operating results and financial condition;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 opportunity and anticipated trends in our business and industry;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remain competitive as we continue to scale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product features and enhance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including inflation, and their impact on us, consumer demand, average bill amounts and interchange fees;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enhance our brand;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plan to expand into new channels and industry verticals across different markets;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widespread health issues on our operating results, liquidity and financial condition and on our employees, billers, financial institutions, partners, consumers and other key stakeholders;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integrate and leverage artificial intelligence and machine learning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international expansion plans and ability to expand internationally;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risk factors discussed under the heading "Risk Factors" in Item 1A herein.</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04"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72"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8"/>
          <w:szCs w:val="18"/>
          <w:color w:val="auto"/>
        </w:rPr>
        <w:t>events or circumstances after the date of this report or to reflect new information or the occurrence of unanticipated events, except as required by law. You should not place undue reliance on our forward-looking statements.</w:t>
      </w:r>
    </w:p>
    <w:p>
      <w:pPr>
        <w:spacing w:after="0" w:line="4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a broad and diverse base of business and financial institution clients. Our platform was used by approximately 53 million consumers and businesses globally in December 2025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education, consumer finance, healthcare, business to business (B2B) and small business.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with organic network effects that enables us to continuously drive innovation, grow our business and uniquely improve the electronic bill payment experience for participants in the bill payment ecosystem.</w:t>
      </w:r>
    </w:p>
    <w:p>
      <w:pPr>
        <w:spacing w:after="0" w:line="7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Software-as-a-Service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7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extend our platform’s reach through our Instant Payment Network® (IPN). This is a proprietary network, consisting of tens of thousands of billers, that connects our integrated and intelligent billing, payment and reconciliation capabilities with our IPN partners’ platforms. Our IPN enables our partners, which include leading consumer technology providers, retailers and financial institutions, to access our next-generation electronic bill payment technology using the same integrated platform we provide directly to our billers. By being connected to our IPN, our IPN partners provide their consumers and businesses with the full capabilities of our next-generation product suite, including the ability to engage with and make payments to our large and growing base of billers. Those partners in turn expand our platform’s reach to millions of additional consumers in the United States and globally.</w:t>
      </w:r>
    </w:p>
    <w:p>
      <w:pPr>
        <w:spacing w:after="0" w:line="77"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Today, many billers and financial institutions rely on legacy bill payment systems that offer limited functionality, flexibility and extensibility. Billers traditionally rely on non-integrated multi-vendor solutions, which force consumers into a decentralized and fragmented experience. Similarly, financial institutions often lack the ability to view billing details or obtain payment confirmation and limit payment types to their own checking accounts. These legacy solutions result in inefficiencies in consumer communication, electronic bill presentment and payment capture, which we believe hinder a biller’s ability to create a holistic and accurate perspective on its cash flow. For financial institutions, the inadequacies of legacy solutions can have a negative impact on digital engagement, retention and cross-selling.</w:t>
      </w:r>
    </w:p>
    <w:p>
      <w:pPr>
        <w:spacing w:after="0" w:line="7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address these inefficiencies through our cloud-native, integrated single-vendor solution. Our platform supports omni-channel and multi-dimensional, electronic billing and payments across multiple commerce channels, including online, mobile, interactive voice response (IVR), call center, chatbot, retail and voice-based assistants. As we generally do not charge fees to billers in our core business for standard development or implementation, there is typically no minimum investment necessary for billers to achieve efficiencies from the use of our platform to replace some or all of their legacy bill payment systems or biller-direct solutions. We simplify how bills are paid and help billers collect revenue faster and more profitably because our platform is:</w:t>
      </w:r>
    </w:p>
    <w:p>
      <w:pPr>
        <w:spacing w:after="0" w:line="71" w:lineRule="exact"/>
        <w:rPr>
          <w:sz w:val="20"/>
          <w:szCs w:val="20"/>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Scalable: Enterprise-grade platform capable of supporting transaction growth for billers and financial institutions of all sizes across numerous industry verticals.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Innovative and Learning Platform: Artificial intelligence (AI) and machine learning (ML) algorithms power an omni-channel, end-to-end solution that adapts to new technologies and continuously learns from transaction activity.</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Flexible: Platform accessible through an array of application program interfaces (APIs), software development kits, iFrames and fully hosted solutions that provide complete control over the user experience and real-time customer engagement experiences.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Customizable: Leveraging an advanced No Code Low Code framework, we are able to efficiently deploy business-specific</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workflows, user experiences and tailored analytics.</w:t>
      </w: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ind w:left="10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Configurable: Reconfigurable business logic that allows us to quickly implement new functionality required by new and existing billers as we drive additional innovative solutions to our platform and beyond.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Integrated: Our significant and broad library of integrations to core accounting and billing software systems, including customer information systems (CIS), which are software systems used to efficiently manage customer processes and data and often include bill pay, customer service and forecasting and analytics tools, and enterprise resource planning (ERP) systems, which are software systems used to collect, store, manage and interpret data from many business activities, typically including accounting systems, as well as core financial institution processing platforms and certain digital banking providers, helps connect disparate systems across the electronic bill payment value chain.</w:t>
      </w:r>
    </w:p>
    <w:p>
      <w:pPr>
        <w:spacing w:after="0" w:line="6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Extensible: Adaptable to new technologies and emerging payment channels, such as pay-by-text, AI-based virtual assistants and social media payments.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Secure: Multi-layer intrusion detection and prevention system, multi-factor authentication and encryption and tokenization designed for trust and security of transaction activity and information.</w:t>
      </w:r>
    </w:p>
    <w:p>
      <w:pPr>
        <w:spacing w:after="0" w:line="46"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seek to enhance our biller network to gain market share. We believe our ability to seamlessly serve billers, financial institutions, partners and consumers uniquely positions us at the center of a multi-sided network and enables us to drive a powerful, and accelerating, flywheel effect. Our robust platform attracts billers, financial institutions and partners seeking to build stronger relationships with their consumers. Adding more billers, financial institutions and partners extends our platform’s reach to more consumers. These consumers drive more transactions to our platform, which strengthens biller, financial institution and partner retention and in turn accelerates our organic growth. As we scale, we seek to drive increases in our operating leverage, which in turn is expected to enable higher profitability and more efficient biller, financial institution and partner acquisition.</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rely on a diversified go-to-market strategy including direct sales, software and strategic partnerships, resellers and referral partners across a number of industry verticals, and our IPN. While the direct sales channel is an important part of our business, we also rely on our software and strategic partners and resellers to deliver our solutions to our billers and financial institutions. Our software partners, such as Oracle, integrate our platform into their software products enabling us to power their bill payment capabilities. Our strategic partners, such as JPMorgan Chase, U.S. Bank, and a major payroll solutions provider, refer new billers to our platform, and in many cases, we jointly sell to prospective customers with our strategic partners. Some of our strategic partners, particularly banks, also integrate our solutions into their platforms to provide an integrated bill presentment and omni-channel bill payment solution to their customers, and as such they are also IPN partners.</w:t>
      </w:r>
    </w:p>
    <w:p>
      <w:pPr>
        <w:spacing w:after="0" w:line="7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Our IPN promotes more rapid adoption of our platform through an extensive partnership ecosystem with leading business networks, including:</w:t>
      </w:r>
    </w:p>
    <w:p>
      <w:pPr>
        <w:spacing w:after="0" w:line="46" w:lineRule="exact"/>
        <w:rPr>
          <w:sz w:val="20"/>
          <w:szCs w:val="20"/>
          <w:color w:val="auto"/>
        </w:rPr>
      </w:pPr>
    </w:p>
    <w:p>
      <w:pPr>
        <w:jc w:val="both"/>
        <w:ind w:left="102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Banking Partners: We modernize the bill payment infrastructure of banks and credit unions of all sizes, empowering their digital banking consumers with fast, secure and omni-channel payment technology by seamlessly integrating our solution into their digital platforms.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eCommerce Partners: We power electronic bill payments through the mobile app and AI-assistant voice service of a leading global ecommerce retailer, enabling millions of its users to retrieve information about, and pay, their bills for all billers on our network.</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PayPal: We enable PayPal’s U.S. consumers to pay their bills directly from PayPal apps.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Other Partners: Other partners benefit from our IPN in a variety of ways, such as enabling bill payment for consumers across the U.S. For example, we enable Walmart's consumers to pay their bills in-store at retail locations, and enable in-person cash payments at more than 90,000 retail locations in the Green Dot network.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believe the bill payment industry continues to undergo technological transformation as consumers, billers and financial institutions demand a straightforward and streamlined approach to electronic bill presentment and payment and consumer engagement. The following key trends are currently defining the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Electronic Bill Payment Requires an Integrated, Single-vendor Solution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As electronic bill payments continue to evolve with consumer preferences, billers and financial institutions demand an integrated single-vendor solution suite to remain competitive. A typical electronic bill payment experience requires the coordination of multiple vendors for bill notification, presentment, various payment channels, call center support and data and analytics. These vendors lack integration, which results in a fragmented consumer experience and increased cost to</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8"/>
          <w:szCs w:val="18"/>
          <w:color w:val="auto"/>
        </w:rPr>
        <w:t>the biller. Billers and financial institutions that are able to access a single, integrated end-to-end solution are able to provide a seamless experience for their consumers.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Billers and Consumers Are Underserved by Financial Institutions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Traditional financial institutions have been slow to adopt modern digital bill payment technologies, and the legacy providers on which the financial institutions rely have failed to innovate. Over the last decade, the volume of U.S. online consumer bill payments made through a bank’s bill payment solution has decreased significantly. We believe this reduction is driven by consistent under-investment by financial institutions and legacy providers in their bill payment platforms, resulting in a poor consumer experience. Generally, consumers must manually add billers to a financial institution’s system and are generally limited to automated clearing house (ACH) or other legacy payment channels rather than omni-channel payment capabilities. Ultimately, the lack of optionality and transparency inherent in a financial institution’s bill payment solutions creates an opportunity that we seek to address.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Payment Options Through Online and Mobile Channels Are Transforming the Market</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Consumers are transacting anywhere and everywhere and through different channels. With the widespread use of mobile phones and home computers, consumer devices are becoming the aggregation point for billing information. As consumers move beyond paper checks and adopt emerging payment technologies, we believe the continued digitization of the bill payment industry will manifest through increased adoption of technologies such as pay by text, digital wallets and AI-based assistants. The emergence of these new technologies unlocks previously untapped opportunities to grow our network.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Is Being Underutilized</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Consumer bill payment transactions are rich repositories of data that can be used to significantly improve the electronic bill payment experience. We believe the bill payment industry has under-invested in the technology required to capture and analyze this data. As the industry continues to evolve around changing consumer preferences and the emergence of new payment technologies, data and analytics play an increasingly important role in improving the full transaction value chain. Our proprietary transactional and behavioral data sets include hundreds of millions of interactions, create workflow efficiencies and provide insights (such as payment methods depending on bill size and bill type) that strengthen the connection between billers and consumers.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and Solutions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biller platform is purpose-built to transform the way billers get paid and engage with their consumers. Our AI-driven SaaS platform provides a single-vendor solution that enhances the bill payment ecosystem with new functionality and added transparency. Our single code base architecture maximizes the inherent flexibility, extensibility and configurability of our solutions, which allows us to rapidly deploy our solutions to our billers.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platform for financial institutions reconnects the financial institutions to their customers by providing a frictionless, real-time financial hub where consumers can consolidate their financial obligations, pay bills, move money in real time and deepen their understanding of their own financial position. Customers get a centralized viewpoint over all their money movement needs and the financial institutions get insights into their customers’ behavior that can inform a meaningful evolution of the customer experience.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Single Point of Access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i w:val="1"/>
          <w:iCs w:val="1"/>
          <w:color w:val="auto"/>
        </w:rPr>
        <w:t xml:space="preserve">APIs: </w:t>
      </w:r>
      <w:r>
        <w:rPr>
          <w:rFonts w:ascii="Arial" w:cs="Arial" w:eastAsia="Arial" w:hAnsi="Arial"/>
          <w:sz w:val="18"/>
          <w:szCs w:val="18"/>
          <w:color w:val="auto"/>
        </w:rPr>
        <w:t>Our easy-to-use APIs enable billers, financial institutions and partners to seamlessly access the entirety of our network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single connection.</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iFrames: </w:t>
      </w:r>
      <w:r>
        <w:rPr>
          <w:rFonts w:ascii="Arial" w:cs="Arial" w:eastAsia="Arial" w:hAnsi="Arial"/>
          <w:sz w:val="18"/>
          <w:szCs w:val="18"/>
          <w:color w:val="auto"/>
        </w:rPr>
        <w:t>Enables our billers, financial institutions and partners to exercise more control over the user experience by customizing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logic to meet their specific requirements. Many of our billers who use iFrames have in-house IT resources but use our infrastructure for payment processing and Payment Card Industry Data Security Standard (PCI-DSS) compliance.</w:t>
      </w:r>
    </w:p>
    <w:p>
      <w:pPr>
        <w:spacing w:after="0" w:line="6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i w:val="1"/>
          <w:iCs w:val="1"/>
          <w:color w:val="auto"/>
        </w:rPr>
        <w:t xml:space="preserve">Fully Hosted: </w:t>
      </w:r>
      <w:r>
        <w:rPr>
          <w:rFonts w:ascii="Arial" w:cs="Arial" w:eastAsia="Arial" w:hAnsi="Arial"/>
          <w:sz w:val="18"/>
          <w:szCs w:val="18"/>
          <w:color w:val="auto"/>
        </w:rPr>
        <w:t>We also provide a fully hosted alternative for our billers. In this option, our hosted platform provides our billers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power of our platform without incurring the cost of using their own IT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Solutions</w:t>
      </w:r>
    </w:p>
    <w:p>
      <w:pPr>
        <w:spacing w:after="0" w:line="102"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i w:val="1"/>
          <w:iCs w:val="1"/>
          <w:color w:val="auto"/>
        </w:rPr>
        <w:t xml:space="preserve">Engagement: </w:t>
      </w:r>
      <w:r>
        <w:rPr>
          <w:rFonts w:ascii="Arial" w:cs="Arial" w:eastAsia="Arial" w:hAnsi="Arial"/>
          <w:sz w:val="18"/>
          <w:szCs w:val="18"/>
          <w:color w:val="auto"/>
        </w:rPr>
        <w:t>We believe billers must regularly engage with their consumers using actionable and contextualized data. Our smart</w:t>
      </w:r>
      <w:r>
        <w:rPr>
          <w:rFonts w:ascii="Arial" w:cs="Arial" w:eastAsia="Arial" w:hAnsi="Arial"/>
          <w:sz w:val="18"/>
          <w:szCs w:val="18"/>
          <w:i w:val="1"/>
          <w:iCs w:val="1"/>
          <w:color w:val="auto"/>
        </w:rPr>
        <w:t xml:space="preserve"> </w:t>
      </w:r>
      <w:r>
        <w:rPr>
          <w:rFonts w:ascii="Arial" w:cs="Arial" w:eastAsia="Arial" w:hAnsi="Arial"/>
          <w:sz w:val="18"/>
          <w:szCs w:val="18"/>
          <w:color w:val="auto"/>
        </w:rPr>
        <w:t>notifications and messaging tools enable billers to provide billing details to their consumers, such as account</w:t>
      </w: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8"/>
          <w:szCs w:val="18"/>
          <w:color w:val="auto"/>
        </w:rPr>
        <w:t>status, and directly communicate with them over secure channels. Our engagement products help billers and financial institutions facilitate timely and secure bill payments, while driving digital adoption and reducing cost to serve.</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i w:val="1"/>
          <w:iCs w:val="1"/>
          <w:color w:val="auto"/>
        </w:rPr>
        <w:t xml:space="preserve">Presentment: </w:t>
      </w:r>
      <w:r>
        <w:rPr>
          <w:rFonts w:ascii="Arial" w:cs="Arial" w:eastAsia="Arial" w:hAnsi="Arial"/>
          <w:sz w:val="18"/>
          <w:szCs w:val="18"/>
          <w:color w:val="auto"/>
        </w:rPr>
        <w:t>Consumers are increasingly demanding omni-channel access to their bills through their preferred engagement channels.</w:t>
      </w:r>
      <w:r>
        <w:rPr>
          <w:rFonts w:ascii="Arial" w:cs="Arial" w:eastAsia="Arial" w:hAnsi="Arial"/>
          <w:sz w:val="18"/>
          <w:szCs w:val="18"/>
          <w:i w:val="1"/>
          <w:iCs w:val="1"/>
          <w:color w:val="auto"/>
        </w:rPr>
        <w:t xml:space="preserve"> </w:t>
      </w:r>
      <w:r>
        <w:rPr>
          <w:rFonts w:ascii="Arial" w:cs="Arial" w:eastAsia="Arial" w:hAnsi="Arial"/>
          <w:sz w:val="18"/>
          <w:szCs w:val="18"/>
          <w:color w:val="auto"/>
        </w:rPr>
        <w:t>Our solution offers electronic bill presentment across numerous channels including web, mobile, text, secure PDF, email, IVR, chatbot, social media and through our IPN partners. Our electronic bill presentment products help billers maximize their reach to accelerate revenue realization and engage consumers more efficiently.</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i w:val="1"/>
          <w:iCs w:val="1"/>
          <w:color w:val="auto"/>
        </w:rPr>
        <w:t xml:space="preserve">Empowerment: </w:t>
      </w:r>
      <w:r>
        <w:rPr>
          <w:rFonts w:ascii="Arial" w:cs="Arial" w:eastAsia="Arial" w:hAnsi="Arial"/>
          <w:sz w:val="18"/>
          <w:szCs w:val="18"/>
          <w:color w:val="auto"/>
        </w:rPr>
        <w:t>Our comprehensive suite of solutions empowers consumers and billers to customize, control and enhance the bill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experience. Consumers can control communication preferences, multi-lingual capabilities, self-directed payment scheduling, multi-account management and dispute management. Billers are able to use automated case management and configurable reporting to quickly and comprehensively provide high-quality customer service.</w:t>
      </w:r>
    </w:p>
    <w:p>
      <w:pPr>
        <w:spacing w:after="0" w:line="66"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i w:val="1"/>
          <w:iCs w:val="1"/>
          <w:color w:val="auto"/>
        </w:rPr>
        <w:t xml:space="preserve">Payment: </w:t>
      </w:r>
      <w:r>
        <w:rPr>
          <w:rFonts w:ascii="Arial" w:cs="Arial" w:eastAsia="Arial" w:hAnsi="Arial"/>
          <w:sz w:val="18"/>
          <w:szCs w:val="18"/>
          <w:color w:val="auto"/>
        </w:rPr>
        <w:t>We believe consumers demand an omni-channel payment experience that enables use of their preferred payment type and</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Our secure and comprehensive omni-channel payment platform supports traditional and emerging payment technologies across multiple currencies and languages. Our platform supports electronic bill payments using credit, debit, ACH and digital wallets across a variety of payment channels, including web, mobile, IVR, text, secure PDF, chatbot, agent-assisted (call center), in-person, the AI-assistant voice service of a leading global ecommerce retailer, in Walmart and locations in the Green Dot network, and through alternative payment rails such as PayPal. We support one-time payments, as well as future-dated, recurring and payment plan transactions.</w:t>
      </w:r>
    </w:p>
    <w:p>
      <w:pPr>
        <w:spacing w:after="0" w:line="7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i w:val="1"/>
          <w:iCs w:val="1"/>
          <w:color w:val="auto"/>
        </w:rPr>
        <w:t xml:space="preserve">Intelligence: </w:t>
      </w:r>
      <w:r>
        <w:rPr>
          <w:rFonts w:ascii="Arial" w:cs="Arial" w:eastAsia="Arial" w:hAnsi="Arial"/>
          <w:sz w:val="18"/>
          <w:szCs w:val="18"/>
          <w:color w:val="auto"/>
        </w:rPr>
        <w:t>Electronic bill payment transactions contain a rich volume of consumer and behavioral data that can improve the bill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experience for billers and consumers. Our AI-powered analytics engine produces data-driven insights on consumer preferences, channel usage, bill lifecycles, messaging effectiveness and paper suppression and can be used by billers to improve the consumer experience. For example, our analytics engine can analyze frequently asked questions to call centers and enable billers to quickly predict answers to those questions in the future, creating a better consumer experience with reduced cost to serve for the biller.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Architecture</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i w:val="1"/>
          <w:iCs w:val="1"/>
          <w:color w:val="auto"/>
        </w:rPr>
        <w:t xml:space="preserve">Single Code Base: </w:t>
      </w:r>
      <w:r>
        <w:rPr>
          <w:rFonts w:ascii="Arial" w:cs="Arial" w:eastAsia="Arial" w:hAnsi="Arial"/>
          <w:sz w:val="18"/>
          <w:szCs w:val="18"/>
          <w:color w:val="auto"/>
        </w:rPr>
        <w:t>Our extensible, cloud-based payments platform was built from the ground-up on a single code base with no</w:t>
      </w:r>
      <w:r>
        <w:rPr>
          <w:rFonts w:ascii="Arial" w:cs="Arial" w:eastAsia="Arial" w:hAnsi="Arial"/>
          <w:sz w:val="18"/>
          <w:szCs w:val="18"/>
          <w:i w:val="1"/>
          <w:iCs w:val="1"/>
          <w:color w:val="auto"/>
        </w:rPr>
        <w:t xml:space="preserve"> </w:t>
      </w:r>
      <w:r>
        <w:rPr>
          <w:rFonts w:ascii="Arial" w:cs="Arial" w:eastAsia="Arial" w:hAnsi="Arial"/>
          <w:sz w:val="18"/>
          <w:szCs w:val="18"/>
          <w:color w:val="auto"/>
        </w:rPr>
        <w:t>versioning, which enables rapid deployment of new features and tools in part because there is no need to manage and reconcile separate versions of our software code. This flexibility empowers billers, financial institutions and partners across our network to offer their consumers the strength of our platform without paying us development or implementation fees.</w:t>
      </w:r>
    </w:p>
    <w:p>
      <w:pPr>
        <w:spacing w:after="0" w:line="6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AI / ML: </w:t>
      </w:r>
      <w:r>
        <w:rPr>
          <w:rFonts w:ascii="Arial" w:cs="Arial" w:eastAsia="Arial" w:hAnsi="Arial"/>
          <w:sz w:val="18"/>
          <w:szCs w:val="18"/>
          <w:color w:val="auto"/>
        </w:rPr>
        <w:t>Our biller platform incorporates artificial intelligence and machine learning technologies to improve operational efficiency,</w:t>
      </w:r>
      <w:r>
        <w:rPr>
          <w:rFonts w:ascii="Arial" w:cs="Arial" w:eastAsia="Arial" w:hAnsi="Arial"/>
          <w:sz w:val="18"/>
          <w:szCs w:val="18"/>
          <w:i w:val="1"/>
          <w:iCs w:val="1"/>
          <w:color w:val="auto"/>
        </w:rPr>
        <w:t xml:space="preserve"> </w:t>
      </w:r>
      <w:r>
        <w:rPr>
          <w:rFonts w:ascii="Arial" w:cs="Arial" w:eastAsia="Arial" w:hAnsi="Arial"/>
          <w:sz w:val="18"/>
          <w:szCs w:val="18"/>
          <w:color w:val="auto"/>
        </w:rPr>
        <w:t>system performance, fraud management, issue resolution and data-driven analysis, and to support more intelligent user experiences across billing, payment and service interactions.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Features</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electronic bill payment process involves more than just a payment. It requires an end-to-end engagement mechanism that facilitates communication and payment between billers, partners and consumers to ensure timely and transparent payment through a frictionless consumer experience. Various features of our platform support this:</w:t>
      </w:r>
    </w:p>
    <w:p>
      <w:pPr>
        <w:spacing w:after="0" w:line="6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i w:val="1"/>
          <w:iCs w:val="1"/>
          <w:color w:val="auto"/>
        </w:rPr>
        <w:t xml:space="preserve">Consumer Engagement: </w:t>
      </w:r>
      <w:r>
        <w:rPr>
          <w:rFonts w:ascii="Arial" w:cs="Arial" w:eastAsia="Arial" w:hAnsi="Arial"/>
          <w:sz w:val="18"/>
          <w:szCs w:val="18"/>
          <w:color w:val="auto"/>
        </w:rPr>
        <w:t>We enable our billers to improve their consumer engagement with targeted communications, such as smart</w:t>
      </w:r>
      <w:r>
        <w:rPr>
          <w:rFonts w:ascii="Arial" w:cs="Arial" w:eastAsia="Arial" w:hAnsi="Arial"/>
          <w:sz w:val="18"/>
          <w:szCs w:val="18"/>
          <w:i w:val="1"/>
          <w:iCs w:val="1"/>
          <w:color w:val="auto"/>
        </w:rPr>
        <w:t xml:space="preserve"> </w:t>
      </w:r>
      <w:r>
        <w:rPr>
          <w:rFonts w:ascii="Arial" w:cs="Arial" w:eastAsia="Arial" w:hAnsi="Arial"/>
          <w:sz w:val="18"/>
          <w:szCs w:val="18"/>
          <w:color w:val="auto"/>
        </w:rPr>
        <w:t>notifications, broadcast messaging, inbound and outbound communications and campaign management, all of which are managed by our communications management tools. Our engagement modules allow billers to communicate with consumers based on desired characteristics such as regional location, due date, account status (such as late payment) or custom logic. Our billers can also communicate new offerings, incentives for payment and new and advanced payment types and methods. In 2025, our billers sent hundreds of millions of emails and text messages and had millions of IVR calls using our communications modules.</w:t>
      </w:r>
    </w:p>
    <w:p>
      <w:pPr>
        <w:spacing w:after="0" w:line="7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Bill Presentment: </w:t>
      </w:r>
      <w:r>
        <w:rPr>
          <w:rFonts w:ascii="Arial" w:cs="Arial" w:eastAsia="Arial" w:hAnsi="Arial"/>
          <w:sz w:val="18"/>
          <w:szCs w:val="18"/>
          <w:color w:val="auto"/>
        </w:rPr>
        <w:t>Billers can present electronic bills and balance amounts through the biller’s own mobile app, text, secure PDFs, IVR</w:t>
      </w:r>
      <w:r>
        <w:rPr>
          <w:rFonts w:ascii="Arial" w:cs="Arial" w:eastAsia="Arial" w:hAnsi="Arial"/>
          <w:sz w:val="18"/>
          <w:szCs w:val="18"/>
          <w:i w:val="1"/>
          <w:iCs w:val="1"/>
          <w:color w:val="auto"/>
        </w:rPr>
        <w:t xml:space="preserve"> </w:t>
      </w:r>
      <w:r>
        <w:rPr>
          <w:rFonts w:ascii="Arial" w:cs="Arial" w:eastAsia="Arial" w:hAnsi="Arial"/>
          <w:sz w:val="18"/>
          <w:szCs w:val="18"/>
          <w:color w:val="auto"/>
        </w:rPr>
        <w:t>and chatbots, or via alternative channels such as digital wallets, the AI-assistant voice service of a leading global ecommerce retailer, PayPal’s bill pay app, social media and our other IPN Partners.</w:t>
      </w:r>
    </w:p>
    <w:p>
      <w:pPr>
        <w:spacing w:after="0" w:line="61"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i w:val="1"/>
          <w:iCs w:val="1"/>
          <w:color w:val="auto"/>
        </w:rPr>
        <w:t xml:space="preserve">Consumer and Biller Employee Empowerment: </w:t>
      </w:r>
      <w:r>
        <w:rPr>
          <w:rFonts w:ascii="Arial" w:cs="Arial" w:eastAsia="Arial" w:hAnsi="Arial"/>
          <w:sz w:val="18"/>
          <w:szCs w:val="18"/>
          <w:color w:val="auto"/>
        </w:rPr>
        <w:t>We enable billers and financial institutions to empower both their consumers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which significantly increases consumer satisfaction and on-time bill payment rates for many of our billers. Billers and financial institutions are able to empower consumers with an array of choices:</w:t>
      </w:r>
    </w:p>
    <w:p>
      <w:pPr>
        <w:spacing w:after="0" w:line="61"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communications preferences – consumers can choose email, text, phone, portal or otherwise;</w:t>
      </w:r>
    </w:p>
    <w:p>
      <w:pPr>
        <w:spacing w:after="0" w:line="116" w:lineRule="exact"/>
        <w:rPr>
          <w:rFonts w:ascii="Times New Roman" w:cs="Times New Roman" w:eastAsia="Times New Roman" w:hAnsi="Times New Roman"/>
          <w:sz w:val="18"/>
          <w:szCs w:val="18"/>
          <w:color w:val="auto"/>
        </w:rPr>
      </w:pPr>
    </w:p>
    <w:p>
      <w:pPr>
        <w:ind w:left="5520" w:right="420" w:hanging="5003"/>
        <w:spacing w:after="0" w:line="286" w:lineRule="auto"/>
        <w:tabs>
          <w:tab w:leader="none" w:pos="1022"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language preferences – consumers can select their preferred language for receiving billing information and interact via IVR;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10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payment scheduling and type – consumers can schedule payments at specific times and use specific payment types to best suit their needs;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multi-account management – consumers can manage multiple accounts with a single provider in one place.</w:t>
      </w:r>
    </w:p>
    <w:p>
      <w:pPr>
        <w:spacing w:after="0" w:line="116"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We offer complementary features to our billers' employees, including tools for automated case management, configurable reporting and "see what they see" where the customer service employees can see exactly what the consumer sees to quickly resolve problems.</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have also made significant investments in research and development, including in an automated, streamlined onboarding experience to help our billers and financial institutions go live faster, self-service features to help billers quickly adapt to consumer needs, and ongoing enhancements to improve privacy and security.</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Payment Types: </w:t>
      </w:r>
      <w:r>
        <w:rPr>
          <w:rFonts w:ascii="Arial" w:cs="Arial" w:eastAsia="Arial" w:hAnsi="Arial"/>
          <w:sz w:val="18"/>
          <w:szCs w:val="18"/>
          <w:color w:val="auto"/>
        </w:rPr>
        <w:t>We have significantly invested in innovative payment types to provide billers a seamless, omni-channel suite of tools.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We believe no other provider in our markets offers a similar array of easy-to-implement options.</w:t>
      </w:r>
    </w:p>
    <w:p>
      <w:pPr>
        <w:spacing w:after="0" w:line="8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These features are seamlessly integrated with our engagement and empowerment tools to provide a superior consumer biller and financial institutions experience. Our platform supports a variety of payment types, including:</w:t>
      </w:r>
    </w:p>
    <w:p>
      <w:pPr>
        <w:spacing w:after="0" w:line="4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ACH and eCheck;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debit card;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credit card;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emerging payment types.</w:t>
      </w:r>
    </w:p>
    <w:p>
      <w:pPr>
        <w:spacing w:after="0" w:line="11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Emerging payment types include PayPal, Venmo, PayPal Credit, Apple Pay, Google Pay and Amazon Pay. These payment types are gaining increasing traction with consumers, and as a result, are viewed as increasingly important by billers and financial institutions.</w:t>
      </w:r>
    </w:p>
    <w:p>
      <w:pPr>
        <w:spacing w:after="0" w:line="4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i w:val="1"/>
          <w:iCs w:val="1"/>
          <w:color w:val="auto"/>
        </w:rPr>
        <w:t xml:space="preserve">Payment Channels: </w:t>
      </w:r>
      <w:r>
        <w:rPr>
          <w:rFonts w:ascii="Arial" w:cs="Arial" w:eastAsia="Arial" w:hAnsi="Arial"/>
          <w:sz w:val="18"/>
          <w:szCs w:val="18"/>
          <w:color w:val="auto"/>
        </w:rPr>
        <w:t>Our platform offers an omni-channel payment infrastructure, which means that it enables bill payments through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traditional payment channels that billers and consumers expect, as well as many emerging payment channels. These include web portal, mobile, IVR, text, secure PDF, chatbot, agent-assisted (call center), in-person, the AI-assistant voice service of a leading global ecommerce retailer, in Walmart stores and other Green Dot network locations and through alternative payment rails such as PayPal. Key features and examples of several of these channels are described and illustrated below.</w:t>
      </w:r>
    </w:p>
    <w:p>
      <w:pPr>
        <w:spacing w:after="0" w:line="68"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Chatbot: Enables billers to engage with consumers through an automated, AI-powered interface that constantly improves the customer service experience through data-driven insights.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PayPal App: Leveraging our APIs, PayPal’s U.S. consumers can pay their bills directly from PayPal.</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Secure Service: Our patented Secure Service feature enables billers to accept payments over the phone while minimizing PCI-DSS compliance risk. Many billers avoid accepting payment information over the phone by directing consumers to websites or automated phone systems, which creates poor experiences and results in abandoned payments. Our Secure Service allows the biller’s employee and the consumer to remain connected throughout the process, while removing the biller’s employee from the PCI-DSS scope by concealing payment details. As a result, the transaction is able to be completed securely and the consumer can be returned to the same employee directly on completion.</w:t>
      </w:r>
    </w:p>
    <w:p>
      <w:pPr>
        <w:spacing w:after="0" w:line="71" w:lineRule="exact"/>
        <w:rPr>
          <w:sz w:val="20"/>
          <w:szCs w:val="20"/>
          <w:color w:val="auto"/>
        </w:rPr>
      </w:pPr>
    </w:p>
    <w:p>
      <w:pPr>
        <w:jc w:val="both"/>
        <w:ind w:right="20" w:firstLine="547"/>
        <w:spacing w:after="0" w:line="271" w:lineRule="auto"/>
        <w:rPr>
          <w:sz w:val="20"/>
          <w:szCs w:val="20"/>
          <w:color w:val="auto"/>
        </w:rPr>
      </w:pPr>
      <w:r>
        <w:rPr>
          <w:rFonts w:ascii="Arial" w:cs="Arial" w:eastAsia="Arial" w:hAnsi="Arial"/>
          <w:sz w:val="18"/>
          <w:szCs w:val="18"/>
          <w:color w:val="auto"/>
        </w:rPr>
        <w:t>AI-assistant Voice Service: We power bill payments for the AI-assistant voice service of a leading global ecommerce retailer, enabling millions of its users to retrieve information about, and pay, their bills for all billers on our network using voice commands.</w:t>
      </w:r>
    </w:p>
    <w:p>
      <w:pPr>
        <w:spacing w:after="0" w:line="46"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Text-based: Pay by text leverages our text-based bill presentment technology for a text payment authorization, which then uses stored payment types in the consumer’s account.</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IVR: Interactive voice response is a powerful tool to make payments and check balances, and is available in multi-lingual options.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Agent-assisted Call Center Payments: Our agent-assisted call center capability enables a biller to support and assist their consumers with bill payments and other related issues.</w:t>
      </w:r>
    </w:p>
    <w:p>
      <w:pPr>
        <w:spacing w:after="0" w:line="46" w:lineRule="exact"/>
        <w:rPr>
          <w:sz w:val="20"/>
          <w:szCs w:val="20"/>
          <w:color w:val="auto"/>
        </w:rPr>
      </w:pPr>
    </w:p>
    <w:p>
      <w:pPr>
        <w:jc w:val="both"/>
        <w:ind w:right="20" w:firstLine="494"/>
        <w:spacing w:after="0" w:line="245" w:lineRule="auto"/>
        <w:rPr>
          <w:sz w:val="20"/>
          <w:szCs w:val="20"/>
          <w:color w:val="auto"/>
        </w:rPr>
      </w:pPr>
      <w:r>
        <w:rPr>
          <w:rFonts w:ascii="Arial" w:cs="Arial" w:eastAsia="Arial" w:hAnsi="Arial"/>
          <w:sz w:val="18"/>
          <w:szCs w:val="18"/>
          <w:color w:val="auto"/>
        </w:rPr>
        <w:t>Portal: Our bill payment portal enables billers to provide advanced usage and consumption data to their consumers, such as power use by day.</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18"/>
          <w:szCs w:val="18"/>
          <w:color w:val="auto"/>
        </w:rPr>
        <w:t>In-person Payments: We also power in-person payments, which include payments at kiosks or a counter for point-of-sale transactions.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is particularly appealing for many billers who may have a local customer service center.</w:t>
      </w:r>
    </w:p>
    <w:p>
      <w:pPr>
        <w:spacing w:after="0" w:line="8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i w:val="1"/>
          <w:iCs w:val="1"/>
          <w:color w:val="auto"/>
        </w:rPr>
        <w:t xml:space="preserve">Payment Timing: </w:t>
      </w:r>
      <w:r>
        <w:rPr>
          <w:rFonts w:ascii="Arial" w:cs="Arial" w:eastAsia="Arial" w:hAnsi="Arial"/>
          <w:sz w:val="18"/>
          <w:szCs w:val="18"/>
          <w:color w:val="auto"/>
        </w:rPr>
        <w:t>We support an array of timing alternatives including one-time guest payments, recurring payments, future-dated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multiple payments and payment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Paymentus was built on the notion that existing bill payment systems are not equipped to handle how bills will be paid in the future. Our platform is a cloud-native solution that automates the entire bill payments lifecycle between billers and financial institutions and consumers through a single integration, simplifying how consumers pay bills and accelerating billers’ revenue recognition through the following characteristics:</w:t>
      </w:r>
    </w:p>
    <w:p>
      <w:pPr>
        <w:spacing w:after="0" w:line="66" w:lineRule="exact"/>
        <w:rPr>
          <w:sz w:val="20"/>
          <w:szCs w:val="20"/>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Scalable: Our mission-critical platform is designed to support high velocity throughput of daily, non-discretionary consumer bill payments. Our platform is capable of scaling up market to serve large enterprise billers, each processing payments for millions of bills per month, while also serving smaller billers, each processing payments for one bill per month. In 2025, we processed approximately 724 million payments, and an average of 2.0 million payments were made each day using our platform.</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Innovative: Our AI-enabled, SaaS architecture is the foundation of our unified platform. Our ML algorithms continuously learn and self-improve from transaction activity on our platform. Our platform and our intensely client-centric approach inform our product development strategy, enabling us to offer new features and functionality that improve our value proposition to our billers.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Flexible: We support multiple integration modalities to enhance our billers’ and financial institutions’ ability to consume the full breadth of our platform. Some of our billers and financial institutions use our APIs or iFrames, which offer more control over the user experience, but require our infrastructure for payment processing and PCI-DSS compliance. Other billers use our fully hosted solution because they lack requisite IT resources and must leverage our technology and customer support systems to offer an electronic bill payment experience. We also allow our billers and financial institutions to adopt a hybrid approach that leverages our APIs for certain environments.</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Configurable: Our platform can rapidly and cost-effectively reconfigure our business logic to accommodate the specific requirements of the different end markets we serve. In 2025, the majority of new biller implementations were completed without any material code changes or significant development costs. Once configured, we can use these solutions with new and existing billers to expand into new verticals and geographies.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39"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Integrated: Our significant and broad library of integrations to core accounting software systems, including leading CIS and ERP systems as well as core financial institution processing platforms and certain digital banking providers, helps connect disparate systems across the electronic bill payment value chain. Our billers gain access to the entirety of our biller platform through an easy-to-deploy, single point of access. These integrations allow us to own and control the key components of the electronic bill payment value chain, including accounting and back-end integrations to CIS and ERP systems. Our portfolio of integrations span hundreds of software versions – some of which are decades old but still in use today by many of our billers – which enables us to rapidly integrate with billers and financial institutions. We believe competitors would need to invest significant time and resources in order to replicate our software integration portfolio.</w:t>
      </w:r>
    </w:p>
    <w:p>
      <w:pPr>
        <w:spacing w:after="0" w:line="7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Extensible: Our platform is designed to integrate with new payment and consumer engagement technologies as well as new software, strategic and IPN partners. For example, through integrations with PayPal and a leading global ecommerce retailer, we have extended our platform to hundreds of millions of new consumers who wish to interact with billers in the PayPal app or through the AI-assistant voice service of a leading global ecommerce retailer.</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Secure: Biller, financial institution, partner and consumer security is of paramount importance to our business. Our PCI-DSS-compliant platform offers an intrusion detection and prevention system, multi-factor authentication and encryption and tokenization capabilities. We enforce our security policies and procedures through regular internal and third-party audits, 24/7 digital monitoring, continued education and sophisticated technology tools.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w:t>
      </w:r>
    </w:p>
    <w:p>
      <w:pPr>
        <w:spacing w:after="0" w:line="104"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We believe our innovative technology platform enables us to sit at the nexus of a powerful multi-sided network of billers, financial institutions, partners and consumers. We use the power of this network to enhance the number of product-features each biller uses to promote transaction growth. Our portfolio data shows that payment adoption is highly correlated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to feature utilization. By increasing feature usage, we believe we will realize an increase in transaction volume from our billers.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Billers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innovative technology platform empowers billers to offer electronic bill payment acceptance across multiple payment types, engage with their consumers and streamline their business operations efficiently and cost-effectively. We attract billers to our platform because our platform modernizes their payment infrastructure and helps them collect revenue faster and more profitably. Our platform is capable of posting payments directly to billers’ systems in real time, which simplifies revenue operations and strengthens the relationship we have with billers.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Institutions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network connects our financial institutions to thousands of billers and sources of money movement including virtually every bank and credit union in the U.S., debit card and credit card payments and multiple digital wallets. The network also enables consumers to make loan payments to our financial institutions from our other network partners. By using open application programming interfaces (APIs), software development kit (SDK) widgets and single-sign-on (SSO) interfaces, our financial institutions have complete flexibility and control over how they integrate and deliver their services including modern digital bill presentment, payment and money movement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Billers and Financial Institutions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Flexible and Integrated Platform: Billers and financial institutions can offer their consumers a variety of traditional and emerging payment and engagement technologies that enable the billers to collect revenue faster and drive improved customer satisfaction, while reducing costs such as their PCI-DSS compliance burden. Billers and financial institutions have the flexibility to integrate directly to our platform through APIs, iFrames or a fully hosted solution, which allows them to cost-effectively select and customize our solutions to fit their specific requirements. Because our platform is flexible and scalable, we believe our value proposition applies to all billers whether they ultimately choose to use our platform for all of their bills or continue using legacy bill payment systems or biller-direct solutions together with our solutions.</w:t>
      </w:r>
    </w:p>
    <w:p>
      <w:pPr>
        <w:spacing w:after="0" w:line="77"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Long-term Growth and Operating Leverage: The scalability of our platform allows billers and financial institutions to capitalize on growth opportunities for their business. While helping billers grow their revenue, we also help reduce costs by leveraging our integrated technology architecture to automate manual workflows, which reduces error-prone manual data entry and efficiently reconciles payments to backend financial and operating systems.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As our biller base expands, we attract market-leading software, strategic and IPN partners that use our platform to power bill payment experiences within their ecosystems. Our innovative platform facilitates a modern bill presentment, consumer engagement and bill payment experience for our partners’ customers, regardless of partner type.</w:t>
      </w:r>
    </w:p>
    <w:p>
      <w:pPr>
        <w:spacing w:after="0" w:line="61" w:lineRule="exact"/>
        <w:rPr>
          <w:sz w:val="20"/>
          <w:szCs w:val="20"/>
          <w:color w:val="auto"/>
        </w:rPr>
      </w:pPr>
    </w:p>
    <w:p>
      <w:pPr>
        <w:jc w:val="both"/>
        <w:ind w:firstLine="494"/>
        <w:spacing w:after="0"/>
        <w:rPr>
          <w:sz w:val="20"/>
          <w:szCs w:val="20"/>
          <w:color w:val="auto"/>
        </w:rPr>
      </w:pPr>
      <w:r>
        <w:rPr>
          <w:rFonts w:ascii="Arial" w:cs="Arial" w:eastAsia="Arial" w:hAnsi="Arial"/>
          <w:sz w:val="18"/>
          <w:szCs w:val="18"/>
          <w:i w:val="1"/>
          <w:iCs w:val="1"/>
          <w:color w:val="auto"/>
        </w:rPr>
        <w:t xml:space="preserve">Software Partners: </w:t>
      </w:r>
      <w:r>
        <w:rPr>
          <w:rFonts w:ascii="Arial" w:cs="Arial" w:eastAsia="Arial" w:hAnsi="Arial"/>
          <w:sz w:val="18"/>
          <w:szCs w:val="18"/>
          <w:color w:val="auto"/>
        </w:rPr>
        <w:t>Our software partners include large third-party technology providers, such as Oracle, which integrate our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into their software suites to power bill payments for their customers and refer billers and financial institutions to us. For example, ERP providers integrate our platform into their own suite of solutions to offer a comprehensive solution set that enhances their ERP software with bill presentment, consumer engagement and bill payment capabilities. In certain cases, we have revenue sharing arrangements with our software partners based on our transaction fees. In other cases, rather than a revenue sharing arrangement, we and our software partner mutually benefit from the partnership as the software partner can offer a more comprehensive solution and stronger value proposition to its customers and we receive broader reach to potential billers and consumers, an efficient biller acquisition channel and stronger biller retention from an integrated solution.</w:t>
      </w:r>
    </w:p>
    <w:p>
      <w:pPr>
        <w:spacing w:after="0" w:line="72" w:lineRule="exact"/>
        <w:rPr>
          <w:sz w:val="20"/>
          <w:szCs w:val="20"/>
          <w:color w:val="auto"/>
        </w:rPr>
      </w:pPr>
    </w:p>
    <w:p>
      <w:pPr>
        <w:jc w:val="both"/>
        <w:ind w:firstLine="494"/>
        <w:spacing w:after="0"/>
        <w:rPr>
          <w:sz w:val="20"/>
          <w:szCs w:val="20"/>
          <w:color w:val="auto"/>
        </w:rPr>
      </w:pPr>
      <w:r>
        <w:rPr>
          <w:rFonts w:ascii="Arial" w:cs="Arial" w:eastAsia="Arial" w:hAnsi="Arial"/>
          <w:sz w:val="18"/>
          <w:szCs w:val="18"/>
          <w:i w:val="1"/>
          <w:iCs w:val="1"/>
          <w:color w:val="auto"/>
        </w:rPr>
        <w:t xml:space="preserve">Strategic Partners: </w:t>
      </w:r>
      <w:r>
        <w:rPr>
          <w:rFonts w:ascii="Arial" w:cs="Arial" w:eastAsia="Arial" w:hAnsi="Arial"/>
          <w:sz w:val="18"/>
          <w:szCs w:val="18"/>
          <w:color w:val="auto"/>
        </w:rPr>
        <w:t>Similar to our software providers, our strategic partners refer billers to us and, in many cases, integrate our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into their platforms. Our strategic partners, including JPMorgan Chase, U.S. Bank, and a major payroll solutions provider, work with us to offer bill presentment, consumer engagement and bill payment capabilities to their customers, which are billers. For example, a large commercial bank has many business clients who seek to improve and streamline the bill presentment and bill payment experience for their consumers. In that case, the large commercial bank partners with us to sell a joint solution. In other cases, the commercial bank may prefer to sell a white-labeled solution, which it obtains from us. Both co-sale and white-label arrangements typically involve revenue sharing agreements with the strategic partner based on the transaction fees we receive.</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i w:val="1"/>
          <w:iCs w:val="1"/>
          <w:color w:val="auto"/>
        </w:rPr>
        <w:t xml:space="preserve">IPN Partners: </w:t>
      </w:r>
      <w:r>
        <w:rPr>
          <w:rFonts w:ascii="Arial" w:cs="Arial" w:eastAsia="Arial" w:hAnsi="Arial"/>
          <w:sz w:val="18"/>
          <w:szCs w:val="18"/>
          <w:color w:val="auto"/>
        </w:rPr>
        <w:t>Our IPN partners work with us to gain access to broader biller networks and provide their consumers with innovative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to streamline bill payments. Our IPN partners include PayPal, for which we power bill payment capabilities, a leading global ecommerce retailer, through which we offer electronic bill presentment and payment via its AI-assistant voice service and mobile app, Walmart, for which we enhance in-person bill payment capability at Walmart Money</w:t>
      </w: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spacing w:after="0"/>
        <w:rPr>
          <w:sz w:val="20"/>
          <w:szCs w:val="20"/>
          <w:color w:val="auto"/>
        </w:rPr>
      </w:pPr>
      <w:r>
        <w:rPr>
          <w:rFonts w:ascii="Arial" w:cs="Arial" w:eastAsia="Arial" w:hAnsi="Arial"/>
          <w:sz w:val="18"/>
          <w:szCs w:val="18"/>
          <w:color w:val="auto"/>
        </w:rPr>
        <w:t>Centers, and Green Dot, to enable in-person cash payments at more than 90,000 retail locations in the Green Dot network. Unlike software and strategic partners, IPN partners typically have direct interactions with consumers, and leverage our platform to connect to our biller network. Through this connection, consumers can initiate bill payments through our IPN partners, which we route to the billers. There are many types of IPN partners, including consumer networks, retailers, banks and financial institutions. We offer consumer networks and retailers increased engagement with consumers by enabling streamlined bill presentment payment experiences for an array of billers through their networks. We similarly offer banks and financial institutions increased engagement with their retail clients. For IPN partners, we will typically receive a fee per transaction processed through our platform, and in some cases, we pay a referral fee to IPN partners.</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i w:val="1"/>
          <w:iCs w:val="1"/>
          <w:color w:val="auto"/>
        </w:rPr>
        <w:t xml:space="preserve">Multiple Roles for Partners: </w:t>
      </w:r>
      <w:r>
        <w:rPr>
          <w:rFonts w:ascii="Arial" w:cs="Arial" w:eastAsia="Arial" w:hAnsi="Arial"/>
          <w:sz w:val="18"/>
          <w:szCs w:val="18"/>
          <w:color w:val="auto"/>
        </w:rPr>
        <w:t>Notably, partners may fit into multiple categories, particularly banks and financial institutions. For example,</w:t>
      </w:r>
      <w:r>
        <w:rPr>
          <w:rFonts w:ascii="Arial" w:cs="Arial" w:eastAsia="Arial" w:hAnsi="Arial"/>
          <w:sz w:val="18"/>
          <w:szCs w:val="18"/>
          <w:i w:val="1"/>
          <w:iCs w:val="1"/>
          <w:color w:val="auto"/>
        </w:rPr>
        <w:t xml:space="preserve"> </w:t>
      </w:r>
      <w:r>
        <w:rPr>
          <w:rFonts w:ascii="Arial" w:cs="Arial" w:eastAsia="Arial" w:hAnsi="Arial"/>
          <w:sz w:val="18"/>
          <w:szCs w:val="18"/>
          <w:color w:val="auto"/>
        </w:rPr>
        <w:t>a bank can be a biller, a strategic partner and an IPN partner. As a biller, the bank generates bills, such as mortgage and credit card statements. As a strategic partner, the same bank uses our platform to power an omni-channel bill payment experience for a commercial customer of the bank. In this way, that commercial customer becomes a new biller for our network. Finally, as an IPN partner, the same bank leverages our IPN network to enable a more robust bill payment experience for its business customers and consumers by, for example, enabling its business customers and those businesses’ consumers to pay bills using alternative payment channels, such as PayPal. For clarity, financial institutions may also be customers where the financial institution uses our platform to provide bill payment and other money movement services directly to consumers and businesses.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Partners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Higher Consumer Satisfaction: </w:t>
      </w:r>
      <w:r>
        <w:rPr>
          <w:rFonts w:ascii="Arial" w:cs="Arial" w:eastAsia="Arial" w:hAnsi="Arial"/>
          <w:sz w:val="18"/>
          <w:szCs w:val="18"/>
          <w:color w:val="auto"/>
        </w:rPr>
        <w:t>Partners gain access to our network of billers and can provide turnkey electronic bill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to their consumers through flexible integration options. By integrating our platform into their ecosystems, partners can provide a more comprehensive solution and drive higher customer satisfaction.</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Access to Innovative Technology Solutions: </w:t>
      </w:r>
      <w:r>
        <w:rPr>
          <w:rFonts w:ascii="Arial" w:cs="Arial" w:eastAsia="Arial" w:hAnsi="Arial"/>
          <w:sz w:val="18"/>
          <w:szCs w:val="18"/>
          <w:color w:val="auto"/>
        </w:rPr>
        <w:t>As consumers demand a more seamless and secure experience, partners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engagement and payment technology that caters to the latest consumer trends. We provide partners with technology solutions intended to drive top-of-mind awareness and expand their share of wallet within their respective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Billers’, Financial Institutions’ and Partners’ Consumers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As our platform reaches more consumers, we capture and monetize more payment transactions. In December 2025, approximately 53 million consumers and businesses used our platform to pay their bills. As consumers increasingly demand omni-channel bill payment solutions for more of their bills, we attract more billers and partners who look to our platform to meet that demand.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Consumers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Next-Generation Electronic Bill Payment Tools: </w:t>
      </w:r>
      <w:r>
        <w:rPr>
          <w:rFonts w:ascii="Arial" w:cs="Arial" w:eastAsia="Arial" w:hAnsi="Arial"/>
          <w:sz w:val="18"/>
          <w:szCs w:val="18"/>
          <w:color w:val="auto"/>
        </w:rPr>
        <w:t>Consumers gain access to advanced payments functionality to streamline their omni-channel bill payment experience. Consumers can view and pay bills through a variety of payment channels and types, engage with their billers and financial institutions and retrieve actionable insights regarding their payments and billing history.</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Control Over Financial Health: </w:t>
      </w:r>
      <w:r>
        <w:rPr>
          <w:rFonts w:ascii="Arial" w:cs="Arial" w:eastAsia="Arial" w:hAnsi="Arial"/>
          <w:sz w:val="18"/>
          <w:szCs w:val="18"/>
          <w:color w:val="auto"/>
        </w:rPr>
        <w:t>Consumers gain added control and visibility over their financial health on a daily basis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tools and features we provide. Our platform allows consumers to set the terms of their bill payments in a way that best suits their needs.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intend to leverage our products and industry presence to establish our platform as the industry standard for electronic bill payments for billers, financial institutions and partners globally. Key elements of this strategy include: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Win New and Larger Billers, Financial Institutions and Partners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believe the majority of billers and financial institutions use inferior electronic bill payment platforms. We plan to continue winning new and larger billers, financial institutions and partners by investing in the growth of our IPN, expanding our diversified go-to-market strategies and strengthening our value proposition. We intend to continue winning market share through a superior product offering that is easy to integrate and provides a feature-rich experience for our billers, partners and consumers.</w:t>
      </w: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Grow with Existing Billers, Financial Institutions and Partners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believe we have a significant opportunity to leverage the full scope of our highly scalable model to drive further adoption of our platform with existing billers, financial institutions and partners, including our IPN partners. We believe adding product features and additional functionality enables us to capture more electronic bill payments, strengthens our biller and partner retention and ultimately generates more transaction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into New Channels and Industry Verticals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intend to leverage our platform to expand into new channels and new industry verticals. In particular, we anticipate growth of our IPN and additional partnerships with leading business networks to drive further expansion into new channels. We also intend to continue to cost-effectively expand into new verticals and expect that our expansion efforts will center on verticals with favorable bill payment characteristics such as recurring payments for non-discretionary, essential services, similar to our previous expansion into the healthcare and insurance verticals. Our configurability and platform approach to new feature development enables us to cost-effectively extend products that were initially designed for an existing vertical into powerful use cases for new verticals.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New Products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believe the significant investments we have made in our technology platform are a core differentiator of our business. As billers, financial institutions, partners and consumers adopt new consumer engagement and bill payment technologies, we intend to continue investing in our platform in order to create innovative features and add emerging payment types and alternative payment methods that further enhance bill payment and commerce experiences.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our Platform to Expand Internationally</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believe there is global demand for electronic bill payment technology among billers and financial institutions with international consumers and partners that serve international billers and financial institutions. Although substantially all of our revenue is generated in the United States, many of our largest domestic billers also serve billable consumers in international geographies, and several of our domestic partners maintain international operations. We believe this presents us with a large opportunity to expand internationally without needing to significantly increase international headcount or retain local resources to initially serve international markets. Our international growth strategy is focused on leveraging our existing biller and partner relationships, and we believe our platform is well-positioned to quickly adapt to local payment channels and regulatory schemes. In particular, we anticipate that our near-term international growth opportunities will come through our U.S.-based billers, financial institutions or partners seeking a technology platform to power bill presentment and payment in international markets within their existing industry verticals, as well as through our larger partners that serve international billers and financial institutions. We also expect to expand our existing presence in Canada and India over time, both within current and new industry verticals.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Selective Strategic Acquisitions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plan to pursue strategic acquisitions that we believe will be complementary to our existing solutions, enhance our technology and increase the value proposition we deliver to our billers, financial institutions and partners and their consumers. For example, we may pursue acquisitions that we believe will help us expand within existing or new industry verticals and channels, accelerate our biller growth or enter new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Go-to-Market Strategy</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employ a diversified go-to-market strategy that leverages targeted marketing efforts, a direct sales team and relationships with technology partners and resellers as we seek to acquire billers and financial institutions in an efficient manner. Our marketing strategy targets prospective billers and financial institutions through industry- and role-based marketing efforts at trade shows and industry events, direct marketing and social media programs. We also leverage partnerships and referral relationships of various types across a number of industry verticals.</w:t>
      </w:r>
    </w:p>
    <w:p>
      <w:pPr>
        <w:spacing w:after="0" w:line="6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Our direct sales team is responsible for outbound lead generation, driving new business and helping to manage account relationships and renewals. Our sales team also maintains close relationships with existing billers and financial institutions and acts as an advisor to each biller to help identify and understand their specific needs, challenges, goals and opportunities.</w:t>
      </w:r>
    </w:p>
    <w:p>
      <w:pPr>
        <w:spacing w:after="0" w:line="61"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We also leverage strong relationships with our partners to extend the reach of our platform and receive new biller referrals. Our software partners, including Oracle, integrate our platform into their software products, enabling us to power their bill payment capabilities for their consumers. Our strategic partners, including JPMorgan Chase, U.S. Bank and a major payroll solutions provider, also refer new billers to our platform. Our software is regularly integrated with our software partners’ offerings and with the software suites of other market-leading software providers commonly used by our billers, including SAP and Guidewire, in each case to power electronic bill payment functions for our billers and their consumers.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6" w:name="page17"/>
    <w:bookmarkEnd w:id="16"/>
    <w:p>
      <w:pPr>
        <w:jc w:val="both"/>
        <w:ind w:firstLine="494"/>
        <w:spacing w:after="0" w:line="253" w:lineRule="auto"/>
        <w:rPr>
          <w:sz w:val="20"/>
          <w:szCs w:val="20"/>
          <w:color w:val="auto"/>
        </w:rPr>
      </w:pPr>
      <w:r>
        <w:rPr>
          <w:rFonts w:ascii="Arial" w:cs="Arial" w:eastAsia="Arial" w:hAnsi="Arial"/>
          <w:sz w:val="18"/>
          <w:szCs w:val="18"/>
          <w:color w:val="auto"/>
        </w:rPr>
        <w:t>We also believe we benefit from the significant reach of our IPN. Through partnerships with PayPal, a leading global ecommerce retailer and financial institution partners, our platform reaches millions of consumers. Jointly delivering our platform with our software and strategic partners provides consistency of approach and a high-quality experience for billers, financial institutions, partners and consumers.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primary competition has historically been legacy solution providers and systems internally developed by financial institutions for bill presentment and payment services. The legacy solution providers have generally either served the financial services or the biller market individually. In both markets, legacy solution providers offer solutions for in-person cash payments, check-based mail payments, prior-generation IVR, phone-based payments and web-based payments, as well as a variety of point solutions for various payment needs. These solutions are often built via acquisitions and frequently not well integrated based on data architectures.</w:t>
      </w:r>
    </w:p>
    <w:p>
      <w:pPr>
        <w:spacing w:after="0" w:line="6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In the financial services market, providers integrate into a bank’s online banking system. They offer access to a limited number of electronic bills, so only a fraction can be reviewed before deciding on payment. Once the consumer decides to pay the bill, the provider generally only allows for one type of payment, limiting the ability of consumers to use credit or other alternatives. The bank-based payments are slow, sometimes taking up to three days to reach a biller, so a consumer is not able to make a same-day payment.</w:t>
      </w:r>
    </w:p>
    <w:p>
      <w:pPr>
        <w:spacing w:after="0" w:line="6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In the biller-direct market, legacy providers have been slow to respond to biller and consumer needs because their systems are expensive to maintain and are not nimble enough to keep up with the pace of innovation. As a result, they do not offer the breadth of channels and payment methods demanded by consumers, nor the integration and analytics capabilities required by billers. We also compete on pricing, particularly in certain lower-margin industries where lower cost pricing can outweigh higher product quality and an enhanced customer experience.</w:t>
      </w:r>
    </w:p>
    <w:p>
      <w:pPr>
        <w:spacing w:after="0" w:line="68" w:lineRule="exact"/>
        <w:rPr>
          <w:sz w:val="20"/>
          <w:szCs w:val="20"/>
          <w:color w:val="auto"/>
        </w:rPr>
      </w:pPr>
    </w:p>
    <w:p>
      <w:pPr>
        <w:jc w:val="both"/>
        <w:ind w:right="20" w:firstLine="494"/>
        <w:spacing w:after="0" w:line="247" w:lineRule="auto"/>
        <w:rPr>
          <w:sz w:val="20"/>
          <w:szCs w:val="20"/>
          <w:color w:val="auto"/>
        </w:rPr>
      </w:pPr>
      <w:r>
        <w:rPr>
          <w:rFonts w:ascii="Arial" w:cs="Arial" w:eastAsia="Arial" w:hAnsi="Arial"/>
          <w:sz w:val="18"/>
          <w:szCs w:val="18"/>
          <w:color w:val="auto"/>
        </w:rPr>
        <w:t>We believe these solutions lack the modern infrastructure necessary to provide billers, financial institutions and consumers with an omni-channel electronic bill payment experience enhanced by AI, ML and contextualized data. We believe the strength and agility of our platform will drive our success in growing our business by demonstrating to billers, financial institutions and partners that our platform delivers superior business outcomes to those of third-party vendors or internally developed systems.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While competitive factors and their relative importance can vary, in general, we will be evaluated on a number of factors including security, reliability, breadth and depth of functionality, ease of deployment and implementation speed, total cost of ownership and return on investment, customer satisfaction, customer service, partnerships, brand awareness and reputation and the ability to provide contextualized and actionable data-driven insights that improve the transaction experience. We believe we compete favorably on all of these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rely on a combination of intellectual property rights, including patents, trademarks, copyrights, trade secrets and contractual rights, to protect our proprietary software and our brands. We have obtained or applied for patent protection in the U.S. and certain other countries on certain material aspects of our proprietary technologies, and we have registered or applied to register certain of our material trademarks in the U.S. and in certain other countries. In addition to the intellectual property that we own, we license certain technologies and intellectual property from third parties, including software that is incorporated in our platform. We generally control access to and use of our software and other proprietary or confidential information through internal and external controls, including entering into non-disclosure and confidentiality agreements with both our employees and third parties who have access to our software and other proprietary or confidential information.</w:t>
      </w:r>
    </w:p>
    <w:p>
      <w:pPr>
        <w:spacing w:after="0" w:line="117"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As of December 31, 2025, we held 29 issued U.S. patents, 2 issued Japanese patents, one issued Australian patent and one issued Brazilian patent related to our proprietary technologies. As of December 31, 2025, we also had eight pending U.S. patent applications, three pending PCT patent applications, three pending patent applications in each of Australia, Canada, China, Europe, India, Mexico and South Korea, two pending patent applications in Brazil and one pending patent application in Japan. If our currently issued patents are maintained until the end of their terms, they will expire between 2028 and 2045. The expiration of these patents is not reasonably likely to have a material adverse effect on our business, financial condition or results of operations. In addition, as of December 31, 2025, we owned 18 registered U.S. trademarks and one registered trademark in each of the European Union, India, Japan, New Zealand and the United Kingdom. We also held two allowed and four pending trademark applications in the U.S. and one pending trademark application in Canada.</w:t>
      </w:r>
    </w:p>
    <w:p>
      <w:pPr>
        <w:spacing w:after="0" w:line="99"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For additional discussion of how intellectual property protection affects our business, see the section titled "Risk Factors—Risks Related to Our Technology and Intellectual Property".</w:t>
      </w: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Government Regulations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Various aspects of our business and service areas are subject to U.S. federal, state, and local regulation, as well as regulation outside the U.S. Certain of our services are also subject to rules promulgated by various card and payment networks and other authorities, as more fully described below. These descriptions are not exhaustive, and these laws, regulations and rules frequently change and are increasing in number.</w:t>
      </w:r>
    </w:p>
    <w:p>
      <w:pPr>
        <w:spacing w:after="0" w:line="106"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Our billers, financial institutions and partners and their consumers store personal and business information, financial information and other sensitive information on our platform. In addition, we receive, store, handle, transmit, use and otherwise process personal and business information and other data from and about actual and prospective billers, financial institutions and partners, as well as our employees and service providers. As a result, we and our handling of data are subject to a variety of laws, rules and regulations relating to privacy, data protection and information security, including regulation by various governmental authorities, such as the U.S. Federal Trade Commission (FTC), and various state, local and foreign agencies. Our data handling and processing activities are also subject to contractual obligations and industry standard requirements. The U.S. federal and various state and foreign governments have also adopted or proposed limitations on the collection, distribution, use, and storage of data relating to individuals and businesses, including the use of contact information and other data for marketing, advertising, and other communications with individuals and businesses. The legislative and regulatory landscapes for privacy, data protection and information security continue to evolve in jurisdictions worldwide, with an increasing focus on privacy and data protection issues with the potential to affect our business.</w:t>
      </w:r>
    </w:p>
    <w:p>
      <w:pPr>
        <w:spacing w:after="0" w:line="105"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In the U.S., various laws and regulations apply to the security, collection, processing, storage, use and disclosure of certain types of data, including the Electronic Communications Privacy Act, the Computer Fraud and Abuse Act, the Gramm Leach Bliley Act, and state and local laws relating to privacy and data security. Additionally, the FTC and many state attorneys general have interpreted and are continuing to interpret federal and state consumer protection laws to impose standards for the online collection, use, dissemination, processing and security of data. In addition, to the extent not exempted, many states in which we operate have enacted laws that protect the privacy and security of sensitive and personal data, such as the California Consumer Privacy Act (CCPA), as amended. In addition, all 50 states have data breach notification laws including obligations to provide notification of security breaches of computer databases that contain personal information to affected individuals, state attorneys general or other regulatory authorities, and others. Finally, as a public company, we are required to disclose material cybersecurity incidents within four business days of our determination that a material cybersecurity incident has occurred.</w:t>
      </w:r>
    </w:p>
    <w:p>
      <w:pPr>
        <w:spacing w:after="0" w:line="112"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Several foreign countries and governmental bodies, including China, Australia, India, Canada, the European Union (EU) and other countries have also established a number of laws, rules and regulations addressing privacy, data protection and information security with regard to the handling and processing of sensitive and personal data obtained from their residents with which we or our billers, financial institutions or partners may need to comply. These laws and regulations, such as the EU's General Data Protection Regulation (GDPR), the NIS Directive, and the EU Digital Operational Resilience Act (DORA), are in certain cases more stringent than those in the U.S. These laws address, among other issues, the cross-border transfer of personal data from the country of origin to third party countries such as the U.S. The DOJ Bulk Transfer Rule also addresses the export of bulk sensitive personal data to certain other countries. In some instances, these may apply to our processing of data on behalf of our customers. Finally, because we process individually identifiable protected health information in certain cases, we also may be subject to certain obligations as business associates under the Health Insurance Portability and Accountability Act of 1996 (HIPAA), as amended by the Health Information Technology for Economic and Clinical Health Act of 2009 (HITECH), as well as certain health-related state laws and related contractual obligations.</w:t>
      </w:r>
    </w:p>
    <w:p>
      <w:pPr>
        <w:spacing w:after="0" w:line="118"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We are also subject to the rules and standards of Visa, Mastercard, American Express, the National Automated Clearinghouse Association (NACHA) and INTERAC, a Canadian interbank network, and other payment networks and their participants. In order to provide our payment processing services, we must be registered either indirectly or directly as service providers with the payment networks that we use. As such, we are subject to applicable card association and payment network rules, standards and regulations, which impose various requirements and could subject us to a variety of fines or penalties that may be levied by such associations or networks for certain acts or omissions. Card associations and payment networks and their member financial institutions regularly update and generally expand security expectations and requirements related to the security of consumer data and environments. Failure to comply with the networks’ requirements, or to pay the fees or fines they may impose, could result in the suspension or termination of our registration with the relevant payment networks and therefore require us to limit or cease providing the relevant payment processing services. It could also cause existing billers, financial institutions or partners, their consumers or other third parties to cease using or referring our services or prospective billers, financial institutions or partners to terminate negotiations with us.</w:t>
      </w:r>
    </w:p>
    <w:p>
      <w:pPr>
        <w:spacing w:after="0" w:line="105"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Further, we and our billers, financial institutions and partners are subject to a variety of U.S. state and federal laws, rules and regulations related to telemarketing, recording and monitoring of communications, such as the Telephone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both"/>
        <w:spacing w:after="0"/>
        <w:rPr>
          <w:sz w:val="20"/>
          <w:szCs w:val="20"/>
          <w:color w:val="auto"/>
        </w:rPr>
      </w:pPr>
      <w:r>
        <w:rPr>
          <w:rFonts w:ascii="Arial" w:cs="Arial" w:eastAsia="Arial" w:hAnsi="Arial"/>
          <w:sz w:val="18"/>
          <w:szCs w:val="18"/>
          <w:color w:val="auto"/>
        </w:rPr>
        <w:t>Consumer Protection Act (TCPA), the Controlling the Assault of Non-Solicited Pornography and Marketing Act (CAN-SPAM Act) and others, because our platform enables our billers and partners to communicate directly with their consumers, including via e-mail, text messages and calls, and also enables recording and monitoring of calls between our billers, financial institutions and partners and their consumers for training and quality assurance purposes. Effective April 11, 2025, the FCC implemented a consent revocation rule relating to the TCPA, which strengthens consumer rights to revoke consent to receive autodialed calls or prerecorded messages as well as text messages. As a result, our billers and partners are also now required under that rule to honor opt-out requests within a shortened timeframe. Finally, several states have also enacted state-level laws modeled after the TCPA, or “mini-TCPAs,” which impose stricter regulations on telemarketing activities, including the use of automated systems for calls and text messages.</w:t>
      </w:r>
    </w:p>
    <w:p>
      <w:pPr>
        <w:spacing w:after="0" w:line="113"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In addition to the laws and regulations described above, various regulatory agencies in the U.S. and in foreign jurisdictions continue to examine a wide variety of issues which are or may be applicable to us and may impact our business. These issues include payments, identity theft, account management guidelines, privacy, disclosure rules, cybersecurity and marketing. The banks we partner with are under growing pressure to increase scrutiny and oversight of their fintech customers, resulting in increasing pressure on us by our bank partners to enhance our AML/BSA compliance and sanctions screening controls. There is a risk a partner bank’s regulator will examine our compliance program under enhanced standards applicable to banks. In addition, in the U.S., almost all states regulate money transmission, and while our services do not involve the movement of funds directly, there is a risk that a state regulator may misinterpret our services and find we are offering unlicensed money transmission. In Canada, we have determined we are subject to the Retail Payments Activity Act as a Payment Service Provider and have registered as such with the Bank of Canada, and as a Money Service Business with FINTRAC. Accordingly, we are now subject to increased scrutiny of compliance with Canadian payments regulations. Several states have provided guidance or prohibitions against the use of convenience or similar "pay-to-pay" fees in certain industries that may impact us and our billers. The laws and regulations relating to financial services, privacy, data protection and information security are evolving, can be subject to significant change and may result in ever-increasing regulatory and public scrutiny and escalating levels of enforcement and sanctions. As our business continues to develop and expand, including internationally, we continue to monitor the additional laws and regulations that may become relevant. Any actual or perceived failure to comply with legal and regulatory requirements may result in, among other things, revocation of required licenses or registrations, loss of approved status, private litigation, including class action litigation, consent decrees and injunctions, regulatory or governmental investigations, administrative enforcement actions, sanctions, civil and criminal liability, damages, fines, penalties, adverse publicity, reputational damage and constraints on our ability to continue to operate.</w:t>
      </w:r>
    </w:p>
    <w:p>
      <w:pPr>
        <w:spacing w:after="0" w:line="10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For additional discussion on governmental regulation and payment network operating rules affecting our business, please see the section titled "Risk Factors—Risks Related to Regulation."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As of December 31, 2025, we employed 1,340 full-time employees and a small number of part-time employees. Our employees are located across the U.S., in Canada as well as in India. None of our employees are represented by a labor union or are party to a collective bargaining agreement. We believe that we have good relationships with our employees.</w:t>
      </w:r>
    </w:p>
    <w:p>
      <w:pPr>
        <w:spacing w:after="0" w:line="6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Our employees are our most critical assets. The success and growth of our business depends on our ability to attract, reward, retain, and develop diverse, talented, and high-performing employees at all levels of our organization, while sustaining an environment of anti-discrimination that ensures equal access to opportunities. To succeed in an ever-changing and competitive labor market, we have developed human capital management strategies, objectives and measures that drive recruitment and retention, support business performance, advance innovation and foster employee development. Our human capital strategies and objectives include, as applicable, identifying, recruiting, retaining, incentivizing and integrating our existing and new employees and consultants. We believe we provide our employees significant ongoing career growth opportunities, with career paths, in an exciting growth company and industry. The principal purpose of our incentive programs is to attract, retain and reward personnel in an equitable way, in order to increase stockholder value and the success of our company by motivating such individuals to perform to the best of their abilities and achieve our objectives. We are also focused on supporting our employees’ health and safety and social well-being.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 xml:space="preserve">We file or furnish periodic reports and amendments thereto, including Annual Reports on Form 10-K, Quarterly Reports on Form 10-Q and Current Reports on Form 8-K, proxy statements and other information with the Securities and Exchange Commission (SEC). In addition,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Our website is located at </w:t>
      </w:r>
      <w:r>
        <w:rPr>
          <w:rFonts w:ascii="Arial" w:cs="Arial" w:eastAsia="Arial" w:hAnsi="Arial"/>
          <w:sz w:val="18"/>
          <w:szCs w:val="18"/>
          <w:i w:val="1"/>
          <w:iCs w:val="1"/>
          <w:color w:val="auto"/>
        </w:rPr>
        <w:t>www.paymentus.com</w:t>
      </w:r>
      <w:r>
        <w:rPr>
          <w:rFonts w:ascii="Arial" w:cs="Arial" w:eastAsia="Arial" w:hAnsi="Arial"/>
          <w:sz w:val="18"/>
          <w:szCs w:val="18"/>
          <w:color w:val="auto"/>
        </w:rPr>
        <w:t xml:space="preserve">, and our reports, amendments thereto, proxy statements and other information are also made available, free of charge, on our investor relations website at </w:t>
      </w:r>
      <w:r>
        <w:rPr>
          <w:rFonts w:ascii="Arial" w:cs="Arial" w:eastAsia="Arial" w:hAnsi="Arial"/>
          <w:sz w:val="18"/>
          <w:szCs w:val="18"/>
          <w:i w:val="1"/>
          <w:iCs w:val="1"/>
          <w:color w:val="auto"/>
        </w:rPr>
        <w:t>https://ir.paymentus.com/home/default.aspx</w:t>
      </w:r>
      <w:r>
        <w:rPr>
          <w:rFonts w:ascii="Arial" w:cs="Arial" w:eastAsia="Arial" w:hAnsi="Arial"/>
          <w:sz w:val="18"/>
          <w:szCs w:val="18"/>
          <w:color w:val="auto"/>
        </w:rPr>
        <w:t xml:space="preserve"> as soon as reasonably practicable after we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line="245" w:lineRule="auto"/>
        <w:rPr>
          <w:sz w:val="20"/>
          <w:szCs w:val="20"/>
          <w:color w:val="auto"/>
        </w:rPr>
      </w:pPr>
      <w:r>
        <w:rPr>
          <w:rFonts w:ascii="Arial" w:cs="Arial" w:eastAsia="Arial" w:hAnsi="Arial"/>
          <w:sz w:val="18"/>
          <w:szCs w:val="18"/>
          <w:color w:val="auto"/>
        </w:rPr>
        <w:t>electronically file or furnish such information with the SEC. Information contained in, or that can be accessed through, our or the SEC's website is not a part of, and is not incorporated into, this report.</w:t>
      </w: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620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spacing w:after="0" w:line="8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Investing in our Class A common stock involves a high degree of risk. You should carefully consider the risks and uncertainties described below, together with all of the other information in this report, including the section titled "Management’s Discussion and Analysis of Financial Condition and Results of Operations," and our consolidated financial statements and the accompanying notes included elsewhere in this report before making an investment decision. The risks and uncertainties described below are not the only ones we face. Additional risks and uncertainties not presently known to us or that we currently deem immaterial may also materially and adversely affect our business operations, results of operations, financial condition or prospects. The trading price of our Class A common stock could decline due to the materialization of any of these risks, and you may lose part or all of your investment. In addition, the risks discussed below include forward-looking statements, and our actual results may differ substantially from those discussed in the forward-looking statements. See the section titled "Special Note Regarding Forward-Looking Statements" for a discussion of such statements and their limitations. Our risk factors are not guarantees that no such conditions exist as of the date of this report and should not be interpreted as an affirmative statement that such risks or conditions have not materialized, in whole or in part.</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Industry and Growth</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historical growth rate may not be sustainable or indicative of our future growth, and a failure to attract and retain billers and financial institutions could materially harm our business.</w:t>
      </w:r>
    </w:p>
    <w:p>
      <w:pPr>
        <w:spacing w:after="0" w:line="3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Our historical growth rate, including in payment volumes, may not be sustainable or indicative of our future growth. We cannot guarantee that we will be able to attract new billers, financial institutions and end-users, retain existing ones or maintain similar growth, despite solid growth in recent years.</w:t>
      </w:r>
    </w:p>
    <w:p>
      <w:pPr>
        <w:spacing w:after="0" w:line="8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Retaining existing revenue is substantially less costly than generating new revenue. A failure to retain revenue from existing billers and financial institutions could adversely impact our operating results, even if offset by attracting new business or increasing platform adoption. Furthermore, a failure to meet our expected growth rates in all of our key performance metrics will likely harm the market price of our Class A common stock.</w:t>
      </w:r>
    </w:p>
    <w:p>
      <w:pPr>
        <w:spacing w:after="0" w:line="10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Our ability to attract new billers and financial institutions, retain revenue from existing ones or increase adoption of our platform is impacted by many factors, including:</w:t>
      </w:r>
    </w:p>
    <w:p>
      <w:pPr>
        <w:spacing w:after="0" w:line="8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transaction fees and our billers’ ability to pass them on to consumers or willingness to absorb them.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timely expand the functionality and scope of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execute timely implementations of new billers and financial institutions and to meet their expectations.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biller and financial institution payment rates and platform usage.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Competitive factors, such as competing solutions, discount pricing and other strategies.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provide high-quality customer support for billers, financial institutions and end-users.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partners, software partners, resellers, referral partners and instant payment network partners.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product offerings or expand into new industries and market segments.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perceived privacy violations, security breaches or other related incidents.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frequency and severity of system outages, technological changes or similar issues.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and acquire or invest in complementary businesses, products or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increase brand awareness and successfully compete with other companies.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internationally.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focus on long-term value, which may lead to strategic decisions that do not maximize short-term revenue or profitability.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both"/>
        <w:spacing w:after="0" w:line="278" w:lineRule="auto"/>
        <w:rPr>
          <w:sz w:val="20"/>
          <w:szCs w:val="20"/>
          <w:color w:val="auto"/>
        </w:rPr>
      </w:pPr>
      <w:r>
        <w:rPr>
          <w:rFonts w:ascii="Arial" w:cs="Arial" w:eastAsia="Arial" w:hAnsi="Arial"/>
          <w:sz w:val="18"/>
          <w:szCs w:val="18"/>
          <w:b w:val="1"/>
          <w:bCs w:val="1"/>
          <w:i w:val="1"/>
          <w:iCs w:val="1"/>
          <w:color w:val="auto"/>
        </w:rPr>
        <w:t>We rely on partnerships for a portion of our revenue; if we fail to establish, grow or maintain them, our ability to compete and our operating results will be impaired.</w:t>
      </w:r>
    </w:p>
    <w:p>
      <w:pPr>
        <w:spacing w:after="0" w:line="3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rely on integration of our end-to-end electronic bill payment solution into third-party software products for a portion of our customer base, which enables us to power such software products’ bill payment capabilities. We also rely on strategic partners, such as JPMorgan Chase, U.S. Bank and a major payroll solutions provider, and industry-expert partners across a number of verticals to refer new billers. Additionally, our patented and proprietary IPN enables partners, such as PayPal, Walmart, Green Dot, a leading global ecommerce retailer, and banks, to embed our solution into their ecosystems through a single point of access. These partnerships drive increased transaction volume and platform adoption.</w:t>
      </w:r>
    </w:p>
    <w:p>
      <w:pPr>
        <w:spacing w:after="0" w:line="11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To grow, we must expand existing and establish new strategic offerings, features and functions on our platform and expand our reach and partnerships for our IPN. This is challenging, especially with financial institutions and large enterprises, as it requires extensive and costly sales and marketing efforts with no guaranteed success. If we are unsuccessful in establishing, growing or maintaining partnerships, our ability to compete could be impaired, and our operating results may suffer. Moreover, the loss of one or more of our largest partnerships could result in the loss of associated biller relationships or payment channels, harming our business, operating results and financial condition.</w:t>
      </w:r>
    </w:p>
    <w:p>
      <w:pPr>
        <w:spacing w:after="0" w:line="9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cannot manage our infrastructure to support future growth and effectively manage our expanding operations, our business and reputation could be harmed.</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growth we have experienced places significant demands on our operational infrastructure. The scalability and flexibility of our platform depend on the functionality of our technology and network infrastructure to handle increased traffic and demand for bandwidth. Increased data processing due to the growth in users and bills processed poses risks, as any problems with data or bill transmission could harm our brand or reputation.</w:t>
      </w:r>
    </w:p>
    <w:p>
      <w:pPr>
        <w:spacing w:after="0" w:line="106"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As our business grows, we must devote additional resources to improving and enhancing the scalability of our operational infrastructure, including customer support, cybersecurity and data protection, risk and compliance operations and professional services. Failure or delays in these efforts could lead to service interruptions, impaired system performance, cybersecurity or privacy exposure, reduced satisfaction and retention, and ultimately reduced revenue growth, loyalty and reputation. Scaling our business is expensive and complex, requires significant management time and may cause inefficiencies or service disruptions. We cannot be sure that infrastructure expansion and improvements will be implemented effectively or timely, which could adversely affect our business, regulatory exposure, reputation, operating results and financial condition.</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Further, we intend to continue expanding our overall business, including headcount, but cannot assure that revenue will grow sufficiently to offset the associated costs. We must also continuously improve our operational and financial controls and reporting procedures as we grow. Management's limited experience managing a large public company may impede effective management of this growth. We also risk over-hiring, over-compensating employees and over-expanding infrastructure, especially during periods of high inflation, which could negatively impact gross profit or operating expenses.</w:t>
      </w:r>
    </w:p>
    <w:p>
      <w:pPr>
        <w:spacing w:after="0" w:line="10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growth, infrastructure development and geographically dispersed workforce also place strains on our corporate culture, which is key to innovation and success. Our dispersed workforce across the U.S., Canada and India makes effective management, culture preservation and rapid execution more difficult. Failure to preserve our culture could limit our ability to innovate, operate effectively, recruit and retain personnel, perform at current levels or execute our business strategy.</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ability to maintain profitability is uncertain due to expected increases in costs that may not be offset by revenue growth or expected benefits from investments.</w:t>
      </w:r>
    </w:p>
    <w:p>
      <w:pPr>
        <w:spacing w:after="0" w:line="58"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We expect to continue expending substantial resources on various initiatives, and the increased costs may fail to generate the expected benefits. These investments include:</w:t>
      </w:r>
    </w:p>
    <w:p>
      <w:pPr>
        <w:spacing w:after="0" w:line="86"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Sales and marketing, including expansion of our sales team and initiatives to drive expansion of our IPN and partner ecosystem.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AI-enabled platform.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and legal compliance and risk management to support growth and new product offerings.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strategic investments.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into new channels, verticals and international markets.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2" w:name="page23"/>
    <w:bookmarkEnd w:id="22"/>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General administration, including increased legal and accounting expenses as a public company.</w:t>
      </w:r>
    </w:p>
    <w:p>
      <w:pPr>
        <w:spacing w:after="0" w:line="11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If our revenue growth is insufficient to offset the expected cost increase, our business, operating results and financial condition will be harmed, and we may not maintain long-term profitability. Specifically, net income and adjusted EBITDA may be adversely impacted by investments in our platform and IPN, increased public company operating costs, integration of future acquisitions, if any, and amortization of related intangible assets.</w:t>
      </w:r>
    </w:p>
    <w:p>
      <w:pPr>
        <w:spacing w:after="0" w:line="10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As the number of billers and financial institutions increases and market penetration rates rise, our growth rate may decline over time. This slowdown could negatively affect investor perception and the market price of our Class A common stock. In that scenario, our business performance will rely more heavily on retaining existing revenue and increasing platform adoption by existing billers and financial institutions.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efforts to large enterprises are complex, costly and unpredictable, which could cause our results to fluctuate.</w:t>
      </w:r>
    </w:p>
    <w:p>
      <w:pPr>
        <w:spacing w:after="0" w:line="14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adoption of our platform by large enterprise billers and financial institutions, in lieu of legacy solutions, in-house technologies or competitor products, is a key factor in our growth and financial performance and involves specific risks, such as longer, unpredictable sales cycles, varying levels of engagement and the need to navigate multilayered approval processes. Our sales efforts require considerable time and expense to evaluate specific organizational needs and sell and educate multiple decision-makers at potential billers and financial institutions about our platform's capabilities and value.</w:t>
      </w:r>
    </w:p>
    <w:p>
      <w:pPr>
        <w:spacing w:after="0" w:line="109"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Because large enterprises impact more consumers, they involve multiple levels of evaluation, specific requirements and often senior management participation. As a result, sales cycles are long and unpredictable, leading to potential fluctuations in our operating results. Decisions by large organizations are influenced by factors not directly related to our platform features, such as projected business growth, economic uncertainty, capital budgets, anticipated cost savings, preference for internal software, perceptions about our business and platform, more favorable competitor terms, prior technology investments and personnel changes during the sales or implementation phases. Decision-makers may also have vested interests in existing solutions, making a sale more difficult. Large organizations also impose wide-ranging ancillary requirements, such as exhaustive security audits for handling sensitive consumer billing and payment data.</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Overall, selling to large enterprises requires extensive effort and a significant investment of human resources, expense and time, including from our senior management, with no guarantee of success. If sales efforts do not yield sufficient revenue to justify our investments, our business, operating results and financial condition could be adversely affected.</w:t>
      </w:r>
    </w:p>
    <w:p>
      <w:pPr>
        <w:spacing w:after="0" w:line="10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Economic risks and inflationary pressures could negatively affect our financial performance, and we may not be able to adjust our pricing accordingly.</w:t>
      </w:r>
    </w:p>
    <w:p>
      <w:pPr>
        <w:spacing w:after="0" w:line="7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Although a significant amount of our business relates to non-discretionary payments, the electronic bill presentment and payment services industry is heavily dependent on the overall level of consumer, business and government spending. We are exposed to general economic conditions that can affect consumer confidence, spending, discretionary income and purchasing habits. A sustained deterioration in economic conditions, a prolonged government shutdown or increases in interest rates may reduce the number or average amount of electronic bill payments on our platform, decreasing our revenue and profit. If billers present fewer electronic bills to consumers, or consumers spend less per transaction, we will process fewer or lower-value transactions, resulting in lower revenue and potentially material adverse impacts on our business, operating results and financial condition.</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U.S. economy experienced prolonged economic uncertainty and inflationary conditions in 2022 and into 2023, followed by partial stabilization in 2024. Although inflation continued to moderate in 2025, the economy was still affected by lingering cost pressures and uneven economic conditions, which negatively affected our financial performance. Despite some improvement, overall economic uncertainty remains elevated in 2026 and could continue to adversely affect our results. Ongoing uncertainty regarding tariffs or trade disputes may further exacerbate these risks.</w:t>
      </w:r>
    </w:p>
    <w:p>
      <w:pPr>
        <w:spacing w:after="0" w:line="109"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In addition, these economic conditions, or a worsening thereof, could cause clients to defer anticipated implementations or reevaluate development of technology resources, which may delay expected revenue recognition. Inflationary pressures also lead to higher average bills, especially in the utility sector, and increased interchange fees. We may be unable to fully adjust our pricing to address these pressures, and our adjustments typically lag behind the impact of inflation on clients, rising bill amounts and increased interchange fees. Additionally, ongoing wage pressures due to inflation are placing short-term pressure on our margins, posing challenges for expense management. Continued economic uncertainty and inflationary conditions could have a material adverse impact on our business, operating results and financial condition.</w:t>
      </w:r>
    </w:p>
    <w:p>
      <w:pPr>
        <w:spacing w:after="0" w:line="117"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An economic downturn could force our billers, financial institutions, partners or their consumers to close or declare bankruptcy, resulting in lower revenue and earnings, and greater exposure to potential credit losses and transaction declines. We also have fixed and other costs, such as rent and salaries, that limit our ability to quickly adjust and respond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8"/>
          <w:szCs w:val="18"/>
          <w:color w:val="auto"/>
        </w:rPr>
        <w:t>to business and economic changes. Changes in economic conditions could have a materially adverse effect on our future revenue, profit, operating results and financial condition.</w:t>
      </w:r>
    </w:p>
    <w:p>
      <w:pPr>
        <w:spacing w:after="0" w:line="8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market in which we operate is competitive, and if we cannot compete effectively, our business, operating results and financial condition could be harmed.</w:t>
      </w:r>
    </w:p>
    <w:p>
      <w:pPr>
        <w:spacing w:after="0" w:line="5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electronic bill presentment and payment services market is fragmented, competitive and constantly evolving. Our primary competitors are legacy solution providers and financial institutions with internal solutions, as well as a number of other electronic bill payment companies offering similar services. With the introduction of new technologies and market entrants, we anticipate intense competition.</w:t>
      </w:r>
    </w:p>
    <w:p>
      <w:pPr>
        <w:spacing w:after="0" w:line="10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Competitors, including legacy providers, new entrants and financial institutions, may internally develop, acquire or partner to expand their offerings, provide more comprehensive solutions or achieve greater economies of scale. They may bundle competing solutions with other offerings, potentially offering them at lower or no additional cost, or pay exit or termination costs to acquire customers. Customer information system providers often leverage their broader relationships to cross-sell bill payment services. Legacy providers offer various payment solutions, including in-person cash payments, check-based mail payments, prior-generation interactive voice response (IVR) telephone-based payments and web-based payments, as well as a variety of point solutions. New entrants, such as payment processing vendors focused on online and mobile payments and mobile wallets, may also enter the market through acquisitions or partnerships.</w:t>
      </w:r>
    </w:p>
    <w:p>
      <w:pPr>
        <w:spacing w:after="0" w:line="117"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When selling to billers, financial institutions or strategic partners with existing solutions, we must demonstrate to their internal stakeholders our platform’s superiority. Furthermore, potential clients in some lower-margin industries are price-sensitive and may choose a lower-cost provider over our more advanced solutions.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compete on several factors:</w:t>
      </w:r>
    </w:p>
    <w:p>
      <w:pPr>
        <w:spacing w:after="0" w:line="14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Product features, quality and breadth and depth of functionality.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Ease of deployment and implementation speed.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Ease of integration with leading billing and enterprise software, customer information systems and banking technology infrastructures.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Ability to automate processes.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Cloud-based delivery architecture.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Advanced security, reliability, customer service and control features.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Data asset size and ability to leverage artificial intelligence to grow faster and smarter.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leadership.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Brand awareness and reputation.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Pricing, total cost of ownership and return on investment.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Consumer satisfaction.</w:t>
      </w:r>
    </w:p>
    <w:p>
      <w:pPr>
        <w:spacing w:after="0" w:line="11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Many competitors have greater name recognition, longer operating histories, more established relationships, larger marketing budgets and greater resources. They may respond more quickly and effectively to new or changing opportunities, technologies, standards and requirements. For these reasons, we may be unable to compete successfully or maintain market acceptance for our platform, which would harm our business, operating results and financial condition.</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Fluctuations in our operating results and shifts in payment mix make forecasting difficult; inability to accurately meet our forecasts could cause our stock price to decline.</w:t>
      </w:r>
    </w:p>
    <w:p>
      <w:pPr>
        <w:spacing w:after="0" w:line="58"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Our growth makes forecasting our future operating results difficult. Our operating results have fluctuated historically and are expected to fluctuate in the future due to many factors largely outside our control. Thus, past results are not indicative of future performance.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Factors that may affect our operating results include:</w:t>
      </w:r>
    </w:p>
    <w:p>
      <w:pPr>
        <w:spacing w:after="0" w:line="14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demand for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new billers and financial institutions and retain and increase adoption by existing ones.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relationships with partners and attract new ones.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accelerate implementation and reduce the time between bookings and revenue recognition.</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payment method preferences and channels by consumers, affecting revenue and gross margin, particularly due to interchange fees.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across biller industries, affecting payment methods and average payment amounts, and thus revenue and gross margin, particularly due to interchange fees.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biller and financial institution preference for cloud-based services due to industry security breaches and incidents, privacy concerns or security or reliability concerns regarding our products.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or delays in purchasing decisions in anticipation of new products or enhancements by us or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biller, financial institution and consumer budgets, and the timing of their budget cycles and purchasing decisions.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and existing billers and financial institutions choosing competitors’ products or developing internal solutions.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development or introduction of new platforms or services that are easier to use or more advanced than ours.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new forms of payment, including cryptocurrencies and blockchain-based transactions.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adoption or retention of more entrenched or rival services in international markets where we compete or plan to compete.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control costs, including operating expenses.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Rising inflation and our ability to adjust pricing and control our costs, including employee wages and benefits and other operating expenses.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payments for operating expenses, particularly research and development and sales and marketing expenses.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recruiting, training, integrating, retaining and motivating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and integration of acquisitions.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domestically and internationally, as well as conditions affecting biller industries.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new accounting pronouncements.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competitive dynamics.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Security breaches, technical difficulties or interruptions to the delivery and use of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Awareness of our brand and reputation.</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widespread health issues, such as pandemics, on our operating results, liquidity, financial condition and key stakeholders.</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Any of these factors, or their cumulative effect, may cause our operating results to vary significantly. Additionally, we incur significant expenses operating as a public company. If our business planning assumptions are incorrect, our revenue may fail to meet expectations and we may not achieve profitability goals. If our quarterly operating results fall below investor or analyst expectations, or if our financial guidance is lowered, the price of our Class A common stock could substantially decline, potentially leading to costly securities class action lawsuits.</w:t>
      </w:r>
    </w:p>
    <w:p>
      <w:pPr>
        <w:spacing w:after="0" w:line="10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Furthermore, a substantial majority of our revenue is derived from transaction fees, and most bills on our platform are paid via credit or debit cards. We generally receive more revenue from card-based payments than from electronic check and automated clearing house (ACH) payments. Therefore, if more consumers shift to paying bills by electronic check, ACH or other methods with lower transaction fees, our operating results could be materially impacted.</w:t>
      </w:r>
    </w:p>
    <w:p>
      <w:pPr>
        <w:spacing w:after="0" w:line="9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depend on third-party payment processors, sponsor banks, and printers; service interruptions from these providers could harm our business.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ind w:firstLine="494"/>
        <w:spacing w:after="0" w:line="247" w:lineRule="auto"/>
        <w:rPr>
          <w:sz w:val="20"/>
          <w:szCs w:val="20"/>
          <w:color w:val="auto"/>
        </w:rPr>
      </w:pPr>
      <w:r>
        <w:rPr>
          <w:rFonts w:ascii="Arial" w:cs="Arial" w:eastAsia="Arial" w:hAnsi="Arial"/>
          <w:sz w:val="18"/>
          <w:szCs w:val="18"/>
          <w:color w:val="auto"/>
        </w:rPr>
        <w:t>We rely on third-party payment processors, including PayPal’s Braintree service, sponsor banks and third-party printers to process bill payments across our platform, including credit and debit cards, ACH, eChecks and PayPal. The per-transaction settlement fees we pay to these processors constitute a significant portion of our cost of revenue. These processors also collect and store payment card information and provide certain fraud detection services.</w:t>
      </w:r>
    </w:p>
    <w:p>
      <w:pPr>
        <w:spacing w:after="0" w:line="106"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Our multiyear agreements with these processors mandate compliance with card network security standards and guidelines, and require us to reimburse them for fines assessed by payment networks due to any rule violations. If a processor terminates its relationship with us, due to our failure to meet obligations or for other reasons, or refuses to renew on commercially reasonable terms, we would need to engage alternatives. This could lead to service interruptions and significant expenses. Such interruptions could damage our reputation and relationships with existing and potential billers and financial institutions, and may obligate us to provide service credits or refunds. Processors have experienced, and may continue to experience, outages that temporarily impact our transaction processing capability. If a processor fails to meet our standards, is compromised or suffers errors, outages or vulnerabilities, we could temporarily lose the ability to process transactions until remedied or a replacement is engaged. Finally, if a third-party processor experiences a data breach or privacy violation, this could result in legal, regulatory or contractual exposure, reputational harm or other associated liability or additional costs or losses.</w:t>
      </w:r>
    </w:p>
    <w:p>
      <w:pPr>
        <w:spacing w:after="0" w:line="10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use of artificial intelligence (AI) and machine learning (ML) presents specific risks that could harm our business and reputation.</w:t>
      </w:r>
    </w:p>
    <w:p>
      <w:pPr>
        <w:spacing w:after="0" w:line="7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Although not material at this time, our use of AI and ML is growing, and their application in our biller platform and integration into our product offerings can present risks. Flaws in AI algorithms, limitations in model design or insufficient or biased datasets could undermine the accuracy or reliability of insights, predictions or analysis produced by AI-enabled features. Data practices by us or others that are deemed inappropriate or controversial could impair the acceptance of AI or ML solutions or subject us to lawsuits, regulatory inquiries or enforcement actions.</w:t>
      </w:r>
    </w:p>
    <w:p>
      <w:pPr>
        <w:spacing w:after="0" w:line="68"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AI and ML capabilities are designed to augment human decision-making and operational efficiency and are not used to autonomously authorize payments, release funds or override established compliance, security or financial controls. However, the use of AI may increase cybersecurity, privacy, intellectual property, operational and technological risks, including risks related to data protection, model performance, third-party technology dependencies and misuse or misrepresentation of AI-generated outputs. The technologies, regulatory expectations and use cases for AI are rapidly developing, making it difficult to predict all related legal, operational or technological risks.</w:t>
      </w:r>
    </w:p>
    <w:p>
      <w:pPr>
        <w:spacing w:after="0" w:line="68"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The use of AI is subject to ongoing and evolving scrutiny by various international and U.S. regulatory agencies, including the SEC and FTC. Numerous AI-related bills are introduced in state legislatures every year, and a number of states have enacted AI-related laws or regulations. At the same time, multiple Presidential executive orders have been issued, some of which purport to preempt such state laws, and which are currently being challenged. Thus, the legal and regulatory landscape around AI is uncertain and continuing to rapidly evolve to address both the benefits and risks of the development and deployment of AI. Common risks around the use of AI in certain contexts may include cybersecurity, privacy, accuracy, bias/discrimination and intellectual property. As governments continue to regulate, limit or restrict the use of AI, or impose additional compliance requirements that could increase costs or reduce the usability or effectiveness of our products and services, these deficiencies and regulatory challenges could subject us to competitive harm, legal liability and brand or reputational harm.</w:t>
      </w:r>
    </w:p>
    <w:p>
      <w:pPr>
        <w:spacing w:after="0" w:line="75"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In addition, many of our customers require contractual representations, warranties and indemnities related to our use of AI and ML. If we fail to comply with these obligations, or if AI-related functionality does not perform as expected, we could face legal liability, contractual termination, competitive harm and damage to our brand and reputation, which could adversely affect our financial performance. Furthermore, managing these same risks downstream from a supply chain perspective with respect to third-party vendors of products and services, particularly as our upstream customers require AI-related contractual protections and warranties, presents similar challenges.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 innovative and evolving market, and slow or unexpected development could negatively impact our revenue.</w:t>
      </w:r>
    </w:p>
    <w:p>
      <w:pPr>
        <w:spacing w:after="0" w:line="14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electronic bill presentment and payment market may develop more quickly or differently than expected. Our main competition remains legacy processes, such as physical bills, checks and non-scalable IVR and similar systems, and internally developed financial institution systems, as well as a number of other electronic bill payment companies offering similar services. Our success depends substantially on the widespread adoption of our cloud-based platform as an alternative to these existing solutions and adoption by billers not currently using any such solutions.</w:t>
      </w:r>
    </w:p>
    <w:p>
      <w:pPr>
        <w:spacing w:after="0" w:line="95"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If the market does not evolve as anticipated, or if we cannot expand our platform to meet its demands, our revenue may decline or fail to grow. Some organizations may be reluctant to use our platform due to concerns about implementation costs, uncertainty over cloud-based reliability and security or lack of awareness of our platform’s benefits.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left="500"/>
        <w:spacing w:after="0"/>
        <w:rPr>
          <w:sz w:val="20"/>
          <w:szCs w:val="20"/>
          <w:color w:val="auto"/>
        </w:rPr>
      </w:pPr>
      <w:r>
        <w:rPr>
          <w:rFonts w:ascii="Arial" w:cs="Arial" w:eastAsia="Arial" w:hAnsi="Arial"/>
          <w:sz w:val="18"/>
          <w:szCs w:val="18"/>
          <w:color w:val="auto"/>
        </w:rPr>
        <w:t>Our growth depends on several key factors:</w:t>
      </w:r>
    </w:p>
    <w:p>
      <w:pPr>
        <w:spacing w:after="0" w:line="14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Prospective billers' and financial institutions’ awareness of our platform and our reputation.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completion, introduction and market acceptance of platform enhancements, new payment methods or new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marketing programs.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our platform and the ability of billers to pass on transaction costs to consumers.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solutions, including those that may offer superior, more efficient or secure solutions at lower prices.</w:t>
      </w:r>
    </w:p>
    <w:p>
      <w:pPr>
        <w:spacing w:after="0" w:line="11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electronic bill presentment and payment services market is subject to ongoing technological change, evolving industry standards and payment methods, changing regulations and shifting biller, financial institution and consumer needs. If we fail to adequately adapt to these rapidly changing requirements, our products may become less competitive and our growth rate could decline.</w:t>
      </w:r>
    </w:p>
    <w:p>
      <w:pPr>
        <w:spacing w:after="0" w:line="8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business success depends on our ability to adapt and respond effectively and on a timely basis. If we fail to enhance our platform, add new payment methods or develop and integrate new products that keep pace with technological and regulatory change, our business, operating results and financial condition could be adversely affected. Additionally, modifying our platform to meet these needs also increases research and development expenses. Any of these issues could reduce demand, lead to dissatisfaction and adversely affect our business.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risk management efforts may be ineffective against fraudulent activities, exposing us to material financial losses, liability and reputational harm.</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provide a software platform that automates the entire bill payment lifecycle. We are responsible for verifying biller identity and monitoring transactions for fraud. We and our billers, financial institutions and partners are targeted by parties seeking to commit financial fraud using evolving techniques such as stolen identities and bank accounts, compromised email accounts, insider fraud, fake businesses and customers, account takeover, false applications and check fraud.</w:t>
      </w:r>
    </w:p>
    <w:p>
      <w:pPr>
        <w:spacing w:after="0" w:line="93"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risk management policies, procedures, techniques and processes may be insufficient to identify all risks, prevent and mitigate identified risks or identify future risks. Furthermore, errors in judgment by employees, agents, subcontractors or vendors, or flaws in the software-driven and highly automated nature of our platform, could result in large financial losses. As platform usage grows, our exposure to material risk of losses from a single or small number of users increases.</w:t>
      </w:r>
    </w:p>
    <w:p>
      <w:pPr>
        <w:spacing w:after="0" w:line="10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current business and anticipated growth place significant demands on our risk management, requiring us to continuously invest significant resources to develop and improve our infrastructure, policies, procedures, techniques and processes. As fraud techniques evolve, we may need to modify our products or services. As our business grows and becomes more complex, our ability to forecast and carry appropriate reserves for fraud losses may decrease. Such fraudulent activities can also expose us to civil and criminal liability, governmental and regulatory sanctions and breaches of contractual obligations to partners.</w:t>
      </w:r>
    </w:p>
    <w:p>
      <w:pPr>
        <w:spacing w:after="0" w:line="11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lose our founder and chief executive officer or other key management, or cannot attract and retain qualified executives and employees, our business may be harmed.</w:t>
      </w:r>
    </w:p>
    <w:p>
      <w:pPr>
        <w:spacing w:after="0" w:line="5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Our success and future growth depend on the continued services of our management team and key employees. Our founder, chairman, president and chief executive officer, Dushyant Sharma, is critical to overall management, product development, partnerships, culture and strategic direction. Changes in our management team could disrupt our business.</w:t>
      </w:r>
    </w:p>
    <w:p>
      <w:pPr>
        <w:spacing w:after="0" w:line="10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loss of our founder and chief executive officer, other senior management or key employees could harm our business, and we may not be able to find timely or adequate replacements. We must attract and retain highly qualified personnel, including executive officers, software developers and compliance and risk management staff, to execute our strategy. Competition for this talent is intense and increasing. Many competing companies have greater resources and can offer substantially greater compensation.</w:t>
      </w:r>
    </w:p>
    <w:p>
      <w:pPr>
        <w:spacing w:after="0" w:line="10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Additionally, a new or revised visa program, particularly one limiting H1-B and other visas, may impact our ability to recruit, hire, retain or effectively collaborate with qualified personnel, including those with expertise in AI, ML, payment systems and risk management, which could adversely affect our business, operating results and financial condition. Failure to attract, develop and integrate new personnel, or to retain and motivate current personnel, would adversely affect our growth prospects.</w:t>
      </w:r>
    </w:p>
    <w:p>
      <w:pPr>
        <w:spacing w:after="0" w:line="95" w:lineRule="exact"/>
        <w:rPr>
          <w:sz w:val="20"/>
          <w:szCs w:val="20"/>
          <w:color w:val="auto"/>
        </w:rPr>
      </w:pPr>
    </w:p>
    <w:p>
      <w:pPr>
        <w:jc w:val="center"/>
        <w:ind w:right="80"/>
        <w:spacing w:after="0" w:line="441" w:lineRule="auto"/>
        <w:rPr>
          <w:sz w:val="20"/>
          <w:szCs w:val="20"/>
          <w:color w:val="auto"/>
        </w:rPr>
      </w:pPr>
      <w:r>
        <w:rPr>
          <w:rFonts w:ascii="Arial" w:cs="Arial" w:eastAsia="Arial" w:hAnsi="Arial"/>
          <w:sz w:val="18"/>
          <w:szCs w:val="18"/>
          <w:b w:val="1"/>
          <w:bCs w:val="1"/>
          <w:i w:val="1"/>
          <w:iCs w:val="1"/>
          <w:color w:val="auto"/>
        </w:rPr>
        <w:t xml:space="preserve">Failure to provide high-quality customer support could damage our reputation and business, or negatively impact our profitability. </w:t>
      </w: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ind w:firstLine="494"/>
        <w:spacing w:after="0" w:line="253" w:lineRule="auto"/>
        <w:rPr>
          <w:sz w:val="20"/>
          <w:szCs w:val="20"/>
          <w:color w:val="auto"/>
        </w:rPr>
      </w:pPr>
      <w:r>
        <w:rPr>
          <w:rFonts w:ascii="Arial" w:cs="Arial" w:eastAsia="Arial" w:hAnsi="Arial"/>
          <w:sz w:val="18"/>
          <w:szCs w:val="18"/>
          <w:color w:val="auto"/>
        </w:rPr>
        <w:t>Billers, financial institutions and their consumers rely on our customer support to resolve issues and realize our platform's full benefits. High-quality support is crucial for retention and increasing adoption by existing clients. Support is primarily provided via email, chat and through the platform for clients, and over the telephone for consumers.</w:t>
      </w:r>
    </w:p>
    <w:p>
      <w:pPr>
        <w:spacing w:after="0" w:line="10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If we fail to resolve issues quickly or provide effective ongoing support, or if our support is insufficient, our ability to retain and acquire clients and increase adoption could suffer, and our reputation could be harmed. Complaints or negative publicity about our customer service could diminish confidence and use of our products. Effective customer service requires significant expenses, which if not managed properly, could negatively impact profitability. If we cannot meet support needs during our current service hours, we may need to increase coverage or methods, further reducing profitability.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transaction fees are unacceptable to clients or consumers, our financial condition and growth could be harmed.</w:t>
      </w:r>
    </w:p>
    <w:p>
      <w:pPr>
        <w:spacing w:after="0" w:line="14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generate substantially all of our revenue from per-transaction fees charged to billers and financial institutions or their customers. As the market matures or competitors introduce rival products and services, we may face pricing pressure and be unable to renew agreements or attract new clients at desired fee levels. Our pricing strategy for new products may also be unappealing, or competitors may bundle services at lower prices. If this occurs, we may have to change strategies or reduce prices, harming our business, operating results and growth prospects.</w:t>
      </w:r>
    </w:p>
    <w:p>
      <w:pPr>
        <w:spacing w:after="0" w:line="109"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 significant portion of our revenue comes from billers who pass transaction fees on to consumers. While common in sectors like utilities and municipalities, these fees often face negative consumer perception and regulatory limitations. This could lead to heightened regulatory scrutiny and further pricing pressure.</w:t>
      </w:r>
    </w:p>
    <w:p>
      <w:pPr>
        <w:spacing w:after="0" w:line="90"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Failure to meet our service level commitments could lead to credits, refunds or contract terminations, adversely affecting our revenue and financial condition.</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Many of our agreements with our clients contain service level commitments, including those for data accuracy and support response time. If we fail to meet these commitments or the platform experiences extended downtime, we may be contractually obligated to provide service credits or refunds. Clients could also shift away from us as their exclusive provider or terminate contracts, adversely affecting future revenue. Additionally, extended service outages could hurt our reputation, revenue and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expansion exposes us to a variety of operational, regulatory and financial risks.</w:t>
      </w:r>
    </w:p>
    <w:p>
      <w:pPr>
        <w:spacing w:after="0" w:line="129"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 component of our long-term growth strategy is to expand our operations internationally, targeting international billers, financial institutions and partners. Although we currently generate substantially all of our revenue in the U.S., we have billers with international consumers and financial institutions with international customers. There is no guarantee that our expansion efforts will succeed, or that we can grow our international footprint without unexpected delays or expenses. If we invest substantial resources and fail to expand successfully, cost-effectively and timely, our business and operating results may suffer.</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long-term international strategy involves a variety of risks, including:</w:t>
      </w:r>
    </w:p>
    <w:p>
      <w:pPr>
        <w:spacing w:after="0" w:line="14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regulations and our ability to comply with and obtain relevant licenses.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Currency exchange rate fluctuations and the effect on revenue and expenses, as well as the cost and risk of hedging transactions.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Reduction in cross-border trade and other adverse impacts from trade sanctions or changes in trade relations, laws or regulations.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application of more stringent regulations on payments, privacy, data protection, information security and the authorized use of or access to sensitive and personal data.</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tax laws.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Acquisitions and strategic investments could be difficult to identify and integrate, divert management, disrupt our business and dilute stockholder value.</w:t>
      </w:r>
    </w:p>
    <w:p>
      <w:pPr>
        <w:spacing w:after="0" w:line="5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As part of our long-term growth plans, we expect to acquire or invest in additional businesses, products or technologies. Acquisitions may divert management’s focus, cause us to incur expenses in identifying and pursuing targets and require us to spend cash, issue additional equity or incur debt, amortize intangible assets or incur goodwill or asset write-offs.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right="20" w:firstLine="494"/>
        <w:spacing w:after="0" w:line="271" w:lineRule="auto"/>
        <w:rPr>
          <w:sz w:val="20"/>
          <w:szCs w:val="20"/>
          <w:color w:val="auto"/>
        </w:rPr>
      </w:pPr>
      <w:r>
        <w:rPr>
          <w:rFonts w:ascii="Arial" w:cs="Arial" w:eastAsia="Arial" w:hAnsi="Arial"/>
          <w:sz w:val="18"/>
          <w:szCs w:val="18"/>
          <w:color w:val="auto"/>
        </w:rPr>
        <w:t>Integrating an acquired business or technology is risky and may require unexpected investment or time. Completed and future acquisitions may result in unforeseen difficulties and expenditures related to:</w:t>
      </w:r>
    </w:p>
    <w:p>
      <w:pPr>
        <w:spacing w:after="0" w:line="8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Incorporating new businesses and technologies into our infrastructure.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Consolidating operational and administrative functions.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Coordinating outreach to our community.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morale and culture and retaining and integrating key employees.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or developing controls, procedures and policies, including effective internal control over financial reporting and disclosure controls and procedures.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and assuming liabilities from the acquired business's pre-acquisition activities, such as legal violations, intellectual property issues and taxes.</w:t>
      </w:r>
    </w:p>
    <w:p>
      <w:pPr>
        <w:spacing w:after="0" w:line="73"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may not achieve the expected benefits from acquisitions, or in the time frame anticipated. Acquisitions could also lead to dilutive equity issuances or increased debt, unfavorable accounting treatment, exposure to third-party claims, including intellectual property claims or unexpected litigation with the counter-parties. We may not generate sufficient returns to offset acquisition costs. If an acquired business fails to meet our expectations, our business, operating results and financial condition may suffer. Negative perceptions of acquisitions by analysts or investors could also cause our stock price to decline.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and enhance our brand could adversely affect our business and financial condition.</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Maintaining and enhancing the Paymentus brand is important for marketing to new clients and increasing adoption by existing ones.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Successful brand management depends on:</w:t>
      </w:r>
    </w:p>
    <w:p>
      <w:pPr>
        <w:spacing w:after="0" w:line="113"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marketing and demand generation.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reliable products that meet client and consumer needs at competitive prices.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client and consumer trust.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new functionality and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differentiating our products from competitors.</w:t>
      </w:r>
    </w:p>
    <w:p>
      <w:pPr>
        <w:spacing w:after="0" w:line="157"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promotion activities may not generate awareness or yield increased revenue that offsets expenses. Negative publicity about our industry or our competitors, us, our product quality, risk management, privacy and security practices, litigation, regulatory activity or client experience could harm our reputation. If we fail to successfully promote and maintain our brand, our business, operating results and financial condition could be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growth, and it may not be available on favorable terms, if at all.</w:t>
      </w:r>
    </w:p>
    <w:p>
      <w:pPr>
        <w:spacing w:after="0" w:line="129"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have funded our operations primarily through equity financings and cash from operations. We intend to continue making investments that may require us to engage in equity, equity-linked or debt financings to secure additional funds, particularly in connection with inorganic growth opportunities. Additional financing may not be available on favorable terms, or at all. The high volatility of other technology companies’ stock prices may also reduce our ability to access capital on favorable terms and adversely impact the market price of our Class A common stock. If adequate funds are unavailable, we may be unable to invest in future growth opportunities, harming our business, operating results, financial condition, and prospects.</w:t>
      </w:r>
    </w:p>
    <w:p>
      <w:pPr>
        <w:spacing w:after="0" w:line="11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Incurring debt would give debt holders rights senior to those of Class A common stock holders and could restrict our operations, including our ability to pay future dividends. Issuing additional equity or convertible securities would cause dilution to stockholders, and the new securities could have rights senior to our Class A common stock. Since the timing, amount or nature of future issuances is unpredictable, stockholders bear the risk of future debt or equity issuances, reducing the market price of our Class A common stock and diluting their interests.</w:t>
      </w:r>
    </w:p>
    <w:p>
      <w:pPr>
        <w:spacing w:after="0" w:line="11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Adverse developments in the financial services industry, including events involving liquidity, defaults or non-performance, could adversely affect our business.</w:t>
      </w:r>
    </w:p>
    <w:p>
      <w:pPr>
        <w:spacing w:after="0" w:line="58"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Events involving limited liquidity, defaults, non-performance or other adverse developments affecting our customers, financial institutions, transactional counterparties or the financial services industry generally, or concerns or rumors about such events, may lead to market-wide liquidity problems, disruptions in accessing our cash balances, increased contractual risk and increased settlement risk.</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ind w:firstLine="494"/>
        <w:spacing w:after="0" w:line="242"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and credit arrangements could be significantly impaired by factors affecting us, the financial services industry or the general economy. These factors include actual or perceived events including liquidity constraints or failures, such as the market-wide liquidity problems following the 2023 failures of Silicon Valley Bank, Signature Bank and Silvergate Capital Corp., as well as the inability to perform obligations under settlement or credit agreements, disruptions in the financial services industry or markets, or negative expectations about the prospects for companies in the financial services industry.</w:t>
      </w:r>
    </w:p>
    <w:p>
      <w:pPr>
        <w:spacing w:after="0" w:line="11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Investor concerns about U.S. or international financial systems could result in less favorable commercial financing terms, such as higher interest rates or costs and tighter financial or operational covenants, or systemic limitations on access to credit, making financing difficult to obtain. Any decline in available funding or access to liquidity could adversely impact our ability to meet operating expenses and financial obligations, potentially resulting in breaches of contractual obligations or violations of wage and hour laws.</w:t>
      </w:r>
    </w:p>
    <w:p>
      <w:pPr>
        <w:spacing w:after="0" w:line="93"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If our regulated customers directly experience events similar to the 2023 bank events, it could result in settlement risk, breach of contractual obligations and losses that may or may not be recoverable. Any of these impacts could have material adverse effects on our liquidity, business, financial condition or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Widespread health issues or pandemics, natural disasters or man-made problems could materially harm our business operations.</w:t>
      </w:r>
    </w:p>
    <w:p>
      <w:pPr>
        <w:spacing w:after="0" w:line="14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are subject to risks from widespread health issues, such as the COVID-19 pandemic, which can impact the movement of people, goods and services. These risks include market volatility, economic downturns, remote workforce impacts on productivity and sales, increased security breach risks and disruption of client operations. Any such risks could materially impact our business, operating results and financial condition.</w:t>
      </w:r>
    </w:p>
    <w:p>
      <w:pPr>
        <w:spacing w:after="0" w:line="93"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headquarters are located in Charlotte, North Carolina, and we have a large employee presence in the U.S., Canada and India. Natural disasters, such as earthquakes, hurricanes, floods and fires, or man-made problems, such as power loss, telecommunications failure, vandalism, cyber-attacks, war or terrorism, affecting our operations, significant customer presence or data centers could disrupt our business. This could lead to inability to continue operations, reduced transaction volumes, system interruptions, reputational harm, delays in development, service interruptions, data breaches and financial impact. Remote work arrangements increase difficulty in continuing business if employees' ability to work remotely is impacted.</w:t>
      </w:r>
    </w:p>
    <w:p>
      <w:pPr>
        <w:spacing w:after="0" w:line="11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increased prevalence of malware, viruses, hacking, ransomware, denial-of-service attacks and other security incidents poses risks to maintaining performance, reliability and security of our solutions and infrastructure, impacting our ability to retain and attract billers, financial institutions, partners and consumers.</w:t>
      </w:r>
    </w:p>
    <w:p>
      <w:pPr>
        <w:spacing w:after="0" w:line="10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Our insurance may be insufficient to cover losses from disasters or cyber-attacks. The successful assertion of a large claim that exceeds our coverage, changes in insurance policies, such as premium increases or higher deductibles, or denials of coverage could materially adversely affect our business, operating results, financial condition and reputation.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litigation, investigations or similar matters could adversely affect our business and result in substantial costs.</w:t>
      </w:r>
    </w:p>
    <w:p>
      <w:pPr>
        <w:spacing w:after="0" w:line="14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have been, and may in the future become, subject to legal proceedings, claims, investigations or similar matters in the ordinary course of business, such as commercial disputes with clients or their consumers, employment claims or claims regarding misappropriation of consumer data. Litigation is costly and time-consuming, and diverts management’s attention and resources.</w:t>
      </w:r>
    </w:p>
    <w:p>
      <w:pPr>
        <w:spacing w:after="0" w:line="10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Insurance may not continue to be available on favorable terms, cover such matters or provide sufficient payments. An uninsured or underinsured claim could result in unanticipated costs, reducing our operating results and potentially lowering the market price of our Class A common stock due to reduced investor expectations.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Failure to comply with extensive and evolving financial services, anti-corruption and other laws could materially harm our business.</w:t>
      </w:r>
    </w:p>
    <w:p>
      <w:pPr>
        <w:spacing w:after="0" w:line="7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business operates in a highly regulated, complex and constantly evolving environment, which includes local, state, federal and international laws, rules, licensing schemes and industry standards. These regulations govern critical areas such as payments services (including payment processing and settlement), anti-money laundering, combating terrorist financing, escheatment, international sanctions regimes, anti-corruption and anti-bribery, export and import controls, labor and employment, competition and securities law. These laws, rules, regulations, licensing schemes and standards are enforced by multiple authorities and governing bodies in the U.S., including the Department of the Treasury, self-regulatory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spacing w:after="0" w:line="239" w:lineRule="auto"/>
        <w:rPr>
          <w:sz w:val="20"/>
          <w:szCs w:val="20"/>
          <w:color w:val="auto"/>
        </w:rPr>
      </w:pPr>
      <w:r>
        <w:rPr>
          <w:rFonts w:ascii="Arial" w:cs="Arial" w:eastAsia="Arial" w:hAnsi="Arial"/>
          <w:sz w:val="18"/>
          <w:szCs w:val="18"/>
          <w:color w:val="auto"/>
        </w:rPr>
        <w:t>organizations and numerous state and local agencies. Currently, we do not possess any permits or licenses from financial regulators in the U.S., and we believe the licensing requirements of federal and state agencies that regulate or monitor banks or other types of providers of electronic commerce services do not apply to us. While we have received confirmation from multiple state regulators that we are not required to obtain money transmitter licenses in those states, there is a material risk that a state regulator may misinterpret our services and find we are offering unlicensed money transmission. Moreover, the scope and applicability of money transmission related laws are changing, as evidenced by the handful of states that enacted updated money transmission statutes in 2025 based on the Model Money Transmission Modernization Act. Furthermore, the banks, payment networks and card networks that we partner with operate in a highly regulated landscape, and there is a risk that those regulations, such as the Electronic Fund Transfer Act and the Bank Secrecy Act, could become directly applicable to us. In Canada, we are registered as a Payment Service Provider with the Bank of Canada and a Money Service Business with FINTRAC, subjecting us to increased scrutiny under Canadian payments regulations.</w:t>
      </w:r>
    </w:p>
    <w:p>
      <w:pPr>
        <w:spacing w:after="0" w:line="11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As we expand into new products and solutions offerings, or into new jurisdictions, and our business continues to develop, we may become subject to additional laws, such as those governing lending or loan brokering or money transmission.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95"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Furthermore, the laws and regulations that govern us are subject to constant change, evolving interpretations and new legislation and executive orders, making it difficult to predict their application to our operations, new products and international expansion. Changes in the U.S. administration, including leadership shifts at agencies like the SEC and CFPB, create uncertainty regarding policy priorities and may lead to increased regulatory enforcement activity. This limits our ability to respond quickly and increases compliance costs. In addition, during 2025, the U.S. Supreme Court overturned a decision that required courts to defer to reasonable agency interpretations in construing ambiguous statutes. As a consequence of that decision, courts, not federal agencies, now have final interpretative authority. That change has increased litigation risk while reducing regulatory predictability.</w:t>
      </w:r>
    </w:p>
    <w:p>
      <w:pPr>
        <w:spacing w:after="0" w:line="117"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Any failure or perceived failure by us or our employees or contractors to comply with existing or new laws, or changes to their interpretation, could lead to investigations and legal proceedings. This exposure includes significant governmental fines and penalties (criminal and civil), litigation, license suspension or revocation, forfeiture of significant assets and severe reputational damage. Such findings could force us to cease conducting certain aspects of our business, change our business practices in certain jurisdictions or incur substantial costs and delays in obtaining or maintaining required licenses, all of which would materially and adversely affect our business and financial condition.</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required to comply with payment network operating rules, and changes to these rules or associated fees could harm our business.</w:t>
      </w:r>
    </w:p>
    <w:p>
      <w:pPr>
        <w:spacing w:after="0" w:line="58"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Our operations depend on adherence to the operating rules and standards set by payment networks, such as Visa, Mastercard, American Express, NACHA and INTERAC, including the Payment Card Industry Data Security Standards (PCI-DSS). These rules govern a variety of areas, including how consumers may use their cards, surcharging limitations, the security features of cards, security standards for processing, data protection, information security and allocation of liability in the event of a data breach. The payment networks set and interpret these operating rules, and they could adopt new rules (such as NACHA's implementation of new rules and requirements relating to enhanced fraud detection, risk management and the overall security of electronic payments) or interpret existing rules in a way that is difficult, impossible or costly for us or our processors to implement. Any violation of these rules could result in us being directly liable or required to reimburse service providers for fines, penalties or the suspension of our registration or ability to process payments through the networks, or cause partners to cease using or referring our services or existing billers and partners to terminate their relationships with us. Furthermore, from time to time, these networks increase the fees that they charge payment processors. If competitive practices prevent us from passing these higher fees along to our billers, we may be forced to absorb all or a portion of the increases, which would increase our operating costs and reduce our earnings. Regulatory scrutiny of interchange, surcharging and other fees could also require greater pricing transparency or fee limitations, potentially leading to increased price-based competition, lower margins and higher rates of biller attrition, as well as regulatory fines or penalties. Any of the foregoing could materially adversely impact our business, operating results and financial condition.</w:t>
      </w:r>
    </w:p>
    <w:p>
      <w:pPr>
        <w:spacing w:after="0" w:line="12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Actual or perceived failure to comply with data privacy, data protection and information security laws could result in litigation, fines and reputational harm.</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billers, financial institutions and consumers store personal and business information, financial information and other sensitive information on our platform. In addition, we receive, store, handle, transmit, use and otherwise process personal and business information, financial information and other sensitive data, subjecting us to contractual obligations, industry standard requirements and a complex, rapidly evolving global framework of laws related to privacy, data protection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spacing w:after="0" w:line="253" w:lineRule="auto"/>
        <w:rPr>
          <w:sz w:val="20"/>
          <w:szCs w:val="20"/>
          <w:color w:val="auto"/>
        </w:rPr>
      </w:pPr>
      <w:r>
        <w:rPr>
          <w:rFonts w:ascii="Arial" w:cs="Arial" w:eastAsia="Arial" w:hAnsi="Arial"/>
          <w:sz w:val="18"/>
          <w:szCs w:val="18"/>
          <w:color w:val="auto"/>
        </w:rPr>
        <w:t>and information security. Finally, our direct collection, use, sharing and other processing of personal information from customers, potential customers, website visitors and others may be subject to international, federal, state or industry sector-specific requirements. This framework includes:</w:t>
      </w:r>
    </w:p>
    <w:p>
      <w:pPr>
        <w:spacing w:after="0" w:line="101" w:lineRule="exact"/>
        <w:rPr>
          <w:sz w:val="20"/>
          <w:szCs w:val="20"/>
          <w:color w:val="auto"/>
        </w:rPr>
      </w:pPr>
    </w:p>
    <w:p>
      <w:pPr>
        <w:jc w:val="both"/>
        <w:ind w:left="102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U.S. federal laws governing the security, collection, processing, storage, use, disclosure and other processing of certain types of data, such as the Electronic Communications Privacy Act, the Computer Fraud and Abuse Act, the Gramm Leach Bliley Act and others.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Federal Trade Commission and state attorneys general interpretations of consumer protection laws.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State and local laws, such as the CCPA, as amended by the CPRA in California, which broadly defines personal information, gives California residents expanded privacy rights and protections, including the right to access and delete certain personal information or targeted advertising, as well as the right to opt-out of certain sales of personal information, and provides for civil penalties for violations and a private right of action for data breaches. Amended regulations have also addressed the use of personal information with respect to AI technologies. This has prompted similar laws in a number of jurisdictions, including approximately 20 other states.</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International regulations, such as the European Union’s GDPR, which imposes robust obligations, heavy documentation requirements and potential administrative fines of up to the greater of €20 million or 4% of total global turnover for non-compliance, in addition to potential civil litigation claims. Several other countries have followed suit with similar requirements, such as India’s Digital Personal Data Protection Act, which began a phased implementation date starting in November 2025, as well as around 140 to 160 countries and jurisdictions around the globe with comprehensive data protection laws.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39"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increasing focus by legislators, courts and regulators on the collection, use and sharing of data by websites. This includes comprehensive U.S. state privacy laws such as CCPA in California or the CPA in Colorado, which now require enhanced opt-out measures (such as honoring Global Privacy Control and other universal opt-out mechanisms). There are also targeted international laws, such as the European Union’s e-Privacy directive, which regulates cookies and other ad-tracking technologies. Finally, there is increased litigation exposure in California, Florida and other states under recent and evolving interpretations of existing wiretapping laws such as the California Invasion of Privacy Act, which have been expanded to include the use of cookies, pixels and third-party ad-tracking technologies, and which carry significant statutory penalties. This results in potential exposure to companies regarding their use of such technologies and their implementation of safeguards such as cookie banners or consent management platforms.</w:t>
      </w:r>
    </w:p>
    <w:p>
      <w:pPr>
        <w:spacing w:after="0" w:line="74"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HITECH, and related state laws regulating business associates, like us, that perform certain services involving the use or disclosure of individually identifiable health information for covered entities.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Self-regulatory standards imposed by privacy advocates and industry groups.</w:t>
      </w:r>
    </w:p>
    <w:p>
      <w:pPr>
        <w:spacing w:after="0" w:line="116"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scope and interpretation of these laws are often uncertain, conflicting or inconsistent, and rapidly evolving, which may require us to modify our data collection practices and incur substantial costs. Additionally, our billers, financial institutions or partners may be subject to differing privacy laws, rules and legislation, which may mean that they require us to be bound by varying contractual requirements applicable to certain other jurisdictions. Any actual or perceived failure to comply with these laws, regulations, policies or industry standards could result in governmental investigations, substantial enforcement actions, significant fines and penalties, costly litigation (including class actions) or indemnification exposure, and adverse publicity, which could severely impact our reputation and ability to develop new functionality. If we are unable to comply with these regulations, we may be forced to discontinue certain products or fundamentally change our business activities, which would negatively affect our business and operating results.</w:t>
      </w:r>
    </w:p>
    <w:p>
      <w:pPr>
        <w:spacing w:after="0" w:line="10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and our clients' communications with consumers are subject to laws regulating telephone and email marketing, and non-compliance could lead to significant penalties.</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platform enables our clients and partners to communicate with consumers via email, text messages and telephone calls, and to record and monitor calls for training and quality assurance purposes. We also send communications directly to consumers. These activities are subject to U.S. federal and state laws, rules and regulations, such as the Telephone Consumer Protection Act (TCPA), the CAN-SPAM Act, and others related to telemarketing and communication recording and monitoring.</w:t>
      </w:r>
    </w:p>
    <w:p>
      <w:pPr>
        <w:spacing w:after="0" w:line="10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TCPA prohibits telemarketing calls to numbers listed in the Federal Do-Not-Call Registry and imposes other obligations on calls and text messages to consumers. The requirements and obligations under the TCPA continue to evolve, complicating efforts to comply. For example, in 2025, the FCC implemented a consent revocation rule, which strengthens consumer rights under the TCPA to revoke consent to receive autodialed calls or prerecorded messages as well as text messages. Also, several states have enacted stricter "mini-TCPAs." The CAN-SPAM Act regulates commercial email</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20"/>
        <w:spacing w:after="0" w:line="271" w:lineRule="auto"/>
        <w:rPr>
          <w:sz w:val="20"/>
          <w:szCs w:val="20"/>
          <w:color w:val="auto"/>
        </w:rPr>
      </w:pPr>
      <w:r>
        <w:rPr>
          <w:rFonts w:ascii="Arial" w:cs="Arial" w:eastAsia="Arial" w:hAnsi="Arial"/>
          <w:sz w:val="18"/>
          <w:szCs w:val="18"/>
          <w:color w:val="auto"/>
        </w:rPr>
        <w:t>messages, requiring opt-out mechanisms. These and other communications laws are subject to varying, subjective interpretations, making compliance challenging.</w:t>
      </w:r>
    </w:p>
    <w:p>
      <w:pPr>
        <w:spacing w:after="0" w:line="86"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We often rely on our billers and partners to obtain legally required consents from consumers. However, we cannot guarantee compliance will always be successful. Any change in law, or our or our billers' or partners’ failure to comply, could:</w:t>
      </w:r>
    </w:p>
    <w:p>
      <w:pPr>
        <w:spacing w:after="0" w:line="73"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Significantly restrict our or their ability to use our platform's communication capabilities.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significant financial penalties, litigation (including class action), consent decrees, injunctions, adverse publicity and other negative consequences.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Adversely affect our business, operating results and financial condition, and significantly harm our reputation.</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subject to laws regarding anti-money laundering, counter-terror financing, anti-corruption, export control and trade sanctions, and non-compliance could result in civil or criminal liability.</w:t>
      </w:r>
    </w:p>
    <w:p>
      <w:pPr>
        <w:spacing w:after="0" w:line="7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are subject to anti-money laundering (AML) and counter-terror financing (CTF) laws globally that prohibit involvement in transferring the proceeds of criminal activity. Increased scrutiny of these laws may require us to revise our compliance program, including the procedures we use to verify the identity of our billers. While we have controls in place that are designed to comply with AML and CTF laws, violations could lead to investigations, settlements, prosecution and enforcement actions, negatively impacting our business and financial condition. Certain of our significant financial institution partners also contractually require us to maintain up to date AML and CTF controls.</w:t>
      </w:r>
    </w:p>
    <w:p>
      <w:pPr>
        <w:spacing w:after="0" w:line="109"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are subject to the FCPA, U.S. domestic bribery laws and other international anti-corruption laws. These laws broadly prohibit improper payments or benefits to public or private sector recipients and require accurate books and records and internal controls. Although we currently only maintain regular operations in the U.S., Canada and India, as we increase international cross-border business and operations abroad, we may engage with third parties who could take illegal actions for which we may be held liable, even without explicit authorization. Our operations rely on third-party network providers and co-location facilities, which may be state-owned in some countries, and some billers and financial institutions may be state-owned, increasing our exposure to risk. Investigating and resolving alleged violations of anti-corruption laws is costly and diverts management's attention. Allegations or violations could subject us to investigations, sanctions, fines, penalties, reputational harm and other consequences, adversely impacting our business.</w:t>
      </w:r>
    </w:p>
    <w:p>
      <w:pPr>
        <w:spacing w:after="0" w:line="99"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As we expand internationally, we will be subject to additional laws and regulations, requiring new compliance controls. Our products may be subject to export control laws, including the Export Administration Regulations administered by the U.S. Department of Commerce, and trade and economic sanctions, such as those administered by the U.S. Department of Treasury’s Office of Foreign Assets Control. We may need licenses to export or provide services to certain countries and clients. Products with encryption functionality may also be subject to special controls. Even though we have procedures in place designed to ensure our compliance with trade controls, failure to comply could subject us to civil and criminal penalties, including fines, incarceration, loss of export and import privileges and reputational harm. Changes in these laws or their enforcement could decrease use of our products by international clients or limit our ability to export and sell.</w:t>
      </w:r>
    </w:p>
    <w:p>
      <w:pPr>
        <w:spacing w:after="0" w:line="11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are subject to the requirements of the Securities Exchange Act of 1934, as amended, the Sarbanes-Oxley Act (SOX), the Dodd-Frank Wall Street Reform and Consumer Protection Act, the NYSE listing requirements and other securities rules and regulations. Complying with these rules and regulations increases our legal and financial compliance costs, makes some activities more difficult and time-consuming, and increases demand on our systems and resources.</w:t>
      </w:r>
    </w:p>
    <w:p>
      <w:pPr>
        <w:spacing w:after="0" w:line="93"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SOX requires us to maintain effective disclosure controls and procedures and internal control over financial reporting. Achieving and maintaining SOX standards requires significant resources and management oversight. Because we no longer qualify as an "emerging growth company" as of December 31, 2025, an integrated audit of our internal control over financial reporting is now required, increasing the need for resources and management oversight further. This may divert management’s attention from other business concerns, adversely affecting our business and operating results.</w:t>
      </w:r>
    </w:p>
    <w:p>
      <w:pPr>
        <w:spacing w:after="0" w:line="109"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have and may need to hire additional employees or consultants to comply with public company requirements, increasing our costs and expenses. Changing corporate governance and public disclosure standards create uncertainty, increase costs and make some activities more time-consuming. Evolving interpretations of these laws due to lack of specificity or changing political landscapes may lead to continuing uncertainty and higher costs for ongoing revisions to practices. If our compliance efforts differ from the activities intended by regulatory or governing bodies, legal proceedings may be initiated against us.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ind w:firstLine="494"/>
        <w:spacing w:after="0" w:line="253" w:lineRule="auto"/>
        <w:rPr>
          <w:sz w:val="20"/>
          <w:szCs w:val="20"/>
          <w:color w:val="auto"/>
        </w:rPr>
      </w:pPr>
      <w:r>
        <w:rPr>
          <w:rFonts w:ascii="Arial" w:cs="Arial" w:eastAsia="Arial" w:hAnsi="Arial"/>
          <w:sz w:val="18"/>
          <w:szCs w:val="18"/>
          <w:color w:val="auto"/>
        </w:rPr>
        <w:t>These rules may also increase the cost of director and officer liability insurance or result in reduced coverage. They may also make it more difficult to attract and retain qualified board members, particularly audit committee and compensation committee members, and executive officers.</w:t>
      </w:r>
    </w:p>
    <w:p>
      <w:pPr>
        <w:spacing w:after="0" w:line="10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Although remediated, we have previously identified material weaknesses in internal control over financial reporting; any future failure to maintain effective controls could harm our business and stock price.</w:t>
      </w:r>
    </w:p>
    <w:p>
      <w:pPr>
        <w:spacing w:after="0" w:line="58"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are required to comply with SOX Sections 302 and 404, which require management to certify financial and other information in our quarterly and annual reports and provide an annual management report on the effectiveness of internal control over financial reporting. In addition to disclosing changes that have materially affected, or are reasonably likely to materially affect our internal control over financial reporting on a quarterly basis, we are required to make an annual assessment of the effectiveness of our internal control over financial reporting in our annual reports on Form 10-K. Because we no longer qualify as an emerging growth company as of December 31, 2025, our independent registered public accounting firm is now required to audit the effectiveness of our internal control over financial reporting. If our internal control over financial reporting is not effective, management’s report and our independent registered public accounting firm’s report would be adverse, which could cause investors to lose confidence in our reported financial information and negatively impact our Class A common stock price.</w:t>
      </w:r>
    </w:p>
    <w:p>
      <w:pPr>
        <w:spacing w:after="0" w:line="11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have previously identified material weaknesses in our internal control over financial reporting. Although remediated as of December 31, 2024, there is no assurance that similar or new material weaknesses will not be identified in the future. Failure to timely remediate future weaknesses could adversely affect our ability to accurately and timely record, process and report financial information and prepare financial statements.</w:t>
      </w:r>
    </w:p>
    <w:p>
      <w:pPr>
        <w:spacing w:after="0" w:line="10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process of designing and maintaining effective internal control is a continuous effort, requiring us to anticipate changes and expend significant resources. Any failure to design or implement new or enhanced controls, or any difficulties encountered in their implementation, could result in:</w:t>
      </w:r>
    </w:p>
    <w:p>
      <w:pPr>
        <w:spacing w:after="0" w:line="8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material weaknesses or failure to meet reporting obligations.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Material misstatements in our financial statements.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Violations of securities laws and listing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and investigations.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Negative impact on investor confidence and stock price.</w:t>
      </w:r>
    </w:p>
    <w:p>
      <w:pPr>
        <w:spacing w:after="0" w:line="116"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If we cannot provide reliable financial reports, our business and results could be harmed, and investors could lose confidence in our reported financial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factors such as:</w:t>
      </w:r>
    </w:p>
    <w:p>
      <w:pPr>
        <w:spacing w:after="0" w:line="131"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relative amounts of income before taxes across the various jurisdictions in which we operate.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tax laws, treaties or regulations, or their interpretations.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assessment of our ability to realize deferred tax assets.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of current and future tax audits, examinations or administrative appeals.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1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Further, while legislation enacted in 2025 restored the immediate deduction for domestic research and development expenditures, we generally remain required to capitalize and amortize foreign research and development expenditures over 15 years. As a result, to the extent we incur foreign research and development costs, current tax deductions may be deferred, which may increase deferred tax assets and near-term cash tax liabilities and reduce operating cash flows relative to periods in which such costs were immediately deductible.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14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our platform fails to interoperate with third-party software and technologies, or if those systems have performance issues, our solutions will be less effective and our business could be harmed.</w:t>
      </w:r>
    </w:p>
    <w:p>
      <w:pPr>
        <w:spacing w:after="0" w:line="5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Our platform must continuously integrate with and adapt to changes in a variety of third-party software suites, applications and other technologies, particularly those of our software partners. We are subject to standard terms and conditions from these providers, which are subject to change. We are also required to integrate with our customers’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20"/>
        <w:spacing w:after="0" w:line="271" w:lineRule="auto"/>
        <w:rPr>
          <w:sz w:val="20"/>
          <w:szCs w:val="20"/>
          <w:color w:val="auto"/>
        </w:rPr>
      </w:pPr>
      <w:r>
        <w:rPr>
          <w:rFonts w:ascii="Arial" w:cs="Arial" w:eastAsia="Arial" w:hAnsi="Arial"/>
          <w:sz w:val="18"/>
          <w:szCs w:val="18"/>
          <w:color w:val="auto"/>
        </w:rPr>
        <w:t>information systems, some of which are also competitors that seek to limit our access to our customers’ user data or acquire their payments business.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business will be harmed if any third-party provider:</w:t>
      </w:r>
    </w:p>
    <w:p>
      <w:pPr>
        <w:spacing w:after="0" w:line="131"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Discontinues or limits our access to its software or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Modifies its terms of service or other legal terms or policies, including fees or other restrictions.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Changes how information is accessed by us or our clients.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Experiences performance or other problems that negatively affect the perception of our platform, products or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Establishes exclusive or more favorable relationships with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Develops or favors its own competitive offerings over our platform or products.</w:t>
      </w:r>
    </w:p>
    <w:p>
      <w:pPr>
        <w:spacing w:after="0" w:line="11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For example, our platform integrates with popular software providers such as Oracle and SAP via application program interfaces (APIs). If these providers change, discontinue support for or restrict our access to their APIs, or alter governing terms adversely, we will not be able to provide synchronization capabilities, which could significantly diminish the value of our platform and harm our business.</w:t>
      </w:r>
    </w:p>
    <w:p>
      <w:pPr>
        <w:spacing w:after="0" w:line="10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may be unable to timely and cost-effectively modify our platform to maintain compatibility as third-party services and products evolve. In addition, competitors could disrupt the operations or compatibility of our platform with their products or services in order to enhance their competitive position, thereby decreasing interoperability and harming our business.</w:t>
      </w:r>
    </w:p>
    <w:p>
      <w:pPr>
        <w:spacing w:after="0" w:line="10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functionality of our platform also depends on our and our partners’ ability to integrate our platform with our partners’ offerings, and their periodic system updates and changes. Failure to adapt to these evolving needs could disrupt our clients' operations, result in disputes or negative publicity, cause additional costs or lead to the termination of relationships, resulting in the loss of consumers and client referrals.</w:t>
      </w:r>
    </w:p>
    <w:p>
      <w:pPr>
        <w:spacing w:after="0" w:line="8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In addition, the increasing penetration of AI and AI-supported services into existing and new services provided by our third-party providers presents risks, as well as benefits, to the services we provide upstream to our customers. To the extent the integration of such technologies or the governance or communications regarding deployment of such technologies negatively impacts the availability, accuracy or compliance of the services provided to our company, this could result in legal, regulatory or contractual risks.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Interruptions or delays in services provided by third-party cloud-based data centers or internet service providers could impair platform delivery, damage our reputation and expose us to liability.</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platform delivery depends on services from third-party cloud-based data centers and internet service providers. Any changes they make that degrade functionality, impose costs or requirements or favor competitors' services could materially affect platform usage. These third parties are responsible for their own network security, disaster recovery and system management, and our review processes may be insufficient to prevent adverse events.</w:t>
      </w:r>
    </w:p>
    <w:p>
      <w:pPr>
        <w:spacing w:after="0" w:line="93"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owners and operators of our hosting facilities do not guarantee uninterrupted, error-free or secure access to our solutions. We and our providers may experience disruptions, outages and performance problems. We have periodically experienced service disruptions in the past and cannot assure they will not recur. We depend on these providers to protect their infrastructure and transmit data. We may incur significant costs for using alternative equipment or taking other actions in preparation for, or in reaction to, events that damage the third party services that we use.</w:t>
      </w:r>
    </w:p>
    <w:p>
      <w:pPr>
        <w:spacing w:after="0" w:line="109"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Although we have disaster recovery plans that use multiple cloud-based data storage locations, incidents affecting their infrastructure, such as natural disasters, cyber-attacks, human error, power loss, hardware failures and traffic spikes, could negatively affect our platform. Any prolonged service disruption could result in:</w:t>
      </w:r>
    </w:p>
    <w:p>
      <w:pPr>
        <w:spacing w:after="0" w:line="101"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in the delivery of our platform, products or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Prevention of account access for our billers, financial institutions, partners or consumers.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Damage to our reputation.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Loss of clients and critical data.</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investigations, enforcement actions and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expense in investigating, remediating and responding to disruptions.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Harm to our ability to conduct business or delay financial reporting.</w:t>
      </w:r>
    </w:p>
    <w:p>
      <w:pPr>
        <w:spacing w:after="0" w:line="11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Our insurance policies may not adequately compensate us for losses. Third-party providers' failure to timely notify us of security breaches or data disclosures may cause us to incur significant costs.</w:t>
      </w:r>
    </w:p>
    <w:p>
      <w:pPr>
        <w:spacing w:after="0" w:line="8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may be unable to scale our technology to accommodate the increased capacity requirements from expanding our user base and product offerings, which could lead to interruptions or delays. Failure of cloud-based data centers or internet service providers to meet our capacity needs could impede business growth. Termination of third-party infrastructure agreements or service disruptions could lead to interruptions and increased expense. Loss of internet-hosting or bandwidth providers could cause service disruption, negative perception of reliability, and increased operating costs.</w:t>
      </w:r>
    </w:p>
    <w:p>
      <w:pPr>
        <w:spacing w:after="0" w:line="95"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Frequent interruptions could result in service level penalties or cause clients to view our platform as unreliable, leading them to terminate our agreement and switch to competitors and permanently harming our reputation and business. Errors, defects or infrastructure problems could damage client businesses, leading them to seek significant compensation that may exceed our insurance coverage, and defending against such claims is costly.</w:t>
      </w:r>
    </w:p>
    <w:p>
      <w:pPr>
        <w:spacing w:after="0" w:line="106"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Finally, the increased worldwide demand for data, including as a result of the increased adoption and development of AI and its processing demands, has resulted in an increased demand for data centers and data-related infrastructure. In addition, electric utilities continue to grapple with the increased demand this poses on balancing and investing in grid resources to meet current and future demand, and how to properly allocate these costs among customers through regulatory ratemaking. This increased demand on both data and electric resources could result in increased costs to our company to maintain or increase the capacity or reliability of the data infrastructure or availability needed to maintain or improve our services to our customers.</w:t>
      </w:r>
    </w:p>
    <w:p>
      <w:pPr>
        <w:spacing w:after="0" w:line="11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Software defects, undetected errors or performance problems in our technology, including open source software, could damage client relations, harm our reputation and expose us to liability.</w:t>
      </w:r>
    </w:p>
    <w:p>
      <w:pPr>
        <w:spacing w:after="0" w:line="5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continuously modify, enhance, upgrade and implement new systems, procedures and controls in our software and technology to reflect changes in our business, technological advancements and changing industry trends. These updates may contain undetected errors, viruses or defects. Despite extensive testing, we have discovered and may discover defects or errors in our software and technology, which could materially harm our business, operating results and financial condition, and increase cybersecurity risk.</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Defects and performance problems could:</w:t>
      </w:r>
    </w:p>
    <w:p>
      <w:pPr>
        <w:spacing w:after="0" w:line="14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Be costly for us and adversely affect our clients’ businesses.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Harm our reputation and result in reduced sales or loss of market acceptance of our solutions.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Cause clients to terminate or fail to renew contracts, delay or withhold payment or assert claims.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liability, lost business, increased insurance costs, difficulty collecting accounts receivable, costly litigation or regulatory actions.</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software incorporates open-source code, and defects or security vulnerabilities in this code could increase cybersecurity risk and adversely affect our business. We rely on third-party technology and software that may also contain undetected errors or defects. Software defects and errors or delays in electronic bill presentment or payment processing facilitation could result in additional development costs, diversion of resources, loss of credibility, harm to reputation and exposure to liability claims.</w:t>
      </w:r>
    </w:p>
    <w:p>
      <w:pPr>
        <w:spacing w:after="0" w:line="93" w:lineRule="exact"/>
        <w:rPr>
          <w:sz w:val="20"/>
          <w:szCs w:val="20"/>
          <w:color w:val="auto"/>
        </w:rPr>
      </w:pPr>
    </w:p>
    <w:p>
      <w:pPr>
        <w:jc w:val="both"/>
        <w:ind w:right="20" w:firstLine="494"/>
        <w:spacing w:after="0" w:line="247" w:lineRule="auto"/>
        <w:rPr>
          <w:sz w:val="20"/>
          <w:szCs w:val="20"/>
          <w:color w:val="auto"/>
        </w:rPr>
      </w:pPr>
      <w:r>
        <w:rPr>
          <w:rFonts w:ascii="Arial" w:cs="Arial" w:eastAsia="Arial" w:hAnsi="Arial"/>
          <w:sz w:val="18"/>
          <w:szCs w:val="18"/>
          <w:color w:val="auto"/>
        </w:rPr>
        <w:t>Our platform uses open source software, which may subject us to restrictive requirements, such as publicly disclosing source code for modifications or granting licenses on unfavorable terms. Since open source licenses are often not judicially interpreted, there is a risk of unanticipated conditions or restrictions on our ability to provide our platform. The public availability of this software may also make it easier for others to compromise our platform.</w:t>
      </w:r>
    </w:p>
    <w:p>
      <w:pPr>
        <w:spacing w:after="0" w:line="10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Despite our monitoring efforts on such software, inadvertent use that breaches open source terms could occur or be claimed. We could face claims from third parties regarding ownership or demanding the release of our proprietary source code, or seeking to enforce license terms. These claims could result in costly litigation, requiring us to:</w:t>
      </w:r>
    </w:p>
    <w:p>
      <w:pPr>
        <w:spacing w:after="0" w:line="101"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Make our source code freely available.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Purchase a costly license or cease offering the implicated products or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Re-engineer our platform, which is costly and time-consuming.</w:t>
      </w:r>
    </w:p>
    <w:p>
      <w:pPr>
        <w:spacing w:after="0" w:line="116"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A release of our proprietary code could allow competitors to create similar offerings with lower development effort, leading to a loss of competitive advantages. Open source licensors generally provide no support, warranties or</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spacing w:after="0" w:line="253" w:lineRule="auto"/>
        <w:rPr>
          <w:sz w:val="20"/>
          <w:szCs w:val="20"/>
          <w:color w:val="auto"/>
        </w:rPr>
      </w:pPr>
      <w:r>
        <w:rPr>
          <w:rFonts w:ascii="Arial" w:cs="Arial" w:eastAsia="Arial" w:hAnsi="Arial"/>
          <w:sz w:val="18"/>
          <w:szCs w:val="18"/>
          <w:color w:val="auto"/>
        </w:rPr>
        <w:t>indemnification, entailing greater risks than commercial software. Legal precedent is limited, and any requirement to disclose proprietary source code or pay damages could harm our business and aid competitors. These risks are difficult to manage and could materially affect our business, operating results and financial condition.</w:t>
      </w:r>
    </w:p>
    <w:p>
      <w:pPr>
        <w:spacing w:after="0" w:line="10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Failure to obtain, maintain, protect or enforce our intellectual property rights could impair our competitive position and harm our business.</w:t>
      </w:r>
    </w:p>
    <w:p>
      <w:pPr>
        <w:spacing w:after="0" w:line="58"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Our success depends, in part, on protecting our intellectual property (IP) and proprietary technology. We rely on a combination of patents, copyrights, trademarks, service marks, trade secrets and contractual provisions with our employees, independent contractors, consultants and third parties with whom we have relationships to establish and protect our IP and proprietary rights. However, our protection steps may be inadequate, may not afford complete protection and may not adequately permit us to gain or keep any competitive advantage. Various factors outside our control threaten our IP. Although we have been issued patents in the U.S., Japan, Australia and Brazil and have pending patent applications in the U.S., Australia, Brazil, Canada, China, Europe, India, Japan, Mexico and South Korea, we may be unable to obtain patent protection for the technology covered in our patent applications or we may fail to obtain patent protection in a specific country. In addition, any future patents may not provide us with competitive advantages or may be successfully challenged by third parties, which could result in them being narrowed in scope or declared invalid or unenforceable. Third parties, including competitors, may obtain overlapping patents and sue us for infringement, seeking damages or injunctions. We may allow IP rights to lapse. Our IP protection may not prevent others from developing similar products, duplicating ours, designing around patents or copying proprietary information. Legal standards for IP validity and enforceability are uncertain. Unauthorized third parties may copy our products or use proprietary information.</w:t>
      </w:r>
    </w:p>
    <w:p>
      <w:pPr>
        <w:spacing w:after="0" w:line="115"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agreements may limit our ability to assert IP rights or may not effectively control access to our products and proprietary information, nor prevent independent development of similar technologies. We cannot protect our IP if we cannot enforce rights or detect unauthorized use. Unauthorized parties may attempt to copy or reverse engineer our technology. We cannot guarantee the prevention of unauthorized use or infringement, especially in foreign countries with weaker IP laws. Changes in IP laws may compromise our ability to enforce our rights.</w:t>
      </w:r>
    </w:p>
    <w:p>
      <w:pPr>
        <w:spacing w:after="0" w:line="109"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In addition to registered IP rights, such as issued patents and trademarks, we rely on non-registered proprietary information and technology, such as copyrights, trade secrets, confidential information, know-how and technical information. We enter into confidentiality and IP assignment agreements with employees and contractors in order to protect our proprietary information and technology. These agreements may not be self-executing, sufficient or enforceable, or provide protection in case of unauthorized disclosure or breach. We cannot guarantee that we have entered into such agreements with all relevant individuals. Individuals not covered by assignment agreements with us may make adverse ownership claims to our current and future IP. Breaches or disclosure of IP to competitors could lead to loss of competitive advantage, and we may not obtain adequate remedies. Disputes may arise if employees use third-party IP without disclosure or a license. Loss of IP rights makes it easier for competitors to copy our functionality.</w:t>
      </w:r>
    </w:p>
    <w:p>
      <w:pPr>
        <w:spacing w:after="0" w:line="99"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Protecting IP is time-consuming and expensive. We may not be able to obtain protection for our technology, and maintenance and defense costs are substantial. Failure to develop and protect new IP could hurt our market position. Changes to IP laws may jeopardize the enforceability and validity of our portfolio. We may be unable to obtain trademark protection, and existing and future trademarks may not provide competitive advantages or distinguish our products. Litigation may be necessary to enforce our IP rights or determine the scope of others' rights, resulting in substantial costs and diversion of resources. Such litigation may involve defenses challenging the validity or enforceability of our IP. We may employ individuals from competitors, leading to claims against us or them. If we cannot cost-effectively protect our IP, our business would be harmed. If competitors use our technology or develop similar or competing technologies, our ability to compete and growth prospects would be adversely affected.</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become involved in costly and time-consuming intellectual property disputes, which could subject us to significant liability.</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may be subject to or initiate lawsuits to protect our IP, or claims by third parties for infringement. Even if we believe claims are without merit, litigation to determine the scope of IP rights is necessary, time-consuming and expensive. The increased use of AI, particularly generative AI, also creates the possibility of certain intellectual property infringement risks. Such lawsuits, whether or not meritorious, introduce additional cost and risks, and divert management's attention.</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Litigation may require us to:</w:t>
      </w:r>
    </w:p>
    <w:p>
      <w:pPr>
        <w:spacing w:after="0" w:line="14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Redesign or stop providing our products or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Pay substantial amounts to satisfy judgments or settlements.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Pay substantial royalty or licensing fees.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Satisfy IP indemnification obligations to our clients.</w:t>
      </w:r>
    </w:p>
    <w:p>
      <w:pPr>
        <w:spacing w:after="0" w:line="116"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Although we carry insurance, our insurance may not cover potential claims of this type or may not be adequate to indemnify us for all liability that may be imposed.</w:t>
      </w:r>
    </w:p>
    <w:p>
      <w:pPr>
        <w:spacing w:after="0" w:line="8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software industry is characterized by the existence of many IP rights, and companies are frequently required to defend against infringement claims. Our software and technology may not withstand third-party claims. We could face trade name, trademark or service mark infringement claims, and any such claims could damage our reputation and growth prospects.</w:t>
      </w:r>
    </w:p>
    <w:p>
      <w:pPr>
        <w:spacing w:after="0" w:line="8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If we face an injunction preventing us from accessing third-party IP, or cannot license or develop alternative technology, we may be forced to limit or stop sales of our products or cease business activities related to such IP. The inability to license third-party technology would adversely affect our business, operating results and ability to compete.</w:t>
      </w:r>
    </w:p>
    <w:p>
      <w:pPr>
        <w:spacing w:after="0" w:line="10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also are, and may in the future become, contractually obligated to indemnify our billers, financial institutions and partners in the event of infringement, misappropriation or other violation of a third party’s IP rights. Responding to claims, even meritless ones, can be costly and damaging to our brand.</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platform depends on intellectual property and technology licensed from or made available by third parties in some cases, and the loss of access to such intellectual property and technology or the inability to obtain acceptable license terms could harm our business.</w:t>
      </w:r>
    </w:p>
    <w:p>
      <w:pPr>
        <w:spacing w:after="0" w:line="7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 substantial portion of our business and platform relies on key technologies developed or licensed by third parties. These third-party software components could become obsolete, defective or incompatible with future versions of our services. Relationships with third-party licensors or technology providers may deteriorate, or our agreements may expire or be terminated.</w:t>
      </w:r>
    </w:p>
    <w:p>
      <w:pPr>
        <w:spacing w:after="0" w:line="101"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Future licenses or rights may not be available on acceptable terms, or at all, which could prevent our platform from remaining competitive. Our inability to obtain licenses on favorable terms could materially and adversely affect our business and results of operations.</w:t>
      </w:r>
    </w:p>
    <w:p>
      <w:pPr>
        <w:spacing w:after="0" w:line="86"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Furthermore, using non-exclusive licenses in our products could limit our ability to protect our own IP and prevent third parties from developing similar or competitive technology using the same licensed IP. We believe we have all the necessary licenses and other grants of rights from third parties to use technology and software that we do not own. However, a third party could allege we are infringing its rights, deterring our ability to obtain licenses or causing litigation. If we were to obtain a non-exclusive license, it would give competitors access to the same technology. We could also be liable for significant monetary damages, including treble damages and attorneys’ fees, for willful infringement of a patent or other IP right. Any such litigation or the failure to obtain any necessary licenses or other rights could adversely impact our business, financial position, results of operations and liquidity.</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Any real or perceived improper or unauthorized use, disclosure or access to the sensitive and personal data we process could harm our reputation and materially adversely affect our business and financial condition.</w:t>
      </w:r>
    </w:p>
    <w:p>
      <w:pPr>
        <w:spacing w:after="0" w:line="7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and our billers, financial institutions and partners and their consumers and the third-party vendors we use process large amounts of sensitive and personal data, including financial and transaction data, from our clients, partners and their consumers. This creates legal, regulatory and reputational risks that increase as our business and products expand.</w:t>
      </w:r>
    </w:p>
    <w:p>
      <w:pPr>
        <w:spacing w:after="0" w:line="10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Cybersecurity threats and attacks, privacy violations and cybersecurity breaches, insider threats, malicious internet-based activity and other incidents are constantly evolving, becoming more sophisticated and targeting cloud-based services, especially in the financial technology sector. These threats may take a variety of forms, including stolen accounts, email compromises, fraud, account takeover and ransomware attacks. A cybersecurity incident could lead to the loss, compromise, corruption or disclosure of confidential information, IP and sensitive data, as well as impairing our ability to provide solutions and causing production downtimes. Moreover, while the increased prevalence of AI introduces more enhanced defensive techniques in terms of monitoring and analysis, it is also being used by threat actors for more sophisticated attack and social engineering attempts. We or our third-party service providers may be unable to anticipate, prevent or fully mitigate techniques used to gain unauthorized access or to sabotage systems because they change frequently and often are not detected until after an incident has occurred. Increased visibility of our brand makes us a larger target for threat actors. Geopolitical events may also lead to security threats.</w:t>
      </w:r>
    </w:p>
    <w:p>
      <w:pPr>
        <w:spacing w:after="0" w:line="9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rely heavily on third-party service providers, including cloud, software and other critical vendors, who have access to sensitive and personal data. Our ability to monitor their data protection practices is limited. Vulnerabilities, failures of safeguards or breaches at these third-party providers could compromise the confidentiality, integrity or availability of our systems or data. Third-party providers’ difficulties or delays in identifying and notifying us of breaches could delay our response.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ind w:firstLine="494"/>
        <w:spacing w:after="0" w:line="244" w:lineRule="auto"/>
        <w:rPr>
          <w:sz w:val="20"/>
          <w:szCs w:val="20"/>
          <w:color w:val="auto"/>
        </w:rPr>
      </w:pPr>
      <w:r>
        <w:rPr>
          <w:rFonts w:ascii="Arial" w:cs="Arial" w:eastAsia="Arial" w:hAnsi="Arial"/>
          <w:sz w:val="18"/>
          <w:szCs w:val="18"/>
          <w:color w:val="auto"/>
        </w:rPr>
        <w:t>We have administrative, technical and physical security measures in place, as well as policies and procedures in place to contractually require service providers to whom we disclose data to implement and maintain reasonable privacy, data protection and information security measures. If our security measures or those of our third parties are inadequate, breached, or compromised, due to error, malfeasance, hacking, system error or otherwise, and improper disclosure or unauthorized access occurs, or if such an event is reported or perceived, our reputation and business could be damaged.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sensitive or personal data is unavailable, lost or improperly disclosed, we could incur significant costs for:</w:t>
      </w:r>
    </w:p>
    <w:p>
      <w:pPr>
        <w:spacing w:after="0" w:line="131"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Notification and remediation.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Implementation of additional security measures.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scrutiny, investigations, proceedings and penalties.</w:t>
      </w:r>
    </w:p>
    <w:p>
      <w:pPr>
        <w:spacing w:after="0" w:line="116" w:lineRule="exact"/>
        <w:rPr>
          <w:rFonts w:ascii="Times New Roman" w:cs="Times New Roman" w:eastAsia="Times New Roman" w:hAnsi="Times New Roman"/>
          <w:sz w:val="18"/>
          <w:szCs w:val="18"/>
          <w:color w:val="auto"/>
        </w:rPr>
      </w:pPr>
    </w:p>
    <w:p>
      <w:pPr>
        <w:ind w:left="500" w:right="1400" w:firstLine="17"/>
        <w:spacing w:after="0" w:line="390" w:lineRule="auto"/>
        <w:tabs>
          <w:tab w:leader="none" w:pos="1024"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Liability and financial loss in the form of lost business, increased insurance costs, litigation or adverse publicity. Any perceived or actual security breach or incident could: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Significantly impact our reputation.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Cause us to lose existing and prevent us from obtaining new billers, financial institutions, partners and consumers.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Require significant funds for remediation and prevention measures.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Expose us to legal risk, potential liability resulting from governmental or regulatory investigations, class action litigation or indemnity obligations, and financial penalties.</w:t>
      </w:r>
    </w:p>
    <w:p>
      <w:pPr>
        <w:spacing w:after="0" w:line="4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billers and financial institution partners conduct regular cybersecurity audits, and a negative conclusion could lead to the termination of relationships. Under our contracts with strategic partners, we could be liable to the partners for losses and expenses resulting from a breach of payment information we store. A security breach or operational disruption could constitute a material breach of contract, giving clients the right to terminate their agreements. While our contracts typically limit liability, we cannot ensure these limitations would apply or be adequate.</w:t>
      </w:r>
    </w:p>
    <w:p>
      <w:pPr>
        <w:spacing w:after="0" w:line="109"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While we maintain cybersecurity insurance, it may be insufficient, may not cover all liabilities or may not continue to be available on reasonable terms. A large, uncovered claim, litigation to pursue claims under our insurance policies, changes in policies or denial of coverage could materially harm our business, reputation,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decline steeply, and we may not be able to meet investor or analyst expectations.</w:t>
      </w:r>
    </w:p>
    <w:p>
      <w:pPr>
        <w:spacing w:after="0" w:line="3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market price of our Class A common stock has and may continue to fluctuate or decline significantly in response to factors described in this “Risk Factors” section or otherwise, many of which are beyond our control. These fluctuations could cause you to lose all or part of your investment.</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Factors that could cause fluctuations in the market price include:</w:t>
      </w:r>
    </w:p>
    <w:p>
      <w:pPr>
        <w:spacing w:after="0" w:line="14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Market volatility and economic disruption.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fluctuations in our operating results and variations from expectations and guidance.</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Any forward-looking financial or operating information we provide, and any changes in this information or our failure to meet expectations.</w:t>
      </w:r>
    </w:p>
    <w:p>
      <w:pPr>
        <w:spacing w:after="0" w:line="46" w:lineRule="exact"/>
        <w:rPr>
          <w:rFonts w:ascii="Times New Roman" w:cs="Times New Roman" w:eastAsia="Times New Roman" w:hAnsi="Times New Roman"/>
          <w:sz w:val="18"/>
          <w:szCs w:val="18"/>
          <w:color w:val="auto"/>
        </w:rPr>
      </w:pPr>
    </w:p>
    <w:p>
      <w:pPr>
        <w:ind w:left="1020" w:hanging="503"/>
        <w:spacing w:after="0" w:line="244"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Actions by securities analysts, including initiation or changes in coverage of us or their investment recommendations, changes in estimates or our failure to meet their expectations.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investor or analyst views of our dual-class structure and the significant voting control of AKKR and our founder and CEO.</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Future or anticipated sales of Class A common stock by us or existing stockholders.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competitors of significant products, features, acquisitions, partnerships or capital commitments.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operating performance and stock market valuations of companies in our industry, such as the widespread market revaluation of technology companies in 2022.</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Price and volume fluctuations in the overall stock market.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Lawsuits, claims or investigations filed or threatened against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in new legislation and pending regulatory actions.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Other events such as war or terrorism.</w:t>
      </w:r>
    </w:p>
    <w:p>
      <w:pPr>
        <w:spacing w:after="0" w:line="11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Stock prices of many other technology companies have been highly volatile, often in ways unrelated to operating performance. In the past, stockholders have filed securities class action litigation following periods of market volatility. If we were to become involved in securities litigation, it could subject us to substantial costs and divert management's attention. Past results should not be relied upon as an indication of future performance.</w:t>
      </w:r>
    </w:p>
    <w:p>
      <w:pPr>
        <w:spacing w:after="0" w:line="10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Future issuances or sales of a substantial number of shares, or the perception that they could occur, could cause our stock price to decline.</w:t>
      </w:r>
    </w:p>
    <w:p>
      <w:pPr>
        <w:spacing w:after="0" w:line="5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Future issuances of shares of our Class A common stock, including in connection with acquisitions, could depress the market price of our Class A common stock and result in dilution to existing holders of our Class A common stock. Future grants of equity-based awards will also cause dilution. Furthermore, we may issue additional equity or convertible securities that could have rights senior to those of our Class A common stock.</w:t>
      </w:r>
    </w:p>
    <w:p>
      <w:pPr>
        <w:spacing w:after="0" w:line="10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Sales of a substantial number of shares of our Class A common stock, particularly by directors, executive officers and principal stockholders, or the perception that such sales may occur, could cause the market price of our Class A common stock to fall.</w:t>
      </w:r>
    </w:p>
    <w:p>
      <w:pPr>
        <w:spacing w:after="0" w:line="86"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As of December 31, 2025, we had 62,459,587 shares of Class A common stock and 63,121,661 shares of Class B common stock outstanding. In addition, 2,766,276 shares of Class A common stock and 3,443,585 shares of Class B common stock were subject to outstanding equity awards as of December 31, 2025. Shares subject to outstanding equity awards, as well as those reserved for issuance, are generally eligible for resale in the public markets, subject to limitations for affiliates. The sale or perceived sale of these additional shares could cause the market price of our Class A common stock to decline. In addition, up to 1,193,880 shares of Class A common stock may be issuable under warrant agreements with JPMC Strategic Investments I Corporation, which will become eligible for sale in the public market.</w:t>
      </w:r>
    </w:p>
    <w:p>
      <w:pPr>
        <w:spacing w:after="0" w:line="9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founder and CEO, AKKR and certain current and former executive officers have registration rights that allow them to require us to file registration statements for the public resale of their shares, including shares issuable upon conversion of Class B shares, or to include such shares in registration statements that we may file. If these shares are registered, they can be freely sold in the public market, which could adversely affect the market price of our Class A common stock.</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dual class structure of our common stock and our stockholders agreement have the effect of concentrating voting control with AKKR and our founder and chief executive officer, which limits or precludes your ability to influence corporate matters for the foreseeable future and may depress the market price of our Class A common stock.</w:t>
      </w:r>
    </w:p>
    <w:p>
      <w:pPr>
        <w:spacing w:after="0" w:line="9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Our Class B common stock has ten votes per share and our Class A common stock has one vote per share. Because of the ten-to-one voting ratio between our Class B common stock and Class A common stock, AKKR and our founder and chief executive officer collectively controlled approximately 89% of the voting power of our outstanding common stock as of December 31, 2025 and therefore are able to control all matters submitted to our stockholders, including the election of directors, amendments of our organizational documents, compensation matters and any merger, consolidation, sale of all or substantially all of our assets, or other major corporate transaction requiring stockholder approval. This concentrated control will limit or preclude your ability to influence corporate matters for the foreseeable future.</w:t>
      </w:r>
    </w:p>
    <w:p>
      <w:pPr>
        <w:spacing w:after="0" w:line="77"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Further, the stockholders agreement we entered into with AKKR at the time of our IPO in May 2021 provides that, for so long as AKKR or certain of its permitted transferees hold more of our outstanding common stock than Mr. Sharma and certain of his affiliates, AKKR has the right to nominate (x) five directors to our board of directors for so long as AKKR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47" w:lineRule="auto"/>
        <w:rPr>
          <w:sz w:val="20"/>
          <w:szCs w:val="20"/>
          <w:color w:val="auto"/>
        </w:rPr>
      </w:pPr>
      <w:r>
        <w:rPr>
          <w:rFonts w:ascii="Arial" w:cs="Arial" w:eastAsia="Arial" w:hAnsi="Arial"/>
          <w:sz w:val="18"/>
          <w:szCs w:val="18"/>
          <w:color w:val="auto"/>
        </w:rPr>
        <w:t>beneficially owns at least 10% of our outstanding common stock and (y) two directors to our board of directors for so long as AKKR beneficially owns at least 5% but less than 10% of our outstanding common stock. Moreover, after such time as AKKR ceases to hold more of our outstanding common stock than Mr. Sharma and certain of his affiliates, AKKR will continue to have the right to nominate two directors to our board of directors until such time as AKKR ceases to beneficially own at least 5% of our outstanding common stock.</w:t>
      </w:r>
    </w:p>
    <w:p>
      <w:pPr>
        <w:spacing w:after="0" w:line="6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transfers to affiliates, members or partners of AKKR and transfers for estate planning purposes so long as the transferring holder retains exclusive voting and dispositive power with respect to the shares transferred. The conversion of Class B common stock to Class A common stock will have the effect, over time, of increasing the relative voting power of those holders of Class B common stock who retain their shares in the long term.</w:t>
      </w:r>
    </w:p>
    <w:p>
      <w:pPr>
        <w:spacing w:after="0" w:line="68"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In addition, we are subject to pressure from certain institutional investors to sunset our dual-class structure. The effect of continued institutional investor dissatisfaction may depress our valuation, preclude investment by passive funds and make our Class A common stock less attractive to other investors, thereby adversely affecting the market price of our stock. Certain index providers, such as FTSE Russell and S&amp;P Dow Jones, have historical or existing policies that restrict or prohibit the inclusion of companies with multiple-class share structures in their flagship indexes. While some of these providers have recently modified their eligibility criteria, there is no guarantee that our Class A common stock will be included in these or other indexes now or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AKKR controls us, and its interests may conflict with ours or yours in the future.</w:t>
      </w:r>
    </w:p>
    <w:p>
      <w:pPr>
        <w:spacing w:after="0" w:line="14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As of December 31, 2025, AKKR controlled approximately 58% of the voting power of our outstanding common stock. As a result, AKKR has the ability to elect all of the members of our board of directors and thereby control our policies and operations, including the appointment of management, future issuances of our Class A common stock or other securities, the payment of dividends, if any, on our Class A common stock, the incurrence of debt by us, amendments to our certificate of incorporation and bylaws, and the entering into extraordinary transactions, and the interests of AKKR may not in all cases be aligned with our or your interests.</w:t>
      </w:r>
    </w:p>
    <w:p>
      <w:pPr>
        <w:spacing w:after="0" w:line="68"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AKKR may have an interest in pursuing acquisitions, divestitures and other transactions that, in its judgment, could enhance its investment in us, even though such transactions might involve risks to you. For example, AKKR could cause us to make acquisitions that increase our indebtedness or cause us to sell revenue-generating assets. Moreover, AKKR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Class A common stock as part of a sale of our company and ultimately might affect the market price of our Class A common stock.</w:t>
      </w:r>
    </w:p>
    <w:p>
      <w:pPr>
        <w:spacing w:after="0" w:line="77"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So long as AKKR continues to beneficially own a sufficient number of shares of Class B common stock, even if it beneficially owns significantly less than 50% of the shares of our outstanding common stock, it will continue to be able to effectively control our decisions. For example, if our Class B common stock amounted to 15% of our outstanding common stock, beneficial owners of our Class B common stock (including AKKR), would collectively control approximately 64% of the voting power of our common stock. Moreover, AKKR will continue to have the right to nominate directors to our board of directors under our stockholders agreement for so long as AKKR beneficially owns at least 5% of our outstanding common stock.</w:t>
      </w:r>
    </w:p>
    <w:p>
      <w:pPr>
        <w:spacing w:after="0" w:line="7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For the years ended December 31, 2025 and 2024, AKKR distributed to its investors, on a pro rata basis and for no additional consideration, 47,415,984 and 15,844,426 shares, respectively, of our Class B common stock, some of which was subsequently converted into shares of our Class A common stock. There can be no assurance regarding the further disposition of these shares by the recipients, future distributions of our Class B common stock held by AKKR, or subsequent conversion by recipients of distributed Class B shares into our Class A common stock or disposition thereof.</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spacing w:after="0" w:line="8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AKKR, our controlling stockholder, is in the business of making investments in companies and may from time to time acquire and hold interests in businesses that compete directly or indirectly with us or that would be complementary to our business if we acquired them. Our certificate of incorporation provides that, to the fullest extent permitted by law, none of AKKR or its affiliates, or any of their respective directors, partners, principals, officers, members, managers or employees, including any of the foregoing who serve as our officers or directors (all of whom we refer to as the "Exempted Persons"),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39" w:lineRule="auto"/>
        <w:rPr>
          <w:sz w:val="20"/>
          <w:szCs w:val="20"/>
          <w:color w:val="auto"/>
        </w:rPr>
      </w:pPr>
      <w:r>
        <w:rPr>
          <w:rFonts w:ascii="Arial" w:cs="Arial" w:eastAsia="Arial" w:hAnsi="Arial"/>
          <w:sz w:val="18"/>
          <w:szCs w:val="18"/>
          <w:color w:val="auto"/>
        </w:rPr>
        <w:t>has any duty to refrain from engaging directly or indirectly in the same or similar business activities or lines of business as us or any of our affiliates. In addition, to the fullest extent permitted by law, in the event that any Exempted Person is presented with a business opportunity, even if the opportunity is one that we or our affiliates might reasonably be deemed to have pursued or had the ability or desire to pursue if granted the opportunity to do so, such Exempted Person has no duty to communicate or offer such business opportunity to us or any of our affiliates. No Exempted Person will be liable to us, any of our affiliates or our stockholders for breach of any fiduciary or other duty, solely by reason of the fact that any such Exempted Person pursues or acquires such business opportunity, sells, assigns, transfers or directs such business opportunity to another person or fails to present such business opportunity, or information regarding such business opportunity, to us or any of our affiliates. These provisions could create conflicts of interest and have a material adverse effect on our business, results of operations, financial condition and prospects if attractive business opportunities are allocated by AKKR or another Exempted Person to itself, its affiliates or third parties instead of to us.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securities or industry analysts publish inaccurate or unfavorable research about us or change their recommendations regarding our Class A common stock, or if we fail to meet or exceed our earnings guidance, the market price or trading volume of our Class A common stock could decline.</w:t>
      </w:r>
    </w:p>
    <w:p>
      <w:pPr>
        <w:spacing w:after="0" w:line="78"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trading market for our Class A common stock is influenced by the research and reports published by securities or industry analysts. If one or more analysts provide an unfavorable rating, downgrade our stock, provide a more favorable recommendation about competitors or publish inaccurate or unfavorable research about us, our Class A common stock price would likely decline. In addition, the market expects us to meet or exceed guidance in all financial measures to which we publicly guide. If our actual results are below or do not sufficiently exceed our guidance or our analysts' forecasts, or if our future guidance is not perceived favorably by the market, the price of our Class A common stock could decline significantly.</w:t>
      </w:r>
    </w:p>
    <w:p>
      <w:pPr>
        <w:spacing w:after="0" w:line="11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may elect to take advantage of the "controlled company" exemption to the corporate governance rules for New York Stock Exchange-listed companies, which could make our Class A common stock less attractive to some investors or otherwise harm our stock price.</w:t>
      </w:r>
    </w:p>
    <w:p>
      <w:pPr>
        <w:spacing w:after="0" w:line="9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Based on the continued control of a majority of the voting power of our outstanding common stock by AKKR, we continue to qualify as a "controlled company" under NYSE corporate governance rules. As a controlled company, we are not required to have a majority independent board of directors, an independent compensation committee or an independent nominating function.</w:t>
      </w:r>
    </w:p>
    <w:p>
      <w:pPr>
        <w:spacing w:after="0" w:line="88"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While we have not currently elected to take advantage of the NYSE's "controlled company" exemption, we could elect to do so in the future for so long as AKKR continues to control a majority of the voting power of our outstanding common stock. If the interests of our management and AKKR differ from those of other stockholders, those stockholders may not have the same protections as stockholders of fully compliant public companies. Our controlled company status could make our Class A common stock less attractive to some investors or otherwise harm our stock price.</w:t>
      </w:r>
    </w:p>
    <w:p>
      <w:pPr>
        <w:spacing w:after="0" w:line="11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Anti-takeover provisions in our charter documents or applicable state law could make an acquisition of us difficult, limit attempts by our stockholders to replace management, and depress the market price of our Class A common stock.</w:t>
      </w:r>
    </w:p>
    <w:p>
      <w:pPr>
        <w:spacing w:after="0" w:line="7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Our certificate of incorporation and bylaws contain anti-takeover provisions that could discourage, delay or prevent a change of control or changes in management.</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provisions include:</w:t>
      </w:r>
    </w:p>
    <w:p>
      <w:pPr>
        <w:spacing w:after="0" w:line="14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dual class common stock structure with differing voting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of directors is divided into three classes, each standing for election once every three years.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Vacancies on the board and newly created directorships can only be filled by a majority vote of directors then in office, even if less than a quorum.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authorized number of directors can only be changed by board resolution.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absence of cumulative voting.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board's ability to issue "blank check" preferred stock to implement a stockholder rights plan.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board's power to adopt, alter or repeal our bylaws.</w:t>
      </w:r>
    </w:p>
    <w:p>
      <w:pPr>
        <w:spacing w:after="0" w:line="116" w:lineRule="exact"/>
        <w:rPr>
          <w:rFonts w:ascii="Times New Roman" w:cs="Times New Roman" w:eastAsia="Times New Roman" w:hAnsi="Times New Roman"/>
          <w:sz w:val="18"/>
          <w:szCs w:val="18"/>
          <w:color w:val="auto"/>
        </w:rPr>
      </w:pPr>
    </w:p>
    <w:p>
      <w:pPr>
        <w:ind w:left="1020" w:hanging="503"/>
        <w:spacing w:after="0" w:line="244"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for stockholders seeking to present proposals or nominate directors to provide timely notice and meet specific form and content requirements.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forum for certain litigation against us is restricted to Delaware.</w:t>
      </w:r>
    </w:p>
    <w:p>
      <w:pPr>
        <w:spacing w:after="0" w:line="116"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Additional provisions will become effective when AKKR ceases to beneficially own at least 50% of the voting power of our common stock, including:</w:t>
      </w:r>
    </w:p>
    <w:p>
      <w:pPr>
        <w:spacing w:after="0" w:line="8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Stockholders may not call special meetings or act by written consent.</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Directors may only be removed for cause and with the affirmative vote of at least a majority of the voting power of our outstanding capital stock.</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Amending certain provisions of our certificate of incorporation and bylaws will be subject to super-majority voting thresholds.</w:t>
      </w:r>
    </w:p>
    <w:p>
      <w:pPr>
        <w:spacing w:after="0" w:line="11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certificate of incorporation also provides protections similar to Section 203 of the Delaware General Corporation Law (DGCL) preventing us from engaging in a business combination with certain 15% stockholders (excluding AKKR) for a period of three years from the date the stockholder acquired such ownership unless prior approval from our board or stockholders is obtained. In addition, certain state laws may discourage, delay or prevent a change of control of our company or changes in our management that the stockholders of our company may deem advantageous.</w:t>
      </w:r>
    </w:p>
    <w:p>
      <w:pPr>
        <w:spacing w:after="0" w:line="95"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Any provision of our organizational documents or state law that delays or deters a change in control could limit the opportunity for stockholders to receive a premium for their shares and could also affect the price investors are willing to pay for our Class A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bylaws designate exclusive forums for certain legal disputes, which could limit a stockholder's choice of judicial forum.</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bylaws designate the Court of Chancery of the State of Delaware (or another Delaware court or the federal district court for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District of Delaware) as the sole and exclusive forum for:</w:t>
      </w:r>
    </w:p>
    <w:p>
      <w:pPr>
        <w:spacing w:after="0" w:line="113"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owed by any of our directors, stockholders, officers or other employees.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arising under the DGCL, our certificate of incorporation or our bylaws.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action asserting a claim governed by the internal affairs doctrine.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provision does not apply to any action to enforce a duty or liability created by the Exchange Act.</w:t>
      </w:r>
    </w:p>
    <w:p>
      <w:pPr>
        <w:spacing w:after="0" w:line="14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To prevent litigation in multiple jurisdictions, our bylaws also provide that the federal district courts of the U.S. are the sole and exclusive forum for resolving any complaint asserting a cause of action arising under the Securities Act of 1933, as both state and federal courts have concurrent jurisdiction for such claims.</w:t>
      </w:r>
    </w:p>
    <w:p>
      <w:pPr>
        <w:spacing w:after="0" w:line="10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While we believe these provisions increase consistency in the application of Delaware law and federal securities laws, they may limit a stockholder’s ability to choose the judicial forum for disputes with us or our affiliates, which may discourage such lawsuits. The enforceability of similar provisions in other companies’ organizational documents has been challenged, and if a court finds either exclusive forum provision in our bylaws inapplicable or unenforceable, we may incur significant additional costs resolving the action in other jurisdictions.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59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1C.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382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recognize the importance of assessing, identifying and managing material risks associated with cybersecurity threats, as such term is defined in Item 106(a) of Regulation S-K. These risks include, among other things, operational disruption, intellectual property theft, fraud, extortion, harm to employees or customers, violation of privacy or security laws, other litigation and legal risk, customer attrition, and reputational risks. We have implemented several cybersecurity processes, technologies and controls to aid in our efforts to assess, identify and manage such material risks.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ind w:firstLine="494"/>
        <w:spacing w:after="0" w:line="247" w:lineRule="auto"/>
        <w:rPr>
          <w:sz w:val="20"/>
          <w:szCs w:val="20"/>
          <w:color w:val="auto"/>
        </w:rPr>
      </w:pPr>
      <w:r>
        <w:rPr>
          <w:rFonts w:ascii="Arial" w:cs="Arial" w:eastAsia="Arial" w:hAnsi="Arial"/>
          <w:sz w:val="18"/>
          <w:szCs w:val="18"/>
          <w:color w:val="auto"/>
        </w:rPr>
        <w:t>Our cybersecurity risk assessment process helps identify our cybersecurity risks by assessing our cybersecurity program against industry and best practice standards set by the National Institute of Standards and Technology (NIST), the International Organization for Standardization (ISO) and the Center for Internet Security (CIS), as well as by annually engaging experts to attempt to infiltrate/test our information systems (as such term is defined in Item 106(a) of Regulation S-K).</w:t>
      </w:r>
    </w:p>
    <w:p>
      <w:pPr>
        <w:spacing w:after="0" w:line="6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have established an information security risk committee (ISRC) which meets monthly and is chaired by our Chief Information Security Officer (CISO) and comprised of employees and executive management, to, among other things, coordinate and communicate the direction, current state, security risks (gaps) and governance of our information security program. The ISRC reports out its findings to the risk management committee that includes our most senior executives, including among others our Chief Executive Officer, Chief Financial Officer and General Counsel. Our cybersecurity program focuses in particular on the following key areas: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To identify and assess material risks from cybersecurity threats, our Cybersecurity Governance, Risk and Compliance (GRC) team considers cybersecurity threat risks alongside other company risks as part of our overall risk assessment process. Our enterprise risk professionals collaborate with subject matter experts, as necessary, to gather insights for identifying and assessing material cybersecurity threat risks, their severity and potential mitigations.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Safeguards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regularly assess and deploy internal and third-party technical safeguards designed to protect our information systems from cybersecurity threats. Such safeguards are regularly evaluated and improved based on vulnerability assessments, cybersecurity threat intelligence and incident response experience.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 Response and Recovery Planning</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have established incident response and recovery plans and continue to regularly test and evaluate the effectiveness of those plans. Our incident response and recovery plans address and guide our employees, management and board of directors on our response to a cybersecurity incident. Our senior management regularly engages in “tabletop” simulations where teams respond to hypothetical cyberattacks, like a ransomware event or data breach, to test and improve our incident response plans, communication and decision-making. We also have retainers with third party experts that can be utilized in the case of an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Risk Management</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Our cybersecurity risk processes address risks associated with our use of third-party service providers, including subcontractors used by those third-parties. Third-party risks are included within our GRC and procurement program, including the selection and oversight of our third-party service providers.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 and Awareness</w:t>
      </w:r>
    </w:p>
    <w:p>
      <w:pPr>
        <w:spacing w:after="0" w:line="102" w:lineRule="exact"/>
        <w:rPr>
          <w:sz w:val="20"/>
          <w:szCs w:val="20"/>
          <w:color w:val="auto"/>
        </w:rPr>
      </w:pPr>
    </w:p>
    <w:p>
      <w:pPr>
        <w:jc w:val="both"/>
        <w:ind w:firstLine="552"/>
        <w:spacing w:after="0" w:line="247" w:lineRule="auto"/>
        <w:rPr>
          <w:sz w:val="20"/>
          <w:szCs w:val="20"/>
          <w:color w:val="auto"/>
        </w:rPr>
      </w:pPr>
      <w:r>
        <w:rPr>
          <w:rFonts w:ascii="Arial" w:cs="Arial" w:eastAsia="Arial" w:hAnsi="Arial"/>
          <w:sz w:val="18"/>
          <w:szCs w:val="18"/>
          <w:color w:val="auto"/>
        </w:rPr>
        <w:t>Our policies require each of our employees to contribute to our data security efforts. We regularly train employees on the importance of handling and protecting customer and employee data, including through annual privacy and security training to enhance employee awareness of how to detect and respond to cybersecurity threats. We also have annual specialized training of our software development staff that focuses on secure development best practices.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Assessments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perform periodic internal and third-party assessments to test our cybersecurity controls and regularly evaluate our policies and procedures for handling and control of sensitive data and systems in an effort to identify areas for continued focus, improvement and/or compliance under various applicable regulatory frameworks (e.g., SOC, SOX, PCI, HIPAA).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Governance and Oversight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Board's Oversight Role</w:t>
      </w:r>
    </w:p>
    <w:p>
      <w:pPr>
        <w:spacing w:after="0" w:line="102"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Cybersecurity is an important part of our risk management processes and an area of continued focus for our board of directors, audit committee and management. Our board of directors is responsible for the oversight of the overall corporate</w:t>
      </w: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rPr>
          <w:sz w:val="20"/>
          <w:szCs w:val="20"/>
          <w:color w:val="auto"/>
        </w:rPr>
      </w:pPr>
      <w:r>
        <w:rPr>
          <w:rFonts w:ascii="Arial" w:cs="Arial" w:eastAsia="Arial" w:hAnsi="Arial"/>
          <w:sz w:val="18"/>
          <w:szCs w:val="18"/>
          <w:color w:val="auto"/>
        </w:rPr>
        <w:t>approach to cybersecurity risks. The board of directors has delegated such enterprise and cybersecurity risk management to its audit committee. At least quarterly, the audit committee and/or board of directors receives an overview from our CISO of our cybersecurity threat risk management and strategy, covering topics such as data security posture, results from third-party assessments, progress towards pre-determined risk-mitigation-related goals, our incident response plan and any material cybersecurity threat risks or incidents and developments, as well as the steps management has taken to respond to such risks. Members of the audit committee and the board of directors are also encouraged to engage in ad hoc conversations with management on cybersecurity-related news events and discuss any updates to our cybersecurity risk management programs.</w:t>
      </w:r>
    </w:p>
    <w:p>
      <w:pPr>
        <w:spacing w:after="0" w:line="77"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Under its charter, the audit committee is charged with discussing our major financial, information technology and cybersecurity risk exposures and the steps management has taken to monitor and control such exposures as well as the oversight of management’s plans to address such risks. One member of our audit committee and board of directors has a strong background in information technology and cybersecurity risk management through service in related senior executive positions of other publicly traded companies and meets regularly with our CISO to discuss our cybersecurity risk management processes. The audit committee is also responsible for the oversight of our policies and procedures regarding our use and related risks of AI and ML.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102" w:lineRule="exact"/>
        <w:rPr>
          <w:sz w:val="20"/>
          <w:szCs w:val="20"/>
          <w:color w:val="auto"/>
        </w:rPr>
      </w:pPr>
    </w:p>
    <w:p>
      <w:pPr>
        <w:jc w:val="both"/>
        <w:ind w:right="20" w:firstLine="544"/>
        <w:spacing w:after="0" w:line="247" w:lineRule="auto"/>
        <w:rPr>
          <w:sz w:val="20"/>
          <w:szCs w:val="20"/>
          <w:color w:val="auto"/>
        </w:rPr>
      </w:pPr>
      <w:r>
        <w:rPr>
          <w:rFonts w:ascii="Arial" w:cs="Arial" w:eastAsia="Arial" w:hAnsi="Arial"/>
          <w:sz w:val="18"/>
          <w:szCs w:val="18"/>
          <w:color w:val="auto"/>
        </w:rPr>
        <w:t>Our cybersecurity program, which is discussed in greater detail under the “Risk Management and Strategy” heading above, is led by our CISO, who has over 20 years of prior work experience in various roles with large public companies involving managing information security, developing cybersecurity strategy and implementing effective information and cybersecurity programs. In addition, our CISO manages a team of highly trained and experienced cybersecurity professionals in support of the cybersecurity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In addition to the ISRC discussed above, we maintain a disclosure committee with certain responsibilities that include among other things, the discussion of cybersecurity matters for materiality, proper internal reporting systems and incident disclosure evaluation. The disclosure committee also has a cybersecurity subcommittee that meets at least quarterly to discuss ongoing internal and external cyber-events, as well as mapping out the response process in the event of a cybersecurity incident that may reasonably be viewed as potentially material, including assessing the incident, materiality and disclosure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Risks</w:t>
      </w:r>
    </w:p>
    <w:p>
      <w:pPr>
        <w:spacing w:after="0" w:line="104"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In 2025, we did not identify any cybersecurity threats that resulted in a material adverse effect on our business strategy, results of operations, or financial condition. Notwithstanding the discussion above and our efforts to address cybersecurity risks, we cannot guarantee that we can mitigate or eliminate all cyber-related risks, including those related to operational disruption, intellectual property theft, fraud, extortion, harm to employees or customers, violation of privacy or security laws, other litigation and legal risk, customer attrition, and reputational risks. We urge you to read our discussion regarding whether and how risks from identified cybersecurity threats could materially affect us as part of our risk factor disclosures at “Item 1A - Risk Factors“—Risks Related to Our Business, Industry and Growth” and “—Risks Related to Our Technology and Intellectual Property” of this Annual Report on Form 10-K, which disclosures are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588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58850" cy="8255"/>
                    </a:xfrm>
                    <a:prstGeom prst="rect">
                      <a:avLst/>
                    </a:prstGeom>
                    <a:noFill/>
                  </pic:spPr>
                </pic:pic>
              </a:graphicData>
            </a:graphic>
          </wp:anchor>
        </w:drawing>
      </w:r>
    </w:p>
    <w:p>
      <w:pPr>
        <w:spacing w:after="0" w:line="8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are headquartered in Charlotte, North Carolina. We lease office space in Charlotte, North Carolina; Richmond Hill, Canada (part of the Greater Toronto Area); Dallas, Texas; Santa Clara, California; and in Gurugram, Mohali and Bengaluru, India. The table below sets forth certain information regarding these properties, all of which are leased.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ind w:left="214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4"/>
                <w:szCs w:val="14"/>
                <w:color w:val="auto"/>
              </w:rPr>
            </w:pPr>
          </w:p>
        </w:tc>
        <w:tc>
          <w:tcPr>
            <w:tcW w:w="2500" w:type="dxa"/>
            <w:vAlign w:val="bottom"/>
          </w:tcPr>
          <w:p>
            <w:pPr>
              <w:ind w:left="1100"/>
              <w:spacing w:after="0"/>
              <w:rPr>
                <w:sz w:val="20"/>
                <w:szCs w:val="20"/>
                <w:color w:val="auto"/>
              </w:rPr>
            </w:pPr>
            <w:r>
              <w:rPr>
                <w:rFonts w:ascii="Arial" w:cs="Arial" w:eastAsia="Arial" w:hAnsi="Arial"/>
                <w:sz w:val="14"/>
                <w:szCs w:val="14"/>
                <w:b w:val="1"/>
                <w:bCs w:val="1"/>
                <w:color w:val="auto"/>
              </w:rPr>
              <w:t>Type</w:t>
            </w:r>
          </w:p>
        </w:tc>
        <w:tc>
          <w:tcPr>
            <w:tcW w:w="1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Square Footage</w:t>
            </w:r>
          </w:p>
        </w:tc>
        <w:tc>
          <w:tcPr>
            <w:tcW w:w="21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Lease</w:t>
            </w:r>
          </w:p>
        </w:tc>
      </w:tr>
      <w:tr>
        <w:trPr>
          <w:trHeight w:val="17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(approximate)</w:t>
            </w:r>
          </w:p>
        </w:tc>
        <w:tc>
          <w:tcPr>
            <w:tcW w:w="2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Expiration</w:t>
            </w:r>
          </w:p>
        </w:tc>
      </w:tr>
      <w:tr>
        <w:trPr>
          <w:trHeight w:val="191"/>
        </w:trPr>
        <w:tc>
          <w:tcPr>
            <w:tcW w:w="48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Charlotte, North Carolina</w:t>
            </w:r>
          </w:p>
        </w:tc>
        <w:tc>
          <w:tcPr>
            <w:tcW w:w="120" w:type="dxa"/>
            <w:vAlign w:val="bottom"/>
          </w:tcPr>
          <w:p>
            <w:pPr>
              <w:spacing w:after="0"/>
              <w:rPr>
                <w:sz w:val="16"/>
                <w:szCs w:val="16"/>
                <w:color w:val="auto"/>
              </w:rPr>
            </w:pPr>
          </w:p>
        </w:tc>
        <w:tc>
          <w:tcPr>
            <w:tcW w:w="25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Corporate Headquarters</w:t>
            </w:r>
          </w:p>
        </w:tc>
        <w:tc>
          <w:tcPr>
            <w:tcW w:w="120" w:type="dxa"/>
            <w:vAlign w:val="bottom"/>
          </w:tcPr>
          <w:p>
            <w:pPr>
              <w:spacing w:after="0"/>
              <w:rPr>
                <w:sz w:val="16"/>
                <w:szCs w:val="16"/>
                <w:color w:val="auto"/>
              </w:rPr>
            </w:pPr>
          </w:p>
        </w:tc>
        <w:tc>
          <w:tcPr>
            <w:tcW w:w="14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26,700</w:t>
            </w:r>
          </w:p>
        </w:tc>
        <w:tc>
          <w:tcPr>
            <w:tcW w:w="120" w:type="dxa"/>
            <w:vAlign w:val="bottom"/>
          </w:tcPr>
          <w:p>
            <w:pPr>
              <w:spacing w:after="0"/>
              <w:rPr>
                <w:sz w:val="16"/>
                <w:szCs w:val="16"/>
                <w:color w:val="auto"/>
              </w:rPr>
            </w:pPr>
          </w:p>
        </w:tc>
        <w:tc>
          <w:tcPr>
            <w:tcW w:w="2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March 31, 2027</w:t>
            </w:r>
          </w:p>
        </w:tc>
        <w:tc>
          <w:tcPr>
            <w:tcW w:w="20" w:type="dxa"/>
            <w:vAlign w:val="bottom"/>
          </w:tcPr>
          <w:p>
            <w:pPr>
              <w:spacing w:after="0"/>
              <w:rPr>
                <w:sz w:val="16"/>
                <w:szCs w:val="16"/>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Richmond Hill, Canada</w:t>
            </w:r>
          </w:p>
        </w:tc>
        <w:tc>
          <w:tcPr>
            <w:tcW w:w="26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Office space</w:t>
            </w:r>
          </w:p>
        </w:tc>
        <w:tc>
          <w:tcPr>
            <w:tcW w:w="16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56,000</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March 31, 2031</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Richmond Hill, Canada</w:t>
            </w:r>
          </w:p>
        </w:tc>
        <w:tc>
          <w:tcPr>
            <w:tcW w:w="26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Office space</w:t>
            </w:r>
          </w:p>
        </w:tc>
        <w:tc>
          <w:tcPr>
            <w:tcW w:w="16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4,050</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May 31, 2030</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Dallas, Texas</w:t>
            </w:r>
          </w:p>
        </w:tc>
        <w:tc>
          <w:tcPr>
            <w:tcW w:w="26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Office space</w:t>
            </w:r>
          </w:p>
        </w:tc>
        <w:tc>
          <w:tcPr>
            <w:tcW w:w="16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10,100</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March 15, 2027</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Santa Clara, California</w:t>
            </w:r>
          </w:p>
        </w:tc>
        <w:tc>
          <w:tcPr>
            <w:tcW w:w="26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Office space</w:t>
            </w:r>
          </w:p>
        </w:tc>
        <w:tc>
          <w:tcPr>
            <w:tcW w:w="16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3,900</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September 30, 2027</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Gurugram, India</w:t>
            </w:r>
          </w:p>
        </w:tc>
        <w:tc>
          <w:tcPr>
            <w:tcW w:w="26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Office space</w:t>
            </w:r>
          </w:p>
        </w:tc>
        <w:tc>
          <w:tcPr>
            <w:tcW w:w="16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19,800</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February 1, 2029</w:t>
            </w:r>
          </w:p>
        </w:tc>
      </w:tr>
      <w:tr>
        <w:trPr>
          <w:trHeight w:val="181"/>
        </w:trPr>
        <w:tc>
          <w:tcPr>
            <w:tcW w:w="4860" w:type="dxa"/>
            <w:vAlign w:val="bottom"/>
          </w:tcPr>
          <w:p>
            <w:pPr>
              <w:spacing w:after="0" w:line="182" w:lineRule="exact"/>
              <w:rPr>
                <w:sz w:val="20"/>
                <w:szCs w:val="20"/>
                <w:color w:val="auto"/>
              </w:rPr>
            </w:pPr>
            <w:r>
              <w:rPr>
                <w:rFonts w:ascii="Arial" w:cs="Arial" w:eastAsia="Arial" w:hAnsi="Arial"/>
                <w:sz w:val="18"/>
                <w:szCs w:val="18"/>
                <w:color w:val="auto"/>
              </w:rPr>
              <w:t>Mohali, Punjab, India</w:t>
            </w:r>
          </w:p>
        </w:tc>
        <w:tc>
          <w:tcPr>
            <w:tcW w:w="262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Office space</w:t>
            </w:r>
          </w:p>
        </w:tc>
        <w:tc>
          <w:tcPr>
            <w:tcW w:w="1660" w:type="dxa"/>
            <w:vAlign w:val="bottom"/>
            <w:gridSpan w:val="3"/>
          </w:tcPr>
          <w:p>
            <w:pPr>
              <w:jc w:val="right"/>
              <w:ind w:right="120"/>
              <w:spacing w:after="0" w:line="182" w:lineRule="exact"/>
              <w:rPr>
                <w:sz w:val="20"/>
                <w:szCs w:val="20"/>
                <w:color w:val="auto"/>
              </w:rPr>
            </w:pPr>
            <w:r>
              <w:rPr>
                <w:rFonts w:ascii="Arial" w:cs="Arial" w:eastAsia="Arial" w:hAnsi="Arial"/>
                <w:sz w:val="18"/>
                <w:szCs w:val="18"/>
                <w:color w:val="auto"/>
              </w:rPr>
              <w:t>12,000</w:t>
            </w:r>
          </w:p>
        </w:tc>
        <w:tc>
          <w:tcPr>
            <w:tcW w:w="2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January 31, 2031</w:t>
            </w:r>
          </w:p>
        </w:tc>
      </w:tr>
      <w:tr>
        <w:trPr>
          <w:trHeight w:val="224"/>
        </w:trPr>
        <w:tc>
          <w:tcPr>
            <w:tcW w:w="4860" w:type="dxa"/>
            <w:vAlign w:val="bottom"/>
          </w:tcPr>
          <w:p>
            <w:pPr>
              <w:spacing w:after="0"/>
              <w:rPr>
                <w:sz w:val="20"/>
                <w:szCs w:val="20"/>
                <w:color w:val="auto"/>
              </w:rPr>
            </w:pPr>
            <w:r>
              <w:rPr>
                <w:rFonts w:ascii="Arial" w:cs="Arial" w:eastAsia="Arial" w:hAnsi="Arial"/>
                <w:sz w:val="18"/>
                <w:szCs w:val="18"/>
                <w:color w:val="auto"/>
              </w:rPr>
              <w:t>Mohali, Punjab, India</w:t>
            </w: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Office space</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4,850</w:t>
            </w:r>
          </w:p>
        </w:tc>
        <w:tc>
          <w:tcPr>
            <w:tcW w:w="2120" w:type="dxa"/>
            <w:vAlign w:val="bottom"/>
            <w:gridSpan w:val="2"/>
          </w:tcPr>
          <w:p>
            <w:pPr>
              <w:jc w:val="right"/>
              <w:ind w:right="20"/>
              <w:spacing w:after="0" w:line="224" w:lineRule="exact"/>
              <w:rPr>
                <w:sz w:val="20"/>
                <w:szCs w:val="20"/>
                <w:color w:val="auto"/>
              </w:rPr>
            </w:pPr>
            <w:r>
              <w:rPr>
                <w:rFonts w:ascii="Arial" w:cs="Arial" w:eastAsia="Arial" w:hAnsi="Arial"/>
                <w:sz w:val="18"/>
                <w:szCs w:val="18"/>
                <w:color w:val="auto"/>
              </w:rPr>
              <w:t>December 31, 2025</w:t>
            </w:r>
            <w:r>
              <w:rPr>
                <w:rFonts w:ascii="Arial" w:cs="Arial" w:eastAsia="Arial" w:hAnsi="Arial"/>
                <w:sz w:val="24"/>
                <w:szCs w:val="24"/>
                <w:color w:val="auto"/>
                <w:vertAlign w:val="superscript"/>
              </w:rPr>
              <w:t>(1)</w:t>
            </w:r>
          </w:p>
        </w:tc>
      </w:tr>
      <w:tr>
        <w:trPr>
          <w:trHeight w:val="239"/>
        </w:trPr>
        <w:tc>
          <w:tcPr>
            <w:tcW w:w="4860" w:type="dxa"/>
            <w:vAlign w:val="bottom"/>
          </w:tcPr>
          <w:p>
            <w:pPr>
              <w:spacing w:after="0"/>
              <w:rPr>
                <w:sz w:val="20"/>
                <w:szCs w:val="20"/>
                <w:color w:val="auto"/>
              </w:rPr>
            </w:pPr>
            <w:r>
              <w:rPr>
                <w:rFonts w:ascii="Arial" w:cs="Arial" w:eastAsia="Arial" w:hAnsi="Arial"/>
                <w:sz w:val="18"/>
                <w:szCs w:val="18"/>
                <w:color w:val="auto"/>
              </w:rPr>
              <w:t>Bengaluru, India</w:t>
            </w: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Office space</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6,000</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September 19, 2028</w:t>
            </w:r>
          </w:p>
        </w:tc>
      </w:tr>
      <w:tr>
        <w:trPr>
          <w:trHeight w:val="419"/>
        </w:trPr>
        <w:tc>
          <w:tcPr>
            <w:tcW w:w="4860" w:type="dxa"/>
            <w:vAlign w:val="bottom"/>
          </w:tcPr>
          <w:p>
            <w:pPr>
              <w:spacing w:after="0"/>
              <w:rPr>
                <w:sz w:val="24"/>
                <w:szCs w:val="24"/>
                <w:color w:val="auto"/>
              </w:rPr>
            </w:pPr>
          </w:p>
        </w:tc>
        <w:tc>
          <w:tcPr>
            <w:tcW w:w="2620" w:type="dxa"/>
            <w:vAlign w:val="bottom"/>
            <w:gridSpan w:val="2"/>
          </w:tcPr>
          <w:p>
            <w:pPr>
              <w:jc w:val="right"/>
              <w:ind w:right="1679"/>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5"/>
        </w:trPr>
        <w:tc>
          <w:tcPr>
            <w:tcW w:w="4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left="500"/>
        <w:spacing w:after="0"/>
        <w:rPr>
          <w:sz w:val="20"/>
          <w:szCs w:val="20"/>
          <w:color w:val="auto"/>
        </w:rPr>
      </w:pPr>
      <w:r>
        <w:rPr>
          <w:rFonts w:ascii="Arial" w:cs="Arial" w:eastAsia="Arial" w:hAnsi="Arial"/>
          <w:sz w:val="18"/>
          <w:szCs w:val="18"/>
          <w:color w:val="auto"/>
        </w:rPr>
        <w:t>(1) Month to month lease of space in office building.</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For leases that are scheduled to expire during the next 12 months, we may negotiate new lease agreements, renew existing lease agreements or relocate to alternate facilities. We believe that our facilities are adequate for our needs and believe that we should be able to renew any of the above leases or secure alternative suitable property without an adverse impact on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09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84"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From time to time, we are involved in legal proceedings and subject to claims that arise in the ordinary course of our business, which may include claims relating to contractual disputes, product liability, tort or personal injury, employment, intellectual property or other commercial or regulatory matters. In addition, if current or future government regulations are interpreted, adopted or enforced in a manner adverse to our business, we may be subject to investigations, enforcement actions, penalties, damages, material limitations on our business, and reputational harm. Furthermore, we may become subject to stockholder inspection demands under Delaware law and derivative or other similar litigation. From time to time as appropriate, we accrue liabilities related to legal claims in our financial statements.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081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08150"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4636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04"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Paymentus Holdings, Inc. Class A common stock is listed on the New York Stock Exchange under the ticker symbol "PAY." There is no established trading market for our Class B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Based on the records of our transfer agent, as of February 19, 2026, there were 28 record holders of our Class A common stock and 37 record holders of our Class B common stock. Because a substantial portion of our shares of Class A common stock are held by brokers and institutions on behalf of stockholders, we are unable to estimate the total number of beneficial owners of our Class A common stock represented by these record 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Except as may have been previously reported in our filings with the SEC, there were no sales of unregistered securities during the fiscal year ended December 31, 2025.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There were no repurchases of equity securities during the quarter ended December 31, 2025. We do not have any publicly announced or other repurchase programs regarding our Class A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following graph and table compare the total stockholder return from May 26, 2021, the date on which our Class A common stock commenced trading on NYSE, through December 31, 2025, based on an initial investment of $100 in each of:</w:t>
      </w:r>
    </w:p>
    <w:p>
      <w:pPr>
        <w:spacing w:after="0" w:line="46" w:lineRule="exact"/>
        <w:rPr>
          <w:sz w:val="20"/>
          <w:szCs w:val="20"/>
          <w:color w:val="auto"/>
        </w:rPr>
      </w:pPr>
    </w:p>
    <w:p>
      <w:pPr>
        <w:ind w:left="1000" w:hanging="498"/>
        <w:spacing w:after="0"/>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A common stock;</w:t>
      </w:r>
    </w:p>
    <w:p>
      <w:pPr>
        <w:spacing w:after="0" w:line="116"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Standard and Poor's 500 Stock Index (S&amp;P 500 Index); and</w:t>
      </w:r>
    </w:p>
    <w:p>
      <w:pPr>
        <w:spacing w:after="0" w:line="116"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Standard and Poor's 500 Information Technology Index (S&amp;P Information Technology).</w:t>
      </w:r>
    </w:p>
    <w:p>
      <w:pPr>
        <w:spacing w:after="0" w:line="11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706120</wp:posOffset>
            </wp:positionV>
            <wp:extent cx="6172200" cy="4465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May 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December</w:t>
            </w:r>
          </w:p>
        </w:tc>
        <w:tc>
          <w:tcPr>
            <w:tcW w:w="1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12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2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r>
      <w:tr>
        <w:trPr>
          <w:trHeight w:val="221"/>
        </w:trPr>
        <w:tc>
          <w:tcPr>
            <w:tcW w:w="3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31, 2021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31, 2023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31, 2024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31, 2025</w:t>
            </w:r>
          </w:p>
        </w:tc>
        <w:tc>
          <w:tcPr>
            <w:tcW w:w="120" w:type="dxa"/>
            <w:vAlign w:val="bottom"/>
          </w:tcPr>
          <w:p>
            <w:pPr>
              <w:spacing w:after="0"/>
              <w:rPr>
                <w:sz w:val="19"/>
                <w:szCs w:val="19"/>
                <w:color w:val="auto"/>
              </w:rPr>
            </w:pPr>
          </w:p>
        </w:tc>
      </w:tr>
      <w:tr>
        <w:trPr>
          <w:trHeight w:val="196"/>
        </w:trPr>
        <w:tc>
          <w:tcPr>
            <w:tcW w:w="308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Paymentus Holdings, Inc.</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100.00</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166.57</w:t>
            </w:r>
          </w:p>
        </w:tc>
        <w:tc>
          <w:tcPr>
            <w:tcW w:w="40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38.14</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85.10</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155.57</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149.29</w:t>
            </w:r>
          </w:p>
        </w:tc>
        <w:tc>
          <w:tcPr>
            <w:tcW w:w="120" w:type="dxa"/>
            <w:vAlign w:val="bottom"/>
            <w:shd w:val="clear" w:color="auto" w:fill="CFF0FC"/>
          </w:tcPr>
          <w:p>
            <w:pPr>
              <w:spacing w:after="0"/>
              <w:rPr>
                <w:sz w:val="17"/>
                <w:szCs w:val="17"/>
                <w:color w:val="auto"/>
              </w:rPr>
            </w:pPr>
          </w:p>
        </w:tc>
      </w:tr>
      <w:tr>
        <w:trPr>
          <w:trHeight w:val="203"/>
        </w:trPr>
        <w:tc>
          <w:tcPr>
            <w:tcW w:w="3080" w:type="dxa"/>
            <w:vAlign w:val="bottom"/>
          </w:tcPr>
          <w:p>
            <w:pPr>
              <w:ind w:left="60"/>
              <w:spacing w:after="0" w:line="202" w:lineRule="exact"/>
              <w:rPr>
                <w:sz w:val="20"/>
                <w:szCs w:val="20"/>
                <w:color w:val="auto"/>
              </w:rPr>
            </w:pPr>
            <w:r>
              <w:rPr>
                <w:rFonts w:ascii="Arial" w:cs="Arial" w:eastAsia="Arial" w:hAnsi="Arial"/>
                <w:sz w:val="18"/>
                <w:szCs w:val="18"/>
                <w:color w:val="auto"/>
              </w:rPr>
              <w:t>S&amp;P 500 Index</w:t>
            </w:r>
          </w:p>
        </w:tc>
        <w:tc>
          <w:tcPr>
            <w:tcW w:w="8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113.71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91.60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113.80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140.32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164.53</w:t>
            </w:r>
          </w:p>
        </w:tc>
        <w:tc>
          <w:tcPr>
            <w:tcW w:w="120" w:type="dxa"/>
            <w:vAlign w:val="bottom"/>
          </w:tcPr>
          <w:p>
            <w:pPr>
              <w:spacing w:after="0"/>
              <w:rPr>
                <w:sz w:val="17"/>
                <w:szCs w:val="17"/>
                <w:color w:val="auto"/>
              </w:rPr>
            </w:pPr>
          </w:p>
        </w:tc>
      </w:tr>
      <w:tr>
        <w:trPr>
          <w:trHeight w:val="203"/>
        </w:trPr>
        <w:tc>
          <w:tcPr>
            <w:tcW w:w="308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S&amp;P Information Technology</w:t>
            </w:r>
          </w:p>
        </w:tc>
        <w:tc>
          <w:tcPr>
            <w:tcW w:w="8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125.60</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89.29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139.65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189.48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235.66</w:t>
            </w:r>
          </w:p>
        </w:tc>
        <w:tc>
          <w:tcPr>
            <w:tcW w:w="120" w:type="dxa"/>
            <w:vAlign w:val="bottom"/>
            <w:shd w:val="clear" w:color="auto" w:fill="CFF0FC"/>
          </w:tcPr>
          <w:p>
            <w:pPr>
              <w:spacing w:after="0"/>
              <w:rPr>
                <w:sz w:val="17"/>
                <w:szCs w:val="17"/>
                <w:color w:val="auto"/>
              </w:rPr>
            </w:pPr>
          </w:p>
        </w:tc>
      </w:tr>
    </w:tbl>
    <w:p>
      <w:pPr>
        <w:spacing w:after="0" w:line="8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will neither make nor endorse any predictions as to future stock performance or whether the trends depicted in the graph above will continue or change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04"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those discussed in "Special Note Regarding Forward-Looking Statements" and those discussed in the section titled "Risk Factors" under Part I, Item 1A in this Annual Report on Form 10-K.</w:t>
      </w:r>
    </w:p>
    <w:p>
      <w:pPr>
        <w:spacing w:after="0" w:line="77" w:lineRule="exact"/>
        <w:rPr>
          <w:sz w:val="20"/>
          <w:szCs w:val="20"/>
          <w:color w:val="auto"/>
        </w:rPr>
      </w:pPr>
    </w:p>
    <w:p>
      <w:pPr>
        <w:jc w:val="both"/>
        <w:ind w:firstLine="499"/>
        <w:spacing w:after="0" w:line="242" w:lineRule="auto"/>
        <w:rPr>
          <w:sz w:val="20"/>
          <w:szCs w:val="20"/>
          <w:color w:val="auto"/>
        </w:rPr>
      </w:pPr>
      <w:r>
        <w:rPr>
          <w:rFonts w:ascii="Arial" w:cs="Arial" w:eastAsia="Arial" w:hAnsi="Arial"/>
          <w:sz w:val="18"/>
          <w:szCs w:val="18"/>
          <w:color w:val="auto"/>
        </w:rPr>
        <w:t xml:space="preserve">A discussion of changes in our results of operations from fiscal year 2023 to fiscal year 2024 and a discussion of our liquidity and capital resources for 2024 have been omitted from this Annual Report on Form 10-K but may be found under the heading "Management’s Discussion and Analysis of Financial Condition and Results of Operations—Comparison of the Years Ended December 31, 2024 and 2023" and "—Liquidity and Capital Resources—"Sources and Uses of Funds" and "—Historical Cash Flows" in our Annual Report on Form 10-K for the year ended December 31, 2024, filed with the SEC on March 11, 2025, which is available free of charge on the SEC's website at </w:t>
      </w:r>
      <w:r>
        <w:rPr>
          <w:rFonts w:ascii="Arial" w:cs="Arial" w:eastAsia="Arial" w:hAnsi="Arial"/>
          <w:sz w:val="18"/>
          <w:szCs w:val="18"/>
          <w:i w:val="1"/>
          <w:iCs w:val="1"/>
          <w:color w:val="auto"/>
        </w:rPr>
        <w:t xml:space="preserve">www.sec.gov </w:t>
      </w:r>
      <w:r>
        <w:rPr>
          <w:rFonts w:ascii="Arial" w:cs="Arial" w:eastAsia="Arial" w:hAnsi="Arial"/>
          <w:sz w:val="18"/>
          <w:szCs w:val="18"/>
          <w:color w:val="auto"/>
        </w:rPr>
        <w:t>and our website at</w:t>
      </w:r>
      <w:r>
        <w:rPr>
          <w:rFonts w:ascii="Arial" w:cs="Arial" w:eastAsia="Arial" w:hAnsi="Arial"/>
          <w:sz w:val="18"/>
          <w:szCs w:val="18"/>
          <w:i w:val="1"/>
          <w:iCs w:val="1"/>
          <w:color w:val="auto"/>
        </w:rPr>
        <w:t xml:space="preserve"> https://ir.paymentus.com/home/default.aspx</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As a leading provider of cloud-based bill payment technology and solutions, we deliver our next-generation product suite through a modern technology stack to a broad and diverse base of business and financial institution clients. Our platform was used by approximately 53 million consumers and businesses globally in December 2025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education, consumer finance, healthcare, business to business (B2B) and small business.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7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7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generate substantially all of our revenue from payment transaction fees and have achieved significant growth through our capital efficient model. We rely on a diversified go-to-market strategy to reach new billers. We acquire new billers through direct sales channels, software and strategic partnerships and our Instant Payment Network (IPN), which together promote rapid adoption of our platform through partnerships with leading business networks. Through these channels, our platform reaches millions of consumers, driving transaction growth.</w:t>
      </w:r>
    </w:p>
    <w:p>
      <w:pPr>
        <w:spacing w:after="0" w:line="6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revenue is predictable to a certain degree. We derive the majority of our revenue from a fee paid per transaction by the consumer, the biller or a combination of both. Our usage-based monetization strategy aligns our economic success with the success of our billers and partners. Since we benefit from increased transactional volume, we do not charge separate license fees or implementation fees. In addition, our modern platform architecture allows us to provide integration, implementation, maintenance and upgrades at no additional cost to billers.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Economic and Inflationary Trends</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U.S. economy experienced prolonged economic uncertainty and inflationary conditions in 2022 and into 2023, followed by partial stabilization in 2024. Although inflation continued to moderate in 2025, the economy was still affected by lingering cost pressures and uneven economic conditions. While we continued to achieve significant growth in transaction volume and revenue during this period, these macro trends required a sustained focus on operational efficiencies and proactive pricing adjustments to mitigate the impact of rising external costs, such as interchange and processor fees. Despite some improvement, overall economic uncertainty remains elevated in 2026 and could continue to adversely affect our results. Ongoing uncertainty regarding tariffs or trade disputes may further exacerbate these risks.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ind w:firstLine="494"/>
        <w:spacing w:after="0"/>
        <w:rPr>
          <w:sz w:val="20"/>
          <w:szCs w:val="20"/>
          <w:color w:val="auto"/>
        </w:rPr>
      </w:pPr>
      <w:r>
        <w:rPr>
          <w:rFonts w:ascii="Arial" w:cs="Arial" w:eastAsia="Arial" w:hAnsi="Arial"/>
          <w:sz w:val="18"/>
          <w:szCs w:val="18"/>
          <w:color w:val="auto"/>
        </w:rPr>
        <w:t>In addition, these economic conditions or a worsening thereof, could cause clients to defer anticipated implementations or reevaluate development of technology resources, which may delay expected revenue recognition. Inflationary pressures also lead to higher average bills, especially in the utility sector, and increased interchange fees. We may be unable to fully adjust our pricing to address these pressures, and our adjustments typically lag behind the impact of inflation on clients, rising bill amounts and increased interchange fees. Additionally, ongoing wage pressures due to inflation are placing short-term pressure on our margins, posing challenges for expense management. Continued economic uncertainty and inflationary conditions could have a material adverse impact on our business, operating results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generate substantially all of our revenue from payment transaction fees. Transaction fees are fees collected for each transaction processed through our platform, on either a fixed basis or variable basis based on the transaction value, with the actual fees dependent on the type of transaction, payment or transaction channel and industry vertical. However, irrespective of these factors, the transaction fees that we receive are generally consistent across transaction types, payment and transaction channels and industry verticals. We receive such transaction fees directly from billers, financial institutions, partners or, in some cases, from consumers as a convenience fee.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Cost of revenue consists of certain direct costs that are directly attributed to processing transactions on our platform. This includes interchange, assessment and network expenses incurred for processing payments as well as costs of servicing our clients through product support, implementations and customer care. Cost of revenue also includes an allocation of hosting and data center costs for our infrastructure and platform environment, telecommunication expenses used by sales and customer support teams and a portion of amortization of capitalized internal-use software development costs and a portion of amortization of intangible assets, including amortization of intangible assets acquired as part of our acquisitions of other businesses. We anticipate that cost of revenue will increase in absolute dollars for the foreseeable future as we expand our operations. However, cost of revenue as a percentage of total revenue may vary between periods due to shifts in transaction mix, continued investment in our expansion, and the potential integration of acquired businesses or technologies.</w:t>
      </w:r>
    </w:p>
    <w:p>
      <w:pPr>
        <w:spacing w:after="0" w:line="75"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are external factors that impact interchange fees, such as the average transaction amount in a particular month or quarter. For example, hot summers and cold winters tend to increase utility bills, and property taxes result in two larger payments per year, each of which increases our interchange cost in line with the seasonal nature of our business.</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Gross profit is equal to our revenue less cost of revenue. Gross profit as a percentage of our revenue is referred to as gross margin. Our gross margin has been and will continue to be affected by a number of factors, including addition of large, high-volume enterprise billers with lower margins in our biller mix, average transaction value, payment type and payments and transactions through our IPN.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Research and development expenses consist of personnel-related expenses, including stock-based compensation expenses, incurred in developing new products or enhancing existing products and are expensed as incurred, unless they qualify as internal-use software development costs, which are capitalized and amortized. We expect our research and development expenses to increase in absolute dollars, but they may fluctuate as a percentage of revenue from period to period as we expand our research and development team to develop new products and product enhancements. Over the longer term, we expect research and development expenses to decrease as a percentage of revenue as we leverage the scale of our business.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Sales and marketing expenses consist primarily of personnel-related expenses, including stock-based compensation expenses for sales and marketing personnel, sales commissions, partner fees, marketing program expenses, travel-related expenses and costs to market and promote our platform through advertisements, marketing events, partnership arrangements and direct biller acquisition as well as amortization of intangible assets acquired as part of our acquisitions of other businesses. We expect our sales and marketing expenses to increase in absolute dollars alongside revenue growth, but they may fluctuate as a percentage of revenue from period to period.</w:t>
      </w:r>
    </w:p>
    <w:p>
      <w:pPr>
        <w:spacing w:after="0" w:line="3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ind w:firstLine="494"/>
        <w:spacing w:after="0"/>
        <w:rPr>
          <w:sz w:val="20"/>
          <w:szCs w:val="20"/>
          <w:color w:val="auto"/>
        </w:rPr>
      </w:pPr>
      <w:r>
        <w:rPr>
          <w:rFonts w:ascii="Arial" w:cs="Arial" w:eastAsia="Arial" w:hAnsi="Arial"/>
          <w:sz w:val="18"/>
          <w:szCs w:val="18"/>
          <w:color w:val="auto"/>
        </w:rPr>
        <w:t>General and administrative expenses consist primarily of personnel-related expenses, including stock-based compensation expenses for finance, risk management, legal and compliance, human resources, information technology and facilities personnel. General and administrative expenses also include costs incurred for external professional services, leasing of office buildings and other corporate expenses. We expect to continue to incur additional general and administrative expenses to support the growth in our business and to meet regulatory compliance requirements. We expect that our general and administrative expenses will increase in absolute dollars, but they may fluctuate as a percentage of revenue from period to period. Over the longer term, we expect general and administrative expenses to decrease as a percentage of revenue as we leverage the scale of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Adoption of Electronic Bill Payment Solutions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the number of financial transactions online continues to increase, electronic bill payment is becoming a greater share of the bill payment market. We have observed that consumers demand a frictionless electronic bill payment experience and increasingly prefer more flexible and innovative digital payment options. We expect this trend to continue, providing us with a greater opportunity to provide next-generation bill and digital payment technology and power more transactions, further fueling our growth.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and Maintaining Existing Billers and Financial Institutions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Our future growth depends on the continued adoption of our platform by new billers and financial institutions, as well as maintaining our existing billers and financial institutions. We intend to continue investing in our efficient go-to-market strategies, increasing brand awareness and driving adoption of our platform and products. Our client base includes a broad and diverse range of billers and financial institutions. Our ability to attract new, and maintain existing, billers and financial institutions and drive adoption of our platform will depend on a number of factors, including the effectiveness and pricing of our products, offerings of our competitors and the effectiveness of our marketing efforts. Our growth and performance also depends on our ability to promptly implement and begin recognizing revenues from our new billers and financial institutions.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Usage of Our Platform with Existing Billers and Financial Institutions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believe our large base of existing billers and financial institutions represents a significant opportunity for further consumption of our platform. We believe our solutions create a superior experience for consumers and accelerate revenue realization for billers, which drives increased usage of our platform. We intend to continue investing in this value proposition. Leveraging our platform to capture more transactions from our existing biller and financial institution base is expected to organically drive transaction growth at lower cost.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Partner Base</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believe there is a significant opportunity to increase the transactions on our platform through expanding our base of software, strategic and IPN partners. While revenue derived from or through our IPN partnerships has not been significant historically, we expect that the revenue contribution from our IPN will grow over time. As our IPN partner base expands, and new partners use our platform to power bill payment experiences within their ecosystems, we expect to organically expand the reach of our platform to millions of new consumers and thereby drive new, revenue-generating transactions to our platform. We intend to invest in the expansion of our partner base, including the addition of new IPN partners, because our ability to secure new partners will have a direct impact on our transaction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Sales and Marketing</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will continue to expand efforts to market our platform through our diversified sales and marketing strategy. We intend to invest in sales and marketing strategies that we believe will drive further brand awareness and preference among our billers, financial institutions, partners and consumers. Given the nature of our biller, financial institution, and partner base, our investment in sales and marketing in a given period may not impact results until subsequent periods. We approach sales and marketing spend strategically to maintain efficient biller and partner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Enhancement of Our Platform</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will continue to invest in our platform and IPN to maintain our position as a leading provider of biller communication and payments. To drive adoption and increase penetration of our platform, we intend to continue to introduce new products and features. We believe that investment in research and development will contribute to our long-term growth, but may also negatively impact our short-term profitability. We will continue to leverage emerging technologies and invest in the development of more features and better functionality for consumers.</w:t>
      </w: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Key Performance and Non-GAAP Measures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use the following metrics to measure our performance, identify trends affecting our business, prepare financial projections and make strategic decisions. We believe that these key performance and non-GAAP measures provide meaningful supplemental information for management and investors in assessing our historical and future operating performance. The calculation of the key performance and non-GAAP measures discussed below may differ from other similarly titled metrics used by other companies, securities analysts or investors.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Processed</w:t>
      </w:r>
    </w:p>
    <w:p>
      <w:pPr>
        <w:spacing w:after="0" w:line="8"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Year Ended December 31,</w:t>
      </w: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1680" w:type="dxa"/>
            <w:vAlign w:val="bottom"/>
            <w:tcBorders>
              <w:top w:val="single" w:sz="8" w:color="auto"/>
            </w:tcBorders>
            <w:gridSpan w:val="2"/>
          </w:tcPr>
          <w:p>
            <w:pPr>
              <w:jc w:val="right"/>
              <w:ind w:right="60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r>
      <w:tr>
        <w:trPr>
          <w:trHeight w:val="196"/>
        </w:trPr>
        <w:tc>
          <w:tcPr>
            <w:tcW w:w="62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top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200" w:type="dxa"/>
            <w:vAlign w:val="bottom"/>
            <w:gridSpan w:val="2"/>
            <w:shd w:val="clear" w:color="auto" w:fill="CFF0FC"/>
          </w:tcPr>
          <w:p>
            <w:pPr>
              <w:jc w:val="right"/>
              <w:ind w:right="5190"/>
              <w:spacing w:after="0" w:line="202" w:lineRule="exact"/>
              <w:rPr>
                <w:sz w:val="20"/>
                <w:szCs w:val="20"/>
                <w:color w:val="auto"/>
              </w:rPr>
            </w:pPr>
            <w:r>
              <w:rPr>
                <w:rFonts w:ascii="Arial" w:cs="Arial" w:eastAsia="Arial" w:hAnsi="Arial"/>
                <w:sz w:val="18"/>
                <w:szCs w:val="18"/>
                <w:color w:val="auto"/>
                <w:w w:val="99"/>
              </w:rPr>
              <w:t>Transactions processed</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724.0</w:t>
            </w:r>
          </w:p>
        </w:tc>
        <w:tc>
          <w:tcPr>
            <w:tcW w:w="1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597.0</w:t>
            </w:r>
          </w:p>
        </w:tc>
        <w:tc>
          <w:tcPr>
            <w:tcW w:w="16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458.2</w:t>
            </w:r>
          </w:p>
        </w:tc>
        <w:tc>
          <w:tcPr>
            <w:tcW w:w="120" w:type="dxa"/>
            <w:vAlign w:val="bottom"/>
            <w:shd w:val="clear" w:color="auto" w:fill="CFF0FC"/>
          </w:tcPr>
          <w:p>
            <w:pPr>
              <w:spacing w:after="0"/>
              <w:rPr>
                <w:sz w:val="17"/>
                <w:szCs w:val="17"/>
                <w:color w:val="auto"/>
              </w:rPr>
            </w:pPr>
          </w:p>
        </w:tc>
      </w:tr>
    </w:tbl>
    <w:p>
      <w:pPr>
        <w:spacing w:after="0" w:line="89"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(ACH) items and emerging payment types, which are initiated and generally processed through our platform during a period. The number of transactions also includes account-to-account and person-to-person transfers. The number of transactions processed during the year ended December 31, 2025 increased approximately 21.3% as compared to 2024. The number of transactions processed during the year ended December 31, 2024 increased approximately 30.3% as compared to 2023. The increase in 2025 was primarily driven by the addition of new billers and financial institutions and increased activity from existing billers. The year-over-year change in growth rate reflects a shift in biller mix, including the onboarding of large enterprise billers that typically contribute higher payment volumes relative to transaction counts.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(GAAP). These supplemental non-GAAP measures include contribution profit, adjusted gross profit, adjusted EBITDA and free cash flow.</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102"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assessment and other network fees paid by us to our payment processors.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Gross Profit</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 of acquisition-related intangible assets and capitalized software development costs.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EBITDA</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calculate adjusted EBITDA as net income before interest income (expense), net, other income (expense), depreciation and amortization of acquisition-related intangible assets and capitalized software development costs, and income taxes, adjusted to exclude the effects of net foreign exchange gain (loss), stock-based compensation expense and certain nonrecurring expenses that management believes are not indicative of ongoing operations.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Free Cash Flow</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other intangible assets acquired, and capitalized internal-use software development costs.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How We Use Non-GAAP Measures</w:t>
      </w:r>
    </w:p>
    <w:p>
      <w:pPr>
        <w:spacing w:after="0" w:line="102" w:lineRule="exact"/>
        <w:rPr>
          <w:sz w:val="20"/>
          <w:szCs w:val="20"/>
          <w:color w:val="auto"/>
        </w:rPr>
      </w:pPr>
    </w:p>
    <w:p>
      <w:pPr>
        <w:jc w:val="both"/>
        <w:ind w:firstLine="494"/>
        <w:spacing w:after="0" w:line="236"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assessment and other network fees in the presentation of contribution profit because we believe inclusion is less directly reflective of our operating performance as we do not control the payment channel used by consumers, which is the primary determinant of the amount of interchange, assessment and other network fees. We use contribution profit to measure the amount available to fund our operations after interchange and assessment fees, which are directly linked to the number of transactions we process 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47" w:lineRule="auto"/>
        <w:rPr>
          <w:sz w:val="20"/>
          <w:szCs w:val="20"/>
          <w:color w:val="auto"/>
        </w:rPr>
      </w:pPr>
      <w:r>
        <w:rPr>
          <w:rFonts w:ascii="Arial" w:cs="Arial" w:eastAsia="Arial" w:hAnsi="Arial"/>
          <w:sz w:val="18"/>
          <w:szCs w:val="18"/>
          <w:color w:val="auto"/>
        </w:rPr>
        <w:t>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6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 evaluate our business, we encourage you to review the consolidated financial statements and related notes included elsewhere in this report and to not rely on any single financial measure to evaluate our business.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Pr>
          <w:p>
            <w:pPr>
              <w:ind w:left="500"/>
              <w:spacing w:after="0"/>
              <w:rPr>
                <w:sz w:val="20"/>
                <w:szCs w:val="20"/>
                <w:color w:val="auto"/>
              </w:rPr>
            </w:pPr>
            <w:r>
              <w:rPr>
                <w:rFonts w:ascii="Arial" w:cs="Arial" w:eastAsia="Arial" w:hAnsi="Arial"/>
                <w:sz w:val="18"/>
                <w:szCs w:val="18"/>
                <w:i w:val="1"/>
                <w:iCs w:val="1"/>
                <w:color w:val="auto"/>
              </w:rPr>
              <w:t>Contribution Profit</w:t>
            </w: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3"/>
        </w:trPr>
        <w:tc>
          <w:tcPr>
            <w:tcW w:w="4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4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23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296,342</w:t>
            </w: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238,170</w:t>
            </w:r>
          </w:p>
        </w:tc>
        <w:tc>
          <w:tcPr>
            <w:tcW w:w="4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182,342</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ind w:left="80"/>
              <w:spacing w:after="0" w:line="202" w:lineRule="exact"/>
              <w:rPr>
                <w:sz w:val="20"/>
                <w:szCs w:val="20"/>
                <w:color w:val="auto"/>
              </w:rPr>
            </w:pPr>
            <w:r>
              <w:rPr>
                <w:rFonts w:ascii="Arial" w:cs="Arial" w:eastAsia="Arial" w:hAnsi="Arial"/>
                <w:sz w:val="18"/>
                <w:szCs w:val="18"/>
                <w:color w:val="auto"/>
              </w:rPr>
              <w:t>Plus: other cost of revenue</w:t>
            </w:r>
          </w:p>
        </w:tc>
        <w:tc>
          <w:tcPr>
            <w:tcW w:w="2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89,967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73,898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58,606</w:t>
            </w:r>
          </w:p>
        </w:tc>
        <w:tc>
          <w:tcPr>
            <w:tcW w:w="100" w:type="dxa"/>
            <w:vAlign w:val="bottom"/>
          </w:tcPr>
          <w:p>
            <w:pPr>
              <w:spacing w:after="0"/>
              <w:rPr>
                <w:sz w:val="17"/>
                <w:szCs w:val="17"/>
                <w:color w:val="auto"/>
              </w:rPr>
            </w:pPr>
          </w:p>
        </w:tc>
      </w:tr>
      <w:tr>
        <w:trPr>
          <w:trHeight w:val="216"/>
        </w:trPr>
        <w:tc>
          <w:tcPr>
            <w:tcW w:w="42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Contribution profit</w:t>
            </w:r>
          </w:p>
        </w:tc>
        <w:tc>
          <w:tcPr>
            <w:tcW w:w="234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386,309</w:t>
            </w:r>
          </w:p>
        </w:tc>
        <w:tc>
          <w:tcPr>
            <w:tcW w:w="26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312,068</w:t>
            </w:r>
          </w:p>
        </w:tc>
        <w:tc>
          <w:tcPr>
            <w:tcW w:w="480" w:type="dxa"/>
            <w:vAlign w:val="bottom"/>
            <w:gridSpan w:val="2"/>
            <w:shd w:val="clear" w:color="auto" w:fill="CFF0FC"/>
          </w:tcPr>
          <w:p>
            <w:pPr>
              <w:jc w:val="right"/>
              <w:ind w:right="280"/>
              <w:spacing w:after="0" w:line="18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240,948</w:t>
            </w:r>
          </w:p>
        </w:tc>
        <w:tc>
          <w:tcPr>
            <w:tcW w:w="100" w:type="dxa"/>
            <w:vAlign w:val="bottom"/>
            <w:shd w:val="clear" w:color="auto" w:fill="CFF0FC"/>
          </w:tcPr>
          <w:p>
            <w:pPr>
              <w:spacing w:after="0"/>
              <w:rPr>
                <w:sz w:val="18"/>
                <w:szCs w:val="18"/>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9"/>
        <w:spacing w:after="0" w:line="242" w:lineRule="auto"/>
        <w:rPr>
          <w:sz w:val="20"/>
          <w:szCs w:val="20"/>
          <w:color w:val="auto"/>
        </w:rPr>
      </w:pPr>
      <w:r>
        <w:rPr>
          <w:rFonts w:ascii="Arial" w:cs="Arial" w:eastAsia="Arial" w:hAnsi="Arial"/>
          <w:sz w:val="18"/>
          <w:szCs w:val="18"/>
          <w:color w:val="auto"/>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year ended December 31, 2025 increased approximately 23.8% as compared to 2024 and increased approximately 29.5% for the year ended December 31, 2024 as compared to 2023. The increase in 2025 was primarily driven by growth in transaction count and volume driven by the addition of new billers and financial institutions and increased transactions from our existing billers and financial institutions.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60" w:type="dxa"/>
            <w:vAlign w:val="bottom"/>
          </w:tcPr>
          <w:p>
            <w:pPr>
              <w:ind w:left="500"/>
              <w:spacing w:after="0"/>
              <w:rPr>
                <w:sz w:val="20"/>
                <w:szCs w:val="20"/>
                <w:color w:val="auto"/>
              </w:rPr>
            </w:pPr>
            <w:r>
              <w:rPr>
                <w:rFonts w:ascii="Arial" w:cs="Arial" w:eastAsia="Arial" w:hAnsi="Arial"/>
                <w:sz w:val="18"/>
                <w:szCs w:val="18"/>
                <w:i w:val="1"/>
                <w:iCs w:val="1"/>
                <w:color w:val="auto"/>
              </w:rPr>
              <w:t>Adjusted Gross Profit</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3"/>
        </w:trPr>
        <w:tc>
          <w:tcPr>
            <w:tcW w:w="5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5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12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296,342</w:t>
            </w: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238,170</w:t>
            </w:r>
          </w:p>
        </w:tc>
        <w:tc>
          <w:tcPr>
            <w:tcW w:w="4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182,342</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80"/>
              <w:spacing w:after="0" w:line="202" w:lineRule="exact"/>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22,520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17,911</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13,341</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8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8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3,314</w:t>
            </w:r>
          </w:p>
        </w:tc>
        <w:tc>
          <w:tcPr>
            <w:tcW w:w="100" w:type="dxa"/>
            <w:vAlign w:val="bottom"/>
          </w:tcPr>
          <w:p>
            <w:pPr>
              <w:spacing w:after="0"/>
              <w:rPr>
                <w:sz w:val="17"/>
                <w:szCs w:val="17"/>
                <w:color w:val="auto"/>
              </w:rPr>
            </w:pPr>
          </w:p>
        </w:tc>
      </w:tr>
      <w:tr>
        <w:trPr>
          <w:trHeight w:val="216"/>
        </w:trPr>
        <w:tc>
          <w:tcPr>
            <w:tcW w:w="536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Adjusted gross profit</w:t>
            </w:r>
          </w:p>
        </w:tc>
        <w:tc>
          <w:tcPr>
            <w:tcW w:w="120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321,358</w:t>
            </w:r>
          </w:p>
        </w:tc>
        <w:tc>
          <w:tcPr>
            <w:tcW w:w="26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259,645</w:t>
            </w:r>
          </w:p>
        </w:tc>
        <w:tc>
          <w:tcPr>
            <w:tcW w:w="480" w:type="dxa"/>
            <w:vAlign w:val="bottom"/>
            <w:gridSpan w:val="2"/>
            <w:shd w:val="clear" w:color="auto" w:fill="CFF0FC"/>
          </w:tcPr>
          <w:p>
            <w:pPr>
              <w:jc w:val="right"/>
              <w:ind w:right="280"/>
              <w:spacing w:after="0" w:line="18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199,153</w:t>
            </w:r>
          </w:p>
        </w:tc>
        <w:tc>
          <w:tcPr>
            <w:tcW w:w="100" w:type="dxa"/>
            <w:vAlign w:val="bottom"/>
            <w:shd w:val="clear" w:color="auto" w:fill="CFF0FC"/>
          </w:tcPr>
          <w:p>
            <w:pPr>
              <w:spacing w:after="0"/>
              <w:rPr>
                <w:sz w:val="18"/>
                <w:szCs w:val="18"/>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Adjusted gross profit for the year ended December 31, 2025 increased 23.8% as compared to 2024 and increased 30.4% for the year ended December 31, 2024 as compared to 2023. Adjusted gross profit is driven primarily by the same factors that impact gross profit with the exception of excluding the amortization in cost of revenue, as well as stock-based compensation. The increase in amortization for 2025 was primarily due to expansion of the amortizable base associated with capitalized software.</w:t>
      </w: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7"/>
        </w:trPr>
        <w:tc>
          <w:tcPr>
            <w:tcW w:w="6240" w:type="dxa"/>
            <w:vAlign w:val="bottom"/>
          </w:tcPr>
          <w:p>
            <w:pPr>
              <w:ind w:left="500"/>
              <w:spacing w:after="0"/>
              <w:rPr>
                <w:sz w:val="20"/>
                <w:szCs w:val="20"/>
                <w:color w:val="auto"/>
              </w:rPr>
            </w:pPr>
            <w:r>
              <w:rPr>
                <w:rFonts w:ascii="Arial" w:cs="Arial" w:eastAsia="Arial" w:hAnsi="Arial"/>
                <w:sz w:val="18"/>
                <w:szCs w:val="18"/>
                <w:i w:val="1"/>
                <w:iCs w:val="1"/>
                <w:color w:val="auto"/>
              </w:rPr>
              <w:t>Adjusted EBITDA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3"/>
        </w:trPr>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2024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income — GAAP</w:t>
            </w:r>
          </w:p>
        </w:tc>
        <w:tc>
          <w:tcPr>
            <w:tcW w:w="320" w:type="dxa"/>
            <w:vAlign w:val="bottom"/>
            <w:gridSpan w:val="2"/>
            <w:shd w:val="clear" w:color="auto" w:fill="CFF0FC"/>
          </w:tcPr>
          <w:p>
            <w:pPr>
              <w:jc w:val="right"/>
              <w:ind w:right="147"/>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66,937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44,169</w:t>
            </w:r>
          </w:p>
        </w:tc>
        <w:tc>
          <w:tcPr>
            <w:tcW w:w="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22,322</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(9,506)</w:t>
            </w:r>
          </w:p>
        </w:tc>
        <w:tc>
          <w:tcPr>
            <w:tcW w:w="160" w:type="dxa"/>
            <w:vAlign w:val="bottom"/>
          </w:tcPr>
          <w:p>
            <w:pPr>
              <w:spacing w:after="0"/>
              <w:rPr>
                <w:sz w:val="17"/>
                <w:szCs w:val="17"/>
                <w:color w:val="auto"/>
              </w:rPr>
            </w:pP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(8,742)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(7,019)</w:t>
            </w:r>
          </w:p>
        </w:tc>
      </w:tr>
      <w:tr>
        <w:trPr>
          <w:trHeight w:val="203"/>
        </w:trPr>
        <w:tc>
          <w:tcPr>
            <w:tcW w:w="6240" w:type="dxa"/>
            <w:vAlign w:val="bottom"/>
            <w:shd w:val="clear" w:color="auto" w:fill="CFF0FC"/>
          </w:tcPr>
          <w:p>
            <w:pPr>
              <w:ind w:left="80"/>
              <w:spacing w:after="0" w:line="202" w:lineRule="exact"/>
              <w:rPr>
                <w:sz w:val="20"/>
                <w:szCs w:val="20"/>
                <w:color w:val="auto"/>
              </w:rPr>
            </w:pPr>
            <w:r>
              <w:rPr>
                <w:rFonts w:ascii="Arial" w:cs="Arial" w:eastAsia="Arial" w:hAnsi="Arial"/>
                <w:sz w:val="17"/>
                <w:szCs w:val="17"/>
                <w:color w:val="auto"/>
              </w:rPr>
              <w:t>Other income</w:t>
            </w:r>
            <w:r>
              <w:rPr>
                <w:rFonts w:ascii="Arial" w:cs="Arial" w:eastAsia="Arial" w:hAnsi="Arial"/>
                <w:sz w:val="23"/>
                <w:szCs w:val="23"/>
                <w:color w:val="auto"/>
                <w:vertAlign w:val="superscript"/>
              </w:rPr>
              <w:t>(1)</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(213)</w:t>
            </w: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tcPr>
          <w:p>
            <w:pPr>
              <w:ind w:left="80"/>
              <w:spacing w:after="0" w:line="202" w:lineRule="exact"/>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18,338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9,775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2,802</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33,304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27,586</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21,349</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7,088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8,081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8,380</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Depreciation</w:t>
            </w:r>
          </w:p>
        </w:tc>
        <w:tc>
          <w:tcPr>
            <w:tcW w:w="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666</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817</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spacing w:after="0" w:line="182" w:lineRule="exact"/>
              <w:rPr>
                <w:sz w:val="20"/>
                <w:szCs w:val="20"/>
                <w:color w:val="auto"/>
              </w:rPr>
            </w:pPr>
            <w:r>
              <w:rPr>
                <w:rFonts w:ascii="Arial" w:cs="Arial" w:eastAsia="Arial" w:hAnsi="Arial"/>
                <w:sz w:val="18"/>
                <w:szCs w:val="18"/>
                <w:b w:val="1"/>
                <w:bCs w:val="1"/>
                <w:color w:val="auto"/>
              </w:rPr>
              <w:t>EBITDA</w:t>
            </w:r>
          </w:p>
        </w:tc>
        <w:tc>
          <w:tcPr>
            <w:tcW w:w="320" w:type="dxa"/>
            <w:vAlign w:val="bottom"/>
            <w:gridSpan w:val="2"/>
          </w:tcPr>
          <w:p>
            <w:pPr>
              <w:jc w:val="right"/>
              <w:ind w:right="147"/>
              <w:spacing w:after="0" w:line="182" w:lineRule="exact"/>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116,827</w:t>
            </w:r>
          </w:p>
        </w:tc>
        <w:tc>
          <w:tcPr>
            <w:tcW w:w="10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81,473</w:t>
            </w:r>
          </w:p>
        </w:tc>
        <w:tc>
          <w:tcPr>
            <w:tcW w:w="80" w:type="dxa"/>
            <w:vAlign w:val="bottom"/>
          </w:tcPr>
          <w:p>
            <w:pPr>
              <w:spacing w:after="0"/>
              <w:rPr>
                <w:sz w:val="17"/>
                <w:szCs w:val="17"/>
                <w:color w:val="auto"/>
              </w:rPr>
            </w:pPr>
          </w:p>
        </w:tc>
        <w:tc>
          <w:tcPr>
            <w:tcW w:w="400" w:type="dxa"/>
            <w:vAlign w:val="bottom"/>
            <w:gridSpan w:val="2"/>
          </w:tcPr>
          <w:p>
            <w:pPr>
              <w:jc w:val="right"/>
              <w:ind w:right="190"/>
              <w:spacing w:after="0" w:line="182" w:lineRule="exact"/>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48,705</w:t>
            </w:r>
          </w:p>
        </w:tc>
        <w:tc>
          <w:tcPr>
            <w:tcW w:w="10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i w:val="1"/>
                <w:iCs w:val="1"/>
                <w:color w:val="auto"/>
              </w:rPr>
              <w:t>Adjustments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line="202" w:lineRule="exact"/>
              <w:rPr>
                <w:sz w:val="20"/>
                <w:szCs w:val="20"/>
                <w:color w:val="auto"/>
              </w:rPr>
            </w:pPr>
            <w:r>
              <w:rPr>
                <w:rFonts w:ascii="Arial" w:cs="Arial" w:eastAsia="Arial" w:hAnsi="Arial"/>
                <w:sz w:val="18"/>
                <w:szCs w:val="18"/>
                <w:color w:val="auto"/>
              </w:rPr>
              <w:t>Foreign exchange gain</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(229)</w:t>
            </w:r>
          </w:p>
        </w:tc>
        <w:tc>
          <w:tcPr>
            <w:tcW w:w="160" w:type="dxa"/>
            <w:vAlign w:val="bottom"/>
          </w:tcPr>
          <w:p>
            <w:pPr>
              <w:spacing w:after="0"/>
              <w:rPr>
                <w:sz w:val="17"/>
                <w:szCs w:val="17"/>
                <w:color w:val="auto"/>
              </w:rPr>
            </w:pP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w:t>
            </w:r>
          </w:p>
        </w:tc>
      </w:tr>
      <w:tr>
        <w:trPr>
          <w:trHeight w:val="203"/>
        </w:trPr>
        <w:tc>
          <w:tcPr>
            <w:tcW w:w="6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20,821</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12,855</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9,390</w:t>
            </w:r>
          </w:p>
        </w:tc>
        <w:tc>
          <w:tcPr>
            <w:tcW w:w="100" w:type="dxa"/>
            <w:vAlign w:val="bottom"/>
            <w:shd w:val="clear" w:color="auto" w:fill="CFF0FC"/>
          </w:tcPr>
          <w:p>
            <w:pPr>
              <w:spacing w:after="0"/>
              <w:rPr>
                <w:sz w:val="17"/>
                <w:szCs w:val="17"/>
                <w:color w:val="auto"/>
              </w:rPr>
            </w:pPr>
          </w:p>
        </w:tc>
      </w:tr>
      <w:tr>
        <w:trPr>
          <w:trHeight w:val="196"/>
        </w:trPr>
        <w:tc>
          <w:tcPr>
            <w:tcW w:w="6240" w:type="dxa"/>
            <w:vAlign w:val="bottom"/>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137,419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94,196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58,083</w:t>
            </w:r>
          </w:p>
        </w:tc>
        <w:tc>
          <w:tcPr>
            <w:tcW w:w="10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-830580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-830580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Other income consists of a remeasurement adjustment relating to the purchase price of a prior acquisition.</w:t>
      </w:r>
    </w:p>
    <w:p>
      <w:pPr>
        <w:spacing w:after="0" w:line="78"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As adjusted EBITDA is a measure of profitability, it is generally expected to move in line with revenue, contribution profit, gross profit and adjusted gross profit. Adjusted EBITDA increased 45.9% for the year ended December 31, 2025 compared to 2024 and increased 62.2% for the year ended December 31, 2024 compared to 2023. Adjusted EBITDA increased across the presented periods, primarily reflecting higher transaction counts and volumes. This growth was attributable to the addition of new billers and financial institutions, combined with increased activity from existing partners.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ind w:left="500"/>
              <w:spacing w:after="0"/>
              <w:rPr>
                <w:sz w:val="20"/>
                <w:szCs w:val="20"/>
                <w:color w:val="auto"/>
              </w:rPr>
            </w:pPr>
            <w:r>
              <w:rPr>
                <w:rFonts w:ascii="Arial" w:cs="Arial" w:eastAsia="Arial" w:hAnsi="Arial"/>
                <w:sz w:val="18"/>
                <w:szCs w:val="18"/>
                <w:i w:val="1"/>
                <w:iCs w:val="1"/>
                <w:color w:val="auto"/>
              </w:rPr>
              <w:t>Free Cash Flow</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3"/>
        </w:trPr>
        <w:tc>
          <w:tcPr>
            <w:tcW w:w="6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2024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162,127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63,634</w:t>
            </w:r>
          </w:p>
        </w:tc>
        <w:tc>
          <w:tcPr>
            <w:tcW w:w="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68,828</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line="202" w:lineRule="exact"/>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(361)</w:t>
            </w:r>
          </w:p>
        </w:tc>
        <w:tc>
          <w:tcPr>
            <w:tcW w:w="160" w:type="dxa"/>
            <w:vAlign w:val="bottom"/>
          </w:tcPr>
          <w:p>
            <w:pPr>
              <w:spacing w:after="0"/>
              <w:rPr>
                <w:sz w:val="17"/>
                <w:szCs w:val="17"/>
                <w:color w:val="auto"/>
              </w:rPr>
            </w:pP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(457)</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(600)</w:t>
            </w:r>
          </w:p>
        </w:tc>
      </w:tr>
      <w:tr>
        <w:trPr>
          <w:trHeight w:val="203"/>
        </w:trPr>
        <w:tc>
          <w:tcPr>
            <w:tcW w:w="6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internal-use software development costs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(36,737)</w:t>
            </w:r>
          </w:p>
        </w:tc>
        <w:tc>
          <w:tcPr>
            <w:tcW w:w="1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(36,119)</w:t>
            </w: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(33,699)</w:t>
            </w:r>
          </w:p>
        </w:tc>
      </w:tr>
      <w:tr>
        <w:trPr>
          <w:trHeight w:val="196"/>
        </w:trPr>
        <w:tc>
          <w:tcPr>
            <w:tcW w:w="62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Free cash flow</w:t>
            </w: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125,029</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27,058</w:t>
            </w:r>
          </w:p>
        </w:tc>
        <w:tc>
          <w:tcPr>
            <w:tcW w:w="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34,529</w:t>
            </w:r>
          </w:p>
        </w:tc>
        <w:tc>
          <w:tcPr>
            <w:tcW w:w="100" w:type="dxa"/>
            <w:vAlign w:val="bottom"/>
            <w:tcBorders>
              <w:top w:val="single" w:sz="8" w:color="CFF0FC"/>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-162560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-162560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The increase in free cash flow for the year ended December 31, 2025 compared to 2024 was primarily the result of an increase in cash generated from operations. Cash generated from operations increased in 2025 compared to 2024 primarily due to stronger operating performance associated with the scaling of our business, as well as improvements in working capital management.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54" w:name="page55"/>
    <w:bookmarkEnd w:id="54"/>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6"/>
            <w:vMerge w:val="restart"/>
          </w:tcPr>
          <w:p>
            <w:pPr>
              <w:jc w:val="center"/>
              <w:ind w:left="534"/>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jc w:val="right"/>
              <w:ind w:right="300"/>
              <w:spacing w:after="0"/>
              <w:rPr>
                <w:sz w:val="20"/>
                <w:szCs w:val="20"/>
                <w:color w:val="auto"/>
              </w:rPr>
            </w:pPr>
            <w:r>
              <w:rPr>
                <w:rFonts w:ascii="Arial" w:cs="Arial" w:eastAsia="Arial" w:hAnsi="Arial"/>
                <w:sz w:val="17"/>
                <w:szCs w:val="17"/>
                <w:b w:val="1"/>
                <w:bCs w:val="1"/>
                <w:color w:val="auto"/>
              </w:rPr>
              <w:t>Change 2025 versus</w:t>
            </w:r>
          </w:p>
        </w:tc>
        <w:tc>
          <w:tcPr>
            <w:tcW w:w="0" w:type="dxa"/>
            <w:vAlign w:val="bottom"/>
          </w:tcPr>
          <w:p>
            <w:pPr>
              <w:spacing w:after="0"/>
              <w:rPr>
                <w:sz w:val="1"/>
                <w:szCs w:val="1"/>
                <w:color w:val="auto"/>
              </w:rPr>
            </w:pPr>
          </w:p>
        </w:tc>
      </w:tr>
      <w:tr>
        <w:trPr>
          <w:trHeight w:val="211"/>
        </w:trPr>
        <w:tc>
          <w:tcPr>
            <w:tcW w:w="3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4"/>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4"/>
              <w:spacing w:after="0" w:line="196" w:lineRule="exact"/>
              <w:rPr>
                <w:sz w:val="20"/>
                <w:szCs w:val="20"/>
                <w:color w:val="auto"/>
              </w:rPr>
            </w:pPr>
            <w:r>
              <w:rPr>
                <w:rFonts w:ascii="Arial" w:cs="Arial" w:eastAsia="Arial" w:hAnsi="Arial"/>
                <w:sz w:val="18"/>
                <w:szCs w:val="18"/>
                <w:b w:val="1"/>
                <w:bCs w:val="1"/>
                <w:color w:val="auto"/>
                <w:w w:val="99"/>
              </w:rPr>
              <w:t>2024</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line="196" w:lineRule="exact"/>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spacing w:after="0" w:line="183" w:lineRule="exact"/>
              <w:rPr>
                <w:sz w:val="20"/>
                <w:szCs w:val="20"/>
                <w:color w:val="auto"/>
              </w:rPr>
            </w:pPr>
            <w:r>
              <w:rPr>
                <w:rFonts w:ascii="Arial" w:cs="Arial" w:eastAsia="Arial" w:hAnsi="Arial"/>
                <w:sz w:val="17"/>
                <w:szCs w:val="17"/>
                <w:b w:val="1"/>
                <w:bCs w:val="1"/>
                <w:color w:val="auto"/>
              </w:rPr>
              <w:t>(in thousands)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Revenue</w:t>
            </w:r>
          </w:p>
        </w:tc>
        <w:tc>
          <w:tcPr>
            <w:tcW w:w="16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1,196,507</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871,745</w:t>
            </w:r>
          </w:p>
        </w:tc>
        <w:tc>
          <w:tcPr>
            <w:tcW w:w="18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jc w:val="right"/>
              <w:ind w:right="155"/>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614,490</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$ 324,762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37.3 %</w:t>
            </w:r>
          </w:p>
        </w:tc>
        <w:tc>
          <w:tcPr>
            <w:tcW w:w="0" w:type="dxa"/>
            <w:vAlign w:val="bottom"/>
          </w:tcPr>
          <w:p>
            <w:pPr>
              <w:spacing w:after="0"/>
              <w:rPr>
                <w:sz w:val="1"/>
                <w:szCs w:val="1"/>
                <w:color w:val="auto"/>
              </w:rPr>
            </w:pPr>
          </w:p>
        </w:tc>
      </w:tr>
      <w:tr>
        <w:trPr>
          <w:trHeight w:val="189"/>
        </w:trPr>
        <w:tc>
          <w:tcPr>
            <w:tcW w:w="3660" w:type="dxa"/>
            <w:vAlign w:val="bottom"/>
          </w:tcPr>
          <w:p>
            <w:pPr>
              <w:spacing w:after="0" w:line="189" w:lineRule="exact"/>
              <w:rPr>
                <w:sz w:val="20"/>
                <w:szCs w:val="20"/>
                <w:color w:val="auto"/>
              </w:rPr>
            </w:pPr>
            <w:r>
              <w:rPr>
                <w:rFonts w:ascii="Arial" w:cs="Arial" w:eastAsia="Arial" w:hAnsi="Arial"/>
                <w:sz w:val="17"/>
                <w:szCs w:val="17"/>
                <w:color w:val="auto"/>
              </w:rPr>
              <w:t xml:space="preserve">Cost of revenue </w:t>
            </w:r>
            <w:r>
              <w:rPr>
                <w:rFonts w:ascii="Arial" w:cs="Arial" w:eastAsia="Arial" w:hAnsi="Arial"/>
                <w:sz w:val="9"/>
                <w:szCs w:val="9"/>
                <w:color w:val="auto"/>
              </w:rPr>
              <w:t>(1)</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900,165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633,575</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432,148</w:t>
            </w: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266,590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42.1 %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shd w:val="clear" w:color="auto" w:fill="CFF0FC"/>
          </w:tcPr>
          <w:p>
            <w:pPr>
              <w:ind w:left="140"/>
              <w:spacing w:after="0" w:line="183" w:lineRule="exact"/>
              <w:rPr>
                <w:sz w:val="20"/>
                <w:szCs w:val="20"/>
                <w:color w:val="auto"/>
              </w:rPr>
            </w:pPr>
            <w:r>
              <w:rPr>
                <w:rFonts w:ascii="Arial" w:cs="Arial" w:eastAsia="Arial" w:hAnsi="Arial"/>
                <w:sz w:val="17"/>
                <w:szCs w:val="17"/>
                <w:color w:val="auto"/>
              </w:rPr>
              <w:t>Gross profit</w:t>
            </w:r>
          </w:p>
        </w:tc>
        <w:tc>
          <w:tcPr>
            <w:tcW w:w="1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296,342</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238,170</w:t>
            </w:r>
          </w:p>
        </w:tc>
        <w:tc>
          <w:tcPr>
            <w:tcW w:w="18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182,342</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58,172</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24.4 %</w:t>
            </w:r>
          </w:p>
        </w:tc>
        <w:tc>
          <w:tcPr>
            <w:tcW w:w="0" w:type="dxa"/>
            <w:vAlign w:val="bottom"/>
          </w:tcPr>
          <w:p>
            <w:pPr>
              <w:spacing w:after="0"/>
              <w:rPr>
                <w:sz w:val="1"/>
                <w:szCs w:val="1"/>
                <w:color w:val="auto"/>
              </w:rPr>
            </w:pPr>
          </w:p>
        </w:tc>
      </w:tr>
      <w:tr>
        <w:trPr>
          <w:trHeight w:val="189"/>
        </w:trPr>
        <w:tc>
          <w:tcPr>
            <w:tcW w:w="3660" w:type="dxa"/>
            <w:vAlign w:val="bottom"/>
          </w:tcPr>
          <w:p>
            <w:pPr>
              <w:ind w:left="200"/>
              <w:spacing w:after="0" w:line="189" w:lineRule="exact"/>
              <w:rPr>
                <w:sz w:val="20"/>
                <w:szCs w:val="20"/>
                <w:color w:val="auto"/>
              </w:rPr>
            </w:pPr>
            <w:r>
              <w:rPr>
                <w:rFonts w:ascii="Arial" w:cs="Arial" w:eastAsia="Arial" w:hAnsi="Arial"/>
                <w:sz w:val="17"/>
                <w:szCs w:val="17"/>
                <w:i w:val="1"/>
                <w:iCs w:val="1"/>
                <w:color w:val="auto"/>
              </w:rPr>
              <w:t>Gross margin</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0"/>
              <w:spacing w:after="0" w:line="189" w:lineRule="exact"/>
              <w:rPr>
                <w:sz w:val="20"/>
                <w:szCs w:val="20"/>
                <w:color w:val="auto"/>
              </w:rPr>
            </w:pPr>
            <w:r>
              <w:rPr>
                <w:rFonts w:ascii="Arial" w:cs="Arial" w:eastAsia="Arial" w:hAnsi="Arial"/>
                <w:sz w:val="17"/>
                <w:szCs w:val="17"/>
                <w:i w:val="1"/>
                <w:iCs w:val="1"/>
                <w:color w:val="auto"/>
              </w:rPr>
              <w:t>24.8%</w:t>
            </w:r>
          </w:p>
        </w:tc>
        <w:tc>
          <w:tcPr>
            <w:tcW w:w="280" w:type="dxa"/>
            <w:vAlign w:val="bottom"/>
          </w:tcPr>
          <w:p>
            <w:pPr>
              <w:spacing w:after="0"/>
              <w:rPr>
                <w:sz w:val="16"/>
                <w:szCs w:val="16"/>
                <w:color w:val="auto"/>
              </w:rPr>
            </w:pPr>
          </w:p>
        </w:tc>
        <w:tc>
          <w:tcPr>
            <w:tcW w:w="1200" w:type="dxa"/>
            <w:vAlign w:val="bottom"/>
            <w:gridSpan w:val="2"/>
          </w:tcPr>
          <w:p>
            <w:pPr>
              <w:jc w:val="right"/>
              <w:ind w:right="20"/>
              <w:spacing w:after="0" w:line="189" w:lineRule="exact"/>
              <w:rPr>
                <w:sz w:val="20"/>
                <w:szCs w:val="20"/>
                <w:color w:val="auto"/>
              </w:rPr>
            </w:pPr>
            <w:r>
              <w:rPr>
                <w:rFonts w:ascii="Arial" w:cs="Arial" w:eastAsia="Arial" w:hAnsi="Arial"/>
                <w:sz w:val="17"/>
                <w:szCs w:val="17"/>
                <w:i w:val="1"/>
                <w:iCs w:val="1"/>
                <w:color w:val="auto"/>
              </w:rPr>
              <w:t>27.3%</w:t>
            </w:r>
          </w:p>
        </w:tc>
        <w:tc>
          <w:tcPr>
            <w:tcW w:w="340" w:type="dxa"/>
            <w:vAlign w:val="bottom"/>
          </w:tcPr>
          <w:p>
            <w:pPr>
              <w:spacing w:after="0"/>
              <w:rPr>
                <w:sz w:val="16"/>
                <w:szCs w:val="16"/>
                <w:color w:val="auto"/>
              </w:rPr>
            </w:pPr>
          </w:p>
        </w:tc>
        <w:tc>
          <w:tcPr>
            <w:tcW w:w="1040" w:type="dxa"/>
            <w:vAlign w:val="bottom"/>
            <w:gridSpan w:val="2"/>
          </w:tcPr>
          <w:p>
            <w:pPr>
              <w:jc w:val="right"/>
              <w:ind w:right="20"/>
              <w:spacing w:after="0" w:line="189" w:lineRule="exact"/>
              <w:rPr>
                <w:sz w:val="20"/>
                <w:szCs w:val="20"/>
                <w:color w:val="auto"/>
              </w:rPr>
            </w:pPr>
            <w:r>
              <w:rPr>
                <w:rFonts w:ascii="Arial" w:cs="Arial" w:eastAsia="Arial" w:hAnsi="Arial"/>
                <w:sz w:val="17"/>
                <w:szCs w:val="17"/>
                <w:i w:val="1"/>
                <w:iCs w:val="1"/>
                <w:color w:val="auto"/>
              </w:rPr>
              <w:t>29.7%</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Operating expenses</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Research and development </w:t>
            </w:r>
            <w:r>
              <w:rPr>
                <w:rFonts w:ascii="Arial" w:cs="Arial" w:eastAsia="Arial" w:hAnsi="Arial"/>
                <w:sz w:val="9"/>
                <w:szCs w:val="9"/>
                <w:color w:val="auto"/>
              </w:rPr>
              <w:t>(1)</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61,474</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51,334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44,248</w:t>
            </w: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10,140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19.8 %</w:t>
            </w:r>
          </w:p>
        </w:tc>
        <w:tc>
          <w:tcPr>
            <w:tcW w:w="0" w:type="dxa"/>
            <w:vAlign w:val="bottom"/>
          </w:tcPr>
          <w:p>
            <w:pPr>
              <w:spacing w:after="0"/>
              <w:rPr>
                <w:sz w:val="1"/>
                <w:szCs w:val="1"/>
                <w:color w:val="auto"/>
              </w:rPr>
            </w:pPr>
          </w:p>
        </w:tc>
      </w:tr>
      <w:tr>
        <w:trPr>
          <w:trHeight w:val="189"/>
        </w:trPr>
        <w:tc>
          <w:tcPr>
            <w:tcW w:w="3660" w:type="dxa"/>
            <w:vAlign w:val="bottom"/>
            <w:shd w:val="clear" w:color="auto" w:fill="CFF0FC"/>
          </w:tcPr>
          <w:p>
            <w:pPr>
              <w:ind w:left="80"/>
              <w:spacing w:after="0" w:line="189" w:lineRule="exact"/>
              <w:rPr>
                <w:sz w:val="20"/>
                <w:szCs w:val="20"/>
                <w:color w:val="auto"/>
              </w:rPr>
            </w:pPr>
            <w:r>
              <w:rPr>
                <w:rFonts w:ascii="Arial" w:cs="Arial" w:eastAsia="Arial" w:hAnsi="Arial"/>
                <w:sz w:val="17"/>
                <w:szCs w:val="17"/>
                <w:color w:val="auto"/>
              </w:rPr>
              <w:t xml:space="preserve">Sales and marketing </w:t>
            </w:r>
            <w:r>
              <w:rPr>
                <w:rFonts w:ascii="Arial" w:cs="Arial" w:eastAsia="Arial" w:hAnsi="Arial"/>
                <w:sz w:val="9"/>
                <w:szCs w:val="9"/>
                <w:color w:val="auto"/>
              </w:rPr>
              <w:t>(1)</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111,928</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105,052</w:t>
            </w:r>
          </w:p>
        </w:tc>
        <w:tc>
          <w:tcPr>
            <w:tcW w:w="18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83,996</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6,876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6.5 %</w:t>
            </w:r>
          </w:p>
        </w:tc>
        <w:tc>
          <w:tcPr>
            <w:tcW w:w="0" w:type="dxa"/>
            <w:vAlign w:val="bottom"/>
          </w:tcPr>
          <w:p>
            <w:pPr>
              <w:spacing w:after="0"/>
              <w:rPr>
                <w:sz w:val="1"/>
                <w:szCs w:val="1"/>
                <w:color w:val="auto"/>
              </w:rPr>
            </w:pPr>
          </w:p>
        </w:tc>
      </w:tr>
      <w:tr>
        <w:trPr>
          <w:trHeight w:val="189"/>
        </w:trPr>
        <w:tc>
          <w:tcPr>
            <w:tcW w:w="366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General and administrative </w:t>
            </w:r>
            <w:r>
              <w:rPr>
                <w:rFonts w:ascii="Arial" w:cs="Arial" w:eastAsia="Arial" w:hAnsi="Arial"/>
                <w:sz w:val="9"/>
                <w:szCs w:val="9"/>
                <w:color w:val="auto"/>
              </w:rPr>
              <w:t>(1)</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47,400</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36,927</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36,005</w:t>
            </w: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10,473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28.4 %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shd w:val="clear" w:color="auto" w:fill="CFF0FC"/>
          </w:tcPr>
          <w:p>
            <w:pPr>
              <w:ind w:left="140"/>
              <w:spacing w:after="0" w:line="183" w:lineRule="exact"/>
              <w:rPr>
                <w:sz w:val="20"/>
                <w:szCs w:val="20"/>
                <w:color w:val="auto"/>
              </w:rPr>
            </w:pPr>
            <w:r>
              <w:rPr>
                <w:rFonts w:ascii="Arial" w:cs="Arial" w:eastAsia="Arial" w:hAnsi="Arial"/>
                <w:sz w:val="17"/>
                <w:szCs w:val="17"/>
                <w:color w:val="auto"/>
              </w:rPr>
              <w:t>Total operating expenses</w:t>
            </w:r>
          </w:p>
        </w:tc>
        <w:tc>
          <w:tcPr>
            <w:tcW w:w="1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220,802</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193,313</w:t>
            </w:r>
          </w:p>
        </w:tc>
        <w:tc>
          <w:tcPr>
            <w:tcW w:w="18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164,249</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27,489</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14.2 %</w:t>
            </w: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Pr>
          <w:p>
            <w:pPr>
              <w:ind w:left="140"/>
              <w:spacing w:after="0" w:line="183" w:lineRule="exact"/>
              <w:rPr>
                <w:sz w:val="20"/>
                <w:szCs w:val="20"/>
                <w:color w:val="auto"/>
              </w:rPr>
            </w:pPr>
            <w:r>
              <w:rPr>
                <w:rFonts w:ascii="Arial" w:cs="Arial" w:eastAsia="Arial" w:hAnsi="Arial"/>
                <w:sz w:val="17"/>
                <w:szCs w:val="17"/>
                <w:color w:val="auto"/>
              </w:rPr>
              <w:t>Income from operations</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7"/>
                <w:szCs w:val="17"/>
                <w:color w:val="auto"/>
              </w:rPr>
              <w:t>75,540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7"/>
                <w:szCs w:val="17"/>
                <w:color w:val="auto"/>
              </w:rPr>
              <w:t>44,857</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7"/>
                <w:szCs w:val="17"/>
                <w:color w:val="auto"/>
              </w:rPr>
              <w:t>18,093</w:t>
            </w:r>
          </w:p>
        </w:tc>
        <w:tc>
          <w:tcPr>
            <w:tcW w:w="16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30,683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68.4 %</w:t>
            </w:r>
          </w:p>
        </w:tc>
        <w:tc>
          <w:tcPr>
            <w:tcW w:w="0" w:type="dxa"/>
            <w:vAlign w:val="bottom"/>
          </w:tcPr>
          <w:p>
            <w:pPr>
              <w:spacing w:after="0"/>
              <w:rPr>
                <w:sz w:val="1"/>
                <w:szCs w:val="1"/>
                <w:color w:val="auto"/>
              </w:rPr>
            </w:pPr>
          </w:p>
        </w:tc>
      </w:tr>
      <w:tr>
        <w:trPr>
          <w:trHeight w:val="189"/>
        </w:trPr>
        <w:tc>
          <w:tcPr>
            <w:tcW w:w="3660" w:type="dxa"/>
            <w:vAlign w:val="bottom"/>
            <w:shd w:val="clear" w:color="auto" w:fill="CFF0FC"/>
          </w:tcPr>
          <w:p>
            <w:pPr>
              <w:ind w:left="80"/>
              <w:spacing w:after="0" w:line="189" w:lineRule="exact"/>
              <w:rPr>
                <w:sz w:val="20"/>
                <w:szCs w:val="20"/>
                <w:color w:val="auto"/>
              </w:rPr>
            </w:pPr>
            <w:r>
              <w:rPr>
                <w:rFonts w:ascii="Arial" w:cs="Arial" w:eastAsia="Arial" w:hAnsi="Arial"/>
                <w:sz w:val="17"/>
                <w:szCs w:val="17"/>
                <w:color w:val="auto"/>
              </w:rPr>
              <w:t>Interest income</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9,506</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8,742</w:t>
            </w:r>
          </w:p>
        </w:tc>
        <w:tc>
          <w:tcPr>
            <w:tcW w:w="18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7,019</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764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8.7 %</w:t>
            </w:r>
          </w:p>
        </w:tc>
        <w:tc>
          <w:tcPr>
            <w:tcW w:w="0" w:type="dxa"/>
            <w:vAlign w:val="bottom"/>
          </w:tcPr>
          <w:p>
            <w:pPr>
              <w:spacing w:after="0"/>
              <w:rPr>
                <w:sz w:val="1"/>
                <w:szCs w:val="1"/>
                <w:color w:val="auto"/>
              </w:rPr>
            </w:pPr>
          </w:p>
        </w:tc>
      </w:tr>
      <w:tr>
        <w:trPr>
          <w:trHeight w:val="189"/>
        </w:trPr>
        <w:tc>
          <w:tcPr>
            <w:tcW w:w="3660" w:type="dxa"/>
            <w:vAlign w:val="bottom"/>
          </w:tcPr>
          <w:p>
            <w:pPr>
              <w:ind w:left="80"/>
              <w:spacing w:after="0" w:line="189" w:lineRule="exact"/>
              <w:rPr>
                <w:sz w:val="20"/>
                <w:szCs w:val="20"/>
                <w:color w:val="auto"/>
              </w:rPr>
            </w:pPr>
            <w:r>
              <w:rPr>
                <w:rFonts w:ascii="Arial" w:cs="Arial" w:eastAsia="Arial" w:hAnsi="Arial"/>
                <w:sz w:val="17"/>
                <w:szCs w:val="17"/>
                <w:color w:val="auto"/>
              </w:rPr>
              <w:t>Other income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229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345</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c>
          <w:tcPr>
            <w:tcW w:w="16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(116)</w:t>
            </w:r>
          </w:p>
        </w:tc>
        <w:tc>
          <w:tcPr>
            <w:tcW w:w="26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shd w:val="clear" w:color="auto" w:fill="CFF0FC"/>
          </w:tcPr>
          <w:p>
            <w:pPr>
              <w:ind w:left="140"/>
              <w:spacing w:after="0" w:line="183" w:lineRule="exact"/>
              <w:rPr>
                <w:sz w:val="20"/>
                <w:szCs w:val="20"/>
                <w:color w:val="auto"/>
              </w:rPr>
            </w:pPr>
            <w:r>
              <w:rPr>
                <w:rFonts w:ascii="Arial" w:cs="Arial" w:eastAsia="Arial" w:hAnsi="Arial"/>
                <w:sz w:val="17"/>
                <w:szCs w:val="17"/>
                <w:color w:val="auto"/>
              </w:rPr>
              <w:t>Income before income taxes</w:t>
            </w:r>
          </w:p>
        </w:tc>
        <w:tc>
          <w:tcPr>
            <w:tcW w:w="1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85,275</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53,944</w:t>
            </w:r>
          </w:p>
        </w:tc>
        <w:tc>
          <w:tcPr>
            <w:tcW w:w="18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25,124</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31,331</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58.1 %</w:t>
            </w: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Pr>
          <w:p>
            <w:pPr>
              <w:ind w:left="80"/>
              <w:spacing w:after="0" w:line="183" w:lineRule="exact"/>
              <w:rPr>
                <w:sz w:val="20"/>
                <w:szCs w:val="20"/>
                <w:color w:val="auto"/>
              </w:rPr>
            </w:pPr>
            <w:r>
              <w:rPr>
                <w:rFonts w:ascii="Arial" w:cs="Arial" w:eastAsia="Arial" w:hAnsi="Arial"/>
                <w:sz w:val="17"/>
                <w:szCs w:val="17"/>
                <w:color w:val="auto"/>
              </w:rPr>
              <w:t>Provision for income taxes</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7"/>
                <w:szCs w:val="17"/>
                <w:color w:val="auto"/>
              </w:rPr>
              <w:t>18,338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7"/>
                <w:szCs w:val="17"/>
                <w:color w:val="auto"/>
              </w:rPr>
              <w:t>9,775</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7"/>
                <w:szCs w:val="17"/>
                <w:color w:val="auto"/>
              </w:rPr>
              <w:t>2,802</w:t>
            </w:r>
          </w:p>
        </w:tc>
        <w:tc>
          <w:tcPr>
            <w:tcW w:w="16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8,563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87.6 %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FF0FC"/>
          </w:tcPr>
          <w:p>
            <w:pPr>
              <w:spacing w:after="0" w:line="169" w:lineRule="exact"/>
              <w:rPr>
                <w:sz w:val="20"/>
                <w:szCs w:val="20"/>
                <w:color w:val="auto"/>
              </w:rPr>
            </w:pPr>
            <w:r>
              <w:rPr>
                <w:rFonts w:ascii="Arial" w:cs="Arial" w:eastAsia="Arial" w:hAnsi="Arial"/>
                <w:sz w:val="17"/>
                <w:szCs w:val="17"/>
                <w:color w:val="auto"/>
              </w:rPr>
              <w:t>Net income</w:t>
            </w:r>
          </w:p>
        </w:tc>
        <w:tc>
          <w:tcPr>
            <w:tcW w:w="160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66,937</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5"/>
              <w:spacing w:after="0" w:line="169" w:lineRule="exact"/>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44,169</w:t>
            </w:r>
          </w:p>
        </w:tc>
        <w:tc>
          <w:tcPr>
            <w:tcW w:w="18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jc w:val="right"/>
              <w:ind w:right="155"/>
              <w:spacing w:after="0" w:line="169" w:lineRule="exact"/>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22,322</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  22,768</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7"/>
                <w:szCs w:val="17"/>
                <w:color w:val="auto"/>
              </w:rPr>
              <w:t>51.5 %</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-779145</wp:posOffset>
            </wp:positionV>
            <wp:extent cx="1117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-779145</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-779145</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-779145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-779145</wp:posOffset>
            </wp:positionV>
            <wp:extent cx="1454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-282575</wp:posOffset>
            </wp:positionV>
            <wp:extent cx="1117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-282575</wp:posOffset>
            </wp:positionV>
            <wp:extent cx="1111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-282575</wp:posOffset>
            </wp:positionV>
            <wp:extent cx="111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-282575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-282575</wp:posOffset>
            </wp:positionV>
            <wp:extent cx="1454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-25400</wp:posOffset>
            </wp:positionV>
            <wp:extent cx="1117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1117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111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111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1111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111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61"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Stock-based compensation expense was allocated in cost of revenue and operating expenses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2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6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w:t>
            </w:r>
          </w:p>
        </w:tc>
        <w:tc>
          <w:tcPr>
            <w:tcW w:w="1020" w:type="dxa"/>
            <w:vAlign w:val="bottom"/>
            <w:shd w:val="clear" w:color="auto" w:fill="CFF0FC"/>
          </w:tcPr>
          <w:p>
            <w:pPr>
              <w:jc w:val="right"/>
              <w:ind w:right="83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w:t>
            </w:r>
          </w:p>
        </w:tc>
        <w:tc>
          <w:tcPr>
            <w:tcW w:w="4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w:t>
            </w:r>
          </w:p>
        </w:tc>
        <w:tc>
          <w:tcPr>
            <w:tcW w:w="4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3,903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3,100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1,990</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6,695</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5,639</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2,808</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9,936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4,436</w:t>
            </w:r>
          </w:p>
        </w:tc>
        <w:tc>
          <w:tcPr>
            <w:tcW w:w="100" w:type="dxa"/>
            <w:vAlign w:val="bottom"/>
          </w:tcPr>
          <w:p>
            <w:pPr>
              <w:spacing w:after="0"/>
              <w:rPr>
                <w:sz w:val="17"/>
                <w:szCs w:val="17"/>
                <w:color w:val="auto"/>
              </w:rPr>
            </w:pPr>
          </w:p>
        </w:tc>
      </w:tr>
      <w:tr>
        <w:trPr>
          <w:trHeight w:val="216"/>
        </w:trPr>
        <w:tc>
          <w:tcPr>
            <w:tcW w:w="6200" w:type="dxa"/>
            <w:vAlign w:val="bottom"/>
            <w:shd w:val="clear" w:color="auto" w:fill="CFF0FC"/>
          </w:tcPr>
          <w:p>
            <w:pPr>
              <w:ind w:left="80"/>
              <w:spacing w:after="0" w:line="182" w:lineRule="exact"/>
              <w:rPr>
                <w:sz w:val="20"/>
                <w:szCs w:val="20"/>
                <w:color w:val="auto"/>
              </w:rPr>
            </w:pPr>
            <w:r>
              <w:rPr>
                <w:rFonts w:ascii="Arial" w:cs="Arial" w:eastAsia="Arial" w:hAnsi="Arial"/>
                <w:sz w:val="18"/>
                <w:szCs w:val="18"/>
                <w:color w:val="auto"/>
              </w:rPr>
              <w:t>Total stock-based compensation</w:t>
            </w:r>
          </w:p>
        </w:tc>
        <w:tc>
          <w:tcPr>
            <w:tcW w:w="1020" w:type="dxa"/>
            <w:vAlign w:val="bottom"/>
            <w:shd w:val="clear" w:color="auto" w:fill="CFF0FC"/>
          </w:tcPr>
          <w:p>
            <w:pPr>
              <w:jc w:val="right"/>
              <w:ind w:right="830"/>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20,821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12,855</w:t>
            </w:r>
          </w:p>
        </w:tc>
        <w:tc>
          <w:tcPr>
            <w:tcW w:w="480" w:type="dxa"/>
            <w:vAlign w:val="bottom"/>
            <w:gridSpan w:val="2"/>
            <w:shd w:val="clear" w:color="auto" w:fill="CFF0FC"/>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9,390</w:t>
            </w:r>
          </w:p>
        </w:tc>
        <w:tc>
          <w:tcPr>
            <w:tcW w:w="100" w:type="dxa"/>
            <w:vAlign w:val="bottom"/>
            <w:shd w:val="clear" w:color="auto" w:fill="CFF0FC"/>
          </w:tcPr>
          <w:p>
            <w:pPr>
              <w:spacing w:after="0"/>
              <w:rPr>
                <w:sz w:val="18"/>
                <w:szCs w:val="18"/>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following table presents the components of our consolidated statements of operations for the periods presented as a percentage of revenue:</w:t>
      </w:r>
    </w:p>
    <w:p>
      <w:pPr>
        <w:spacing w:after="0" w:line="4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7"/>
                <w:szCs w:val="17"/>
                <w:color w:val="auto"/>
              </w:rPr>
            </w:pPr>
          </w:p>
        </w:tc>
      </w:tr>
      <w:tr>
        <w:trPr>
          <w:trHeight w:val="196"/>
        </w:trPr>
        <w:tc>
          <w:tcPr>
            <w:tcW w:w="70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10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100.0%</w:t>
            </w:r>
          </w:p>
        </w:tc>
        <w:tc>
          <w:tcPr>
            <w:tcW w:w="17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100.0%</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9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75.2%</w:t>
            </w:r>
          </w:p>
        </w:tc>
        <w:tc>
          <w:tcPr>
            <w:tcW w:w="108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72.7%</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70.3%</w:t>
            </w:r>
          </w:p>
        </w:tc>
      </w:tr>
      <w:tr>
        <w:trPr>
          <w:trHeight w:val="20"/>
        </w:trPr>
        <w:tc>
          <w:tcPr>
            <w:tcW w:w="6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06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Gross profit</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24.8%</w:t>
            </w:r>
          </w:p>
        </w:tc>
        <w:tc>
          <w:tcPr>
            <w:tcW w:w="10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27.3%</w:t>
            </w:r>
          </w:p>
        </w:tc>
        <w:tc>
          <w:tcPr>
            <w:tcW w:w="17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29.7%</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04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10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5.9%</w:t>
            </w:r>
          </w:p>
        </w:tc>
        <w:tc>
          <w:tcPr>
            <w:tcW w:w="1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7.2%</w:t>
            </w:r>
          </w:p>
        </w:tc>
      </w:tr>
      <w:tr>
        <w:trPr>
          <w:trHeight w:val="202"/>
        </w:trPr>
        <w:tc>
          <w:tcPr>
            <w:tcW w:w="70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w:t>
            </w:r>
          </w:p>
        </w:tc>
        <w:tc>
          <w:tcPr>
            <w:tcW w:w="108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12.1%</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w:t>
            </w:r>
          </w:p>
        </w:tc>
      </w:tr>
      <w:tr>
        <w:trPr>
          <w:trHeight w:val="203"/>
        </w:trPr>
        <w:tc>
          <w:tcPr>
            <w:tcW w:w="60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10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4.2%</w:t>
            </w:r>
          </w:p>
        </w:tc>
        <w:tc>
          <w:tcPr>
            <w:tcW w:w="1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5.9%</w:t>
            </w:r>
          </w:p>
        </w:tc>
      </w:tr>
      <w:tr>
        <w:trPr>
          <w:trHeight w:val="20"/>
        </w:trPr>
        <w:tc>
          <w:tcPr>
            <w:tcW w:w="60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6060" w:type="dxa"/>
            <w:vAlign w:val="bottom"/>
          </w:tcPr>
          <w:p>
            <w:pPr>
              <w:ind w:left="160"/>
              <w:spacing w:after="0" w:line="196" w:lineRule="exact"/>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18.5%</w:t>
            </w:r>
          </w:p>
        </w:tc>
        <w:tc>
          <w:tcPr>
            <w:tcW w:w="108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22.2%</w:t>
            </w:r>
          </w:p>
        </w:tc>
        <w:tc>
          <w:tcPr>
            <w:tcW w:w="1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26.8%</w:t>
            </w:r>
          </w:p>
        </w:tc>
      </w:tr>
      <w:tr>
        <w:trPr>
          <w:trHeight w:val="20"/>
        </w:trPr>
        <w:tc>
          <w:tcPr>
            <w:tcW w:w="6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06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Income from operations</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6.3%</w:t>
            </w:r>
          </w:p>
        </w:tc>
        <w:tc>
          <w:tcPr>
            <w:tcW w:w="10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17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2.9%</w:t>
            </w:r>
          </w:p>
        </w:tc>
      </w:tr>
      <w:tr>
        <w:trPr>
          <w:trHeight w:val="203"/>
        </w:trPr>
        <w:tc>
          <w:tcPr>
            <w:tcW w:w="70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c>
          <w:tcPr>
            <w:tcW w:w="108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60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Other income</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c>
          <w:tcPr>
            <w:tcW w:w="10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w:t>
            </w:r>
          </w:p>
        </w:tc>
        <w:tc>
          <w:tcPr>
            <w:tcW w:w="1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w:t>
            </w:r>
          </w:p>
        </w:tc>
      </w:tr>
      <w:tr>
        <w:trPr>
          <w:trHeight w:val="20"/>
        </w:trPr>
        <w:tc>
          <w:tcPr>
            <w:tcW w:w="60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6060" w:type="dxa"/>
            <w:vAlign w:val="bottom"/>
          </w:tcPr>
          <w:p>
            <w:pPr>
              <w:ind w:left="160"/>
              <w:spacing w:after="0" w:line="196" w:lineRule="exact"/>
              <w:rPr>
                <w:sz w:val="20"/>
                <w:szCs w:val="20"/>
                <w:color w:val="auto"/>
              </w:rPr>
            </w:pPr>
            <w:r>
              <w:rPr>
                <w:rFonts w:ascii="Arial" w:cs="Arial" w:eastAsia="Arial" w:hAnsi="Arial"/>
                <w:sz w:val="18"/>
                <w:szCs w:val="18"/>
                <w:color w:val="auto"/>
              </w:rPr>
              <w:t>Income before income taxes</w:t>
            </w:r>
          </w:p>
        </w:tc>
        <w:tc>
          <w:tcPr>
            <w:tcW w:w="98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108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1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r>
      <w:tr>
        <w:trPr>
          <w:trHeight w:val="20"/>
        </w:trPr>
        <w:tc>
          <w:tcPr>
            <w:tcW w:w="6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06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Provision for income taxes</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1.5%</w:t>
            </w:r>
          </w:p>
        </w:tc>
        <w:tc>
          <w:tcPr>
            <w:tcW w:w="10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17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0.5%</w:t>
            </w:r>
          </w:p>
        </w:tc>
      </w:tr>
      <w:tr>
        <w:trPr>
          <w:trHeight w:val="20"/>
        </w:trPr>
        <w:tc>
          <w:tcPr>
            <w:tcW w:w="60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6060" w:type="dxa"/>
            <w:vAlign w:val="bottom"/>
          </w:tcPr>
          <w:p>
            <w:pPr>
              <w:spacing w:after="0" w:line="182" w:lineRule="exact"/>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7"/>
                <w:szCs w:val="17"/>
                <w:color w:val="auto"/>
              </w:rPr>
            </w:pPr>
          </w:p>
        </w:tc>
        <w:tc>
          <w:tcPr>
            <w:tcW w:w="6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5.6%</w:t>
            </w:r>
          </w:p>
        </w:tc>
        <w:tc>
          <w:tcPr>
            <w:tcW w:w="1080" w:type="dxa"/>
            <w:vAlign w:val="bottom"/>
          </w:tcPr>
          <w:p>
            <w:pPr>
              <w:spacing w:after="0"/>
              <w:rPr>
                <w:sz w:val="17"/>
                <w:szCs w:val="17"/>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5.0%</w:t>
            </w:r>
          </w:p>
        </w:tc>
        <w:tc>
          <w:tcPr>
            <w:tcW w:w="1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3.5%</w:t>
            </w:r>
          </w:p>
        </w:tc>
      </w:tr>
      <w:tr>
        <w:trPr>
          <w:trHeight w:val="20"/>
        </w:trPr>
        <w:tc>
          <w:tcPr>
            <w:tcW w:w="6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-968375</wp:posOffset>
            </wp:positionV>
            <wp:extent cx="1117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-968375</wp:posOffset>
            </wp:positionV>
            <wp:extent cx="111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-968375</wp:posOffset>
            </wp:positionV>
            <wp:extent cx="1117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-436880</wp:posOffset>
            </wp:positionV>
            <wp:extent cx="1117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-436880</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-436880</wp:posOffset>
            </wp:positionV>
            <wp:extent cx="1117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-161925</wp:posOffset>
            </wp:positionV>
            <wp:extent cx="1117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-161925</wp:posOffset>
            </wp:positionV>
            <wp:extent cx="111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-161925</wp:posOffset>
            </wp:positionV>
            <wp:extent cx="1117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2025 and 2024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left="500"/>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The increase in revenue was primarily driven by an increase in the number of transactions processed, which was driven by the implementation of new billers and increased transactions from our existing billers.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02" w:lineRule="exact"/>
        <w:rPr>
          <w:sz w:val="20"/>
          <w:szCs w:val="20"/>
          <w:color w:val="auto"/>
        </w:rPr>
      </w:pPr>
    </w:p>
    <w:p>
      <w:pPr>
        <w:ind w:right="1600" w:firstLine="494"/>
        <w:spacing w:after="0" w:line="271" w:lineRule="auto"/>
        <w:rPr>
          <w:sz w:val="20"/>
          <w:szCs w:val="20"/>
          <w:color w:val="auto"/>
        </w:rPr>
      </w:pPr>
      <w:r>
        <w:rPr>
          <w:rFonts w:ascii="Arial" w:cs="Arial" w:eastAsia="Arial" w:hAnsi="Arial"/>
          <w:sz w:val="18"/>
          <w:szCs w:val="18"/>
          <w:color w:val="auto"/>
        </w:rPr>
        <w:t>The increase in cost of revenue was directly attributable to higher revenue and transaction volumes, as these costs are predominantly variable and consist mainly of interchange and processor fees.</w:t>
      </w:r>
    </w:p>
    <w:p>
      <w:pPr>
        <w:spacing w:after="0" w:line="46"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Gross margin decreased as a result of a customer mix shift toward high-volume enterprise billers. This effect was partially mitigated by benefits from economies of scale.</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right="1600" w:firstLine="494"/>
        <w:spacing w:after="0" w:line="244" w:lineRule="auto"/>
        <w:rPr>
          <w:sz w:val="20"/>
          <w:szCs w:val="20"/>
          <w:color w:val="auto"/>
        </w:rPr>
      </w:pPr>
      <w:r>
        <w:rPr>
          <w:rFonts w:ascii="Arial" w:cs="Arial" w:eastAsia="Arial" w:hAnsi="Arial"/>
          <w:sz w:val="18"/>
          <w:szCs w:val="18"/>
          <w:color w:val="auto"/>
        </w:rPr>
        <w:t>Research and development expenses increased primarily due to an increase in employee-related costs, including benefits, driven by increased headcount, higher stock-based compensation and increases in annual compensation, a rise in cloud computing services expenses, reflecting higher utilization of our cloud-based infrastructure and increased data processing demands, an increase in the amortization of capitalized internal-use software development costs and an increase in expenses related to third-party software and technology licenses.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02"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The growth in sales and marketing expenses was primarily due to increases in reseller commissions and marketing expenses, which were offset by lower employee-related costs.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jc w:val="both"/>
        <w:ind w:right="1900" w:firstLine="494"/>
        <w:spacing w:after="0" w:line="253" w:lineRule="auto"/>
        <w:rPr>
          <w:sz w:val="20"/>
          <w:szCs w:val="20"/>
          <w:color w:val="auto"/>
        </w:rPr>
      </w:pPr>
      <w:r>
        <w:rPr>
          <w:rFonts w:ascii="Arial" w:cs="Arial" w:eastAsia="Arial" w:hAnsi="Arial"/>
          <w:sz w:val="18"/>
          <w:szCs w:val="18"/>
          <w:color w:val="auto"/>
        </w:rPr>
        <w:t>The increase in general and administrative expenses was primarily due to increases in employee-related costs, including higher stock-based compensation, professional and legal fees and insurance premiums of certain business policies.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income</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increased due to higher cash balances held with banks.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For the year ended December 31, 2025, the effective tax rate increased to 21.5% compared to 18.1% for the same period in the prior year. The rate for the current period was in line with the U.S. federal statutory rate of 21%. The change</w:t>
      </w:r>
    </w:p>
    <w:p>
      <w:pPr>
        <w:spacing w:after="0" w:line="235" w:lineRule="auto"/>
        <w:rPr>
          <w:sz w:val="20"/>
          <w:szCs w:val="20"/>
          <w:color w:val="auto"/>
        </w:rPr>
      </w:pPr>
      <w:r>
        <w:rPr>
          <w:rFonts w:ascii="Arial" w:cs="Arial" w:eastAsia="Arial" w:hAnsi="Arial"/>
          <w:sz w:val="18"/>
          <w:szCs w:val="18"/>
          <w:color w:val="auto"/>
        </w:rPr>
        <w:t>in the provision for income taxes and the variance from the federal statutory rate were primarily driven by a combination of</w:t>
      </w:r>
    </w:p>
    <w:p>
      <w:pPr>
        <w:jc w:val="both"/>
        <w:spacing w:after="0" w:line="242" w:lineRule="auto"/>
        <w:rPr>
          <w:sz w:val="20"/>
          <w:szCs w:val="20"/>
          <w:color w:val="auto"/>
        </w:rPr>
      </w:pPr>
      <w:r>
        <w:rPr>
          <w:rFonts w:ascii="Arial" w:cs="Arial" w:eastAsia="Arial" w:hAnsi="Arial"/>
          <w:sz w:val="18"/>
          <w:szCs w:val="18"/>
          <w:color w:val="auto"/>
        </w:rPr>
        <w:t>factors, including (1) permanent differences for disallowed compensation pursuant to Internal Revenue Code (IRC) Section 162(m), (2) the impact of state taxes, (3) discrete benefits recognized for excess tax deductions on stock-based compensation, and (4) the finalization of prior year Canadian and U.S. R&amp;D credit claims during the period.</w:t>
      </w:r>
    </w:p>
    <w:p>
      <w:pPr>
        <w:spacing w:after="0" w:line="71" w:lineRule="exact"/>
        <w:rPr>
          <w:sz w:val="20"/>
          <w:szCs w:val="20"/>
          <w:color w:val="auto"/>
        </w:rPr>
      </w:pPr>
    </w:p>
    <w:p>
      <w:pPr>
        <w:ind w:right="1680" w:firstLine="494"/>
        <w:spacing w:after="0" w:line="247" w:lineRule="auto"/>
        <w:rPr>
          <w:sz w:val="20"/>
          <w:szCs w:val="20"/>
          <w:color w:val="auto"/>
        </w:rPr>
      </w:pPr>
      <w:r>
        <w:rPr>
          <w:rFonts w:ascii="Arial" w:cs="Arial" w:eastAsia="Arial" w:hAnsi="Arial"/>
          <w:sz w:val="18"/>
          <w:szCs w:val="18"/>
          <w:color w:val="auto"/>
        </w:rPr>
        <w:t>The lower effective tax rate of 18.1% recorded in the comparative 2024 period was principally attributable to a significant, non-recurring tax event related to the determination to release a valuation allowance previously established against certain deferred tax assets in the U.S., which was due to the positive change in available evidence regarding the realizability of those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As of December 31, 2025, we had $320.9 million of unrestricted cash and cash equivalents. We believe that existing unrestricted cash and cash equivalents will be sufficient to support our working capital, capital expenditure and other commitments described in the "Contractual Obligations and Other Commitments" section below, for at least the next 12 months. Since inception, we have financed operations primarily through the sale of equity securities and revenue from payment transaction fees. Our principal uses of cash are funding operations, which primarily consist of employee-related costs, and acquisitions. Although subject to change based on market opportunity or changing priorities, currently, we do not have any material planned capital expenditures in the next 12 months.</w:t>
      </w:r>
    </w:p>
    <w:p>
      <w:pPr>
        <w:spacing w:after="0" w:line="71"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56" w:name="page57"/>
    <w:bookmarkEnd w:id="56"/>
    <w:p>
      <w:pPr>
        <w:jc w:val="both"/>
        <w:spacing w:after="0" w:line="271" w:lineRule="auto"/>
        <w:rPr>
          <w:sz w:val="20"/>
          <w:szCs w:val="20"/>
          <w:color w:val="auto"/>
        </w:rPr>
      </w:pPr>
      <w:r>
        <w:rPr>
          <w:rFonts w:ascii="Arial" w:cs="Arial" w:eastAsia="Arial" w:hAnsi="Arial"/>
          <w:sz w:val="18"/>
          <w:szCs w:val="18"/>
          <w:color w:val="auto"/>
        </w:rPr>
        <w:t>ability to incur additional debt, and other operating restrictions that could adversely impact our ability to conduct our business or execute our growth strategy. Any future indebtedness we incur may result in terms that could be unfavorable to equity investors.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spacing w:after="0"/>
              <w:rPr>
                <w:sz w:val="20"/>
                <w:szCs w:val="20"/>
                <w:color w:val="auto"/>
              </w:rPr>
            </w:pPr>
            <w:r>
              <w:rPr>
                <w:rFonts w:ascii="Arial" w:cs="Arial" w:eastAsia="Arial" w:hAnsi="Arial"/>
                <w:sz w:val="18"/>
                <w:szCs w:val="18"/>
                <w:b w:val="1"/>
                <w:bCs w:val="1"/>
                <w:i w:val="1"/>
                <w:iCs w:val="1"/>
                <w:color w:val="auto"/>
              </w:rPr>
              <w:t>Historical Cash Flows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6240" w:type="dxa"/>
            <w:vAlign w:val="bottom"/>
          </w:tcPr>
          <w:p>
            <w:pPr>
              <w:ind w:left="500"/>
              <w:spacing w:after="0"/>
              <w:rPr>
                <w:sz w:val="20"/>
                <w:szCs w:val="20"/>
                <w:color w:val="auto"/>
              </w:rPr>
            </w:pPr>
            <w:r>
              <w:rPr>
                <w:rFonts w:ascii="Arial" w:cs="Arial" w:eastAsia="Arial" w:hAnsi="Arial"/>
                <w:sz w:val="18"/>
                <w:szCs w:val="18"/>
                <w:color w:val="auto"/>
              </w:rPr>
              <w:t>The following table summarizes our consolidated cash flows: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6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2024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line="202" w:lineRule="exact"/>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162,127</w:t>
            </w:r>
          </w:p>
        </w:tc>
        <w:tc>
          <w:tcPr>
            <w:tcW w:w="1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63,634</w:t>
            </w:r>
          </w:p>
        </w:tc>
        <w:tc>
          <w:tcPr>
            <w:tcW w:w="80" w:type="dxa"/>
            <w:vAlign w:val="bottom"/>
          </w:tcPr>
          <w:p>
            <w:pPr>
              <w:spacing w:after="0"/>
              <w:rPr>
                <w:sz w:val="17"/>
                <w:szCs w:val="17"/>
                <w:color w:val="auto"/>
              </w:rPr>
            </w:pPr>
          </w:p>
        </w:tc>
        <w:tc>
          <w:tcPr>
            <w:tcW w:w="4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68,828</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(36,518)</w:t>
            </w:r>
          </w:p>
        </w:tc>
        <w:tc>
          <w:tcPr>
            <w:tcW w:w="1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(36,761)</w:t>
            </w: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(34,299)</w:t>
            </w:r>
          </w:p>
        </w:tc>
      </w:tr>
      <w:tr>
        <w:trPr>
          <w:trHeight w:val="203"/>
        </w:trPr>
        <w:tc>
          <w:tcPr>
            <w:tcW w:w="6240" w:type="dxa"/>
            <w:vAlign w:val="bottom"/>
          </w:tcPr>
          <w:p>
            <w:pPr>
              <w:ind w:left="80"/>
              <w:spacing w:after="0" w:line="202" w:lineRule="exact"/>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(10,577)</w:t>
            </w:r>
          </w:p>
        </w:tc>
        <w:tc>
          <w:tcPr>
            <w:tcW w:w="160" w:type="dxa"/>
            <w:vAlign w:val="bottom"/>
          </w:tcPr>
          <w:p>
            <w:pPr>
              <w:spacing w:after="0"/>
              <w:rPr>
                <w:sz w:val="17"/>
                <w:szCs w:val="17"/>
                <w:color w:val="auto"/>
              </w:rPr>
            </w:pP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(207)</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(1,195)</w:t>
            </w: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Effects of foreign exchange on cash</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(450)</w:t>
            </w: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17"/>
                <w:szCs w:val="17"/>
                <w:color w:val="auto"/>
              </w:rPr>
            </w:pPr>
          </w:p>
        </w:tc>
      </w:tr>
      <w:tr>
        <w:trPr>
          <w:trHeight w:val="196"/>
        </w:trPr>
        <w:tc>
          <w:tcPr>
            <w:tcW w:w="62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115,127</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26,216</w:t>
            </w:r>
          </w:p>
        </w:tc>
        <w:tc>
          <w:tcPr>
            <w:tcW w:w="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33,510</w:t>
            </w:r>
          </w:p>
        </w:tc>
        <w:tc>
          <w:tcPr>
            <w:tcW w:w="100" w:type="dxa"/>
            <w:vAlign w:val="bottom"/>
            <w:tcBorders>
              <w:top w:val="single" w:sz="8" w:color="CFF0FC"/>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-161925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mainly consists of our net income adjusted for certain non-cash items, including depreciation and amortization, stock-based compensation, other non-cash income and expense items, and net changes in operating assets and liabilities.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Net cash provided by operating activities for the year ended December 31, 2025 was $162.1 million. Net income was $ 66.9 million, adjusted for non-cash charges of $66.7 million consisting primarily of depreciation and amortization, stock-based compensation, amortization of capitalized contract acquisition costs and warrants cost, and non-cash lease expense, which contributed positively to operating activities. This was further supported by net cash inflows of $28.5 million for changes in our operating assets and liabilities.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Net cash provided by operating activities for the year ended December 31, 2024 was $63.6 million. Net income was $ 44.2 million, adjusted for non-cash charges of $52.1 million consisting primarily of depreciation and amortization, stock-based compensation, amortization of capitalized contract acquisition costs and warrants cost, and non-cash lease expense, which contributed positively to operating activities. This was decreased by net cash outflows of $32.7 million for changes in our operating assets and liabilities.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Net cash used in investing activities for the year ended December 31, 2025 consisted of $36.7 million of capitalized internal-use software development costs, $0.4 million of purchases of property and equipment, offset by $0.6 million of net change in interest-bearing deposits.</w:t>
      </w:r>
    </w:p>
    <w:p>
      <w:pPr>
        <w:spacing w:after="0" w:line="6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investing activities for the year ended December 31, 2024 consisted of $36.1 million of capitalized internal-use software development costs, $0.5 million of purchases of property and equipment and $0.2 million of net change in interest-bearing deposits.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financing activities for the year ended December 31, 2025 consisted of $10.7 million of payments of taxes withheld on net settled vesting of restricted stock units, offset by $0.2 million of proceeds from the exercise of stock options.</w:t>
      </w:r>
    </w:p>
    <w:p>
      <w:pPr>
        <w:spacing w:after="0" w:line="46"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Net cash used in financing activities for the year ended December 31, 2024 consisted of $0.5 million of payments related to holdback liabilities settlement offset by $0.3 million of proceeds from exercise of stock-based awards by employees.</w:t>
      </w: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47"/>
        </w:trPr>
        <w:tc>
          <w:tcPr>
            <w:tcW w:w="2840" w:type="dxa"/>
            <w:vAlign w:val="bottom"/>
          </w:tcPr>
          <w:p>
            <w:pPr>
              <w:spacing w:after="0"/>
              <w:rPr>
                <w:sz w:val="21"/>
                <w:szCs w:val="21"/>
                <w:color w:val="auto"/>
              </w:rPr>
            </w:pPr>
          </w:p>
        </w:tc>
        <w:tc>
          <w:tcPr>
            <w:tcW w:w="4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Contractual Obligations and Other Commitments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9420" w:type="dxa"/>
            <w:vAlign w:val="bottom"/>
            <w:gridSpan w:val="9"/>
          </w:tcPr>
          <w:p>
            <w:pPr>
              <w:ind w:left="500"/>
              <w:spacing w:after="0"/>
              <w:rPr>
                <w:sz w:val="20"/>
                <w:szCs w:val="20"/>
                <w:color w:val="auto"/>
              </w:rPr>
            </w:pPr>
            <w:r>
              <w:rPr>
                <w:rFonts w:ascii="Arial" w:cs="Arial" w:eastAsia="Arial" w:hAnsi="Arial"/>
                <w:sz w:val="18"/>
                <w:szCs w:val="18"/>
                <w:color w:val="auto"/>
              </w:rPr>
              <w:t>The following table summarizes our contractual obligations and commitments in cash as of December 31, 2025:</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8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Less than 1</w:t>
            </w:r>
          </w:p>
        </w:tc>
        <w:tc>
          <w:tcPr>
            <w:tcW w:w="120" w:type="dxa"/>
            <w:vAlign w:val="bottom"/>
          </w:tcPr>
          <w:p>
            <w:pPr>
              <w:spacing w:after="0"/>
              <w:rPr>
                <w:sz w:val="23"/>
                <w:szCs w:val="23"/>
                <w:color w:val="auto"/>
              </w:rPr>
            </w:pPr>
          </w:p>
        </w:tc>
        <w:tc>
          <w:tcPr>
            <w:tcW w:w="14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1 - 3 Years</w:t>
            </w: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3 - 5</w:t>
            </w: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7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12"/>
                <w:szCs w:val="12"/>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5 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8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84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Operating lease liabilities</w:t>
            </w:r>
            <w:r>
              <w:rPr>
                <w:rFonts w:ascii="Arial" w:cs="Arial" w:eastAsia="Arial" w:hAnsi="Arial"/>
                <w:sz w:val="22"/>
                <w:szCs w:val="22"/>
                <w:color w:val="auto"/>
                <w:vertAlign w:val="superscript"/>
              </w:rPr>
              <w:t>(1)</w:t>
            </w:r>
          </w:p>
        </w:tc>
        <w:tc>
          <w:tcPr>
            <w:tcW w:w="35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7,286</w:t>
            </w:r>
          </w:p>
        </w:tc>
        <w:tc>
          <w:tcPr>
            <w:tcW w:w="1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2,571</w:t>
            </w:r>
          </w:p>
        </w:tc>
        <w:tc>
          <w:tcPr>
            <w:tcW w:w="1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2,800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1,774</w:t>
            </w:r>
          </w:p>
        </w:tc>
        <w:tc>
          <w:tcPr>
            <w:tcW w:w="10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3"/>
                <w:szCs w:val="23"/>
                <w:color w:val="auto"/>
                <w:vertAlign w:val="superscript"/>
              </w:rPr>
              <w:t>(2)</w:t>
            </w:r>
          </w:p>
        </w:tc>
        <w:tc>
          <w:tcPr>
            <w:tcW w:w="23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14,753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9,252</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5,501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40" w:type="dxa"/>
            <w:vAlign w:val="bottom"/>
            <w:tcBorders>
              <w:bottom w:val="single" w:sz="8" w:color="CFF0FC"/>
            </w:tcBorders>
            <w:shd w:val="clear" w:color="auto" w:fill="CFF0FC"/>
          </w:tcPr>
          <w:p>
            <w:pPr>
              <w:spacing w:after="0"/>
              <w:rPr>
                <w:sz w:val="20"/>
                <w:szCs w:val="20"/>
                <w:color w:val="auto"/>
              </w:rPr>
            </w:pPr>
          </w:p>
        </w:tc>
        <w:tc>
          <w:tcPr>
            <w:tcW w:w="23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22,039</w:t>
            </w:r>
          </w:p>
        </w:tc>
        <w:tc>
          <w:tcPr>
            <w:tcW w:w="1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11,823</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8,301</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1,774</w:t>
            </w:r>
          </w:p>
        </w:tc>
        <w:tc>
          <w:tcPr>
            <w:tcW w:w="1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-25400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Consists of operating lease liabilities for office space.</w:t>
      </w:r>
    </w:p>
    <w:p>
      <w:pPr>
        <w:spacing w:after="0" w:line="3" w:lineRule="exact"/>
        <w:rPr>
          <w:rFonts w:ascii="Arial" w:cs="Arial" w:eastAsia="Arial" w:hAnsi="Arial"/>
          <w:sz w:val="21"/>
          <w:szCs w:val="21"/>
          <w:color w:val="auto"/>
          <w:vertAlign w:val="superscript"/>
        </w:rPr>
      </w:pPr>
    </w:p>
    <w:p>
      <w:pPr>
        <w:ind w:right="300" w:firstLine="8"/>
        <w:spacing w:after="0" w:line="231" w:lineRule="auto"/>
        <w:tabs>
          <w:tab w:leader="none" w:pos="178" w:val="left"/>
        </w:tabs>
        <w:numPr>
          <w:ilvl w:val="0"/>
          <w:numId w:val="44"/>
        </w:numPr>
        <w:rPr>
          <w:rFonts w:ascii="Arial" w:cs="Arial" w:eastAsia="Arial" w:hAnsi="Arial"/>
          <w:sz w:val="20"/>
          <w:szCs w:val="20"/>
          <w:color w:val="auto"/>
          <w:vertAlign w:val="superscript"/>
        </w:rPr>
      </w:pPr>
      <w:r>
        <w:rPr>
          <w:rFonts w:ascii="Arial" w:cs="Arial" w:eastAsia="Arial" w:hAnsi="Arial"/>
          <w:sz w:val="15"/>
          <w:szCs w:val="15"/>
          <w:color w:val="auto"/>
        </w:rPr>
        <w:t>Consists of purchase obligations which were not recognized on the balance sheet as of December 31, 2025, related primarily to infrastructure services and IT software and maintenance service costs.</w:t>
      </w:r>
    </w:p>
    <w:p>
      <w:pPr>
        <w:spacing w:after="0" w:line="30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Off-Balance Sheet Arrangements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68"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 critical accounting policies and estimates that we believe have the most significant impact on our consolidated financial statements are described below. See Note 2 to our consolidated financial statements included elsewhere in this Annual Report on Form 10-K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Application of the accounting principles in GAAP related to the measurement and recognition of revenue requires us to make judgments and estimates. Complex arrangements with nonstandard terms and conditions may require significant contract interpretation to determine the appropriate accounting. Specifically, the determination of whether we are a principal to a transaction or an agent can require considerable judgment. We have concluded that we are typically the principal in our payment processing arrangements as we control the service on our platform. We also typically contract directly with our billers and have complete pricing latitude on the processing fees charged to our billers. As such, we bear the credit risk for network fees and transactions charged back to the biller. In circumstances where we have minimum revenue or transaction commitments, determining the appropriate accounting treatment of fixed and variable consideration, including the assessment of the risk of revenue reversal to ensure revenue is not overstated, may require considerable judgment.</w:t>
      </w:r>
    </w:p>
    <w:p>
      <w:pPr>
        <w:spacing w:after="0" w:line="72"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We will evaluate our accounts receivable portfolio to determine if an allowance for credit losses is necessary. The development of the allowance for credit losses is based on an expected loss model that considers reasonable and supportable forecasts of future conditions and a review of past due amounts, historical write-off and recovery experience, as well as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68" w:lineRule="exact"/>
        <w:rPr>
          <w:sz w:val="20"/>
          <w:szCs w:val="20"/>
          <w:color w:val="auto"/>
        </w:rPr>
      </w:pPr>
    </w:p>
    <w:p>
      <w:pPr>
        <w:jc w:val="both"/>
        <w:ind w:firstLine="499"/>
        <w:spacing w:after="0" w:line="253" w:lineRule="auto"/>
        <w:rPr>
          <w:sz w:val="20"/>
          <w:szCs w:val="20"/>
          <w:color w:val="auto"/>
        </w:rPr>
      </w:pPr>
      <w:r>
        <w:rPr>
          <w:rFonts w:ascii="Arial" w:cs="Arial" w:eastAsia="Arial" w:hAnsi="Arial"/>
          <w:sz w:val="18"/>
          <w:szCs w:val="18"/>
          <w:color w:val="auto"/>
        </w:rPr>
        <w:t>We consider current economic trends when evaluating the adequacy of the allowance for credit losses. If circumstances relating to specific billers change or unanticipated changes occur in the general business environment, our estimate of the recoverability of receivables could be further adjusted.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2" w:lineRule="exact"/>
        <w:rPr>
          <w:sz w:val="20"/>
          <w:szCs w:val="20"/>
          <w:color w:val="auto"/>
        </w:rPr>
      </w:pPr>
    </w:p>
    <w:p>
      <w:pPr>
        <w:jc w:val="both"/>
        <w:ind w:firstLine="499"/>
        <w:spacing w:after="0" w:line="241" w:lineRule="auto"/>
        <w:rPr>
          <w:sz w:val="20"/>
          <w:szCs w:val="20"/>
          <w:color w:val="auto"/>
        </w:rPr>
      </w:pPr>
      <w:r>
        <w:rPr>
          <w:rFonts w:ascii="Arial" w:cs="Arial" w:eastAsia="Arial" w:hAnsi="Arial"/>
          <w:sz w:val="18"/>
          <w:szCs w:val="18"/>
          <w:color w:val="auto"/>
        </w:rPr>
        <w:t>Internal-use software development costs consist of personnel costs, including related benefits, incurred to develop functionality for our platform, as well as certain upgrades and enhancements that are expected to result in enhanced functionality. We capitalize certain software development costs for new offerings as well as upgrades to our existing software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18"/>
          <w:szCs w:val="18"/>
          <w:color w:val="auto"/>
        </w:rPr>
        <w:t>platforms. We amortize these development costs over the estimated useful life on a straight-line basis. We believe there are two key estimates within the internal-use capitalized software development balance, which are the determination of the useful life of the software and the determination of the amounts to be capitalized.</w:t>
      </w:r>
    </w:p>
    <w:p>
      <w:pPr>
        <w:spacing w:after="0" w:line="61"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We determined that a three- to five-year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to five years before being significantly replaced or modified to keep up with evolving biller and company needs. While we do not anticipate any significant changes to the estimated useful life, a change in this estimate could produce a material impact on our financial statements. For example, if we received information that indicated the useful life of all internally developed software was one year rather than three to five, our capitalized software balance would materially decrease and our expense would materially increase.</w:t>
      </w:r>
    </w:p>
    <w:p>
      <w:pPr>
        <w:spacing w:after="0" w:line="72"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We determine the amount of internal-use software development costs to be capitalized based on the amount of time spent by our developers on projects. Costs associated with building or significantly enhancing our platforms are capitalized, while costs associated with planning new developments and maintaining our platform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68" w:lineRule="exact"/>
        <w:rPr>
          <w:sz w:val="20"/>
          <w:szCs w:val="20"/>
          <w:color w:val="auto"/>
        </w:rPr>
      </w:pPr>
    </w:p>
    <w:p>
      <w:pPr>
        <w:jc w:val="both"/>
        <w:ind w:right="20" w:firstLine="499"/>
        <w:spacing w:after="0" w:line="271" w:lineRule="auto"/>
        <w:rPr>
          <w:sz w:val="20"/>
          <w:szCs w:val="20"/>
          <w:color w:val="auto"/>
        </w:rPr>
      </w:pPr>
      <w:r>
        <w:rPr>
          <w:rFonts w:ascii="Arial" w:cs="Arial" w:eastAsia="Arial" w:hAnsi="Arial"/>
          <w:sz w:val="18"/>
          <w:szCs w:val="18"/>
          <w:color w:val="auto"/>
        </w:rPr>
        <w:t>In addition to internal-use software, we capitalize 100% of eligible implementation costs associated with our hosting and service-based platform arrangements, which are amortized over a period consistent with our internal-use software development costs.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Intangibles</w:t>
      </w:r>
    </w:p>
    <w:p>
      <w:pPr>
        <w:spacing w:after="0" w:line="102"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We periodically evaluate our long-lived assets, including acquired intangible assets, to determine if current events or circumstances indicate that their carrying value may not be recoverable. Impairment testing for assets, other than goodwill, requires the comparison of the carrying amount of an asset or an asset group to estimated undiscounted future net cash flows expected to be generated by the asset or asset group. If the carrying amount of an asset exceeds these estimated future cash flows, an impairment charge is recognized in the amount by which the carrying amount of the assets exceeds the fair value of the asset or asset group. Our estimates are based upon assumptions that we believe to be reasonable, but which are inherently uncertain and unpredictable. These valuations require the use of management’s assumptions, which do not reflect unanticipated events and circumstances that may occur.</w:t>
      </w:r>
    </w:p>
    <w:p>
      <w:pPr>
        <w:spacing w:after="0" w:line="77" w:lineRule="exact"/>
        <w:rPr>
          <w:sz w:val="20"/>
          <w:szCs w:val="20"/>
          <w:color w:val="auto"/>
        </w:rPr>
      </w:pPr>
    </w:p>
    <w:p>
      <w:pPr>
        <w:jc w:val="both"/>
        <w:ind w:firstLine="499"/>
        <w:spacing w:after="0" w:line="242" w:lineRule="auto"/>
        <w:rPr>
          <w:sz w:val="20"/>
          <w:szCs w:val="20"/>
          <w:color w:val="auto"/>
        </w:rPr>
      </w:pPr>
      <w:r>
        <w:rPr>
          <w:rFonts w:ascii="Arial" w:cs="Arial" w:eastAsia="Arial" w:hAnsi="Arial"/>
          <w:sz w:val="18"/>
          <w:szCs w:val="18"/>
          <w:color w:val="auto"/>
        </w:rPr>
        <w:t>We evaluate goodwill for impairment on an annual basis, or sooner if indicators of impairment exist. Under GAAP, the evaluation of goodwill for impairment allows for a qualitative assessment to be performed. In performing these qualitative assessments, we consider relevant events and conditions, including but not limited to: macroeconomic trends, industry and market conditions, overall financial performance, cost factors, company-specific events, legal and regulatory factors and our market capitalization. If the qualitative assessments indicate that it is more likely than not that the fair value of the reporting unit is less than its carrying amounts, we must perform a quantitative impairment test.</w:t>
      </w:r>
    </w:p>
    <w:p>
      <w:pPr>
        <w:spacing w:after="0" w:line="71"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Measurement of the fair value of a reporting unit is based on one or more of the following fair value measures: amounts at which the unit as a whole could be bought or sold in a current transaction between willing parties, present value techniques of estimated future cash flows, valuation techniques based on multiples of earnings or revenue or a similar performance measure.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We recognize stock-based compensation expense for all awards, primarily restricted stock units (RSUs), based on their grant-date fair value. For RSUs, this is the market closing price of our Class A common stock on the grant date. While we historically issued stock options and warrants (notably in 2021 and 2022) valued using the Black-Scholes model, there have been no material grants of such instruments since that time. As of December 31, 2025, the unamortized expense and unvested balances for these awards are immaterial. Valuation assumptions for these instruments, including expected volatility and term, were determined at the time of grant and are not subject to subsequent remeasurement. Compensation expense is recognized on a straight-line basis over the vesting period, with forfeitures accounted for as they occur.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ind w:firstLine="494"/>
        <w:spacing w:after="0" w:line="253" w:lineRule="auto"/>
        <w:rPr>
          <w:sz w:val="20"/>
          <w:szCs w:val="20"/>
          <w:color w:val="auto"/>
        </w:rPr>
      </w:pPr>
      <w:r>
        <w:rPr>
          <w:rFonts w:ascii="Arial" w:cs="Arial" w:eastAsia="Arial" w:hAnsi="Arial"/>
          <w:sz w:val="18"/>
          <w:szCs w:val="18"/>
          <w:color w:val="auto"/>
        </w:rPr>
        <w:t>We are subject to income taxes in the U.S. and certain foreign jurisdictions. Significant judgment is required in determining our provision for income taxes and deferred tax assets and liabilities, including evaluating uncertainties in the application of accounting principles and complex tax laws.</w:t>
      </w:r>
    </w:p>
    <w:p>
      <w:pPr>
        <w:spacing w:after="0" w:line="6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record a provision for income taxes for the anticipated tax consequences of the reported results of operations using the asset and liability method. Under this method, we recognize deferred tax assets and liabilities for the expected future tax consequences of temporary differences between the carrying amounts for financial reporting purposes and the tax bases of assets and liabilities, as well as for loss and tax credit carryforwards. This includes the impact of enacted tax legislation, such as the restoration of immediate deductions for domestic research and development expenditures in 2025, which requires management to re-evaluate the timing of deductibility and the realizability of related deferred tax assets. The deferred assets and liabilities are measured using the statutorily enacted tax rates anticipated to be in effect when those tax assets and liabilities are expected to be realized or settled. The effect on deferred tax assets and liabilities of a change in tax rates is recognized in the period that includes the enactment date.</w:t>
      </w:r>
    </w:p>
    <w:p>
      <w:pPr>
        <w:spacing w:after="0" w:line="7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 valuation allowance is established if, based upon the available evidence, it is more likely than not that some or all of the deferred tax assets will not be realized. As of December 31, 2025, our valuation allowance was immaterial and related primarily to specific foreign tax credits. We previously released our domestic valuation allowance in 2024 based on sustained profitability. We continue to monitor all available evidence, both positive and negative, including historical levels of income, expectations and risks associated with estimates of future taxable income, in assessing the need for a valuation allowance.</w:t>
      </w:r>
    </w:p>
    <w:p>
      <w:pPr>
        <w:spacing w:after="0" w:line="68"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Our tax positions are subject to income tax audits by multiple tax jurisdictions such as U.S., Canada and India. We recognize the tax benefit of an uncertain tax position only if it is more likely than not the position will be sustainable upon examination by the taxing authority, including resolution of any related appeals or litigation processes. This evaluation is based on all available evidence and assumes that the tax authorities have full knowledge of all relevant information concerning the tax position. The tax benefit recognized is measured as the largest amount of benefit which is more likely than not (greater than 50% likely) to be realized upon ultimate settlement with the taxing authority. We recognize interest accrued and penalties related to unrecognized tax benefits in income tax expense. We adjust these reserves in accordance with the income tax guidance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and could have a material impact on our financial condition and operating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more information regarding recently issued accounting pronouncements.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01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01415" cy="8255"/>
                    </a:xfrm>
                    <a:prstGeom prst="rect">
                      <a:avLst/>
                    </a:prstGeom>
                    <a:noFill/>
                  </pic:spPr>
                </pic:pic>
              </a:graphicData>
            </a:graphic>
          </wp:anchor>
        </w:drawing>
      </w:r>
    </w:p>
    <w:p>
      <w:pPr>
        <w:spacing w:after="0" w:line="84"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Our unrestricted cash and cash equivalents consist of bank deposits and money market funds, and term deposits with original maturities of three months or less. We also maintain term deposits with original maturities exceeding three months, which are classified within prepaid expenses and other assets. Our cash and cash equivalents are held for working capital purposes. We do not enter into investments for trading or speculative purposes. Interest income associated with our cash equivalents and term deposits are subject to market risk due to changes in interest rates. In addition, we have no variable interest rate indebtedness. As of December 31, 2025, we do not believe that a hypothetical 10% relative change in interest rates would have had a material impact on the value of our cash equivalents, term deposits or result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Certain of our operations are conducted in foreign currencies. While we have generated substantially all of our revenue from billers in the United States, we have foreign currency risks related to revenue denominated in other currencies, such as the Canadian dollar. In addition, we have significant operations outside of the U.S., particularly in Canada and India, where expenses are denominated in the local currency. Decreases in the relative value of the U.S. dollar to other currencies may negatively affect revenue and other operating results as expressed in U.S. dollars. We have not engaged in the hedging of foreign currency transactions, although we may do so in the future. As of December 31, 2025, we do not believe that a hypothetical 10% increase or decrease in the relative value of the U.S. dollar to other applicable currencies would have a material effect on operating results.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2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w:t>
            </w:r>
          </w:p>
        </w:tc>
        <w:tc>
          <w:tcPr>
            <w:tcW w:w="1220" w:type="dxa"/>
            <w:vAlign w:val="bottom"/>
          </w:tcPr>
          <w:p>
            <w:pPr>
              <w:spacing w:after="0"/>
              <w:rPr>
                <w:sz w:val="17"/>
                <w:szCs w:val="17"/>
                <w:color w:val="auto"/>
              </w:rPr>
            </w:pPr>
          </w:p>
        </w:tc>
      </w:tr>
      <w:tr>
        <w:trPr>
          <w:trHeight w:val="343"/>
        </w:trPr>
        <w:tc>
          <w:tcPr>
            <w:tcW w:w="2420" w:type="dxa"/>
            <w:vAlign w:val="bottom"/>
            <w:tcBorders>
              <w:top w:val="single" w:sz="8" w:color="auto"/>
            </w:tcBorders>
          </w:tcPr>
          <w:p>
            <w:pPr>
              <w:spacing w:after="0"/>
              <w:rPr>
                <w:sz w:val="24"/>
                <w:szCs w:val="24"/>
                <w:color w:val="auto"/>
              </w:rPr>
            </w:pPr>
          </w:p>
        </w:tc>
        <w:tc>
          <w:tcPr>
            <w:tcW w:w="7600" w:type="dxa"/>
            <w:vAlign w:val="bottom"/>
            <w:gridSpan w:val="7"/>
          </w:tcPr>
          <w:p>
            <w:pPr>
              <w:jc w:val="center"/>
              <w:ind w:right="1240"/>
              <w:spacing w:after="0"/>
              <w:rPr>
                <w:sz w:val="20"/>
                <w:szCs w:val="20"/>
                <w:color w:val="auto"/>
              </w:rPr>
            </w:pPr>
            <w:r>
              <w:rPr>
                <w:rFonts w:ascii="Arial" w:cs="Arial" w:eastAsia="Arial" w:hAnsi="Arial"/>
                <w:sz w:val="18"/>
                <w:szCs w:val="18"/>
                <w:b w:val="1"/>
                <w:bCs w:val="1"/>
                <w:color w:val="auto"/>
              </w:rPr>
              <w:t>INDEX TO CONSOLIDATED FINANCIAL STATEMENTS</w:t>
            </w:r>
          </w:p>
        </w:tc>
        <w:tc>
          <w:tcPr>
            <w:tcW w:w="1220" w:type="dxa"/>
            <w:vAlign w:val="bottom"/>
          </w:tcPr>
          <w:p>
            <w:pPr>
              <w:spacing w:after="0"/>
              <w:rPr>
                <w:sz w:val="24"/>
                <w:szCs w:val="24"/>
                <w:color w:val="auto"/>
              </w:rPr>
            </w:pPr>
          </w:p>
        </w:tc>
      </w:tr>
      <w:tr>
        <w:trPr>
          <w:trHeight w:val="258"/>
        </w:trPr>
        <w:tc>
          <w:tcPr>
            <w:tcW w:w="10020" w:type="dxa"/>
            <w:vAlign w:val="bottom"/>
            <w:gridSpan w:val="8"/>
          </w:tcPr>
          <w:p>
            <w:pPr>
              <w:spacing w:after="0"/>
              <w:rPr>
                <w:sz w:val="20"/>
                <w:szCs w:val="20"/>
                <w:color w:val="auto"/>
              </w:rPr>
            </w:pPr>
            <w:r>
              <w:rPr>
                <w:rFonts w:ascii="Arial" w:cs="Arial" w:eastAsia="Arial" w:hAnsi="Arial"/>
                <w:sz w:val="18"/>
                <w:szCs w:val="18"/>
                <w:color w:val="0000FF"/>
              </w:rPr>
              <w:t>Report of Independent Registered Public Accounting Firm (PCAOB ID 238)</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83"/>
        </w:trPr>
        <w:tc>
          <w:tcPr>
            <w:tcW w:w="524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Consolidated Balance Sheets as of December 31, 2025 and 2024</w:t>
            </w:r>
          </w:p>
        </w:tc>
        <w:tc>
          <w:tcPr>
            <w:tcW w:w="20" w:type="dxa"/>
            <w:vAlign w:val="bottom"/>
            <w:tcBorders>
              <w:top w:val="single" w:sz="8" w:color="0000FF"/>
              <w:bottom w:val="single" w:sz="8" w:color="0000EE"/>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183"/>
        </w:trPr>
        <w:tc>
          <w:tcPr>
            <w:tcW w:w="10020" w:type="dxa"/>
            <w:vAlign w:val="bottom"/>
            <w:tcBorders>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9"/>
              </w:rPr>
              <w:t>Consolidated Statements of Operations and Comprehensive Income for the Years ended December 31, 2025, 2024 and 2023</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r>
      <w:tr>
        <w:trPr>
          <w:trHeight w:val="183"/>
        </w:trPr>
        <w:tc>
          <w:tcPr>
            <w:tcW w:w="10020" w:type="dxa"/>
            <w:vAlign w:val="bottom"/>
            <w:gridSpan w:val="8"/>
          </w:tcPr>
          <w:p>
            <w:pPr>
              <w:spacing w:after="0" w:line="182" w:lineRule="exact"/>
              <w:rPr>
                <w:sz w:val="20"/>
                <w:szCs w:val="20"/>
                <w:color w:val="auto"/>
              </w:rPr>
            </w:pPr>
            <w:r>
              <w:rPr>
                <w:rFonts w:ascii="Arial" w:cs="Arial" w:eastAsia="Arial" w:hAnsi="Arial"/>
                <w:sz w:val="18"/>
                <w:szCs w:val="18"/>
                <w:color w:val="0000FF"/>
              </w:rPr>
              <w:t>Consolidated Statements of Stockholders’ Equity for the Years ended December 31, 2025, 2024 and 2023</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183"/>
        </w:trPr>
        <w:tc>
          <w:tcPr>
            <w:tcW w:w="84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Consolidated Statements of Cash Flows for the Years ended December 31, 2025, 2024 and 2023</w:t>
            </w:r>
          </w:p>
        </w:tc>
        <w:tc>
          <w:tcPr>
            <w:tcW w:w="156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183"/>
        </w:trPr>
        <w:tc>
          <w:tcPr>
            <w:tcW w:w="776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Notes to the Consolidated Financial Statements</w:t>
            </w:r>
          </w:p>
        </w:tc>
        <w:tc>
          <w:tcPr>
            <w:tcW w:w="2260" w:type="dxa"/>
            <w:vAlign w:val="bottom"/>
            <w:gridSpan w:val="2"/>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430"/>
        </w:trPr>
        <w:tc>
          <w:tcPr>
            <w:tcW w:w="3800" w:type="dxa"/>
            <w:vAlign w:val="bottom"/>
            <w:tcBorders>
              <w:top w:val="single" w:sz="8" w:color="0000FF"/>
            </w:tcBorders>
            <w:gridSpan w:val="2"/>
          </w:tcPr>
          <w:p>
            <w:pPr>
              <w:spacing w:after="0"/>
              <w:rPr>
                <w:sz w:val="24"/>
                <w:szCs w:val="24"/>
                <w:color w:val="auto"/>
              </w:rPr>
            </w:pPr>
          </w:p>
        </w:tc>
        <w:tc>
          <w:tcPr>
            <w:tcW w:w="2180" w:type="dxa"/>
            <w:vAlign w:val="bottom"/>
            <w:gridSpan w:val="3"/>
          </w:tcPr>
          <w:p>
            <w:pPr>
              <w:jc w:val="right"/>
              <w:ind w:right="260"/>
              <w:spacing w:after="0"/>
              <w:rPr>
                <w:sz w:val="20"/>
                <w:szCs w:val="20"/>
                <w:color w:val="auto"/>
              </w:rPr>
            </w:pPr>
            <w:r>
              <w:rPr>
                <w:rFonts w:ascii="Arial" w:cs="Arial" w:eastAsia="Arial" w:hAnsi="Arial"/>
                <w:sz w:val="18"/>
                <w:szCs w:val="18"/>
                <w:color w:val="auto"/>
              </w:rPr>
              <w:t>60</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45"/>
        </w:trPr>
        <w:tc>
          <w:tcPr>
            <w:tcW w:w="24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-1414145</wp:posOffset>
            </wp:positionV>
            <wp:extent cx="317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Paymentus Holdings,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have audited the accompanying consolidated balance sheets of Paymentus Holdings, Inc. and its subsidiaries (the “Company”) as of December 31, 2025 and 2024, and the related consolidated statements of operations and comprehensive income,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Payment Transaction Processing Revenue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described in Notes 2 and 3 to the consolidated financial statements, the Company generates revenue primarily from payment transaction fees processed through the Company’s platform. The fees are generated as a percentage of transaction value or a specified fee per transaction. The payment transaction fees are received directly (i) from billers, who absorb the cost, or from customers in the form of a convenience-type fee, or (ii) from financial institutions. Transaction fees are collected for each completed transaction processed through the platform. The Company’s payment transaction processing revenue was $1,187 million for the year-ended December 31, 2025.</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principal consideration for our determination that performing procedures relating to payment transaction processing revenue recognition is a critical audit matter is a high degree of auditor effort in performing procedures related to the Company’s revenue recognition.</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recognition of payment transaction processing revenue. These procedures also included, among others,</w:t>
      </w:r>
    </w:p>
    <w:p>
      <w:pPr>
        <w:spacing w:after="0" w:line="2" w:lineRule="exact"/>
        <w:rPr>
          <w:sz w:val="20"/>
          <w:szCs w:val="20"/>
          <w:color w:val="auto"/>
        </w:rPr>
      </w:pPr>
    </w:p>
    <w:p>
      <w:pPr>
        <w:jc w:val="both"/>
        <w:ind w:firstLine="8"/>
        <w:spacing w:after="0" w:line="239" w:lineRule="auto"/>
        <w:tabs>
          <w:tab w:leader="none" w:pos="2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testing revenue recognized for a sample of revenue transactions by obtaining and inspecting source documents, such as contracts, invoices, third party transaction information, and cash receipts, (ii) testing a sample of credit memos by obtaining and inspecting source documents, which included support for the nature of the credit and amount, and (iii) confirming a sample of outstanding customer invoice balances as of December 31, 2025 and, for confirmations not returned, obtaining and inspecting source documents, such as contracts, invoices, third party transaction information, and subsequent cash receipts.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February 23,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63" w:name="page64"/>
    <w:bookmarkEnd w:id="63"/>
    <w:p>
      <w:pPr>
        <w:ind w:left="4340"/>
        <w:spacing w:after="0"/>
        <w:rPr>
          <w:sz w:val="20"/>
          <w:szCs w:val="20"/>
          <w:color w:val="auto"/>
        </w:rPr>
      </w:pPr>
      <w:r>
        <w:rPr>
          <w:rFonts w:ascii="Arial" w:cs="Arial" w:eastAsia="Arial" w:hAnsi="Arial"/>
          <w:sz w:val="18"/>
          <w:szCs w:val="18"/>
          <w:color w:val="auto"/>
        </w:rPr>
        <w:t>PAYMENTUS HOLDINGS,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CONSOLIDATED BALANCE SHEETS</w:t>
      </w:r>
    </w:p>
    <w:tbl>
      <w:tblPr>
        <w:tblLayout w:type="fixed"/>
        <w:tblInd w:w="0" w:type="dxa"/>
        <w:tblCellMar>
          <w:top w:w="0" w:type="dxa"/>
          <w:left w:w="0" w:type="dxa"/>
          <w:bottom w:w="0" w:type="dxa"/>
          <w:right w:w="0" w:type="dxa"/>
        </w:tblCellMar>
      </w:tblPr>
      <w:tr>
        <w:trPr>
          <w:trHeight w:val="239"/>
        </w:trPr>
        <w:tc>
          <w:tcPr>
            <w:tcW w:w="7880" w:type="dxa"/>
            <w:vAlign w:val="bottom"/>
          </w:tcPr>
          <w:p>
            <w:pPr>
              <w:ind w:left="3700"/>
              <w:spacing w:after="0"/>
              <w:rPr>
                <w:sz w:val="20"/>
                <w:szCs w:val="20"/>
                <w:color w:val="auto"/>
              </w:rPr>
            </w:pPr>
            <w:r>
              <w:rPr>
                <w:rFonts w:ascii="Arial" w:cs="Arial" w:eastAsia="Arial" w:hAnsi="Arial"/>
                <w:sz w:val="18"/>
                <w:szCs w:val="18"/>
                <w:color w:val="auto"/>
              </w:rPr>
              <w:t>(In thousands, except share and per share data)</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7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8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320,908</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205,900</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Restricted cash and cash equivalents</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3,630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3,511</w:t>
            </w:r>
          </w:p>
        </w:tc>
        <w:tc>
          <w:tcPr>
            <w:tcW w:w="100" w:type="dxa"/>
            <w:vAlign w:val="bottom"/>
          </w:tcPr>
          <w:p>
            <w:pPr>
              <w:spacing w:after="0"/>
              <w:rPr>
                <w:sz w:val="17"/>
                <w:szCs w:val="17"/>
                <w:color w:val="auto"/>
              </w:rPr>
            </w:pPr>
          </w:p>
        </w:tc>
      </w:tr>
      <w:tr>
        <w:trPr>
          <w:trHeight w:val="184"/>
        </w:trPr>
        <w:tc>
          <w:tcPr>
            <w:tcW w:w="788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Accounts and other receivables, net of allowance for expected credit losses of $452 and $257,</w:t>
            </w: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119,816</w:t>
            </w:r>
          </w:p>
        </w:tc>
        <w:tc>
          <w:tcPr>
            <w:tcW w:w="100" w:type="dxa"/>
            <w:vAlign w:val="bottom"/>
            <w:shd w:val="clear" w:color="auto" w:fill="CFF0FC"/>
          </w:tcPr>
          <w:p>
            <w:pPr>
              <w:spacing w:after="0"/>
              <w:rPr>
                <w:sz w:val="19"/>
                <w:szCs w:val="19"/>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1,207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3,356</w:t>
            </w:r>
          </w:p>
        </w:tc>
        <w:tc>
          <w:tcPr>
            <w:tcW w:w="100" w:type="dxa"/>
            <w:vAlign w:val="bottom"/>
          </w:tcPr>
          <w:p>
            <w:pPr>
              <w:spacing w:after="0"/>
              <w:rPr>
                <w:sz w:val="17"/>
                <w:szCs w:val="17"/>
                <w:color w:val="auto"/>
              </w:rPr>
            </w:pPr>
          </w:p>
        </w:tc>
      </w:tr>
      <w:tr>
        <w:trPr>
          <w:trHeight w:val="203"/>
        </w:trPr>
        <w:tc>
          <w:tcPr>
            <w:tcW w:w="788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13,248</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80" w:type="dxa"/>
            <w:vAlign w:val="bottom"/>
          </w:tcPr>
          <w:p>
            <w:pPr>
              <w:ind w:left="42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441,331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345,641</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1,157</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Capitalized internal-use software development costs, net</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70,920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67,375</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11,987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19,076</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131,815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131,815</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7,801</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100" w:type="dxa"/>
            <w:vAlign w:val="bottom"/>
          </w:tcPr>
          <w:p>
            <w:pPr>
              <w:spacing w:after="0"/>
              <w:rPr>
                <w:sz w:val="17"/>
                <w:szCs w:val="17"/>
                <w:color w:val="auto"/>
              </w:rPr>
            </w:pPr>
          </w:p>
        </w:tc>
      </w:tr>
      <w:tr>
        <w:trPr>
          <w:trHeight w:val="203"/>
        </w:trPr>
        <w:tc>
          <w:tcPr>
            <w:tcW w:w="7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assets, less current portion</w:t>
            </w:r>
          </w:p>
        </w:tc>
        <w:tc>
          <w:tcPr>
            <w:tcW w:w="1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4,261</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80" w:type="dxa"/>
            <w:vAlign w:val="bottom"/>
          </w:tcPr>
          <w:p>
            <w:pPr>
              <w:ind w:left="42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667,885</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576,247</w:t>
            </w:r>
          </w:p>
        </w:tc>
        <w:tc>
          <w:tcPr>
            <w:tcW w:w="10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88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63,972</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49,871</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Accrued and other liabilities</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27,671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26,462</w:t>
            </w:r>
          </w:p>
        </w:tc>
        <w:tc>
          <w:tcPr>
            <w:tcW w:w="100" w:type="dxa"/>
            <w:vAlign w:val="bottom"/>
          </w:tcPr>
          <w:p>
            <w:pPr>
              <w:spacing w:after="0"/>
              <w:rPr>
                <w:sz w:val="17"/>
                <w:szCs w:val="17"/>
                <w:color w:val="auto"/>
              </w:rPr>
            </w:pPr>
          </w:p>
        </w:tc>
      </w:tr>
      <w:tr>
        <w:trPr>
          <w:trHeight w:val="202"/>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2,090</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3,496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r>
      <w:tr>
        <w:trPr>
          <w:trHeight w:val="203"/>
        </w:trPr>
        <w:tc>
          <w:tcPr>
            <w:tcW w:w="788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Income tax payable</w:t>
            </w:r>
          </w:p>
        </w:tc>
        <w:tc>
          <w:tcPr>
            <w:tcW w:w="1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1,416</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80" w:type="dxa"/>
            <w:vAlign w:val="bottom"/>
          </w:tcPr>
          <w:p>
            <w:pPr>
              <w:ind w:left="420"/>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98,849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81,550</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less current portion</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6,318</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Contract liabilities, less current portion</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3,404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2,783</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and other liabilities, less current portion</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880" w:type="dxa"/>
            <w:vAlign w:val="bottom"/>
            <w:tcBorders>
              <w:top w:val="single" w:sz="8" w:color="CFF0FC"/>
            </w:tcBorders>
          </w:tcPr>
          <w:p>
            <w:pPr>
              <w:ind w:left="42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107,496</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90,651</w:t>
            </w:r>
          </w:p>
        </w:tc>
        <w:tc>
          <w:tcPr>
            <w:tcW w:w="100" w:type="dxa"/>
            <w:vAlign w:val="bottom"/>
            <w:tcBorders>
              <w:top w:val="single" w:sz="8" w:color="CFF0FC"/>
            </w:tcBorders>
          </w:tcPr>
          <w:p>
            <w:pPr>
              <w:spacing w:after="0"/>
              <w:rPr>
                <w:sz w:val="17"/>
                <w:szCs w:val="17"/>
                <w:color w:val="auto"/>
              </w:rPr>
            </w:pPr>
          </w:p>
        </w:tc>
      </w:tr>
      <w:tr>
        <w:trPr>
          <w:trHeight w:val="196"/>
        </w:trPr>
        <w:tc>
          <w:tcPr>
            <w:tcW w:w="7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7880" w:type="dxa"/>
            <w:vAlign w:val="bottom"/>
          </w:tcPr>
          <w:p>
            <w:pPr>
              <w:ind w:left="220"/>
              <w:spacing w:after="0" w:line="183" w:lineRule="exact"/>
              <w:rPr>
                <w:sz w:val="20"/>
                <w:szCs w:val="20"/>
                <w:color w:val="auto"/>
              </w:rPr>
            </w:pPr>
            <w:r>
              <w:rPr>
                <w:rFonts w:ascii="Arial" w:cs="Arial" w:eastAsia="Arial" w:hAnsi="Arial"/>
                <w:sz w:val="18"/>
                <w:szCs w:val="18"/>
                <w:color w:val="auto"/>
              </w:rPr>
              <w:t>Class A common stock, $0.0001 par value per share, 883,950,000 shares authorized as of</w:t>
            </w: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December 31, 2025 and December 31, 2024; 62,459,587 and 32,136,989 shares issued and</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880" w:type="dxa"/>
            <w:vAlign w:val="bottom"/>
          </w:tcPr>
          <w:p>
            <w:pPr>
              <w:ind w:left="220"/>
              <w:spacing w:after="0"/>
              <w:rPr>
                <w:sz w:val="20"/>
                <w:szCs w:val="20"/>
                <w:color w:val="auto"/>
              </w:rPr>
            </w:pPr>
            <w:r>
              <w:rPr>
                <w:rFonts w:ascii="Arial" w:cs="Arial" w:eastAsia="Arial" w:hAnsi="Arial"/>
                <w:sz w:val="18"/>
                <w:szCs w:val="18"/>
                <w:color w:val="auto"/>
              </w:rPr>
              <w:t>outstanding as of December 31, 2025 and December 31, 2024, respectively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184"/>
        </w:trPr>
        <w:tc>
          <w:tcPr>
            <w:tcW w:w="788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Class B common stock, $0.0001 par value per share, 111,050,000 shares authorized as of</w:t>
            </w: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December 31, 2025 and December 31, 2024; 63,121,661 and 92,699,294 shares issued and</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outstanding as of December 31, 2025 and December 31, 2024, respectively</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397,954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389,904</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(427)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(233)</w:t>
            </w: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162,850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95,913</w:t>
            </w:r>
          </w:p>
        </w:tc>
        <w:tc>
          <w:tcPr>
            <w:tcW w:w="100" w:type="dxa"/>
            <w:vAlign w:val="bottom"/>
          </w:tcPr>
          <w:p>
            <w:pPr>
              <w:spacing w:after="0"/>
              <w:rPr>
                <w:sz w:val="17"/>
                <w:szCs w:val="17"/>
                <w:color w:val="auto"/>
              </w:rPr>
            </w:pPr>
          </w:p>
        </w:tc>
      </w:tr>
      <w:tr>
        <w:trPr>
          <w:trHeight w:val="196"/>
        </w:trPr>
        <w:tc>
          <w:tcPr>
            <w:tcW w:w="7880" w:type="dxa"/>
            <w:vAlign w:val="bottom"/>
            <w:tcBorders>
              <w:bottom w:val="single" w:sz="8" w:color="CFF0FC"/>
            </w:tcBorders>
            <w:shd w:val="clear" w:color="auto" w:fill="CFF0FC"/>
          </w:tcPr>
          <w:p>
            <w:pPr>
              <w:ind w:left="420"/>
              <w:spacing w:after="0" w:line="196"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560,389</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485,596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80" w:type="dxa"/>
            <w:vAlign w:val="bottom"/>
          </w:tcPr>
          <w:p>
            <w:pPr>
              <w:ind w:left="4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667,885</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576,247</w:t>
            </w:r>
          </w:p>
        </w:tc>
        <w:tc>
          <w:tcPr>
            <w:tcW w:w="10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-4354195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-3316605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-2253615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-1731010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-162560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6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1,196,507</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871,745</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614,490</w:t>
            </w:r>
          </w:p>
        </w:tc>
        <w:tc>
          <w:tcPr>
            <w:tcW w:w="100" w:type="dxa"/>
            <w:vAlign w:val="bottom"/>
            <w:shd w:val="clear" w:color="auto" w:fill="CFF0FC"/>
          </w:tcPr>
          <w:p>
            <w:pPr>
              <w:spacing w:after="0"/>
              <w:rPr>
                <w:sz w:val="17"/>
                <w:szCs w:val="17"/>
                <w:color w:val="auto"/>
              </w:rPr>
            </w:pPr>
          </w:p>
        </w:tc>
      </w:tr>
      <w:tr>
        <w:trPr>
          <w:trHeight w:val="203"/>
        </w:trPr>
        <w:tc>
          <w:tcPr>
            <w:tcW w:w="64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900,165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633,575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432,148</w:t>
            </w:r>
          </w:p>
        </w:tc>
        <w:tc>
          <w:tcPr>
            <w:tcW w:w="100" w:type="dxa"/>
            <w:vAlign w:val="bottom"/>
          </w:tcPr>
          <w:p>
            <w:pPr>
              <w:spacing w:after="0"/>
              <w:rPr>
                <w:sz w:val="17"/>
                <w:szCs w:val="17"/>
                <w:color w:val="auto"/>
              </w:rPr>
            </w:pPr>
          </w:p>
        </w:tc>
      </w:tr>
      <w:tr>
        <w:trPr>
          <w:trHeight w:val="196"/>
        </w:trPr>
        <w:tc>
          <w:tcPr>
            <w:tcW w:w="64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296,342</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238,170</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182,342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61,474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51,334</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44,248</w:t>
            </w:r>
          </w:p>
        </w:tc>
        <w:tc>
          <w:tcPr>
            <w:tcW w:w="100" w:type="dxa"/>
            <w:vAlign w:val="bottom"/>
            <w:shd w:val="clear" w:color="auto" w:fill="CFF0FC"/>
          </w:tcPr>
          <w:p>
            <w:pPr>
              <w:spacing w:after="0"/>
              <w:rPr>
                <w:sz w:val="17"/>
                <w:szCs w:val="17"/>
                <w:color w:val="auto"/>
              </w:rPr>
            </w:pPr>
          </w:p>
        </w:tc>
      </w:tr>
      <w:tr>
        <w:trPr>
          <w:trHeight w:val="203"/>
        </w:trPr>
        <w:tc>
          <w:tcPr>
            <w:tcW w:w="6420" w:type="dxa"/>
            <w:vAlign w:val="bottom"/>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111,928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105,052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83,996</w:t>
            </w:r>
          </w:p>
        </w:tc>
        <w:tc>
          <w:tcPr>
            <w:tcW w:w="100" w:type="dxa"/>
            <w:vAlign w:val="bottom"/>
          </w:tcPr>
          <w:p>
            <w:pPr>
              <w:spacing w:after="0"/>
              <w:rPr>
                <w:sz w:val="17"/>
                <w:szCs w:val="17"/>
                <w:color w:val="auto"/>
              </w:rPr>
            </w:pPr>
          </w:p>
        </w:tc>
      </w:tr>
      <w:tr>
        <w:trPr>
          <w:trHeight w:val="203"/>
        </w:trPr>
        <w:tc>
          <w:tcPr>
            <w:tcW w:w="64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47,400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36,927</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36,005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2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220,802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193,313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164,249</w:t>
            </w:r>
          </w:p>
        </w:tc>
        <w:tc>
          <w:tcPr>
            <w:tcW w:w="100" w:type="dxa"/>
            <w:vAlign w:val="bottom"/>
          </w:tcPr>
          <w:p>
            <w:pPr>
              <w:spacing w:after="0"/>
              <w:rPr>
                <w:sz w:val="17"/>
                <w:szCs w:val="17"/>
                <w:color w:val="auto"/>
              </w:rPr>
            </w:pPr>
          </w:p>
        </w:tc>
      </w:tr>
      <w:tr>
        <w:trPr>
          <w:trHeight w:val="196"/>
        </w:trPr>
        <w:tc>
          <w:tcPr>
            <w:tcW w:w="6420" w:type="dxa"/>
            <w:vAlign w:val="bottom"/>
            <w:tcBorders>
              <w:bottom w:val="single" w:sz="8" w:color="CFF0FC"/>
            </w:tcBorders>
            <w:shd w:val="clear" w:color="auto" w:fill="CFF0FC"/>
          </w:tcPr>
          <w:p>
            <w:pPr>
              <w:ind w:left="340"/>
              <w:spacing w:after="0" w:line="196" w:lineRule="exact"/>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75,540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44,857</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18,093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20" w:type="dxa"/>
            <w:vAlign w:val="bottom"/>
          </w:tcPr>
          <w:p>
            <w:pPr>
              <w:ind w:left="180"/>
              <w:spacing w:after="0" w:line="196"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9,506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8,742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7,019</w:t>
            </w:r>
          </w:p>
        </w:tc>
        <w:tc>
          <w:tcPr>
            <w:tcW w:w="100" w:type="dxa"/>
            <w:vAlign w:val="bottom"/>
          </w:tcPr>
          <w:p>
            <w:pPr>
              <w:spacing w:after="0"/>
              <w:rPr>
                <w:sz w:val="17"/>
                <w:szCs w:val="17"/>
                <w:color w:val="auto"/>
              </w:rPr>
            </w:pPr>
          </w:p>
        </w:tc>
      </w:tr>
      <w:tr>
        <w:trPr>
          <w:trHeight w:val="203"/>
        </w:trPr>
        <w:tc>
          <w:tcPr>
            <w:tcW w:w="64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20" w:type="dxa"/>
            <w:vAlign w:val="bottom"/>
          </w:tcPr>
          <w:p>
            <w:pPr>
              <w:ind w:left="340"/>
              <w:spacing w:after="0" w:line="196" w:lineRule="exact"/>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85,275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53,944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25,124</w:t>
            </w:r>
          </w:p>
        </w:tc>
        <w:tc>
          <w:tcPr>
            <w:tcW w:w="100" w:type="dxa"/>
            <w:vAlign w:val="bottom"/>
          </w:tcPr>
          <w:p>
            <w:pPr>
              <w:spacing w:after="0"/>
              <w:rPr>
                <w:sz w:val="17"/>
                <w:szCs w:val="17"/>
                <w:color w:val="auto"/>
              </w:rPr>
            </w:pPr>
          </w:p>
        </w:tc>
      </w:tr>
      <w:tr>
        <w:trPr>
          <w:trHeight w:val="203"/>
        </w:trPr>
        <w:tc>
          <w:tcPr>
            <w:tcW w:w="64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18,338</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9,775</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2,802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20" w:type="dxa"/>
            <w:vAlign w:val="bottom"/>
          </w:tcPr>
          <w:p>
            <w:pPr>
              <w:ind w:left="340"/>
              <w:spacing w:after="0" w:line="196" w:lineRule="exact"/>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66,937</w:t>
            </w:r>
          </w:p>
        </w:tc>
        <w:tc>
          <w:tcPr>
            <w:tcW w:w="1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44,169</w:t>
            </w:r>
          </w:p>
        </w:tc>
        <w:tc>
          <w:tcPr>
            <w:tcW w:w="12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22,322</w:t>
            </w:r>
          </w:p>
        </w:tc>
        <w:tc>
          <w:tcPr>
            <w:tcW w:w="100" w:type="dxa"/>
            <w:vAlign w:val="bottom"/>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420" w:type="dxa"/>
            <w:vAlign w:val="bottom"/>
            <w:shd w:val="clear" w:color="auto" w:fill="CFF0FC"/>
          </w:tcPr>
          <w:p>
            <w:pPr>
              <w:ind w:left="180"/>
              <w:spacing w:after="0" w:line="183" w:lineRule="exact"/>
              <w:rPr>
                <w:sz w:val="20"/>
                <w:szCs w:val="20"/>
                <w:color w:val="auto"/>
              </w:rPr>
            </w:pPr>
            <w:r>
              <w:rPr>
                <w:rFonts w:ascii="Arial" w:cs="Arial" w:eastAsia="Arial" w:hAnsi="Arial"/>
                <w:sz w:val="18"/>
                <w:szCs w:val="18"/>
                <w:color w:val="auto"/>
              </w:rPr>
              <w:t>Net income per share</w:t>
            </w: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420" w:type="dxa"/>
            <w:vAlign w:val="bottom"/>
          </w:tcPr>
          <w:p>
            <w:pPr>
              <w:ind w:left="340"/>
              <w:spacing w:after="0" w:line="202" w:lineRule="exact"/>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c>
          <w:tcPr>
            <w:tcW w:w="10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12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7"/>
                <w:szCs w:val="17"/>
                <w:color w:val="auto"/>
              </w:rPr>
            </w:pPr>
          </w:p>
        </w:tc>
      </w:tr>
      <w:tr>
        <w:trPr>
          <w:trHeight w:val="203"/>
        </w:trPr>
        <w:tc>
          <w:tcPr>
            <w:tcW w:w="642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Diluted</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0.52</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0.35</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17"/>
                <w:szCs w:val="17"/>
                <w:color w:val="auto"/>
              </w:rPr>
            </w:pPr>
          </w:p>
        </w:tc>
      </w:tr>
      <w:tr>
        <w:trPr>
          <w:trHeight w:val="203"/>
        </w:trPr>
        <w:tc>
          <w:tcPr>
            <w:tcW w:w="6420" w:type="dxa"/>
            <w:vAlign w:val="bottom"/>
          </w:tcPr>
          <w:p>
            <w:pPr>
              <w:ind w:left="180"/>
              <w:spacing w:after="0" w:line="202" w:lineRule="exact"/>
              <w:rPr>
                <w:sz w:val="20"/>
                <w:szCs w:val="20"/>
                <w:color w:val="auto"/>
              </w:rPr>
            </w:pPr>
            <w:r>
              <w:rPr>
                <w:rFonts w:ascii="Arial" w:cs="Arial" w:eastAsia="Arial" w:hAnsi="Arial"/>
                <w:sz w:val="18"/>
                <w:szCs w:val="18"/>
                <w:color w:val="auto"/>
              </w:rPr>
              <w:t>Weighted-average number of shares used to compute net income per share</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2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125,246,892</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124,372,031</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123,511,608</w:t>
            </w:r>
          </w:p>
        </w:tc>
        <w:tc>
          <w:tcPr>
            <w:tcW w:w="100" w:type="dxa"/>
            <w:vAlign w:val="bottom"/>
            <w:shd w:val="clear" w:color="auto" w:fill="CFF0FC"/>
          </w:tcPr>
          <w:p>
            <w:pPr>
              <w:spacing w:after="0"/>
              <w:rPr>
                <w:sz w:val="17"/>
                <w:szCs w:val="17"/>
                <w:color w:val="auto"/>
              </w:rPr>
            </w:pPr>
          </w:p>
        </w:tc>
      </w:tr>
      <w:tr>
        <w:trPr>
          <w:trHeight w:val="203"/>
        </w:trPr>
        <w:tc>
          <w:tcPr>
            <w:tcW w:w="6420" w:type="dxa"/>
            <w:vAlign w:val="bottom"/>
          </w:tcPr>
          <w:p>
            <w:pPr>
              <w:ind w:left="340"/>
              <w:spacing w:after="0" w:line="202" w:lineRule="exact"/>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129,113,684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127,714,622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125,071,829</w:t>
            </w:r>
          </w:p>
        </w:tc>
        <w:tc>
          <w:tcPr>
            <w:tcW w:w="100" w:type="dxa"/>
            <w:vAlign w:val="bottom"/>
          </w:tcPr>
          <w:p>
            <w:pPr>
              <w:spacing w:after="0"/>
              <w:rPr>
                <w:sz w:val="17"/>
                <w:szCs w:val="17"/>
                <w:color w:val="auto"/>
              </w:rPr>
            </w:pPr>
          </w:p>
        </w:tc>
      </w:tr>
      <w:tr>
        <w:trPr>
          <w:trHeight w:val="203"/>
        </w:trPr>
        <w:tc>
          <w:tcPr>
            <w:tcW w:w="64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Comprehensive income</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20" w:type="dxa"/>
            <w:vAlign w:val="bottom"/>
          </w:tcPr>
          <w:p>
            <w:pPr>
              <w:ind w:left="340"/>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66,937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44,169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22,322</w:t>
            </w:r>
          </w:p>
        </w:tc>
        <w:tc>
          <w:tcPr>
            <w:tcW w:w="100" w:type="dxa"/>
            <w:vAlign w:val="bottom"/>
          </w:tcPr>
          <w:p>
            <w:pPr>
              <w:spacing w:after="0"/>
              <w:rPr>
                <w:sz w:val="17"/>
                <w:szCs w:val="17"/>
                <w:color w:val="auto"/>
              </w:rPr>
            </w:pPr>
          </w:p>
        </w:tc>
      </w:tr>
      <w:tr>
        <w:trPr>
          <w:trHeight w:val="202"/>
        </w:trPr>
        <w:tc>
          <w:tcPr>
            <w:tcW w:w="642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Foreign currency translation adjustments, net of tax</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(194)</w:t>
            </w:r>
          </w:p>
        </w:tc>
        <w:tc>
          <w:tcPr>
            <w:tcW w:w="30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(320)</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7"/>
                <w:szCs w:val="17"/>
                <w:color w:val="auto"/>
              </w:rPr>
            </w:pPr>
          </w:p>
        </w:tc>
      </w:tr>
      <w:tr>
        <w:trPr>
          <w:trHeight w:val="20"/>
        </w:trPr>
        <w:tc>
          <w:tcPr>
            <w:tcW w:w="64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420" w:type="dxa"/>
            <w:vAlign w:val="bottom"/>
          </w:tcPr>
          <w:p>
            <w:pPr>
              <w:ind w:left="340"/>
              <w:spacing w:after="0" w:line="196" w:lineRule="exact"/>
              <w:rPr>
                <w:sz w:val="20"/>
                <w:szCs w:val="20"/>
                <w:color w:val="auto"/>
              </w:rPr>
            </w:pPr>
            <w:r>
              <w:rPr>
                <w:rFonts w:ascii="Arial" w:cs="Arial" w:eastAsia="Arial" w:hAnsi="Arial"/>
                <w:sz w:val="18"/>
                <w:szCs w:val="18"/>
                <w:color w:val="auto"/>
              </w:rPr>
              <w:t>Comprehensive income</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66,743</w:t>
            </w:r>
          </w:p>
        </w:tc>
        <w:tc>
          <w:tcPr>
            <w:tcW w:w="1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43,849</w:t>
            </w:r>
          </w:p>
        </w:tc>
        <w:tc>
          <w:tcPr>
            <w:tcW w:w="12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22,431</w:t>
            </w:r>
          </w:p>
        </w:tc>
        <w:tc>
          <w:tcPr>
            <w:tcW w:w="100" w:type="dxa"/>
            <w:vAlign w:val="bottom"/>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-2811145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-2811145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-2288540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-2288540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-2288540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-2013585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-2013585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-1748155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-1748155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-1482090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-1482090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-162560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Accumulated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w w:val="99"/>
              </w:rPr>
              <w:t>Additional</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7"/>
                <w:szCs w:val="17"/>
                <w:color w:val="auto"/>
              </w:rPr>
            </w:pPr>
          </w:p>
        </w:tc>
        <w:tc>
          <w:tcPr>
            <w:tcW w:w="10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Stockholder</w:t>
            </w:r>
          </w:p>
        </w:tc>
        <w:tc>
          <w:tcPr>
            <w:tcW w:w="0" w:type="dxa"/>
            <w:vAlign w:val="bottom"/>
          </w:tcPr>
          <w:p>
            <w:pPr>
              <w:spacing w:after="0"/>
              <w:rPr>
                <w:sz w:val="1"/>
                <w:szCs w:val="1"/>
                <w:color w:val="auto"/>
              </w:rPr>
            </w:pPr>
          </w:p>
        </w:tc>
      </w:tr>
      <w:tr>
        <w:trPr>
          <w:trHeight w:val="208"/>
        </w:trPr>
        <w:tc>
          <w:tcPr>
            <w:tcW w:w="418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080" w:type="dxa"/>
            <w:vAlign w:val="bottom"/>
            <w:gridSpan w:val="2"/>
          </w:tcPr>
          <w:p>
            <w:pPr>
              <w:jc w:val="right"/>
              <w:ind w:right="300"/>
              <w:spacing w:after="0" w:line="196" w:lineRule="exact"/>
              <w:rPr>
                <w:sz w:val="20"/>
                <w:szCs w:val="20"/>
                <w:color w:val="auto"/>
              </w:rPr>
            </w:pPr>
            <w:r>
              <w:rPr>
                <w:rFonts w:ascii="Arial" w:cs="Arial" w:eastAsia="Arial" w:hAnsi="Arial"/>
                <w:sz w:val="18"/>
                <w:szCs w:val="18"/>
                <w:b w:val="1"/>
                <w:bCs w:val="1"/>
                <w:color w:val="auto"/>
              </w:rPr>
              <w:t>Shares</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80"/>
              <w:spacing w:after="0" w:line="196" w:lineRule="exact"/>
              <w:rPr>
                <w:sz w:val="20"/>
                <w:szCs w:val="20"/>
                <w:color w:val="auto"/>
              </w:rPr>
            </w:pPr>
            <w:r>
              <w:rPr>
                <w:rFonts w:ascii="Arial" w:cs="Arial" w:eastAsia="Arial" w:hAnsi="Arial"/>
                <w:sz w:val="18"/>
                <w:szCs w:val="18"/>
                <w:b w:val="1"/>
                <w:bCs w:val="1"/>
                <w:color w:val="auto"/>
              </w:rPr>
              <w:t>Capital</w:t>
            </w: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40"/>
              <w:spacing w:after="0" w:line="196" w:lineRule="exact"/>
              <w:rPr>
                <w:sz w:val="20"/>
                <w:szCs w:val="20"/>
                <w:color w:val="auto"/>
              </w:rPr>
            </w:pPr>
            <w:r>
              <w:rPr>
                <w:rFonts w:ascii="Arial" w:cs="Arial" w:eastAsia="Arial" w:hAnsi="Arial"/>
                <w:sz w:val="18"/>
                <w:szCs w:val="18"/>
                <w:b w:val="1"/>
                <w:bCs w:val="1"/>
                <w:color w:val="auto"/>
                <w:w w:val="99"/>
              </w:rPr>
              <w:t>(loss) income</w:t>
            </w:r>
          </w:p>
        </w:tc>
        <w:tc>
          <w:tcPr>
            <w:tcW w:w="180" w:type="dxa"/>
            <w:vAlign w:val="bottom"/>
          </w:tcPr>
          <w:p>
            <w:pPr>
              <w:spacing w:after="0"/>
              <w:rPr>
                <w:sz w:val="17"/>
                <w:szCs w:val="17"/>
                <w:color w:val="auto"/>
              </w:rPr>
            </w:pPr>
          </w:p>
        </w:tc>
        <w:tc>
          <w:tcPr>
            <w:tcW w:w="1040" w:type="dxa"/>
            <w:vAlign w:val="bottom"/>
            <w:gridSpan w:val="2"/>
          </w:tcPr>
          <w:p>
            <w:pPr>
              <w:jc w:val="center"/>
              <w:ind w:right="32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77"/>
        </w:trPr>
        <w:tc>
          <w:tcPr>
            <w:tcW w:w="418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December 31, 2022</w:t>
            </w:r>
          </w:p>
        </w:tc>
        <w:tc>
          <w:tcPr>
            <w:tcW w:w="98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123,241,1</w:t>
            </w:r>
          </w:p>
        </w:tc>
        <w:tc>
          <w:tcPr>
            <w:tcW w:w="100" w:type="dxa"/>
            <w:vAlign w:val="bottom"/>
            <w:tcBorders>
              <w:right w:val="single" w:sz="8" w:color="CFF0FC"/>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367,767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29,422</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9,390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9,390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98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180,576</w:t>
            </w:r>
          </w:p>
        </w:tc>
        <w:tc>
          <w:tcPr>
            <w:tcW w:w="10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8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vesting of</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80" w:type="dxa"/>
            <w:vAlign w:val="bottom"/>
          </w:tcPr>
          <w:p>
            <w:pPr>
              <w:jc w:val="right"/>
              <w:spacing w:after="0"/>
              <w:rPr>
                <w:sz w:val="20"/>
                <w:szCs w:val="20"/>
                <w:color w:val="auto"/>
              </w:rPr>
            </w:pPr>
            <w:r>
              <w:rPr>
                <w:rFonts w:ascii="Arial" w:cs="Arial" w:eastAsia="Arial" w:hAnsi="Arial"/>
                <w:sz w:val="18"/>
                <w:szCs w:val="18"/>
                <w:color w:val="auto"/>
              </w:rPr>
              <w:t>399,362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w:t>
            </w:r>
          </w:p>
        </w:tc>
        <w:tc>
          <w:tcPr>
            <w:tcW w:w="1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22,322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22,322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18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December 31, 2023</w:t>
            </w:r>
          </w:p>
        </w:tc>
        <w:tc>
          <w:tcPr>
            <w:tcW w:w="98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123,821,1</w:t>
            </w:r>
          </w:p>
        </w:tc>
        <w:tc>
          <w:tcPr>
            <w:tcW w:w="100" w:type="dxa"/>
            <w:vAlign w:val="bottom"/>
            <w:tcBorders>
              <w:right w:val="single" w:sz="8" w:color="CFF0FC"/>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CFF0FC"/>
            </w:tcBorders>
            <w:shd w:val="clear" w:color="auto" w:fill="CFF0FC"/>
          </w:tcPr>
          <w:p>
            <w:pPr>
              <w:spacing w:after="0"/>
              <w:rPr>
                <w:sz w:val="22"/>
                <w:szCs w:val="22"/>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377,773</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51,744</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429,616</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1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Change in estimate of warrants expected to vest</w:t>
            </w:r>
          </w:p>
        </w:tc>
        <w:tc>
          <w:tcPr>
            <w:tcW w:w="9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803</w:t>
            </w: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803</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108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10,990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10,990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8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8"/>
                <w:szCs w:val="18"/>
                <w:color w:val="auto"/>
              </w:rPr>
              <w:t>of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314,143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vesting of</w:t>
            </w:r>
          </w:p>
        </w:tc>
        <w:tc>
          <w:tcPr>
            <w:tcW w:w="98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701,029</w:t>
            </w:r>
          </w:p>
        </w:tc>
        <w:tc>
          <w:tcPr>
            <w:tcW w:w="10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(320)</w:t>
            </w:r>
          </w:p>
        </w:tc>
        <w:tc>
          <w:tcPr>
            <w:tcW w:w="18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44,169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44,169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180" w:type="dxa"/>
            <w:vAlign w:val="bottom"/>
            <w:tcBorders>
              <w:top w:val="single" w:sz="8" w:color="CFF0FC"/>
            </w:tcBorders>
          </w:tcPr>
          <w:p>
            <w:pPr>
              <w:spacing w:after="0" w:line="177" w:lineRule="exact"/>
              <w:rPr>
                <w:sz w:val="20"/>
                <w:szCs w:val="20"/>
                <w:color w:val="auto"/>
              </w:rPr>
            </w:pPr>
            <w:r>
              <w:rPr>
                <w:rFonts w:ascii="Arial" w:cs="Arial" w:eastAsia="Arial" w:hAnsi="Arial"/>
                <w:sz w:val="18"/>
                <w:szCs w:val="18"/>
                <w:b w:val="1"/>
                <w:bCs w:val="1"/>
                <w:color w:val="auto"/>
              </w:rPr>
              <w:t>Balances at December 31, 2024</w:t>
            </w:r>
          </w:p>
        </w:tc>
        <w:tc>
          <w:tcPr>
            <w:tcW w:w="9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124,836,2</w:t>
            </w:r>
          </w:p>
        </w:tc>
        <w:tc>
          <w:tcPr>
            <w:tcW w:w="100" w:type="dxa"/>
            <w:vAlign w:val="bottom"/>
            <w:tcBorders>
              <w:top w:val="single" w:sz="8" w:color="CFF0FC"/>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389,904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95,913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485,596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Stock-based compensation</w:t>
            </w:r>
          </w:p>
        </w:tc>
        <w:tc>
          <w:tcPr>
            <w:tcW w:w="1080" w:type="dxa"/>
            <w:vAlign w:val="bottom"/>
            <w:tcBorders>
              <w:right w:val="single" w:sz="8" w:color="CFF0FC"/>
            </w:tcBorders>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18,627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18,627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8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8"/>
                <w:szCs w:val="18"/>
                <w:color w:val="auto"/>
              </w:rPr>
              <w:t>of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82,476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vesting of</w:t>
            </w:r>
          </w:p>
        </w:tc>
        <w:tc>
          <w:tcPr>
            <w:tcW w:w="98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969,345</w:t>
            </w:r>
          </w:p>
        </w:tc>
        <w:tc>
          <w:tcPr>
            <w:tcW w:w="10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4180" w:type="dxa"/>
            <w:vAlign w:val="bottom"/>
          </w:tcPr>
          <w:p>
            <w:pPr>
              <w:spacing w:after="0" w:line="183" w:lineRule="exact"/>
              <w:rPr>
                <w:sz w:val="20"/>
                <w:szCs w:val="20"/>
                <w:color w:val="auto"/>
              </w:rPr>
            </w:pPr>
            <w:r>
              <w:rPr>
                <w:rFonts w:ascii="Arial" w:cs="Arial" w:eastAsia="Arial" w:hAnsi="Arial"/>
                <w:sz w:val="18"/>
                <w:szCs w:val="18"/>
                <w:color w:val="auto"/>
              </w:rPr>
              <w:t>Shares withheld for the withholding tax on vesting of</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(306,856)</w:t>
            </w: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(10,739)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(10,739)</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(194)</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66,937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66,937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18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December 31, 2025</w:t>
            </w:r>
          </w:p>
        </w:tc>
        <w:tc>
          <w:tcPr>
            <w:tcW w:w="98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125,581,2</w:t>
            </w:r>
          </w:p>
        </w:tc>
        <w:tc>
          <w:tcPr>
            <w:tcW w:w="100" w:type="dxa"/>
            <w:vAlign w:val="bottom"/>
            <w:tcBorders>
              <w:right w:val="single" w:sz="8" w:color="CFF0FC"/>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right w:val="single" w:sz="8" w:color="CFF0FC"/>
            </w:tcBorders>
            <w:shd w:val="clear" w:color="auto" w:fill="CFF0FC"/>
          </w:tcPr>
          <w:p>
            <w:pPr>
              <w:spacing w:after="0"/>
              <w:rPr>
                <w:sz w:val="20"/>
                <w:szCs w:val="20"/>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397,954</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162,850</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560,389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-2794000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-2776855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-2794000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-2776855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-2794000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-2776855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-2794000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-2776855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-2794000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-2776855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-2794000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-2776855</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-1739265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-1739265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-1739265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-1739265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-1739265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-25400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-25400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6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9"/>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9"/>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r>
      <w:tr>
        <w:trPr>
          <w:trHeight w:val="183"/>
        </w:trPr>
        <w:tc>
          <w:tcPr>
            <w:tcW w:w="65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6500" w:type="dxa"/>
            <w:vAlign w:val="bottom"/>
          </w:tcPr>
          <w:p>
            <w:pPr>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66,937</w:t>
            </w: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44,169</w:t>
            </w:r>
          </w:p>
        </w:tc>
        <w:tc>
          <w:tcPr>
            <w:tcW w:w="10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22,322</w:t>
            </w:r>
          </w:p>
        </w:tc>
        <w:tc>
          <w:tcPr>
            <w:tcW w:w="120" w:type="dxa"/>
            <w:vAlign w:val="bottom"/>
          </w:tcPr>
          <w:p>
            <w:pPr>
              <w:spacing w:after="0"/>
              <w:rPr>
                <w:sz w:val="16"/>
                <w:szCs w:val="16"/>
                <w:color w:val="auto"/>
              </w:rPr>
            </w:pPr>
          </w:p>
        </w:tc>
      </w:tr>
      <w:tr>
        <w:trPr>
          <w:trHeight w:val="189"/>
        </w:trPr>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41,058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30,600</w:t>
            </w:r>
          </w:p>
        </w:tc>
        <w:tc>
          <w:tcPr>
            <w:tcW w:w="120" w:type="dxa"/>
            <w:vAlign w:val="bottom"/>
          </w:tcPr>
          <w:p>
            <w:pPr>
              <w:spacing w:after="0"/>
              <w:rPr>
                <w:sz w:val="16"/>
                <w:szCs w:val="16"/>
                <w:color w:val="auto"/>
              </w:rPr>
            </w:pPr>
          </w:p>
        </w:tc>
      </w:tr>
      <w:tr>
        <w:trPr>
          <w:trHeight w:val="189"/>
        </w:trPr>
        <w:tc>
          <w:tcPr>
            <w:tcW w:w="6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Deferred income taxes</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(1,348)</w:t>
            </w: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FF0FC"/>
          </w:tcPr>
          <w:p>
            <w:pPr>
              <w:spacing w:after="0"/>
              <w:rPr>
                <w:sz w:val="16"/>
                <w:szCs w:val="16"/>
                <w:color w:val="auto"/>
              </w:rPr>
            </w:pP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9,390</w:t>
            </w:r>
          </w:p>
        </w:tc>
        <w:tc>
          <w:tcPr>
            <w:tcW w:w="120" w:type="dxa"/>
            <w:vAlign w:val="bottom"/>
          </w:tcPr>
          <w:p>
            <w:pPr>
              <w:spacing w:after="0"/>
              <w:rPr>
                <w:sz w:val="16"/>
                <w:szCs w:val="16"/>
                <w:color w:val="auto"/>
              </w:rPr>
            </w:pPr>
          </w:p>
        </w:tc>
      </w:tr>
      <w:tr>
        <w:trPr>
          <w:trHeight w:val="189"/>
        </w:trPr>
        <w:tc>
          <w:tcPr>
            <w:tcW w:w="6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Amortization of capitalized warrants cost</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2,267</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2,006</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1,911</w:t>
            </w:r>
          </w:p>
        </w:tc>
        <w:tc>
          <w:tcPr>
            <w:tcW w:w="120" w:type="dxa"/>
            <w:vAlign w:val="bottom"/>
            <w:shd w:val="clear" w:color="auto" w:fill="CFF0FC"/>
          </w:tcPr>
          <w:p>
            <w:pPr>
              <w:spacing w:after="0"/>
              <w:rPr>
                <w:sz w:val="16"/>
                <w:szCs w:val="16"/>
                <w:color w:val="auto"/>
              </w:rPr>
            </w:pP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Non-cash lease expense</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1,789</w:t>
            </w:r>
          </w:p>
        </w:tc>
        <w:tc>
          <w:tcPr>
            <w:tcW w:w="120" w:type="dxa"/>
            <w:vAlign w:val="bottom"/>
          </w:tcPr>
          <w:p>
            <w:pPr>
              <w:spacing w:after="0"/>
              <w:rPr>
                <w:sz w:val="16"/>
                <w:szCs w:val="16"/>
                <w:color w:val="auto"/>
              </w:rPr>
            </w:pPr>
          </w:p>
        </w:tc>
      </w:tr>
      <w:tr>
        <w:trPr>
          <w:trHeight w:val="189"/>
        </w:trPr>
        <w:tc>
          <w:tcPr>
            <w:tcW w:w="6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Amortization of capitalized contract acquisition cost</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w:t>
            </w:r>
          </w:p>
        </w:tc>
        <w:tc>
          <w:tcPr>
            <w:tcW w:w="120" w:type="dxa"/>
            <w:vAlign w:val="bottom"/>
            <w:shd w:val="clear" w:color="auto" w:fill="CFF0FC"/>
          </w:tcPr>
          <w:p>
            <w:pPr>
              <w:spacing w:after="0"/>
              <w:rPr>
                <w:sz w:val="16"/>
                <w:szCs w:val="16"/>
                <w:color w:val="auto"/>
              </w:rPr>
            </w:pP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Provision for expected credit losses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6"/>
                <w:szCs w:val="16"/>
                <w:color w:val="auto"/>
              </w:rPr>
            </w:pPr>
          </w:p>
        </w:tc>
      </w:tr>
      <w:tr>
        <w:trPr>
          <w:trHeight w:val="189"/>
        </w:trPr>
        <w:tc>
          <w:tcPr>
            <w:tcW w:w="6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 non-cash adjustments</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(213)</w:t>
            </w:r>
          </w:p>
        </w:tc>
        <w:tc>
          <w:tcPr>
            <w:tcW w:w="3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and other receivables</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17,141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(43,618)</w:t>
            </w:r>
          </w:p>
        </w:tc>
        <w:tc>
          <w:tcPr>
            <w:tcW w:w="3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(8,674)</w:t>
            </w:r>
          </w:p>
        </w:tc>
      </w:tr>
      <w:tr>
        <w:trPr>
          <w:trHeight w:val="189"/>
        </w:trPr>
        <w:tc>
          <w:tcPr>
            <w:tcW w:w="6500" w:type="dxa"/>
            <w:vAlign w:val="bottom"/>
          </w:tcPr>
          <w:p>
            <w:pPr>
              <w:ind w:left="260"/>
              <w:spacing w:after="0"/>
              <w:rPr>
                <w:sz w:val="20"/>
                <w:szCs w:val="20"/>
                <w:color w:val="auto"/>
              </w:rPr>
            </w:pPr>
            <w:r>
              <w:rPr>
                <w:rFonts w:ascii="Arial" w:cs="Arial" w:eastAsia="Arial" w:hAnsi="Arial"/>
                <w:sz w:val="16"/>
                <w:szCs w:val="16"/>
                <w:color w:val="auto"/>
              </w:rPr>
              <w:t>Prepaid expenses and other assets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(6,420)</w:t>
            </w:r>
          </w:p>
        </w:tc>
        <w:tc>
          <w:tcPr>
            <w:tcW w:w="22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(3,417)</w:t>
            </w:r>
          </w:p>
        </w:tc>
        <w:tc>
          <w:tcPr>
            <w:tcW w:w="3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(1,184)</w:t>
            </w:r>
          </w:p>
        </w:tc>
      </w:tr>
      <w:tr>
        <w:trPr>
          <w:trHeight w:val="189"/>
        </w:trPr>
        <w:tc>
          <w:tcPr>
            <w:tcW w:w="6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6,017</w:t>
            </w:r>
          </w:p>
        </w:tc>
        <w:tc>
          <w:tcPr>
            <w:tcW w:w="120" w:type="dxa"/>
            <w:vAlign w:val="bottom"/>
            <w:shd w:val="clear" w:color="auto" w:fill="CFF0FC"/>
          </w:tcPr>
          <w:p>
            <w:pPr>
              <w:spacing w:after="0"/>
              <w:rPr>
                <w:sz w:val="16"/>
                <w:szCs w:val="16"/>
                <w:color w:val="auto"/>
              </w:rPr>
            </w:pPr>
          </w:p>
        </w:tc>
      </w:tr>
      <w:tr>
        <w:trPr>
          <w:trHeight w:val="189"/>
        </w:trPr>
        <w:tc>
          <w:tcPr>
            <w:tcW w:w="6500" w:type="dxa"/>
            <w:vAlign w:val="bottom"/>
          </w:tcPr>
          <w:p>
            <w:pPr>
              <w:ind w:left="260"/>
              <w:spacing w:after="0"/>
              <w:rPr>
                <w:sz w:val="20"/>
                <w:szCs w:val="20"/>
                <w:color w:val="auto"/>
              </w:rPr>
            </w:pPr>
            <w:r>
              <w:rPr>
                <w:rFonts w:ascii="Arial" w:cs="Arial" w:eastAsia="Arial" w:hAnsi="Arial"/>
                <w:sz w:val="16"/>
                <w:szCs w:val="16"/>
                <w:color w:val="auto"/>
              </w:rPr>
              <w:t>Accrued and other liabilities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6,288</w:t>
            </w:r>
          </w:p>
        </w:tc>
        <w:tc>
          <w:tcPr>
            <w:tcW w:w="120" w:type="dxa"/>
            <w:vAlign w:val="bottom"/>
          </w:tcPr>
          <w:p>
            <w:pPr>
              <w:spacing w:after="0"/>
              <w:rPr>
                <w:sz w:val="16"/>
                <w:szCs w:val="16"/>
                <w:color w:val="auto"/>
              </w:rPr>
            </w:pPr>
          </w:p>
        </w:tc>
      </w:tr>
      <w:tr>
        <w:trPr>
          <w:trHeight w:val="189"/>
        </w:trPr>
        <w:tc>
          <w:tcPr>
            <w:tcW w:w="6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(2,494)</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(2,253)</w:t>
            </w:r>
          </w:p>
        </w:tc>
        <w:tc>
          <w:tcPr>
            <w:tcW w:w="3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(1,817)</w:t>
            </w:r>
          </w:p>
        </w:tc>
      </w:tr>
      <w:tr>
        <w:trPr>
          <w:trHeight w:val="189"/>
        </w:trPr>
        <w:tc>
          <w:tcPr>
            <w:tcW w:w="6500" w:type="dxa"/>
            <w:vAlign w:val="bottom"/>
          </w:tcPr>
          <w:p>
            <w:pPr>
              <w:ind w:left="260"/>
              <w:spacing w:after="0"/>
              <w:rPr>
                <w:sz w:val="20"/>
                <w:szCs w:val="20"/>
                <w:color w:val="auto"/>
              </w:rPr>
            </w:pPr>
            <w:r>
              <w:rPr>
                <w:rFonts w:ascii="Arial" w:cs="Arial" w:eastAsia="Arial" w:hAnsi="Arial"/>
                <w:sz w:val="16"/>
                <w:szCs w:val="16"/>
                <w:color w:val="auto"/>
              </w:rPr>
              <w:t>Contract liabilities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(1,097)</w:t>
            </w:r>
          </w:p>
        </w:tc>
        <w:tc>
          <w:tcPr>
            <w:tcW w:w="3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(361)</w:t>
            </w:r>
          </w:p>
        </w:tc>
      </w:tr>
      <w:tr>
        <w:trPr>
          <w:trHeight w:val="189"/>
        </w:trPr>
        <w:tc>
          <w:tcPr>
            <w:tcW w:w="6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receivable, net of payable</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3,382</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(3,259)</w:t>
            </w: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FF0FC"/>
          </w:tcPr>
          <w:p>
            <w:pPr>
              <w:spacing w:after="0"/>
              <w:rPr>
                <w:sz w:val="16"/>
                <w:szCs w:val="16"/>
                <w:color w:val="auto"/>
              </w:rPr>
            </w:pPr>
          </w:p>
        </w:tc>
      </w:tr>
      <w:tr>
        <w:trPr>
          <w:trHeight w:val="183"/>
        </w:trPr>
        <w:tc>
          <w:tcPr>
            <w:tcW w:w="6500" w:type="dxa"/>
            <w:vAlign w:val="bottom"/>
            <w:tcBorders>
              <w:top w:val="single" w:sz="8" w:color="CFF0FC"/>
            </w:tcBorders>
          </w:tcPr>
          <w:p>
            <w:pPr>
              <w:ind w:left="3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46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162,127</w:t>
            </w: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63,634</w:t>
            </w:r>
          </w:p>
        </w:tc>
        <w:tc>
          <w:tcPr>
            <w:tcW w:w="10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68,828</w:t>
            </w:r>
          </w:p>
        </w:tc>
        <w:tc>
          <w:tcPr>
            <w:tcW w:w="120" w:type="dxa"/>
            <w:vAlign w:val="bottom"/>
            <w:tcBorders>
              <w:top w:val="single" w:sz="8" w:color="CFF0FC"/>
            </w:tcBorders>
          </w:tcPr>
          <w:p>
            <w:pPr>
              <w:spacing w:after="0"/>
              <w:rPr>
                <w:sz w:val="15"/>
                <w:szCs w:val="15"/>
                <w:color w:val="auto"/>
              </w:rPr>
            </w:pPr>
          </w:p>
        </w:tc>
      </w:tr>
      <w:tr>
        <w:trPr>
          <w:trHeight w:val="183"/>
        </w:trPr>
        <w:tc>
          <w:tcPr>
            <w:tcW w:w="65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(361)</w:t>
            </w:r>
          </w:p>
        </w:tc>
        <w:tc>
          <w:tcPr>
            <w:tcW w:w="22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(457)</w:t>
            </w:r>
          </w:p>
        </w:tc>
        <w:tc>
          <w:tcPr>
            <w:tcW w:w="3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(600)</w:t>
            </w:r>
          </w:p>
        </w:tc>
      </w:tr>
      <w:tr>
        <w:trPr>
          <w:trHeight w:val="189"/>
        </w:trPr>
        <w:tc>
          <w:tcPr>
            <w:tcW w:w="6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Purchases of interest-bearing deposits</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(2,522)</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(3,691)</w:t>
            </w:r>
          </w:p>
        </w:tc>
        <w:tc>
          <w:tcPr>
            <w:tcW w:w="3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Proceeds from matured interest-bearing deposits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6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Capitalized internal-use software development costs</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(36,737)</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(36,119)</w:t>
            </w:r>
          </w:p>
        </w:tc>
        <w:tc>
          <w:tcPr>
            <w:tcW w:w="3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(33,699)</w:t>
            </w:r>
          </w:p>
        </w:tc>
      </w:tr>
      <w:tr>
        <w:trPr>
          <w:trHeight w:val="20"/>
        </w:trPr>
        <w:tc>
          <w:tcPr>
            <w:tcW w:w="65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6500" w:type="dxa"/>
            <w:vAlign w:val="bottom"/>
          </w:tcPr>
          <w:p>
            <w:pPr>
              <w:ind w:left="260"/>
              <w:spacing w:after="0" w:line="183" w:lineRule="exact"/>
              <w:rPr>
                <w:sz w:val="20"/>
                <w:szCs w:val="20"/>
                <w:color w:val="auto"/>
              </w:rPr>
            </w:pPr>
            <w:r>
              <w:rPr>
                <w:rFonts w:ascii="Arial" w:cs="Arial" w:eastAsia="Arial" w:hAnsi="Arial"/>
                <w:sz w:val="16"/>
                <w:szCs w:val="16"/>
                <w:color w:val="auto"/>
              </w:rPr>
              <w:t>Net cash used in investing activities</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(36,518)</w:t>
            </w:r>
          </w:p>
        </w:tc>
        <w:tc>
          <w:tcPr>
            <w:tcW w:w="220" w:type="dxa"/>
            <w:vAlign w:val="bottom"/>
          </w:tcPr>
          <w:p>
            <w:pPr>
              <w:spacing w:after="0"/>
              <w:rPr>
                <w:sz w:val="15"/>
                <w:szCs w:val="15"/>
                <w:color w:val="auto"/>
              </w:rPr>
            </w:pPr>
          </w:p>
        </w:tc>
        <w:tc>
          <w:tcPr>
            <w:tcW w:w="10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(36,761)</w:t>
            </w:r>
          </w:p>
        </w:tc>
        <w:tc>
          <w:tcPr>
            <w:tcW w:w="360" w:type="dxa"/>
            <w:vAlign w:val="bottom"/>
          </w:tcPr>
          <w:p>
            <w:pPr>
              <w:spacing w:after="0"/>
              <w:rPr>
                <w:sz w:val="15"/>
                <w:szCs w:val="15"/>
                <w:color w:val="auto"/>
              </w:rPr>
            </w:pP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(34,299)</w:t>
            </w:r>
          </w:p>
        </w:tc>
      </w:tr>
      <w:tr>
        <w:trPr>
          <w:trHeight w:val="183"/>
        </w:trPr>
        <w:tc>
          <w:tcPr>
            <w:tcW w:w="65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Proceeds from exercise of stock-based awards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6"/>
                <w:szCs w:val="16"/>
                <w:color w:val="auto"/>
              </w:rPr>
            </w:pPr>
          </w:p>
        </w:tc>
      </w:tr>
      <w:tr>
        <w:trPr>
          <w:trHeight w:val="189"/>
        </w:trPr>
        <w:tc>
          <w:tcPr>
            <w:tcW w:w="6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Payments of taxes withheld on net settled vesting of restricted stock units</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(10,739)</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Settlement of holdback liability related to prior acquisitions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(545)</w:t>
            </w:r>
          </w:p>
        </w:tc>
        <w:tc>
          <w:tcPr>
            <w:tcW w:w="3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6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Payments on other financing obligations</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(1,709)</w:t>
            </w: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Payments on finance leases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(102)</w:t>
            </w:r>
          </w:p>
        </w:tc>
      </w:tr>
      <w:tr>
        <w:trPr>
          <w:trHeight w:val="20"/>
        </w:trPr>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500" w:type="dxa"/>
            <w:vAlign w:val="bottom"/>
            <w:shd w:val="clear" w:color="auto" w:fill="CFF0FC"/>
          </w:tcPr>
          <w:p>
            <w:pPr>
              <w:ind w:left="260"/>
              <w:spacing w:after="0" w:line="183" w:lineRule="exact"/>
              <w:rPr>
                <w:sz w:val="20"/>
                <w:szCs w:val="20"/>
                <w:color w:val="auto"/>
              </w:rPr>
            </w:pPr>
            <w:r>
              <w:rPr>
                <w:rFonts w:ascii="Arial" w:cs="Arial" w:eastAsia="Arial" w:hAnsi="Arial"/>
                <w:sz w:val="16"/>
                <w:szCs w:val="16"/>
                <w:color w:val="auto"/>
              </w:rPr>
              <w:t>Net cash used in financing activities</w:t>
            </w: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(10,577)</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(207)</w:t>
            </w:r>
          </w:p>
        </w:tc>
        <w:tc>
          <w:tcPr>
            <w:tcW w:w="3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(1,195)</w:t>
            </w:r>
          </w:p>
        </w:tc>
      </w:tr>
      <w:tr>
        <w:trPr>
          <w:trHeight w:val="20"/>
        </w:trPr>
        <w:tc>
          <w:tcPr>
            <w:tcW w:w="65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6500" w:type="dxa"/>
            <w:vAlign w:val="bottom"/>
          </w:tcPr>
          <w:p>
            <w:pPr>
              <w:spacing w:after="0" w:line="183" w:lineRule="exact"/>
              <w:rPr>
                <w:sz w:val="20"/>
                <w:szCs w:val="20"/>
                <w:color w:val="auto"/>
              </w:rPr>
            </w:pPr>
            <w:r>
              <w:rPr>
                <w:rFonts w:ascii="Arial" w:cs="Arial" w:eastAsia="Arial" w:hAnsi="Arial"/>
                <w:sz w:val="16"/>
                <w:szCs w:val="16"/>
                <w:color w:val="auto"/>
              </w:rPr>
              <w:t>Effect of exchange rate changes on Cash and cash equivalents and Restricted cash</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(450)</w:t>
            </w:r>
          </w:p>
        </w:tc>
        <w:tc>
          <w:tcPr>
            <w:tcW w:w="3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176</w:t>
            </w:r>
          </w:p>
        </w:tc>
        <w:tc>
          <w:tcPr>
            <w:tcW w:w="120" w:type="dxa"/>
            <w:vAlign w:val="bottom"/>
          </w:tcPr>
          <w:p>
            <w:pPr>
              <w:spacing w:after="0"/>
              <w:rPr>
                <w:sz w:val="15"/>
                <w:szCs w:val="15"/>
                <w:color w:val="auto"/>
              </w:rPr>
            </w:pPr>
          </w:p>
        </w:tc>
      </w:tr>
      <w:tr>
        <w:trPr>
          <w:trHeight w:val="183"/>
        </w:trPr>
        <w:tc>
          <w:tcPr>
            <w:tcW w:w="6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increase in cash, cash equivalents and Restricted cash</w:t>
            </w:r>
          </w:p>
        </w:tc>
        <w:tc>
          <w:tcPr>
            <w:tcW w:w="46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115,127</w:t>
            </w: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26,216</w:t>
            </w:r>
          </w:p>
        </w:tc>
        <w:tc>
          <w:tcPr>
            <w:tcW w:w="10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33,510</w:t>
            </w:r>
          </w:p>
        </w:tc>
        <w:tc>
          <w:tcPr>
            <w:tcW w:w="120" w:type="dxa"/>
            <w:vAlign w:val="bottom"/>
            <w:shd w:val="clear" w:color="auto" w:fill="CFF0FC"/>
          </w:tcPr>
          <w:p>
            <w:pPr>
              <w:spacing w:after="0"/>
              <w:rPr>
                <w:sz w:val="15"/>
                <w:szCs w:val="15"/>
                <w:color w:val="auto"/>
              </w:rPr>
            </w:pPr>
          </w:p>
        </w:tc>
      </w:tr>
      <w:tr>
        <w:trPr>
          <w:trHeight w:val="189"/>
        </w:trPr>
        <w:tc>
          <w:tcPr>
            <w:tcW w:w="6500" w:type="dxa"/>
            <w:vAlign w:val="bottom"/>
          </w:tcPr>
          <w:p>
            <w:pPr>
              <w:spacing w:after="0"/>
              <w:rPr>
                <w:sz w:val="20"/>
                <w:szCs w:val="20"/>
                <w:color w:val="auto"/>
              </w:rPr>
            </w:pPr>
            <w:r>
              <w:rPr>
                <w:rFonts w:ascii="Arial" w:cs="Arial" w:eastAsia="Arial" w:hAnsi="Arial"/>
                <w:sz w:val="16"/>
                <w:szCs w:val="16"/>
                <w:color w:val="auto"/>
              </w:rPr>
              <w:t>Cash and cash equivalents and Restricted cash at the beginning of period</w:t>
            </w:r>
          </w:p>
        </w:tc>
        <w:tc>
          <w:tcPr>
            <w:tcW w:w="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209,411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183,195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149,685</w:t>
            </w:r>
          </w:p>
        </w:tc>
        <w:tc>
          <w:tcPr>
            <w:tcW w:w="120" w:type="dxa"/>
            <w:vAlign w:val="bottom"/>
          </w:tcPr>
          <w:p>
            <w:pPr>
              <w:spacing w:after="0"/>
              <w:rPr>
                <w:sz w:val="16"/>
                <w:szCs w:val="16"/>
                <w:color w:val="auto"/>
              </w:rPr>
            </w:pPr>
          </w:p>
        </w:tc>
      </w:tr>
      <w:tr>
        <w:trPr>
          <w:trHeight w:val="223"/>
        </w:trPr>
        <w:tc>
          <w:tcPr>
            <w:tcW w:w="65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and cash equivalents and Restricted cash at the end of period</w:t>
            </w:r>
          </w:p>
        </w:tc>
        <w:tc>
          <w:tcPr>
            <w:tcW w:w="7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324,538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209,411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183,195</w:t>
            </w:r>
          </w:p>
        </w:tc>
        <w:tc>
          <w:tcPr>
            <w:tcW w:w="120" w:type="dxa"/>
            <w:vAlign w:val="bottom"/>
            <w:shd w:val="clear" w:color="auto" w:fill="CFF0FC"/>
          </w:tcPr>
          <w:p>
            <w:pPr>
              <w:spacing w:after="0"/>
              <w:rPr>
                <w:sz w:val="19"/>
                <w:szCs w:val="19"/>
                <w:color w:val="auto"/>
              </w:rPr>
            </w:pPr>
          </w:p>
        </w:tc>
      </w:tr>
      <w:tr>
        <w:trPr>
          <w:trHeight w:val="169"/>
        </w:trPr>
        <w:tc>
          <w:tcPr>
            <w:tcW w:w="650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Reconciliation of Cash and cash equivalents and Restricted Cash:</w:t>
            </w:r>
          </w:p>
        </w:tc>
        <w:tc>
          <w:tcPr>
            <w:tcW w:w="46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r>
      <w:tr>
        <w:trPr>
          <w:trHeight w:val="189"/>
        </w:trPr>
        <w:tc>
          <w:tcPr>
            <w:tcW w:w="6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and cash equivalents at the beginning of period</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205,900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179,361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147,334</w:t>
            </w:r>
          </w:p>
        </w:tc>
        <w:tc>
          <w:tcPr>
            <w:tcW w:w="120" w:type="dxa"/>
            <w:vAlign w:val="bottom"/>
            <w:shd w:val="clear" w:color="auto" w:fill="CFF0FC"/>
          </w:tcPr>
          <w:p>
            <w:pPr>
              <w:spacing w:after="0"/>
              <w:rPr>
                <w:sz w:val="16"/>
                <w:szCs w:val="16"/>
                <w:color w:val="auto"/>
              </w:rPr>
            </w:pP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Restricted cash at the beginning of period</w:t>
            </w:r>
          </w:p>
        </w:tc>
        <w:tc>
          <w:tcPr>
            <w:tcW w:w="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w:t>
            </w:r>
          </w:p>
        </w:tc>
        <w:tc>
          <w:tcPr>
            <w:tcW w:w="120" w:type="dxa"/>
            <w:vAlign w:val="bottom"/>
          </w:tcPr>
          <w:p>
            <w:pPr>
              <w:spacing w:after="0"/>
              <w:rPr>
                <w:sz w:val="16"/>
                <w:szCs w:val="16"/>
                <w:color w:val="auto"/>
              </w:rPr>
            </w:pPr>
          </w:p>
        </w:tc>
      </w:tr>
      <w:tr>
        <w:trPr>
          <w:trHeight w:val="223"/>
        </w:trPr>
        <w:tc>
          <w:tcPr>
            <w:tcW w:w="6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and Restricted cash at the beginning of period</w:t>
            </w:r>
          </w:p>
        </w:tc>
        <w:tc>
          <w:tcPr>
            <w:tcW w:w="7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209,411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183,195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149,685</w:t>
            </w:r>
          </w:p>
        </w:tc>
        <w:tc>
          <w:tcPr>
            <w:tcW w:w="120" w:type="dxa"/>
            <w:vAlign w:val="bottom"/>
            <w:shd w:val="clear" w:color="auto" w:fill="CFF0FC"/>
          </w:tcPr>
          <w:p>
            <w:pPr>
              <w:spacing w:after="0"/>
              <w:rPr>
                <w:sz w:val="19"/>
                <w:szCs w:val="19"/>
                <w:color w:val="auto"/>
              </w:rPr>
            </w:pPr>
          </w:p>
        </w:tc>
      </w:tr>
      <w:tr>
        <w:trPr>
          <w:trHeight w:val="170"/>
        </w:trPr>
        <w:tc>
          <w:tcPr>
            <w:tcW w:w="6500" w:type="dxa"/>
            <w:vAlign w:val="bottom"/>
            <w:tcBorders>
              <w:top w:val="single" w:sz="8" w:color="CFF0FC"/>
            </w:tcBorders>
          </w:tcPr>
          <w:p>
            <w:pPr>
              <w:ind w:left="140"/>
              <w:spacing w:after="0" w:line="170" w:lineRule="exact"/>
              <w:rPr>
                <w:sz w:val="20"/>
                <w:szCs w:val="20"/>
                <w:color w:val="auto"/>
              </w:rPr>
            </w:pPr>
            <w:r>
              <w:rPr>
                <w:rFonts w:ascii="Arial" w:cs="Arial" w:eastAsia="Arial" w:hAnsi="Arial"/>
                <w:sz w:val="16"/>
                <w:szCs w:val="16"/>
                <w:color w:val="auto"/>
              </w:rPr>
              <w:t>Cash and cash equivalents at the end of period</w:t>
            </w:r>
          </w:p>
        </w:tc>
        <w:tc>
          <w:tcPr>
            <w:tcW w:w="46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320,908</w:t>
            </w: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205,900</w:t>
            </w:r>
          </w:p>
        </w:tc>
        <w:tc>
          <w:tcPr>
            <w:tcW w:w="10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179,361</w:t>
            </w:r>
          </w:p>
        </w:tc>
        <w:tc>
          <w:tcPr>
            <w:tcW w:w="120" w:type="dxa"/>
            <w:vAlign w:val="bottom"/>
            <w:tcBorders>
              <w:top w:val="single" w:sz="8" w:color="CFF0FC"/>
            </w:tcBorders>
          </w:tcPr>
          <w:p>
            <w:pPr>
              <w:spacing w:after="0"/>
              <w:rPr>
                <w:sz w:val="14"/>
                <w:szCs w:val="14"/>
                <w:color w:val="auto"/>
              </w:rPr>
            </w:pPr>
          </w:p>
        </w:tc>
      </w:tr>
      <w:tr>
        <w:trPr>
          <w:trHeight w:val="189"/>
        </w:trPr>
        <w:tc>
          <w:tcPr>
            <w:tcW w:w="65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Restricted cash at the end of period</w:t>
            </w:r>
          </w:p>
        </w:tc>
        <w:tc>
          <w:tcPr>
            <w:tcW w:w="4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3,630</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3,511</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3,834</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6500" w:type="dxa"/>
            <w:vAlign w:val="bottom"/>
          </w:tcPr>
          <w:p>
            <w:pPr>
              <w:spacing w:after="0" w:line="183" w:lineRule="exact"/>
              <w:rPr>
                <w:sz w:val="20"/>
                <w:szCs w:val="20"/>
                <w:color w:val="auto"/>
              </w:rPr>
            </w:pPr>
            <w:r>
              <w:rPr>
                <w:rFonts w:ascii="Arial" w:cs="Arial" w:eastAsia="Arial" w:hAnsi="Arial"/>
                <w:sz w:val="16"/>
                <w:szCs w:val="16"/>
                <w:color w:val="auto"/>
              </w:rPr>
              <w:t>Cash and cash equivalents and Restricted cash at the end of period</w:t>
            </w:r>
          </w:p>
        </w:tc>
        <w:tc>
          <w:tcPr>
            <w:tcW w:w="78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324,538</w:t>
            </w:r>
          </w:p>
        </w:tc>
        <w:tc>
          <w:tcPr>
            <w:tcW w:w="1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209,411</w:t>
            </w:r>
          </w:p>
        </w:tc>
        <w:tc>
          <w:tcPr>
            <w:tcW w:w="100" w:type="dxa"/>
            <w:vAlign w:val="bottom"/>
          </w:tcPr>
          <w:p>
            <w:pPr>
              <w:spacing w:after="0"/>
              <w:rPr>
                <w:sz w:val="15"/>
                <w:szCs w:val="15"/>
                <w:color w:val="auto"/>
              </w:rPr>
            </w:pPr>
          </w:p>
        </w:tc>
        <w:tc>
          <w:tcPr>
            <w:tcW w:w="360" w:type="dxa"/>
            <w:vAlign w:val="bottom"/>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183,195</w:t>
            </w:r>
          </w:p>
        </w:tc>
        <w:tc>
          <w:tcPr>
            <w:tcW w:w="120" w:type="dxa"/>
            <w:vAlign w:val="bottom"/>
          </w:tcPr>
          <w:p>
            <w:pPr>
              <w:spacing w:after="0"/>
              <w:rPr>
                <w:sz w:val="15"/>
                <w:szCs w:val="15"/>
                <w:color w:val="auto"/>
              </w:rPr>
            </w:pPr>
          </w:p>
        </w:tc>
      </w:tr>
      <w:tr>
        <w:trPr>
          <w:trHeight w:val="20"/>
        </w:trPr>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50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4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6500" w:type="dxa"/>
            <w:vAlign w:val="bottom"/>
          </w:tcPr>
          <w:p>
            <w:pPr>
              <w:ind w:left="140"/>
              <w:spacing w:after="0"/>
              <w:rPr>
                <w:sz w:val="20"/>
                <w:szCs w:val="20"/>
                <w:color w:val="auto"/>
              </w:rPr>
            </w:pPr>
            <w:r>
              <w:rPr>
                <w:rFonts w:ascii="Arial" w:cs="Arial" w:eastAsia="Arial" w:hAnsi="Arial"/>
                <w:sz w:val="16"/>
                <w:szCs w:val="16"/>
                <w:color w:val="auto"/>
              </w:rPr>
              <w:t>Cash paid for income taxes, net of refunds</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14,950</w:t>
            </w: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14,404</w:t>
            </w:r>
          </w:p>
        </w:tc>
        <w:tc>
          <w:tcPr>
            <w:tcW w:w="10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16"/>
                <w:szCs w:val="16"/>
                <w:color w:val="auto"/>
              </w:rPr>
            </w:pPr>
          </w:p>
        </w:tc>
      </w:tr>
      <w:tr>
        <w:trPr>
          <w:trHeight w:val="189"/>
        </w:trPr>
        <w:tc>
          <w:tcPr>
            <w:tcW w:w="6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financing activities:</w:t>
            </w: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5"/>
        </w:trPr>
        <w:tc>
          <w:tcPr>
            <w:tcW w:w="6500" w:type="dxa"/>
            <w:vAlign w:val="bottom"/>
          </w:tcPr>
          <w:p>
            <w:pPr>
              <w:ind w:left="140"/>
              <w:spacing w:after="0"/>
              <w:rPr>
                <w:sz w:val="20"/>
                <w:szCs w:val="20"/>
                <w:color w:val="auto"/>
              </w:rPr>
            </w:pPr>
            <w:r>
              <w:rPr>
                <w:rFonts w:ascii="Arial" w:cs="Arial" w:eastAsia="Arial" w:hAnsi="Arial"/>
                <w:sz w:val="16"/>
                <w:szCs w:val="16"/>
                <w:color w:val="auto"/>
              </w:rPr>
              <w:t>Issuance of warrant and change in estimate of warrants expected to vest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-3658870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-3658870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-3658870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-2921635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-2921635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-2921635</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-1936115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-1936115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-1936115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-1430020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-1412875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-1430020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-1412875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-1430020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-1412875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-915670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-898525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-915670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-898525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-915670</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-898525</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-650240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-650240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-650240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PAYMENTUS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primary office locations in Charlotte, North Carolina, Dallas, Texas, Santa Clara, California, Richmond Hill, Ontario (Canada), and Gurugram, Mohali and Bengaluru (India). The Company is headquartered in Charlotte, North Carolina.</w:t>
      </w:r>
    </w:p>
    <w:p>
      <w:pPr>
        <w:spacing w:after="0" w:line="185"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accompanying consolidated financial statements and related notes have been prepared in accordance with accounting principles generally accepted in the United States (GAAP).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accounts and balances have been eliminated upon consolidation.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Effective January 1, 2025, the Company changed its reporting segment structure to a single reporting segment, and the composition of the information package provided to the chief operating decision maker (CODM) was amended to deliver more focused and relevant data for decision-making. Previously, the Company identified three operating segments with one reportable segment. Following an internal assessment and a change in the manner in which financial results are provided to and reviewed by the CODM, the Company determined that it now operates and reports as a single operating and reportable segment. The determination was made based on the evaluation of factors, including resource allocation, management oversight, and the consolidated review of financial performance by the CODM. As a result, segment disclosures in the Company’s financial statements are updated to reflect the new reporting structure.</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Company’s CODM is its chief executive officer, and the CODM evaluates financial performance and makes resource allocation decisions based on consolidated financial information. The measure of segment profit or loss that the CODM uses to allocate resources and assess performance is the Company’s consolidated net income, as reported on the consolidated statements of operations and comprehensive income. The CODM uses consolidated net income to assess overall Company performance, monitor progress toward financial targets, and make strategic decisions regarding the allocation of resources across functions and initiatives.</w:t>
      </w:r>
    </w:p>
    <w:p>
      <w:pPr>
        <w:spacing w:after="0" w:line="6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accounting policies applied to the segments are the same as those described in the summary of significant accounting policies. All expense categories on the condensed consolidated statements of operations and comprehensive income are significant, and there are no other significant expenses that are reviewed or provided to the CODM, which would require disclosure.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Assets provided to the CODM are consistent with those reported on the consolidated balance sheets.</w:t>
      </w:r>
    </w:p>
    <w:p>
      <w:pPr>
        <w:spacing w:after="0" w:line="104"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Information related to the Company's products and services is disclosed in Note 1. Information about geographical distribution of the Company's revenue and long-lived assets is disclosed in Notes 3 and 4,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Such estimates include revenue recognition, cost of revenue recognition, the allowance for credit losses, the lives of tangible and intangible assets, and the recoverability or impairment of intangible assets, including goodwill, internal-use software development costs, valuation of stock warrants issued, stock-based compensation, and accounting for income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jc w:val="both"/>
        <w:ind w:right="20"/>
        <w:spacing w:after="0" w:line="271" w:lineRule="auto"/>
        <w:rPr>
          <w:sz w:val="20"/>
          <w:szCs w:val="20"/>
          <w:color w:val="auto"/>
        </w:rPr>
      </w:pPr>
      <w:r>
        <w:rPr>
          <w:rFonts w:ascii="Arial" w:cs="Arial" w:eastAsia="Arial" w:hAnsi="Arial"/>
          <w:sz w:val="18"/>
          <w:szCs w:val="18"/>
          <w:color w:val="auto"/>
        </w:rPr>
        <w:t>taxes. The Company bases its estimates on historical experience and also on assumptions that management considers reasonable. The Company assesses these estimates on a regular basis; however, actual results could differ from these estimates.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reporting currency of the Company is the U.S. Dollar. The Company’s foreign subsidiaries use the local currency of their respective countries as their functional currency. Assets and liabilities are translated using the exchange rates at the balance sheet date. Revenue and expenses are translated at average exchange rates during the period. Equity transactions are translated using historical exchange rates. The effects of foreign currency translation adjustments are recorded in accumulated other comprehensive income (AOCI) or as a component of stockholders' equity, and related periodic movements are summarized as a line item in the consolidated statements of operations and comprehensive income. Gains and losses from the remeasurement of foreign currency transactions into the functional currency are recognized as other income in the consolidated statements of operations and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generates revenue primarily from payment transaction fees processed through the Company’s platform. The fees are generated as a percentage of transaction value or a specified fee per transaction. For biller transactions, the actual fees are dependent on payment type, payment channel or industry vertical. The payment transaction fees are received directly (i) from billers, who absorb the cost, or from customers in the form of a convenience-type fee, or (ii) from financial institutions. Transaction fees are collected for each completed transaction processed through the platform. The Company also earns other revenue, which primarily consists of maintenance revenue and subscription revenue. Other revenue represented approximately 0.8%, 1.1% and 1.3% of total revenue for the years ended December 31, 2025, 2024 and 2023,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Contract liabilities relate to fees billed in advance of services provided. The terms of the contract normally require the customer to pay a fixed monthly fee for hosting and maintenance, plus a non-refundable up-front fee for set-up, integration services and data conversion at contract inception. The non-refundable up-front fees are typically billed in advance of services provided and are recorded as contract liability in the consolidated balance sheets. These fees are amortized ratably over the term of the agreement and recognized as revenue. The fixed monthly fee is for a promised service of hosting and maintenance. These services are provided over the same period and have the same pattern of transfer to the customer as the payment processing services. They are both stand-ready obligations satisfied ratably over the contractual period, and assessed as a single performance obligation. Therefore, they are recognized in the same manner as the variable consideration.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Recognized From the Costs to Obtain a Contract With a Customer</w:t>
      </w:r>
    </w:p>
    <w:p>
      <w:pPr>
        <w:spacing w:after="0" w:line="102"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The Company capitalizes certain costs to obtain contracts with customers, including employee sales commissions, when the commission is tied to new sales and is therefore considered an incremental cost of obtaining a customer. At contract inception, the Company capitalizes commission costs that the Company expects to recover and that would not have been incurred if the contract had not been obtained. For the years ended December 31, 2025 and 2024, the Company had capitalized sales commissions of $1.1 million and $1.8 million, respectively. As of December 31, 2025 and 2024, unamortized sales commissions were $2.2 million and $2.1 million, respectively, which are included in prepaid expenses and other assets in the consolidated balance sheets. Amortization of capitalized commissions to obtain customer contracts is included in sales and marketing expense in the consolidated statements of operations and comprehensive income. The Company utilizes a straight-line method as it best depicts the pattern of transfer of the goods or services to the customer. The Company amortizes these assets over the expected period of benefit, which is typically three to five years. The Company evaluates contract costs for impairment by comparing, on a pooled basis, the expected future net cash flows from underlying customer relationships to the carrying amount of the capitalized contract costs.</w:t>
      </w:r>
    </w:p>
    <w:p>
      <w:pPr>
        <w:spacing w:after="0" w:line="78"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Some of the Company’s sales compensation paid to the sales force is earned based on the margins earned from the contract over the contract term and is contingent on the salesperson's continued employment with the Company. Sales commissions tied to key operating metrics other than new sales, are not considered incremental costs of obtaining a customer and are expensed in the same period as they are earned, rather than being capitalized. The Company records commission expense within sales and marketing expense in the consolidated statements of operations and comprehensive income.</w:t>
      </w:r>
    </w:p>
    <w:p>
      <w:pPr>
        <w:spacing w:after="0" w:line="6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fair value of the warrant agreements with a reseller/vendor and customer or their affiliates, which was considered to be cost to obtain contracts with customers, was recognized as an asset. The fair value of the warrants was estimated on the grant date. The grant date fair value is determined using the Black-Scholes option pricing model, in accordance with</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44" w:lineRule="auto"/>
        <w:rPr>
          <w:sz w:val="20"/>
          <w:szCs w:val="20"/>
          <w:color w:val="auto"/>
        </w:rPr>
      </w:pPr>
      <w:r>
        <w:rPr>
          <w:rFonts w:ascii="Arial" w:cs="Arial" w:eastAsia="Arial" w:hAnsi="Arial"/>
          <w:sz w:val="18"/>
          <w:szCs w:val="18"/>
          <w:color w:val="auto"/>
        </w:rPr>
        <w:t>ASC 718, Compensation-Stock Compensation, incorporating the Company's expectations regarding the number of warrants expected to vest in accordance with the warrant agreements. The Company accounts for consideration payable in the form of warrants as share-based compensation expense. Consideration payable to a customer or their affiliate was recorded as a reduction of the transaction price, thereby reducing revenue, following the guidance in ASC 606, while consideration payable to a reseller/vendor or their affiliate is recorded as an operating expense within sales and marketing expenses in the consolidated statements of operations and comprehensive income.</w:t>
      </w:r>
    </w:p>
    <w:p>
      <w:pPr>
        <w:spacing w:after="0" w:line="6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As of December 31, 2025 and 2024, unamortized warrants cost of $1.0 million and $3.3 million, respectively, was included in prepaid expenses and other assets in the consolidated balance sheets. For further details on warrant agreements, refer to Note 10 in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Cost of revenue consists primarily of interchange and assessment fees, processing fees and bank settlement fees paid to third-party payment processors and financial institutions, and personnel-related costs associated with the Company’s customer support teams, including salaries, benefits and bonuses. Cost of revenue also includes an allocation of hosting and data center costs for the Company’s infrastructure and platform environment, telecommunication expenses used by sales and customer support teams, a portion of amortization of capitalized internal-use software development costs and a portion of amortization of intangible assets acquired through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2"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Research and development costs are expensed as incurred, unless they qualify as internal-use software development costs. Research and development expenses consist primarily of employee-related expenses associated with the Company’s research and development staff, including salaries, benefits, stock-based compensation and bonuses.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Advertising costs are expensed as incurred and are included in sales and marketing expenses in the consolidated statement of operations and comprehensive income. These costs were $0.6 million, $0.8 million and $1.3 million for the years ended December 31, 2025, 2024 and 2023,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Company is self-insured for a significant portion of its employee medical exposures. Liabilities for self-insured exposures are accrued at the present value of amounts expected to be paid based on historical claims experience and actuarial data for forecasted settlements of claims filed and for incurred but not yet reported claims. Accruals for self-insured exposures are included under accrued and other liabilities in the consolidated balance sheets based on the expected periods of payment. Excess liability insurance has been purchased to limit the amount of self-insured risk on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Company is subject to income taxes in the U.S. and certain foreign jurisdictions. Significant judgment is required in determining its provision for income taxes and deferred tax assets and liabilities, including evaluating uncertainties in the application of accounting principles and complex tax laws.</w:t>
      </w:r>
    </w:p>
    <w:p>
      <w:pPr>
        <w:spacing w:after="0" w:line="6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records a provision for income taxes for the anticipated tax consequences of the reported results of operations using the asset and liability method. Under this method, the Company recognizes deferred tax assets and liabilities for the expected future tax consequences of temporary differences between the carrying amounts for financial reporting purposes and the tax bases of assets and liabilities, as well as for loss and tax credit carryforwards. This includes assessing the impact of enacted tax legislation, such as the restoration of immediate deductions for domestic research and development expenditures in 2025, which requires management to re-evaluate the timing of deductibility and the realizability of related deferred tax assets. The deferred assets and liabilities are measured using the statutorily enacted tax rates anticipated to be in effect when those tax assets and liabilities are expected to be realized or settled. The effect on deferred tax assets and liabilities of a change in tax rates is recognized in the period that includes the enactment date.</w:t>
      </w:r>
    </w:p>
    <w:p>
      <w:pPr>
        <w:spacing w:after="0" w:line="7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 valuation allowance is established if, based upon the available evidence, it is more likely than not that some or all of the deferred tax assets will not be realized. The Company considers all available evidence, both positive and negative, including historical levels of income, expectations and risks associated with estimates of future taxable income in assessing the need for a valuation allowance.</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Company’s tax positions are subject to income tax audits by multiple tax jurisdictions throughout the world. The Company recognizes the tax benefit of an uncertain tax position only if it is more likely than not the position will be sustainable upon examination by the taxing authority, including resolution of any related appeals or litigation processes.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spacing w:after="0"/>
        <w:rPr>
          <w:sz w:val="20"/>
          <w:szCs w:val="20"/>
          <w:color w:val="auto"/>
        </w:rPr>
      </w:pPr>
      <w:r>
        <w:rPr>
          <w:rFonts w:ascii="Arial" w:cs="Arial" w:eastAsia="Arial" w:hAnsi="Arial"/>
          <w:sz w:val="18"/>
          <w:szCs w:val="18"/>
          <w:color w:val="auto"/>
        </w:rPr>
        <w:t>This evaluation is based on all available evidence and assumes that the tax authorities have full knowledge of all relevant information concerning the tax position. The tax benefit recognized is measured as the largest amount of benefit which is more likely than not (greater than 50% likely) to be realized upon ultimate settlement with the taxing authority. The Company recognizes interest accrued and penalties related to unrecognized tax benefits in income tax expense. The Company adjusts these reserves in accordance with the income tax guidance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and could have a material impact on the Company’s financial condition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The Company measures and recognizes stock-based compensation expense for all stock-based awards, including grants of restricted stock units (RSUs) and options to purchase stock granted to employees, outside directors and consultants based on the estimated fair value of the awards on the grant date of the award. The Company estimates the grant date fair value for options using the Black-Scholes option pricing model. The determination of the grant-date fair value using an option-pricing model is affected by the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an RSU is measured using the market closing price of the Company's Class A common stock on the date of grant. Compensation cost is recognized on a straight-line basis over the employee requisite service period, which is the stated vesting period of the award, provided that total compensation cost recognized at least equals the pro rata value of the awards that have vested. Forfeitures are accounted for in the period in which they occur. For further details on the recognition and presentation of stock-based compensation expense, please refer to Note 11 in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Cash and cash equivalents are composed of primarily bank accounts, cash deposits and money market funds. Cash in the Company’s bank accounts may exceed federally insured limits.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Restricted cash and cash equivalents consist of deposits required by certain counterparties to merchant counterparty processing agreements and required reserves under certain health insurance policies. Deposit balances are required through the term of the agreement and for six months following the termination of the merchant counterparty processing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$215.7 million and $147.2 million as of December 31, 2025 and 2024,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consolidated balance sheets. No customer accounted for more than 10% of revenue for either of the years ended December 31, 2025, 2024 and 2023. One reseller accounted for more than 10% of accounts receivable for both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ind w:firstLine="494"/>
        <w:spacing w:after="0" w:line="244"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279" w:lineRule="exact"/>
        <w:rPr>
          <w:sz w:val="20"/>
          <w:szCs w:val="20"/>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Level 1 inputs - unadjusted quoted prices in active markets for identical assets or liabilities accessible to the reporting entity at the measurement date;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Level 2 inputs - other than quoted prices included in Level 1 inputs that are observable for the asset or liability, either directly or indirectly, for substantially the full term of the asset or liability; and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Level 3 inputs -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63"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Due to their short maturities, the amounts reported on the consolidated balance sheet for accounts receivable, term deposits (recorded as prepaid expenses and other current assets and classified as Level 2 instrument), and accounts payable closely approximate their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Other Receivables and Allowance for Credit Losses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Accounts receivable are recorded at invoiced amounts and do not bear interest. The Company evaluates its accounts receivable portfolio to determine if an allowance for credit losses is necessary. The development of the allowance for credit losses is based on an expected loss model that considers reasonable and supportable forecasts of future conditions and a review of past due amounts, historical write-off and recovery experience. Provisions are established for outstanding balances on the basis of their age and the Company's assessment of their recoverability. Account balances are charged off against the allowance after all means of collection have been exhausted and the potential for recovery is considered remote. The Company has no off-balance sheet exposure related to its customers. As of December 31, 2025, and 2024, other receivables included $9.5 million and $6.7 million, respectively, of rebates related to interchange and processing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capitalizes qualifying internal-use software development costs related to its platform</w:t>
      </w:r>
      <w:r>
        <w:rPr>
          <w:rFonts w:ascii="Arial" w:cs="Arial" w:eastAsia="Arial" w:hAnsi="Arial"/>
          <w:sz w:val="18"/>
          <w:szCs w:val="18"/>
          <w:b w:val="1"/>
          <w:bCs w:val="1"/>
          <w:color w:val="auto"/>
        </w:rPr>
        <w:t>.</w:t>
      </w:r>
      <w:r>
        <w:rPr>
          <w:rFonts w:ascii="Arial" w:cs="Arial" w:eastAsia="Arial" w:hAnsi="Arial"/>
          <w:sz w:val="18"/>
          <w:szCs w:val="18"/>
          <w:color w:val="auto"/>
        </w:rPr>
        <w:t xml:space="preserve"> The costs consist of personnel costs (including related benefits) that are incurred during the application development stage, as well as implementation costs incurred to fulfill our contracts with customers as they (1) relate directly to the contract, (2) are expected to generate resources that will be used to satisfy the performance obligation under the contract, and (3) are expected to be recovered through revenues generated under the contract.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Capitalized costs are amortized over the estimated useful life of the software, which management estimated to be a range of three to five years, and are recorded on a straight-line basis, which represents the manner in which the expected benefit will be derived. Amortization expense is recorded in cost of revenue and operating expenses in the consolidated statement of operations aligned with the internal organizations that are the primary beneficiaries of such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Property and equipment, net is stated at cost less accumulated depreciation and amortization. Depreciation is computed using the straight-line method over the estimated useful life of the related asset as follows: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Computer equipment.................................................................. 3 years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Furniture and fixtures ................................................................. 5 years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Leasehold improvements are amortized over the shorter of estimated useful life or the remaining lease term. Expenses that improve an asset or extend its remaining useful life are capitalized. Upon retirement or sale, the cost of assets disposed of, and the related accumulated depreciation, is removed from the accounts and any resulting gain or loss is reflected in other income in the consolidated statements of operations. Costs of maintenance or repairs that do not extend the lives of the respective assets are expensed as incurred.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(Including Goodwill and Intangible Assets)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Long-lived assets with finite lives include property and equipment, capitalized internal-use software development costs and acquired intangible assets. The Company evaluates long-lived assets, including intangible assets and capitalized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spacing w:after="0" w:line="244" w:lineRule="auto"/>
        <w:rPr>
          <w:sz w:val="20"/>
          <w:szCs w:val="20"/>
          <w:color w:val="auto"/>
        </w:rPr>
      </w:pPr>
      <w:r>
        <w:rPr>
          <w:rFonts w:ascii="Arial" w:cs="Arial" w:eastAsia="Arial" w:hAnsi="Arial"/>
          <w:sz w:val="18"/>
          <w:szCs w:val="18"/>
          <w:color w:val="auto"/>
        </w:rPr>
        <w:t>internal-use software development costs,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in the amount by which the carrying amount of the assets exceeds the fair value of the asset or asset group.</w:t>
      </w:r>
    </w:p>
    <w:p>
      <w:pPr>
        <w:spacing w:after="0" w:line="68"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Effective January 1, 2025, the goodwill reporting units were realigned into a single reporting unit, consistent with the change to the Company's segment structure described in Note 2, "Segment Information".</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Goodwill is not amortized but rather tested at the reporting unit level for impairment at least annually in the fourth quarter, or more frequently if events or changes in circumstances indicate that goodwill may be impaired.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w:t>
      </w:r>
    </w:p>
    <w:p>
      <w:pPr>
        <w:spacing w:after="0" w:line="6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When reviewing goodwill for impairment, the Company performs a qualitative assessment which considers the following circumstances as well as others:</w:t>
      </w:r>
    </w:p>
    <w:p>
      <w:pPr>
        <w:spacing w:after="0" w:line="46" w:lineRule="exact"/>
        <w:rPr>
          <w:sz w:val="20"/>
          <w:szCs w:val="20"/>
          <w:color w:val="auto"/>
        </w:rPr>
      </w:pPr>
    </w:p>
    <w:p>
      <w:pPr>
        <w:ind w:left="10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macroeconomic conditions such as a deterioration in general economic conditions, limitations on accessing capital or other developments in equity and credit markets;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industry and market conditions such as a deterioration in the environment in which the</w:t>
      </w:r>
    </w:p>
    <w:p>
      <w:pPr>
        <w:spacing w:after="0" w:line="26" w:lineRule="exact"/>
        <w:rPr>
          <w:rFonts w:ascii="Times New Roman" w:cs="Times New Roman" w:eastAsia="Times New Roman" w:hAnsi="Times New Roman"/>
          <w:sz w:val="18"/>
          <w:szCs w:val="18"/>
          <w:color w:val="auto"/>
        </w:rPr>
      </w:pPr>
    </w:p>
    <w:p>
      <w:pPr>
        <w:jc w:val="both"/>
        <w:ind w:left="1020"/>
        <w:spacing w:after="0" w:line="250" w:lineRule="auto"/>
        <w:rPr>
          <w:rFonts w:ascii="Times New Roman" w:cs="Times New Roman" w:eastAsia="Times New Roman" w:hAnsi="Times New Roman"/>
          <w:sz w:val="18"/>
          <w:szCs w:val="18"/>
          <w:color w:val="auto"/>
        </w:rPr>
      </w:pPr>
      <w:r>
        <w:rPr>
          <w:rFonts w:ascii="Arial" w:cs="Arial" w:eastAsia="Arial" w:hAnsi="Arial"/>
          <w:sz w:val="18"/>
          <w:szCs w:val="18"/>
          <w:color w:val="auto"/>
        </w:rPr>
        <w:t>Company operates, an increased competitive environment, a decline in market-dependent multiples or metrics (in both absolute terms and relative to peers), a change in the market for an entity’s products or services, or a regulatory or political development;</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cost factors that have a negative effect on earnings and cash flows;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Decline in overall financial performance (for both actual and expected performance).</w:t>
      </w:r>
    </w:p>
    <w:p>
      <w:pPr>
        <w:spacing w:after="0" w:line="11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 completed its annual goodwill impairment test as of November 30, 2025 using a qualitative assessment. The Company did not recognize any impairment of goodwill during the years ended December 31, 2025 or 2024.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Company classifies leases as either operating or financing at inception and as necessary at modification. Leased assets represent the Company’s right to use an underlying asset for the lease term and lease liabilities represent its obligation to make lease payments arising from the lease. The Company does not obtain and control its right to use the identified asset until the lease commencement date.</w:t>
      </w:r>
    </w:p>
    <w:p>
      <w:pPr>
        <w:spacing w:after="0" w:line="61"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Although it may have a right and an obligation to exchange lease payments for a leased asset from the date of inception, the Company is unlikely to have an obligation to make lease payments before the asset is made available for use; therefore, lease classification, recognition and measurement are determined at the lease commencement date.</w:t>
      </w:r>
    </w:p>
    <w:p>
      <w:pPr>
        <w:spacing w:after="0" w:line="6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Company made accounting policy elections, including a short-term lease exception policy, permitting the Company to not apply the recognition requirements of this standard to short-term leases (i.e., leases with expected terms of 12 months or less), and an accounting policy to account for lease and certain non-lease components as a single component for certain classes of assets other than computer equipment leases. For computer equipment leases, the Company has agreements with lease and non-lease components, which are accounted for separately. For these agreements, lease payments are allocated between the lease and non-lease components based on the relative stand-alone price of these components.</w:t>
      </w:r>
    </w:p>
    <w:p>
      <w:pPr>
        <w:spacing w:after="0" w:line="7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Company has leases for office facilities, computer equipment, and data centers. The Company’s leases have remaining initial lease terms of less than one year to approximately five years, some of which include options to extend the leases for up to three years, and some of which include options to terminate the leases.</w:t>
      </w:r>
    </w:p>
    <w:p>
      <w:pPr>
        <w:spacing w:after="0" w:line="6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Operating leases are included in operating lease right-of-use (ROU) assets, and operating lease liabilities on the Company’s consolidated balance sheets. Operating lease ROU assets and liabilities are recognized at the lease commencement date based on the present value of lease payments over the lease term. As the Company’s leases do not provide an implicit rate, the Company uses the incremental borrowing rate based on the information available at the commencement date in determining the present value of lease payments. The incremental borrowing rate is the rate of interest that the Company would have to pay to borrow an amount equal to the lease payments on a collateralized basis over a similar term and in a similar economic environment. The operating lease ROU asset also includes any initial direct costs, lease payments made prior to lease commencement and lease incentives received. The Company’s lease terms are the noncancelable period including any rent-free periods provided by the lessor and may include options to extend or terminate the lease when it is reasonably certain that it will exercise that option. At lease inception, and upon modification or remeasurement, the Company estimates the lease term based on its assessment of extension and termination options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that are reasonably certain to be exercised. Lease cost for lease payments is recognized on a straight-line basis over the lease term.</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Leased property under finance leases are included in property and equipment, net. Finance lease liabilities are included within accrued and other liabilities, and finance lease and other finance obligations, net of current portion on the Company’s consolidated balance sheets. Property and equipment under finance leases is generally amortized over the lease term in general and administrative expenses.</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Judgment was required when determining whether any of the Company’s data center contracts contained a lease. The Company concluded a lease exists when the asset is specifically identifiable, substantially all the economic benefit of the asset is obtained, and the right to direct the use of the asset exists during the term of the 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of December 31, 2025, the Company ceased to be an "emerging growth company" as defined in the Jumpstart Our Business Startups Act of 2012. Consequently, the Company is no longer eligible to use the extended transition period for complying with new or revised financial accounting standards. Historically, the Company had voluntarily elected not to use the extended transition period for complying with new or revised financial accounting standards. The Company is now required to adopt new or revised accounting pronouncements as of the effective dates applicable to public business entities.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Accounting Standards Updates (ASU) not listed below were assessed and determined to be either not applicable or are not expected to have a material impact on the consolidated financial statements.</w:t>
      </w:r>
    </w:p>
    <w:p>
      <w:pPr>
        <w:spacing w:after="0" w:line="4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December 2023, the FASB issued ASU 2023-09, Income Taxes (Topic 740)-Improvements to Income Tax Disclosures. The standard requires disclosure of specific categories in the effective tax rate reconciliation and additional information on reconciling items meeting a quantitative threshold. In addition, the amended guidance requires entities to disclose the amount of income taxes paid, net of refunds received, disaggregated by federal, state and foreign jurisdiction, as well as for individual jurisdictions that comprise 5% or more of total income taxes paid. The amended guidance is effective for annual periods beginning after December 15, 2024. We adopted this guidance prospectively for the annual period ending December 31, 2025. See Note 12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November 4, 2024, the FASB issued new guidance requiring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ASU 2024-03, Disaggregation of Income Statement Expenses (DISE), applies to all public business entities (PBEs) and is effective for annual reporting periods beginning after December 15, 2026 and interim reporting periods within annual reporting periods beginning after December 15, 2027. The requirements will be applied prospectively with the option for retrospective application. Early adoption is permitted. The adoption of ASU 2024-03 is not expected to have a material impact on the Company's financial position or results of operations.</w:t>
      </w:r>
    </w:p>
    <w:p>
      <w:pPr>
        <w:spacing w:after="0" w:line="72" w:lineRule="exact"/>
        <w:rPr>
          <w:sz w:val="20"/>
          <w:szCs w:val="20"/>
          <w:color w:val="auto"/>
        </w:rPr>
      </w:pPr>
    </w:p>
    <w:p>
      <w:pPr>
        <w:ind w:right="1520" w:firstLine="509"/>
        <w:spacing w:after="0" w:line="245" w:lineRule="auto"/>
        <w:rPr>
          <w:sz w:val="20"/>
          <w:szCs w:val="20"/>
          <w:color w:val="auto"/>
        </w:rPr>
      </w:pPr>
      <w:r>
        <w:rPr>
          <w:rFonts w:ascii="Arial" w:cs="Arial" w:eastAsia="Arial" w:hAnsi="Arial"/>
          <w:sz w:val="18"/>
          <w:szCs w:val="18"/>
          <w:color w:val="auto"/>
        </w:rPr>
        <w:t>In July 2025, the FASB issued ASU 2025-05, Measurement of Credit Losses for Accounts Receivable and Contract Assets. ASU 2025-05 provides guidance on the measurement of credit losses for certain accounts receivable and contract</w:t>
      </w:r>
    </w:p>
    <w:p>
      <w:pPr>
        <w:jc w:val="both"/>
        <w:spacing w:after="0" w:line="239" w:lineRule="auto"/>
        <w:rPr>
          <w:sz w:val="20"/>
          <w:szCs w:val="20"/>
          <w:color w:val="auto"/>
        </w:rPr>
      </w:pPr>
      <w:r>
        <w:rPr>
          <w:rFonts w:ascii="Arial" w:cs="Arial" w:eastAsia="Arial" w:hAnsi="Arial"/>
          <w:sz w:val="18"/>
          <w:szCs w:val="18"/>
          <w:color w:val="auto"/>
        </w:rPr>
        <w:t>assets arising from revenue transactions. The updated standard will be effective for annual reporting periods beginning after December 15, 2025, and interim periods within those annual reporting periods. Early adoption is permitted. ASU 2025-05 will be adopted on a prospective basis. The guidance is effective beginning with the Company's Forms 10-Q for interim periods within fiscal year 2026 and its Form 10-K for the fiscal year ending December 31, 2026. The Company is currently evaluating the potential impact of adopting this new guidance on its consolidated financial statements and related disclosures.</w:t>
      </w:r>
    </w:p>
    <w:p>
      <w:pPr>
        <w:spacing w:after="0" w:line="72" w:lineRule="exact"/>
        <w:rPr>
          <w:sz w:val="20"/>
          <w:szCs w:val="20"/>
          <w:color w:val="auto"/>
        </w:rPr>
      </w:pPr>
    </w:p>
    <w:p>
      <w:pPr>
        <w:ind w:right="1980" w:firstLine="509"/>
        <w:spacing w:after="0" w:line="259" w:lineRule="auto"/>
        <w:rPr>
          <w:sz w:val="20"/>
          <w:szCs w:val="20"/>
          <w:color w:val="auto"/>
        </w:rPr>
      </w:pPr>
      <w:r>
        <w:rPr>
          <w:rFonts w:ascii="Arial" w:cs="Arial" w:eastAsia="Arial" w:hAnsi="Arial"/>
          <w:sz w:val="17"/>
          <w:szCs w:val="17"/>
          <w:color w:val="auto"/>
        </w:rPr>
        <w:t>In September 2025, the FASB issued ASU 2025-06, Intangibles – Goodwill and Other – Internal-Use Software (Subtopic 350-40): Targeted Improvements to the Accounting for Internal-Use Software. The amended guidance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modernizes the accounting for costs related to internal-use software to more closely align with current software development methods. The guidance removes references to project stages and clarifies when the Company is required to start capitalizing eligible costs. The new guidance is effective for fiscal years beginning after December 15, 2027, and interim periods within those fiscal years, with early adoption permitted. The guidance can be applied on a prospective basis, a modified basis for in-process projects, or a retrospective basis. The Company is evaluating the impact this amended guidance may have on its consolidated financial statements.</w:t>
      </w:r>
    </w:p>
    <w:p>
      <w:pPr>
        <w:spacing w:after="0" w:line="7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December 2025, the FASB issued ASU 2025-11, Interim Reporting (Topic 270): Narrow-Scope Improvements. The amendments improve the codification guidance for interim reporting and require that entities provide specific disclosures in interim periods that were previously only required in annual financial statements. The new guidance is effective for fiscal</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spacing w:after="0" w:line="271" w:lineRule="auto"/>
        <w:rPr>
          <w:sz w:val="20"/>
          <w:szCs w:val="20"/>
          <w:color w:val="auto"/>
        </w:rPr>
      </w:pPr>
      <w:r>
        <w:rPr>
          <w:rFonts w:ascii="Arial" w:cs="Arial" w:eastAsia="Arial" w:hAnsi="Arial"/>
          <w:sz w:val="18"/>
          <w:szCs w:val="18"/>
          <w:color w:val="auto"/>
        </w:rPr>
        <w:t>years beginning after December 15, 2026, and interim periods within those fiscal years, with early adoption permitted. The Company is currently evaluating the impact of adopting this new guidance on its future interim financial disclosures.</w:t>
      </w:r>
    </w:p>
    <w:p>
      <w:pPr>
        <w:spacing w:after="0" w:line="154"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Revenue, Performance Obligations and Contract Balances</w:t>
      </w:r>
    </w:p>
    <w:p>
      <w:pPr>
        <w:spacing w:after="0" w:line="104"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Pursuant to ASC 606, the Company evaluates the services promised in contracts with customers at contract inception, and identifies a performance obligation for each promise to transfer a service that is distinct. For the payment transaction services, the promise to the customer is that the Company stands ready to process payment transactions the customer requests on a daily basis over the contract term. Since the timing and quantity of transactions to be processed by Paymentus is not determinable, the Company views payment services to comprise an obligation to stand ready to process as many transactions as the customer requests. Under a stand-ready obligation, the evaluation of the nature of a performance obligation is focused on each time increment rather than the underlying activities. Therefore, the Company views payment services to comprise a series of distinct days of service that are substantially the same and have the same pattern of transfer to the customer. Accordingly, the promise to stand ready is accounted for as a single-series performance obligation.</w:t>
      </w:r>
    </w:p>
    <w:p>
      <w:pPr>
        <w:spacing w:after="0" w:line="7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ASC 606 requires that the Company determines for each customer arrangement whether revenue should be recognized at a point in time or over time. Substantially all of the Company’s revenues are recognized over time. The majority of the payment transaction services are priced as a percentage of transaction value or a specified fee per transaction. Given the nature of the promise based on unknown quantities or outcomes of services to be performed over the contract term, the total consideration is determined to be variable consideration. The variable consideration for the Company’s payment service is usage-based and, therefore, it specifically relates to the Company’s efforts to satisfy its payment services obligation. The variability is satisfied each day the service is provided to the customer. The Company directly assigns variable fees to the distinct day of service to which it relates, by considering the services performed each day. Therefore, Paymentus measures revenue for its payment service on a daily basis based on the services that are performed on that day and recognizes revenue once the transaction is complete.</w:t>
      </w:r>
    </w:p>
    <w:p>
      <w:pPr>
        <w:spacing w:after="0" w:line="75"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initial term of customer contracts is typically between three to five years. Termination provisions vary by customer, however the majority of customers may not terminate their contract early without penalty. Some of the contracts include tiered pricing, based primarily on volume. The fee charged per transaction is adjusted up or down if the volume processed for a specified period is different from prior period defined volumes. The Company has concluded that this volume-based pricing approach does not constitute a future material right since the discount is within a range typically offered to a class of customers with similar volume. In addition, some contracts include prescribed annual or monthly minimums, penalties for early termination, and service level agreements that may affect contractual fees if specific service levels are not achieved. The Company has determined that these processing services represent a stand-ready obligation comprising a series of distinct days of services that are substantially the same and have the same pattern of transfer to the customer.</w:t>
      </w:r>
    </w:p>
    <w:p>
      <w:pPr>
        <w:spacing w:after="0" w:line="7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also has customer, reseller and partner agreements, some of which contain guaranteed revenue or transaction minimum commitments and revenue sharing arrangements. Because of these minimum commitments, the Company has to evaluate the agreements to determine the fixed and variable consideration and the amount of revenue to be recognized. For the minimum commitments, the Company records the fixed consideration ratably over the commitment period and the variable consideration to the extent that the Company believes that the variable consideration is not constrained. The revenue recorded for these arrangements is net of any revenue sharing with the customer or reseller, which is typically determined based on a calculation of revenue less certain fees incurred by the Company, as defined in the agreement.</w:t>
      </w:r>
    </w:p>
    <w:p>
      <w:pPr>
        <w:spacing w:after="0" w:line="77"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The Company recognizes fees charged to customers primarily on a gross basis as transaction revenue when the Company is the principal in respect of completing a payment transaction. In order to provide payment services, the Company routes and clears each transaction through the applicable payment network. The Company obtains authorization for the transaction and requests funds settlement from the card issuing financial institution through the payment network. When third parties are involved in the transfer of goods or services to customers, the Company considers the nature of each specific promised good or service and applies judgment to determine whether the Company controls the good or service before it is transferred to the customer or whether the Company is acting as an agent of the third party. To determine whether or not the Company controls the good or service before it is transferred to the customer, the Company assesses indicators including whether the Company or the third party is primarily responsible for fulfillment and which party has discretion in determining pricing for the good or service, as well as other considerations. Based on an assessment of these indicators, the Company has concluded that the Company bears primary responsibility for the fulfillment of the payment service with the majority of the customers, contracts directly with customers, controls the product specifications and defines the value proposal from the Company’s services. The Company therefore bears full margin risk when completing a payment transaction, and on that basis, controls those services prior to being transferred to the customer. The interchange fees charged by the card issuing financial institutions and the fees charged by the payment networks are recognized as transaction expense within cost of revenue in the consolidated statements of operations.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ind w:firstLine="494"/>
        <w:spacing w:after="0" w:line="244" w:lineRule="auto"/>
        <w:rPr>
          <w:sz w:val="20"/>
          <w:szCs w:val="20"/>
          <w:color w:val="auto"/>
        </w:rPr>
      </w:pPr>
      <w:r>
        <w:rPr>
          <w:rFonts w:ascii="Arial" w:cs="Arial" w:eastAsia="Arial" w:hAnsi="Arial"/>
          <w:sz w:val="18"/>
          <w:szCs w:val="18"/>
          <w:color w:val="auto"/>
        </w:rPr>
        <w:t>The Company also evaluates and establishes a reserve for potential credit adjustments at the time revenue is recognized if it is probable that credit adjustments will occur and the amount can be reasonably estimated. The reserve is recorded as a reduction to revenue in the period the related revenue is recognized. The reserve amount is determined based on historical adjustment trends, customer-specific information, and other relevant factors. Accounts receivable included reserve balance of $8.9 million and $1.0 million for potential credit adjustments as of December 31, 2025 and 2024, respectively.</w:t>
      </w:r>
    </w:p>
    <w:p>
      <w:pPr>
        <w:spacing w:after="0" w:line="68"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ASC 606 requires disclosure of the aggregate amount of the transaction price allocated to unsatisfied performance obligations. As permitted by ASC 606, the Company has elected to exclude from this disclosure any contracts with an original duration of one year or less and any variable consideration that meets specified criteria. As described above,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disaggregation of revenue from contracts with customers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38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5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Payment transaction processing</w:t>
            </w:r>
          </w:p>
        </w:tc>
        <w:tc>
          <w:tcPr>
            <w:tcW w:w="1220" w:type="dxa"/>
            <w:vAlign w:val="bottom"/>
            <w:shd w:val="clear" w:color="auto" w:fill="CFF0FC"/>
          </w:tcPr>
          <w:p>
            <w:pPr>
              <w:jc w:val="right"/>
              <w:ind w:right="10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1,187,104</w:t>
            </w:r>
          </w:p>
        </w:tc>
        <w:tc>
          <w:tcPr>
            <w:tcW w:w="52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861,736</w:t>
            </w:r>
          </w:p>
        </w:tc>
        <w:tc>
          <w:tcPr>
            <w:tcW w:w="4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606,595</w:t>
            </w:r>
          </w:p>
        </w:tc>
        <w:tc>
          <w:tcPr>
            <w:tcW w:w="100" w:type="dxa"/>
            <w:vAlign w:val="bottom"/>
            <w:shd w:val="clear" w:color="auto" w:fill="CFF0FC"/>
          </w:tcPr>
          <w:p>
            <w:pPr>
              <w:spacing w:after="0"/>
              <w:rPr>
                <w:sz w:val="17"/>
                <w:szCs w:val="17"/>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9,403</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10,009</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7,895</w:t>
            </w:r>
          </w:p>
        </w:tc>
        <w:tc>
          <w:tcPr>
            <w:tcW w:w="100" w:type="dxa"/>
            <w:vAlign w:val="bottom"/>
          </w:tcPr>
          <w:p>
            <w:pPr>
              <w:spacing w:after="0"/>
              <w:rPr>
                <w:sz w:val="17"/>
                <w:szCs w:val="17"/>
                <w:color w:val="auto"/>
              </w:rPr>
            </w:pPr>
          </w:p>
        </w:tc>
      </w:tr>
      <w:tr>
        <w:trPr>
          <w:trHeight w:val="236"/>
        </w:trPr>
        <w:tc>
          <w:tcPr>
            <w:tcW w:w="5380" w:type="dxa"/>
            <w:vAlign w:val="bottom"/>
            <w:tcBorders>
              <w:bottom w:val="single" w:sz="8" w:color="CFF0FC"/>
            </w:tcBorders>
            <w:shd w:val="clear" w:color="auto" w:fill="CFF0FC"/>
          </w:tcPr>
          <w:p>
            <w:pPr>
              <w:ind w:left="80"/>
              <w:spacing w:after="0" w:line="196" w:lineRule="exact"/>
              <w:rPr>
                <w:sz w:val="20"/>
                <w:szCs w:val="20"/>
                <w:color w:val="auto"/>
              </w:rPr>
            </w:pPr>
            <w:r>
              <w:rPr>
                <w:rFonts w:ascii="Arial" w:cs="Arial" w:eastAsia="Arial" w:hAnsi="Arial"/>
                <w:sz w:val="18"/>
                <w:szCs w:val="18"/>
                <w:color w:val="auto"/>
              </w:rPr>
              <w:t>Total revenue</w:t>
            </w:r>
          </w:p>
        </w:tc>
        <w:tc>
          <w:tcPr>
            <w:tcW w:w="1220" w:type="dxa"/>
            <w:vAlign w:val="bottom"/>
            <w:tcBorders>
              <w:bottom w:val="single" w:sz="8" w:color="auto"/>
            </w:tcBorders>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1,196,507</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871,745</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614,490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38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5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1220" w:type="dxa"/>
            <w:vAlign w:val="bottom"/>
            <w:shd w:val="clear" w:color="auto" w:fill="CFF0FC"/>
          </w:tcPr>
          <w:p>
            <w:pPr>
              <w:jc w:val="right"/>
              <w:ind w:right="10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1,177,563</w:t>
            </w:r>
          </w:p>
        </w:tc>
        <w:tc>
          <w:tcPr>
            <w:tcW w:w="52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856,374</w:t>
            </w:r>
          </w:p>
        </w:tc>
        <w:tc>
          <w:tcPr>
            <w:tcW w:w="4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603,030</w:t>
            </w:r>
          </w:p>
        </w:tc>
        <w:tc>
          <w:tcPr>
            <w:tcW w:w="100" w:type="dxa"/>
            <w:vAlign w:val="bottom"/>
            <w:shd w:val="clear" w:color="auto" w:fill="CFF0FC"/>
          </w:tcPr>
          <w:p>
            <w:pPr>
              <w:spacing w:after="0"/>
              <w:rPr>
                <w:sz w:val="17"/>
                <w:szCs w:val="17"/>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18,944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15,371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11,460</w:t>
            </w:r>
          </w:p>
        </w:tc>
        <w:tc>
          <w:tcPr>
            <w:tcW w:w="100" w:type="dxa"/>
            <w:vAlign w:val="bottom"/>
          </w:tcPr>
          <w:p>
            <w:pPr>
              <w:spacing w:after="0"/>
              <w:rPr>
                <w:sz w:val="17"/>
                <w:szCs w:val="17"/>
                <w:color w:val="auto"/>
              </w:rPr>
            </w:pPr>
          </w:p>
        </w:tc>
      </w:tr>
      <w:tr>
        <w:trPr>
          <w:trHeight w:val="236"/>
        </w:trPr>
        <w:tc>
          <w:tcPr>
            <w:tcW w:w="5380" w:type="dxa"/>
            <w:vAlign w:val="bottom"/>
            <w:tcBorders>
              <w:bottom w:val="single" w:sz="8" w:color="CFF0FC"/>
            </w:tcBorders>
            <w:shd w:val="clear" w:color="auto" w:fill="CFF0FC"/>
          </w:tcPr>
          <w:p>
            <w:pPr>
              <w:ind w:left="80"/>
              <w:spacing w:after="0" w:line="196" w:lineRule="exact"/>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1,196,507</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871,745</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614,490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of December 31, 2025, the aggregate amount of transaction price allocated to performance obligations that are unsatisfied or partially unsatisfied was $6.9 million, over 66% of which the Company expects to recognize within the next two years, 22% between two to four years and the remainder thereafter. The timing of revenue recognition within the next year is largely dependent upon the go-live dates of the Company's customers under the Company's contracts.</w:t>
      </w:r>
    </w:p>
    <w:p>
      <w:pPr>
        <w:spacing w:after="0" w:line="66" w:lineRule="exact"/>
        <w:rPr>
          <w:sz w:val="20"/>
          <w:szCs w:val="20"/>
          <w:color w:val="auto"/>
        </w:rPr>
      </w:pPr>
    </w:p>
    <w:p>
      <w:pPr>
        <w:jc w:val="both"/>
        <w:ind w:right="20" w:firstLine="494"/>
        <w:spacing w:after="0" w:line="247" w:lineRule="auto"/>
        <w:rPr>
          <w:sz w:val="20"/>
          <w:szCs w:val="20"/>
          <w:color w:val="auto"/>
        </w:rPr>
      </w:pPr>
      <w:r>
        <w:rPr>
          <w:rFonts w:ascii="Arial" w:cs="Arial" w:eastAsia="Arial" w:hAnsi="Arial"/>
          <w:sz w:val="18"/>
          <w:szCs w:val="18"/>
          <w:color w:val="auto"/>
        </w:rPr>
        <w:t>As of December 31, 2025, the Company has contractual rights under its commercial agreements to receive $69.3 million of fixed consideration related to the future minimum guarantees through 2030.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3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Revenue recognized during the year ended December 31, 2025 and 2024 that was included in the contract liabilities balance at the beginning of each of the periods was $1.9 million and $3.9 million, respectively.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47"/>
        </w:trPr>
        <w:tc>
          <w:tcPr>
            <w:tcW w:w="7780" w:type="dxa"/>
            <w:vAlign w:val="bottom"/>
          </w:tcPr>
          <w:p>
            <w:pPr>
              <w:spacing w:after="0"/>
              <w:rPr>
                <w:sz w:val="20"/>
                <w:szCs w:val="20"/>
                <w:color w:val="auto"/>
              </w:rPr>
            </w:pPr>
            <w:r>
              <w:rPr>
                <w:rFonts w:ascii="Arial" w:cs="Arial" w:eastAsia="Arial" w:hAnsi="Arial"/>
                <w:sz w:val="18"/>
                <w:szCs w:val="18"/>
                <w:b w:val="1"/>
                <w:bCs w:val="1"/>
                <w:color w:val="auto"/>
              </w:rPr>
              <w:t>4.   Property and Equipment, Net</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780" w:type="dxa"/>
            <w:vAlign w:val="bottom"/>
          </w:tcPr>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7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 equipment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6,597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6,178</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1,832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1,724</w:t>
            </w:r>
          </w:p>
        </w:tc>
        <w:tc>
          <w:tcPr>
            <w:tcW w:w="100" w:type="dxa"/>
            <w:vAlign w:val="bottom"/>
          </w:tcPr>
          <w:p>
            <w:pPr>
              <w:spacing w:after="0"/>
              <w:rPr>
                <w:sz w:val="17"/>
                <w:szCs w:val="17"/>
                <w:color w:val="auto"/>
              </w:rPr>
            </w:pPr>
          </w:p>
        </w:tc>
      </w:tr>
      <w:tr>
        <w:trPr>
          <w:trHeight w:val="203"/>
        </w:trPr>
        <w:tc>
          <w:tcPr>
            <w:tcW w:w="7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387</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100"/>
              <w:spacing w:after="0" w:line="196" w:lineRule="exact"/>
              <w:rPr>
                <w:sz w:val="20"/>
                <w:szCs w:val="20"/>
                <w:color w:val="auto"/>
              </w:rPr>
            </w:pPr>
            <w:r>
              <w:rPr>
                <w:rFonts w:ascii="Arial" w:cs="Arial" w:eastAsia="Arial" w:hAnsi="Arial"/>
                <w:sz w:val="18"/>
                <w:szCs w:val="18"/>
                <w:color w:val="auto"/>
              </w:rPr>
              <w:t>Total property and equipment</w:t>
            </w: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8,816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8,277</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(7,939)</w:t>
            </w:r>
          </w:p>
        </w:tc>
        <w:tc>
          <w:tcPr>
            <w:tcW w:w="1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(7,120)</w:t>
            </w:r>
          </w:p>
        </w:tc>
      </w:tr>
      <w:tr>
        <w:trPr>
          <w:trHeight w:val="196"/>
        </w:trPr>
        <w:tc>
          <w:tcPr>
            <w:tcW w:w="7780" w:type="dxa"/>
            <w:vAlign w:val="bottom"/>
            <w:tcBorders>
              <w:top w:val="single" w:sz="8" w:color="CFF0FC"/>
            </w:tcBorders>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877</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1,157</w:t>
            </w:r>
          </w:p>
        </w:tc>
        <w:tc>
          <w:tcPr>
            <w:tcW w:w="100" w:type="dxa"/>
            <w:vAlign w:val="bottom"/>
            <w:tcBorders>
              <w:top w:val="single" w:sz="8" w:color="CFF0FC"/>
            </w:tcBorders>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-427990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Depreciation expense recorded for property and equipment was $0.7 million, $0.8 million and $0.9 million for the years ended December 31, 2025, 2024 and 2023, respectively.</w:t>
      </w:r>
    </w:p>
    <w:p>
      <w:pPr>
        <w:jc w:val="both"/>
        <w:ind w:firstLine="494"/>
        <w:spacing w:after="0" w:line="250" w:lineRule="auto"/>
        <w:rPr>
          <w:sz w:val="20"/>
          <w:szCs w:val="20"/>
          <w:color w:val="auto"/>
        </w:rPr>
      </w:pPr>
      <w:r>
        <w:rPr>
          <w:rFonts w:ascii="Arial" w:cs="Arial" w:eastAsia="Arial" w:hAnsi="Arial"/>
          <w:sz w:val="18"/>
          <w:szCs w:val="18"/>
          <w:color w:val="auto"/>
        </w:rPr>
        <w:t>The Company's long-lived assets primarily consist of computer equipment and furniture. The table below summarizes long-lived assets based on its geographical area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7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w:t>
            </w:r>
          </w:p>
        </w:tc>
        <w:tc>
          <w:tcPr>
            <w:tcW w:w="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707</w:t>
            </w:r>
          </w:p>
        </w:tc>
        <w:tc>
          <w:tcPr>
            <w:tcW w:w="100" w:type="dxa"/>
            <w:vAlign w:val="bottom"/>
          </w:tcPr>
          <w:p>
            <w:pPr>
              <w:spacing w:after="0"/>
              <w:rPr>
                <w:sz w:val="17"/>
                <w:szCs w:val="17"/>
                <w:color w:val="auto"/>
              </w:rPr>
            </w:pPr>
          </w:p>
        </w:tc>
      </w:tr>
      <w:tr>
        <w:trPr>
          <w:trHeight w:val="216"/>
        </w:trPr>
        <w:tc>
          <w:tcPr>
            <w:tcW w:w="7780" w:type="dxa"/>
            <w:vAlign w:val="bottom"/>
            <w:shd w:val="clear" w:color="auto" w:fill="CFF0FC"/>
          </w:tcPr>
          <w:p>
            <w:pPr>
              <w:ind w:left="100"/>
              <w:spacing w:after="0" w:line="182"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877</w:t>
            </w:r>
          </w:p>
        </w:tc>
        <w:tc>
          <w:tcPr>
            <w:tcW w:w="28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1,157</w:t>
            </w:r>
          </w:p>
        </w:tc>
        <w:tc>
          <w:tcPr>
            <w:tcW w:w="100" w:type="dxa"/>
            <w:vAlign w:val="bottom"/>
            <w:shd w:val="clear" w:color="auto" w:fill="CFF0FC"/>
          </w:tcPr>
          <w:p>
            <w:pPr>
              <w:spacing w:after="0"/>
              <w:rPr>
                <w:sz w:val="18"/>
                <w:szCs w:val="18"/>
                <w:color w:val="auto"/>
              </w:rPr>
            </w:pP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tab/>
        <w:t>Goodwill, Internal-use Software Development Costs and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goodwill reporting units were realigned into a single reporting unit, consistent with the change to the Company's</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segment structure described in Note 2, "Segment Information". The changes in the carrying amount of goodwill during the years ended December 31, 2025 and 2024 were immaterial and related to foreign currency translation adjustments.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During the years ended December 31, 2025, 2024 and 2023, the Company capitalized $36.8 million, $36.2 million and $33.7 million in software development costs,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included in the consolidated statements of operations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1000" w:type="dxa"/>
            <w:vAlign w:val="bottom"/>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22,520</w:t>
            </w:r>
          </w:p>
        </w:tc>
        <w:tc>
          <w:tcPr>
            <w:tcW w:w="46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17,911</w:t>
            </w:r>
          </w:p>
        </w:tc>
        <w:tc>
          <w:tcPr>
            <w:tcW w:w="4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13,341</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10,784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9,675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8,008</w:t>
            </w:r>
          </w:p>
        </w:tc>
        <w:tc>
          <w:tcPr>
            <w:tcW w:w="100" w:type="dxa"/>
            <w:vAlign w:val="bottom"/>
          </w:tcPr>
          <w:p>
            <w:pPr>
              <w:spacing w:after="0"/>
              <w:rPr>
                <w:sz w:val="17"/>
                <w:szCs w:val="17"/>
                <w:color w:val="auto"/>
              </w:rPr>
            </w:pPr>
          </w:p>
        </w:tc>
      </w:tr>
      <w:tr>
        <w:trPr>
          <w:trHeight w:val="216"/>
        </w:trPr>
        <w:tc>
          <w:tcPr>
            <w:tcW w:w="6200" w:type="dxa"/>
            <w:vAlign w:val="bottom"/>
            <w:shd w:val="clear" w:color="auto" w:fill="CFF0FC"/>
          </w:tcPr>
          <w:p>
            <w:pPr>
              <w:ind w:left="80"/>
              <w:spacing w:after="0" w:line="182" w:lineRule="exact"/>
              <w:rPr>
                <w:sz w:val="20"/>
                <w:szCs w:val="20"/>
                <w:color w:val="auto"/>
              </w:rPr>
            </w:pPr>
            <w:r>
              <w:rPr>
                <w:rFonts w:ascii="Arial" w:cs="Arial" w:eastAsia="Arial" w:hAnsi="Arial"/>
                <w:sz w:val="18"/>
                <w:szCs w:val="18"/>
                <w:color w:val="auto"/>
              </w:rPr>
              <w:t>Total</w:t>
            </w:r>
          </w:p>
        </w:tc>
        <w:tc>
          <w:tcPr>
            <w:tcW w:w="1000" w:type="dxa"/>
            <w:vAlign w:val="bottom"/>
            <w:shd w:val="clear" w:color="auto" w:fill="CFF0FC"/>
          </w:tcPr>
          <w:p>
            <w:pPr>
              <w:jc w:val="right"/>
              <w:ind w:right="810"/>
              <w:spacing w:after="0" w:line="182"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33,304</w:t>
            </w:r>
          </w:p>
        </w:tc>
        <w:tc>
          <w:tcPr>
            <w:tcW w:w="46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27,586</w:t>
            </w:r>
          </w:p>
        </w:tc>
        <w:tc>
          <w:tcPr>
            <w:tcW w:w="44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21,349</w:t>
            </w:r>
          </w:p>
        </w:tc>
        <w:tc>
          <w:tcPr>
            <w:tcW w:w="100" w:type="dxa"/>
            <w:vAlign w:val="bottom"/>
            <w:shd w:val="clear" w:color="auto" w:fill="CFF0FC"/>
          </w:tcPr>
          <w:p>
            <w:pPr>
              <w:spacing w:after="0"/>
              <w:rPr>
                <w:sz w:val="18"/>
                <w:szCs w:val="18"/>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5980" w:type="dxa"/>
            <w:vAlign w:val="bottom"/>
            <w:gridSpan w:val="4"/>
          </w:tcPr>
          <w:p>
            <w:pPr>
              <w:jc w:val="right"/>
              <w:ind w:right="390"/>
              <w:spacing w:after="0"/>
              <w:rPr>
                <w:sz w:val="20"/>
                <w:szCs w:val="20"/>
                <w:color w:val="auto"/>
              </w:rPr>
            </w:pPr>
            <w:r>
              <w:rPr>
                <w:rFonts w:ascii="Arial" w:cs="Arial" w:eastAsia="Arial" w:hAnsi="Arial"/>
                <w:sz w:val="18"/>
                <w:szCs w:val="18"/>
                <w:color w:val="auto"/>
              </w:rPr>
              <w:t>Intangible assets, net consisted of the following (in thousands):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December 31, 2025</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58"/>
        </w:trPr>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2"/>
            <w:vMerge w:val="restart"/>
          </w:tcPr>
          <w:p>
            <w:pPr>
              <w:jc w:val="right"/>
              <w:ind w:right="400"/>
              <w:spacing w:after="0" w:line="202" w:lineRule="exact"/>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vMerge w:val="restart"/>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vMerge w:val="restart"/>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2"/>
            <w:vMerge w:val="restart"/>
          </w:tcPr>
          <w:p>
            <w:pPr>
              <w:jc w:val="right"/>
              <w:ind w:right="420"/>
              <w:spacing w:after="0" w:line="202" w:lineRule="exact"/>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156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21,827</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(21,827)</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Customer relationship</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31,982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(19,995)</w:t>
            </w:r>
          </w:p>
        </w:tc>
        <w:tc>
          <w:tcPr>
            <w:tcW w:w="3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11,987</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Software and license</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(2,912)</w:t>
            </w: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Trademark</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(4,038)</w:t>
            </w:r>
          </w:p>
        </w:tc>
        <w:tc>
          <w:tcPr>
            <w:tcW w:w="3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2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Total</w:t>
            </w: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60,759</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(48,772)</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11,987</w:t>
            </w: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24"/>
        </w:trPr>
        <w:tc>
          <w:tcPr>
            <w:tcW w:w="3020" w:type="dxa"/>
            <w:vAlign w:val="bottom"/>
            <w:tcBorders>
              <w:top w:val="single" w:sz="8" w:color="CFF0FC"/>
            </w:tcBorders>
          </w:tcPr>
          <w:p>
            <w:pPr>
              <w:spacing w:after="0"/>
              <w:rPr>
                <w:sz w:val="24"/>
                <w:szCs w:val="24"/>
                <w:color w:val="auto"/>
              </w:rPr>
            </w:pPr>
          </w:p>
        </w:tc>
        <w:tc>
          <w:tcPr>
            <w:tcW w:w="1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0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-856615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-839470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-856615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-839470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-856615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-839470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47"/>
        </w:trPr>
        <w:tc>
          <w:tcPr>
            <w:tcW w:w="4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December 31, 2024</w:t>
            </w:r>
          </w:p>
        </w:tc>
        <w:tc>
          <w:tcPr>
            <w:tcW w:w="120" w:type="dxa"/>
            <w:vAlign w:val="bottom"/>
          </w:tcPr>
          <w:p>
            <w:pPr>
              <w:spacing w:after="0"/>
              <w:rPr>
                <w:sz w:val="21"/>
                <w:szCs w:val="2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58"/>
        </w:trPr>
        <w:tc>
          <w:tcPr>
            <w:tcW w:w="4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gridSpan w:val="2"/>
            <w:vMerge w:val="restart"/>
          </w:tcPr>
          <w:p>
            <w:pPr>
              <w:jc w:val="right"/>
              <w:ind w:right="400"/>
              <w:spacing w:after="0" w:line="202" w:lineRule="exact"/>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vMerge w:val="restart"/>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vMerge w:val="restart"/>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gridSpan w:val="2"/>
            <w:vMerge w:val="restart"/>
          </w:tcPr>
          <w:p>
            <w:pPr>
              <w:jc w:val="right"/>
              <w:ind w:right="400"/>
              <w:spacing w:after="0" w:line="202" w:lineRule="exact"/>
              <w:rPr>
                <w:sz w:val="20"/>
                <w:szCs w:val="20"/>
                <w:color w:val="auto"/>
              </w:rPr>
            </w:pPr>
            <w:r>
              <w:rPr>
                <w:rFonts w:ascii="Arial" w:cs="Arial" w:eastAsia="Arial" w:hAnsi="Arial"/>
                <w:sz w:val="18"/>
                <w:szCs w:val="18"/>
                <w:b w:val="1"/>
                <w:bCs w:val="1"/>
                <w:color w:val="auto"/>
              </w:rPr>
              <w:t>Amortization</w:t>
            </w:r>
          </w:p>
        </w:tc>
        <w:tc>
          <w:tcPr>
            <w:tcW w:w="3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3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21,798</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(18,675)</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3,123</w:t>
            </w:r>
          </w:p>
        </w:tc>
        <w:tc>
          <w:tcPr>
            <w:tcW w:w="1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Customer relationship</w:t>
            </w:r>
          </w:p>
        </w:tc>
        <w:tc>
          <w:tcPr>
            <w:tcW w:w="2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31,946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(16,689)</w:t>
            </w:r>
          </w:p>
        </w:tc>
        <w:tc>
          <w:tcPr>
            <w:tcW w:w="3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15,257</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Software and license</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(2,789)</w:t>
            </w:r>
          </w:p>
        </w:tc>
        <w:tc>
          <w:tcPr>
            <w:tcW w:w="3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Trademark</w:t>
            </w:r>
          </w:p>
        </w:tc>
        <w:tc>
          <w:tcPr>
            <w:tcW w:w="2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4,038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(3,350)</w:t>
            </w:r>
          </w:p>
        </w:tc>
        <w:tc>
          <w:tcPr>
            <w:tcW w:w="3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60,579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(41,503)</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19,076</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Amortization expense of intangible assets was $7.1 million, $8.1 million and $8.4 million for the years ended December 31, 2025, 2024 and 2023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2025, future expected amortization expense is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shd w:val="clear" w:color="auto" w:fill="CFF0FC"/>
          </w:tcPr>
          <w:p>
            <w:pPr>
              <w:jc w:val="right"/>
              <w:ind w:right="5470"/>
              <w:spacing w:after="0"/>
              <w:rPr>
                <w:sz w:val="20"/>
                <w:szCs w:val="20"/>
                <w:color w:val="auto"/>
              </w:rPr>
            </w:pPr>
            <w:r>
              <w:rPr>
                <w:rFonts w:ascii="Arial" w:cs="Arial" w:eastAsia="Arial" w:hAnsi="Arial"/>
                <w:sz w:val="18"/>
                <w:szCs w:val="18"/>
                <w:b w:val="1"/>
                <w:bCs w:val="1"/>
                <w:color w:val="auto"/>
                <w:w w:val="99"/>
              </w:rPr>
              <w:t>Years Ending December 31,</w:t>
            </w:r>
          </w:p>
        </w:tc>
        <w:tc>
          <w:tcPr>
            <w:tcW w:w="13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jc w:val="right"/>
              <w:ind w:right="7330"/>
              <w:spacing w:after="0" w:line="202" w:lineRule="exact"/>
              <w:rPr>
                <w:sz w:val="20"/>
                <w:szCs w:val="20"/>
                <w:color w:val="auto"/>
              </w:rPr>
            </w:pPr>
            <w:r>
              <w:rPr>
                <w:rFonts w:ascii="Arial" w:cs="Arial" w:eastAsia="Arial" w:hAnsi="Arial"/>
                <w:sz w:val="18"/>
                <w:szCs w:val="18"/>
                <w:color w:val="auto"/>
              </w:rPr>
              <w:t>2026</w:t>
            </w:r>
          </w:p>
        </w:tc>
        <w:tc>
          <w:tcPr>
            <w:tcW w:w="1360" w:type="dxa"/>
            <w:vAlign w:val="bottom"/>
          </w:tcPr>
          <w:p>
            <w:pPr>
              <w:jc w:val="right"/>
              <w:ind w:right="1170"/>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jc w:val="right"/>
              <w:ind w:right="7330"/>
              <w:spacing w:after="0" w:line="202" w:lineRule="exact"/>
              <w:rPr>
                <w:sz w:val="20"/>
                <w:szCs w:val="20"/>
                <w:color w:val="auto"/>
              </w:rPr>
            </w:pPr>
            <w:r>
              <w:rPr>
                <w:rFonts w:ascii="Arial" w:cs="Arial" w:eastAsia="Arial" w:hAnsi="Arial"/>
                <w:sz w:val="18"/>
                <w:szCs w:val="18"/>
                <w:color w:val="auto"/>
              </w:rPr>
              <w:t>2027</w:t>
            </w:r>
          </w:p>
        </w:tc>
        <w:tc>
          <w:tcPr>
            <w:tcW w:w="136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jc w:val="right"/>
              <w:ind w:right="7330"/>
              <w:spacing w:after="0" w:line="202" w:lineRule="exact"/>
              <w:rPr>
                <w:sz w:val="20"/>
                <w:szCs w:val="20"/>
                <w:color w:val="auto"/>
              </w:rPr>
            </w:pPr>
            <w:r>
              <w:rPr>
                <w:rFonts w:ascii="Arial" w:cs="Arial" w:eastAsia="Arial" w:hAnsi="Arial"/>
                <w:sz w:val="18"/>
                <w:szCs w:val="18"/>
                <w:color w:val="auto"/>
              </w:rPr>
              <w:t>2028</w:t>
            </w:r>
          </w:p>
        </w:tc>
        <w:tc>
          <w:tcPr>
            <w:tcW w:w="13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tcPr>
          <w:p>
            <w:pPr>
              <w:spacing w:after="0"/>
              <w:rPr>
                <w:sz w:val="17"/>
                <w:szCs w:val="17"/>
                <w:color w:val="auto"/>
              </w:rPr>
            </w:pPr>
          </w:p>
        </w:tc>
      </w:tr>
      <w:tr>
        <w:trPr>
          <w:trHeight w:val="203"/>
        </w:trPr>
        <w:tc>
          <w:tcPr>
            <w:tcW w:w="7940" w:type="dxa"/>
            <w:vAlign w:val="bottom"/>
            <w:tcBorders>
              <w:bottom w:val="single" w:sz="8" w:color="CFF0FC"/>
            </w:tcBorders>
            <w:shd w:val="clear" w:color="auto" w:fill="CFF0FC"/>
          </w:tcPr>
          <w:p>
            <w:pPr>
              <w:jc w:val="right"/>
              <w:ind w:right="7330"/>
              <w:spacing w:after="0" w:line="202" w:lineRule="exact"/>
              <w:rPr>
                <w:sz w:val="20"/>
                <w:szCs w:val="20"/>
                <w:color w:val="auto"/>
              </w:rPr>
            </w:pPr>
            <w:r>
              <w:rPr>
                <w:rFonts w:ascii="Arial" w:cs="Arial" w:eastAsia="Arial" w:hAnsi="Arial"/>
                <w:sz w:val="18"/>
                <w:szCs w:val="18"/>
                <w:color w:val="auto"/>
              </w:rPr>
              <w:t>2029</w:t>
            </w:r>
          </w:p>
        </w:tc>
        <w:tc>
          <w:tcPr>
            <w:tcW w:w="136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jc w:val="right"/>
              <w:ind w:right="4970"/>
              <w:spacing w:after="0" w:line="196" w:lineRule="exact"/>
              <w:rPr>
                <w:sz w:val="20"/>
                <w:szCs w:val="20"/>
                <w:color w:val="auto"/>
              </w:rPr>
            </w:pPr>
            <w:r>
              <w:rPr>
                <w:rFonts w:ascii="Arial" w:cs="Arial" w:eastAsia="Arial" w:hAnsi="Arial"/>
                <w:sz w:val="18"/>
                <w:szCs w:val="18"/>
                <w:color w:val="auto"/>
              </w:rPr>
              <w:t>Total future amortization expense</w:t>
            </w:r>
          </w:p>
        </w:tc>
        <w:tc>
          <w:tcPr>
            <w:tcW w:w="1360" w:type="dxa"/>
            <w:vAlign w:val="bottom"/>
            <w:tcBorders>
              <w:bottom w:val="single" w:sz="8" w:color="auto"/>
            </w:tcBorders>
          </w:tcPr>
          <w:p>
            <w:pPr>
              <w:jc w:val="right"/>
              <w:ind w:right="117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11,987</w:t>
            </w:r>
          </w:p>
        </w:tc>
        <w:tc>
          <w:tcPr>
            <w:tcW w:w="100" w:type="dxa"/>
            <w:vAlign w:val="bottom"/>
          </w:tcPr>
          <w:p>
            <w:pPr>
              <w:spacing w:after="0"/>
              <w:rPr>
                <w:sz w:val="17"/>
                <w:szCs w:val="17"/>
                <w:color w:val="auto"/>
              </w:rPr>
            </w:pPr>
          </w:p>
        </w:tc>
      </w:tr>
      <w:tr>
        <w:trPr>
          <w:trHeight w:val="20"/>
        </w:trPr>
        <w:tc>
          <w:tcPr>
            <w:tcW w:w="7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There were no impairments of goodwill, internal-use software development costs or intangible assets in the years ended December 31, 2025, 2024 and 2023.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Prepaid expenses and other assets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prepaid expenses and other assets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5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r>
      <w:tr>
        <w:trPr>
          <w:trHeight w:val="196"/>
        </w:trPr>
        <w:tc>
          <w:tcPr>
            <w:tcW w:w="516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Prepaid expenses and other assets:</w:t>
            </w:r>
          </w:p>
        </w:tc>
        <w:tc>
          <w:tcPr>
            <w:tcW w:w="1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w:t>
            </w:r>
          </w:p>
        </w:tc>
        <w:tc>
          <w:tcPr>
            <w:tcW w:w="1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8,138</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6,584</w:t>
            </w:r>
          </w:p>
        </w:tc>
        <w:tc>
          <w:tcPr>
            <w:tcW w:w="120" w:type="dxa"/>
            <w:vAlign w:val="bottom"/>
          </w:tcPr>
          <w:p>
            <w:pPr>
              <w:spacing w:after="0"/>
              <w:rPr>
                <w:sz w:val="17"/>
                <w:szCs w:val="17"/>
                <w:color w:val="auto"/>
              </w:rPr>
            </w:pPr>
          </w:p>
        </w:tc>
      </w:tr>
      <w:tr>
        <w:trPr>
          <w:trHeight w:val="203"/>
        </w:trPr>
        <w:tc>
          <w:tcPr>
            <w:tcW w:w="51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Contract acquisition costs</w:t>
            </w:r>
          </w:p>
        </w:tc>
        <w:tc>
          <w:tcPr>
            <w:tcW w:w="1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7,402</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6,657</w:t>
            </w:r>
          </w:p>
        </w:tc>
        <w:tc>
          <w:tcPr>
            <w:tcW w:w="120" w:type="dxa"/>
            <w:vAlign w:val="bottom"/>
            <w:shd w:val="clear" w:color="auto" w:fill="CFF0FC"/>
          </w:tcPr>
          <w:p>
            <w:pPr>
              <w:spacing w:after="0"/>
              <w:rPr>
                <w:sz w:val="17"/>
                <w:szCs w:val="17"/>
                <w:color w:val="auto"/>
              </w:rPr>
            </w:pPr>
          </w:p>
        </w:tc>
      </w:tr>
      <w:tr>
        <w:trPr>
          <w:trHeight w:val="203"/>
        </w:trPr>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Other assets</w:t>
            </w:r>
          </w:p>
        </w:tc>
        <w:tc>
          <w:tcPr>
            <w:tcW w:w="1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2,832</w:t>
            </w:r>
          </w:p>
        </w:tc>
        <w:tc>
          <w:tcPr>
            <w:tcW w:w="120" w:type="dxa"/>
            <w:vAlign w:val="bottom"/>
          </w:tcPr>
          <w:p>
            <w:pPr>
              <w:spacing w:after="0"/>
              <w:rPr>
                <w:sz w:val="17"/>
                <w:szCs w:val="17"/>
                <w:color w:val="auto"/>
              </w:rPr>
            </w:pPr>
          </w:p>
        </w:tc>
      </w:tr>
      <w:tr>
        <w:trPr>
          <w:trHeight w:val="216"/>
        </w:trPr>
        <w:tc>
          <w:tcPr>
            <w:tcW w:w="5160" w:type="dxa"/>
            <w:vAlign w:val="bottom"/>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prepaid expenses and other assets</w:t>
            </w:r>
          </w:p>
        </w:tc>
        <w:tc>
          <w:tcPr>
            <w:tcW w:w="196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17,509</w:t>
            </w:r>
          </w:p>
        </w:tc>
        <w:tc>
          <w:tcPr>
            <w:tcW w:w="40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16,073</w:t>
            </w:r>
          </w:p>
        </w:tc>
        <w:tc>
          <w:tcPr>
            <w:tcW w:w="120" w:type="dxa"/>
            <w:vAlign w:val="bottom"/>
            <w:shd w:val="clear" w:color="auto" w:fill="CFF0FC"/>
          </w:tcPr>
          <w:p>
            <w:pPr>
              <w:spacing w:after="0"/>
              <w:rPr>
                <w:sz w:val="18"/>
                <w:szCs w:val="18"/>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ind w:right="1820" w:firstLine="499"/>
        <w:spacing w:after="0" w:line="253" w:lineRule="auto"/>
        <w:rPr>
          <w:sz w:val="20"/>
          <w:szCs w:val="20"/>
          <w:color w:val="auto"/>
        </w:rPr>
      </w:pPr>
      <w:r>
        <w:rPr>
          <w:rFonts w:ascii="Arial" w:cs="Arial" w:eastAsia="Arial" w:hAnsi="Arial"/>
          <w:sz w:val="18"/>
          <w:szCs w:val="18"/>
          <w:color w:val="auto"/>
        </w:rPr>
        <w:t>Contract acquisition costs consist of upfront customer contract discounts, unamortized warrants cost and sales commissions. Other assets consist of security deposits for leased properties, investment in term deposits and input tax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04"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8"/>
          <w:szCs w:val="18"/>
          <w:color w:val="auto"/>
        </w:rPr>
        <w:t>The Company enters into operating and finance leases, primarily related to rental of office space, equipment and data centers. Operating leases have remaining lease terms which range from less than one year to five years, and often include one or more renewal or termination options. These options are not included in the determination of the lease term at commencement unless it is reasonably certain that the Company will exercise the option.</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1"/>
        </w:trPr>
        <w:tc>
          <w:tcPr>
            <w:tcW w:w="7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7"/>
                <w:szCs w:val="17"/>
                <w:color w:val="auto"/>
              </w:rPr>
            </w:pPr>
          </w:p>
        </w:tc>
      </w:tr>
      <w:tr>
        <w:trPr>
          <w:trHeight w:val="196"/>
        </w:trPr>
        <w:tc>
          <w:tcPr>
            <w:tcW w:w="7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Lease costs:</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Finance lease costs: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34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Amortization of right-of-use-assets</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7"/>
                <w:szCs w:val="17"/>
                <w:color w:val="auto"/>
              </w:rPr>
            </w:pPr>
          </w:p>
        </w:tc>
      </w:tr>
      <w:tr>
        <w:trPr>
          <w:trHeight w:val="203"/>
        </w:trPr>
        <w:tc>
          <w:tcPr>
            <w:tcW w:w="7340" w:type="dxa"/>
            <w:vAlign w:val="bottom"/>
          </w:tcPr>
          <w:p>
            <w:pPr>
              <w:ind w:left="600"/>
              <w:spacing w:after="0" w:line="202" w:lineRule="exact"/>
              <w:rPr>
                <w:sz w:val="20"/>
                <w:szCs w:val="20"/>
                <w:color w:val="auto"/>
              </w:rPr>
            </w:pPr>
            <w:r>
              <w:rPr>
                <w:rFonts w:ascii="Arial" w:cs="Arial" w:eastAsia="Arial" w:hAnsi="Arial"/>
                <w:sz w:val="18"/>
                <w:szCs w:val="18"/>
                <w:color w:val="auto"/>
              </w:rPr>
              <w:t>Total finance lease costs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r>
      <w:tr>
        <w:trPr>
          <w:trHeight w:val="203"/>
        </w:trPr>
        <w:tc>
          <w:tcPr>
            <w:tcW w:w="73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costs</w:t>
            </w:r>
          </w:p>
        </w:tc>
        <w:tc>
          <w:tcPr>
            <w:tcW w:w="1080" w:type="dxa"/>
            <w:vAlign w:val="bottom"/>
            <w:gridSpan w:val="2"/>
            <w:shd w:val="clear" w:color="auto" w:fill="CFF0FC"/>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2,354</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2,389</w:t>
            </w:r>
          </w:p>
        </w:tc>
        <w:tc>
          <w:tcPr>
            <w:tcW w:w="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2,150</w:t>
            </w:r>
          </w:p>
        </w:tc>
        <w:tc>
          <w:tcPr>
            <w:tcW w:w="100" w:type="dxa"/>
            <w:vAlign w:val="bottom"/>
            <w:shd w:val="clear" w:color="auto" w:fill="CFF0FC"/>
          </w:tcPr>
          <w:p>
            <w:pPr>
              <w:spacing w:after="0"/>
              <w:rPr>
                <w:sz w:val="17"/>
                <w:szCs w:val="17"/>
                <w:color w:val="auto"/>
              </w:rPr>
            </w:pPr>
          </w:p>
        </w:tc>
      </w:tr>
      <w:tr>
        <w:trPr>
          <w:trHeight w:val="203"/>
        </w:trPr>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Short-term lease costs</w:t>
            </w:r>
          </w:p>
        </w:tc>
        <w:tc>
          <w:tcPr>
            <w:tcW w:w="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707</w:t>
            </w:r>
          </w:p>
        </w:tc>
        <w:tc>
          <w:tcPr>
            <w:tcW w:w="100" w:type="dxa"/>
            <w:vAlign w:val="bottom"/>
          </w:tcPr>
          <w:p>
            <w:pPr>
              <w:spacing w:after="0"/>
              <w:rPr>
                <w:sz w:val="17"/>
                <w:szCs w:val="17"/>
                <w:color w:val="auto"/>
              </w:rPr>
            </w:pPr>
          </w:p>
        </w:tc>
      </w:tr>
      <w:tr>
        <w:trPr>
          <w:trHeight w:val="236"/>
        </w:trPr>
        <w:tc>
          <w:tcPr>
            <w:tcW w:w="73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lease costs</w:t>
            </w:r>
          </w:p>
        </w:tc>
        <w:tc>
          <w:tcPr>
            <w:tcW w:w="1080" w:type="dxa"/>
            <w:vAlign w:val="bottom"/>
            <w:gridSpan w:val="2"/>
            <w:shd w:val="clear" w:color="auto" w:fill="CFF0FC"/>
          </w:tcPr>
          <w:p>
            <w:pPr>
              <w:jc w:val="right"/>
              <w:ind w:right="710"/>
              <w:spacing w:after="0" w:line="18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2,843</w:t>
            </w:r>
          </w:p>
        </w:tc>
        <w:tc>
          <w:tcPr>
            <w:tcW w:w="34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3,020</w:t>
            </w:r>
          </w:p>
        </w:tc>
        <w:tc>
          <w:tcPr>
            <w:tcW w:w="32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2,923</w:t>
            </w:r>
          </w:p>
        </w:tc>
        <w:tc>
          <w:tcPr>
            <w:tcW w:w="100" w:type="dxa"/>
            <w:vAlign w:val="bottom"/>
            <w:shd w:val="clear" w:color="auto" w:fill="CFF0FC"/>
          </w:tcPr>
          <w:p>
            <w:pPr>
              <w:spacing w:after="0"/>
              <w:rPr>
                <w:sz w:val="20"/>
                <w:szCs w:val="20"/>
                <w:color w:val="auto"/>
              </w:rPr>
            </w:pPr>
          </w:p>
        </w:tc>
      </w:tr>
      <w:tr>
        <w:trPr>
          <w:trHeight w:val="308"/>
        </w:trPr>
        <w:tc>
          <w:tcPr>
            <w:tcW w:w="7340" w:type="dxa"/>
            <w:vAlign w:val="bottom"/>
            <w:tcBorders>
              <w:top w:val="single" w:sz="8" w:color="CFF0FC"/>
            </w:tcBorders>
          </w:tcPr>
          <w:p>
            <w:pPr>
              <w:ind w:left="500"/>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18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93"/>
        </w:trPr>
        <w:tc>
          <w:tcPr>
            <w:tcW w:w="7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7"/>
                <w:szCs w:val="17"/>
                <w:color w:val="auto"/>
              </w:rPr>
            </w:pPr>
          </w:p>
        </w:tc>
      </w:tr>
      <w:tr>
        <w:trPr>
          <w:trHeight w:val="196"/>
        </w:trPr>
        <w:tc>
          <w:tcPr>
            <w:tcW w:w="7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1080" w:type="dxa"/>
            <w:vAlign w:val="bottom"/>
            <w:gridSpan w:val="2"/>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2,494</w:t>
            </w: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2,361</w:t>
            </w: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2,152</w:t>
            </w:r>
          </w:p>
        </w:tc>
        <w:tc>
          <w:tcPr>
            <w:tcW w:w="100" w:type="dxa"/>
            <w:vAlign w:val="bottom"/>
          </w:tcPr>
          <w:p>
            <w:pPr>
              <w:spacing w:after="0"/>
              <w:rPr>
                <w:sz w:val="17"/>
                <w:szCs w:val="17"/>
                <w:color w:val="auto"/>
              </w:rPr>
            </w:pPr>
          </w:p>
        </w:tc>
      </w:tr>
      <w:tr>
        <w:trPr>
          <w:trHeight w:val="203"/>
        </w:trPr>
        <w:tc>
          <w:tcPr>
            <w:tcW w:w="73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Financing cash flows for finance leases</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7"/>
                <w:szCs w:val="17"/>
                <w:color w:val="auto"/>
              </w:rPr>
            </w:pPr>
          </w:p>
        </w:tc>
      </w:tr>
      <w:tr>
        <w:trPr>
          <w:trHeight w:val="239"/>
        </w:trPr>
        <w:tc>
          <w:tcPr>
            <w:tcW w:w="7340" w:type="dxa"/>
            <w:vAlign w:val="bottom"/>
          </w:tcPr>
          <w:p>
            <w:pPr>
              <w:spacing w:after="0"/>
              <w:rPr>
                <w:sz w:val="20"/>
                <w:szCs w:val="20"/>
                <w:color w:val="auto"/>
              </w:rPr>
            </w:pPr>
            <w:r>
              <w:rPr>
                <w:rFonts w:ascii="Arial" w:cs="Arial" w:eastAsia="Arial" w:hAnsi="Arial"/>
                <w:sz w:val="18"/>
                <w:szCs w:val="18"/>
                <w:color w:val="auto"/>
              </w:rPr>
              <w:t>Right-of-use assets obtained in exchange of operating lease obligations</w:t>
            </w:r>
          </w:p>
        </w:tc>
        <w:tc>
          <w:tcPr>
            <w:tcW w:w="10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-1102360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-1085215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-1102360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-1085215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-1102360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-1085215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total remaining lease payments under non-cancelable operating leases as of December 31, 2025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50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2026</w:t>
            </w:r>
          </w:p>
        </w:tc>
        <w:tc>
          <w:tcPr>
            <w:tcW w:w="26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2,571</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40"/>
              <w:spacing w:after="0" w:line="202" w:lineRule="exact"/>
              <w:rPr>
                <w:sz w:val="20"/>
                <w:szCs w:val="20"/>
                <w:color w:val="auto"/>
              </w:rPr>
            </w:pPr>
            <w:r>
              <w:rPr>
                <w:rFonts w:ascii="Arial" w:cs="Arial" w:eastAsia="Arial" w:hAnsi="Arial"/>
                <w:sz w:val="18"/>
                <w:szCs w:val="18"/>
                <w:color w:val="auto"/>
              </w:rPr>
              <w:t>2027</w:t>
            </w:r>
          </w:p>
        </w:tc>
        <w:tc>
          <w:tcPr>
            <w:tcW w:w="2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1,621</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2028</w:t>
            </w:r>
          </w:p>
        </w:tc>
        <w:tc>
          <w:tcPr>
            <w:tcW w:w="26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1,179</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40"/>
              <w:spacing w:after="0" w:line="202" w:lineRule="exact"/>
              <w:rPr>
                <w:sz w:val="20"/>
                <w:szCs w:val="20"/>
                <w:color w:val="auto"/>
              </w:rPr>
            </w:pPr>
            <w:r>
              <w:rPr>
                <w:rFonts w:ascii="Arial" w:cs="Arial" w:eastAsia="Arial" w:hAnsi="Arial"/>
                <w:sz w:val="18"/>
                <w:szCs w:val="18"/>
                <w:color w:val="auto"/>
              </w:rPr>
              <w:t>2029</w:t>
            </w:r>
          </w:p>
        </w:tc>
        <w:tc>
          <w:tcPr>
            <w:tcW w:w="2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913</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2030</w:t>
            </w:r>
          </w:p>
        </w:tc>
        <w:tc>
          <w:tcPr>
            <w:tcW w:w="26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861</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40"/>
              <w:spacing w:after="0" w:line="202" w:lineRule="exact"/>
              <w:rPr>
                <w:sz w:val="20"/>
                <w:szCs w:val="20"/>
                <w:color w:val="auto"/>
              </w:rPr>
            </w:pPr>
            <w:r>
              <w:rPr>
                <w:rFonts w:ascii="Arial" w:cs="Arial" w:eastAsia="Arial" w:hAnsi="Arial"/>
                <w:sz w:val="18"/>
                <w:szCs w:val="18"/>
                <w:color w:val="auto"/>
              </w:rPr>
              <w:t>Thereafter</w:t>
            </w:r>
          </w:p>
        </w:tc>
        <w:tc>
          <w:tcPr>
            <w:tcW w:w="26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w:t>
            </w:r>
          </w:p>
        </w:tc>
        <w:tc>
          <w:tcPr>
            <w:tcW w:w="100" w:type="dxa"/>
            <w:vAlign w:val="bottom"/>
          </w:tcPr>
          <w:p>
            <w:pPr>
              <w:spacing w:after="0"/>
              <w:rPr>
                <w:sz w:val="17"/>
                <w:szCs w:val="17"/>
                <w:color w:val="auto"/>
              </w:rPr>
            </w:pPr>
          </w:p>
        </w:tc>
      </w:tr>
      <w:tr>
        <w:trPr>
          <w:trHeight w:val="196"/>
        </w:trPr>
        <w:tc>
          <w:tcPr>
            <w:tcW w:w="6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minimum lease payments including interest</w:t>
            </w:r>
          </w:p>
        </w:tc>
        <w:tc>
          <w:tcPr>
            <w:tcW w:w="3440" w:type="dxa"/>
            <w:vAlign w:val="bottom"/>
            <w:gridSpan w:val="2"/>
            <w:shd w:val="clear" w:color="auto" w:fill="CFF0FC"/>
          </w:tcPr>
          <w:p>
            <w:pPr>
              <w:jc w:val="right"/>
              <w:ind w:right="7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7,286</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2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(432)</w:t>
            </w:r>
          </w:p>
        </w:tc>
      </w:tr>
      <w:tr>
        <w:trPr>
          <w:trHeight w:val="20"/>
        </w:trPr>
        <w:tc>
          <w:tcPr>
            <w:tcW w:w="6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5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lease liabilities</w:t>
            </w:r>
          </w:p>
        </w:tc>
        <w:tc>
          <w:tcPr>
            <w:tcW w:w="3440" w:type="dxa"/>
            <w:vAlign w:val="bottom"/>
            <w:gridSpan w:val="2"/>
            <w:shd w:val="clear" w:color="auto" w:fill="CFF0FC"/>
          </w:tcPr>
          <w:p>
            <w:pPr>
              <w:jc w:val="right"/>
              <w:ind w:right="740"/>
              <w:spacing w:after="0" w:line="18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6,854</w:t>
            </w:r>
          </w:p>
        </w:tc>
        <w:tc>
          <w:tcPr>
            <w:tcW w:w="100" w:type="dxa"/>
            <w:vAlign w:val="bottom"/>
            <w:shd w:val="clear" w:color="auto" w:fill="CFF0FC"/>
          </w:tcPr>
          <w:p>
            <w:pPr>
              <w:spacing w:after="0"/>
              <w:rPr>
                <w:sz w:val="18"/>
                <w:szCs w:val="18"/>
                <w:color w:val="auto"/>
              </w:rPr>
            </w:pP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As of December 31, 2025, and 2024, the weighted-average remaining lease term and discount rate for the Company’s operating leases were 5.0 years and 3.8%, and 4.6 years and 3.8%, respectively.</w:t>
      </w:r>
    </w:p>
    <w:p>
      <w:pPr>
        <w:sectPr>
          <w:pgSz w:w="11900" w:h="16838" w:orient="portrait"/>
          <w:cols w:equalWidth="0" w:num="1">
            <w:col w:w="11240"/>
          </w:cols>
          <w:pgMar w:left="320" w:top="985" w:right="339" w:bottom="1440" w:gutter="0" w:footer="0" w:header="0"/>
        </w:sectPr>
      </w:pPr>
    </w:p>
    <w:p>
      <w:pPr>
        <w:spacing w:after="0" w:line="154"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Liabilities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composition of accrued and other liabilities is as follows:</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Payroll and employee-related expenses</w:t>
      </w:r>
    </w:p>
    <w:p>
      <w:pPr>
        <w:ind w:left="10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 accrued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2024</w:t>
            </w:r>
          </w:p>
        </w:tc>
      </w:tr>
      <w:tr>
        <w:trPr>
          <w:trHeight w:val="380"/>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21,359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16,650</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5,749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8,095</w:t>
            </w:r>
          </w:p>
        </w:tc>
      </w:tr>
      <w:tr>
        <w:trPr>
          <w:trHeight w:val="221"/>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r>
      <w:tr>
        <w:trPr>
          <w:trHeight w:val="196"/>
        </w:trPr>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28,354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26,462</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6160" w:space="720"/>
            <w:col w:w="4360"/>
          </w:cols>
          <w:pgMar w:left="320" w:top="985" w:right="339" w:bottom="1440" w:gutter="0" w:footer="0" w:header="0"/>
          <w:type w:val="continuous"/>
        </w:sectPr>
      </w:pPr>
    </w:p>
    <w:p>
      <w:pPr>
        <w:ind w:right="1560" w:firstLine="499"/>
        <w:spacing w:after="0" w:line="275" w:lineRule="auto"/>
        <w:rPr>
          <w:sz w:val="20"/>
          <w:szCs w:val="20"/>
          <w:color w:val="auto"/>
        </w:rPr>
      </w:pPr>
      <w:r>
        <w:rPr>
          <w:rFonts w:ascii="Arial" w:cs="Arial" w:eastAsia="Arial" w:hAnsi="Arial"/>
          <w:sz w:val="17"/>
          <w:szCs w:val="17"/>
          <w:color w:val="auto"/>
        </w:rPr>
        <w:t>Other accrued expenses consist of professional services, legal accruals, obligations related to agency commissions and other miscellaneous accruals. Other liabilities primarily consist of amounts payable to customers related to refunds arising from various circumstances, including dispute settlements and other customer-related transactions.</w:t>
      </w:r>
    </w:p>
    <w:p>
      <w:pPr>
        <w:spacing w:after="0" w:line="152"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02"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The Company has entered into certain non-cancelable agreements for software and marketing services that specify all significant terms, including fixed or minimum services to be used, pricing provisions and the approximate timing of the transaction.</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9" w:name="page80"/>
    <w:bookmarkEnd w:id="79"/>
    <w:p>
      <w:pPr>
        <w:ind w:left="500"/>
        <w:spacing w:after="0"/>
        <w:rPr>
          <w:sz w:val="20"/>
          <w:szCs w:val="20"/>
          <w:color w:val="auto"/>
        </w:rPr>
      </w:pPr>
      <w:r>
        <w:rPr>
          <w:rFonts w:ascii="Arial" w:cs="Arial" w:eastAsia="Arial" w:hAnsi="Arial"/>
          <w:sz w:val="18"/>
          <w:szCs w:val="18"/>
          <w:color w:val="auto"/>
        </w:rPr>
        <w:t>Future minimum payments under other non-cancellable agreements as of December 31, 2025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tcPr>
          <w:p>
            <w:pPr>
              <w:spacing w:after="0"/>
              <w:rPr>
                <w:sz w:val="17"/>
                <w:szCs w:val="17"/>
                <w:color w:val="auto"/>
              </w:rPr>
            </w:pPr>
          </w:p>
        </w:tc>
        <w:tc>
          <w:tcPr>
            <w:tcW w:w="2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Future minimum</w:t>
            </w:r>
          </w:p>
        </w:tc>
      </w:tr>
      <w:tr>
        <w:trPr>
          <w:trHeight w:val="221"/>
        </w:trPr>
        <w:tc>
          <w:tcPr>
            <w:tcW w:w="9160" w:type="dxa"/>
            <w:vAlign w:val="bottom"/>
          </w:tcPr>
          <w:p>
            <w:pPr>
              <w:spacing w:after="0"/>
              <w:rPr>
                <w:sz w:val="19"/>
                <w:szCs w:val="19"/>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payments</w:t>
            </w:r>
          </w:p>
        </w:tc>
      </w:tr>
      <w:tr>
        <w:trPr>
          <w:trHeight w:val="196"/>
        </w:trPr>
        <w:tc>
          <w:tcPr>
            <w:tcW w:w="9160" w:type="dxa"/>
            <w:vAlign w:val="bottom"/>
            <w:shd w:val="clear" w:color="auto" w:fill="CFF0FC"/>
          </w:tcPr>
          <w:p>
            <w:pPr>
              <w:jc w:val="right"/>
              <w:ind w:right="6890"/>
              <w:spacing w:after="0" w:line="196" w:lineRule="exact"/>
              <w:rPr>
                <w:sz w:val="20"/>
                <w:szCs w:val="20"/>
                <w:color w:val="auto"/>
              </w:rPr>
            </w:pPr>
            <w:r>
              <w:rPr>
                <w:rFonts w:ascii="Arial" w:cs="Arial" w:eastAsia="Arial" w:hAnsi="Arial"/>
                <w:sz w:val="18"/>
                <w:szCs w:val="18"/>
                <w:color w:val="auto"/>
                <w:w w:val="99"/>
              </w:rPr>
              <w:t>Year Ending December 31,</w:t>
            </w:r>
          </w:p>
        </w:tc>
        <w:tc>
          <w:tcPr>
            <w:tcW w:w="1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160" w:type="dxa"/>
            <w:vAlign w:val="bottom"/>
          </w:tcPr>
          <w:p>
            <w:pPr>
              <w:jc w:val="right"/>
              <w:ind w:right="8430"/>
              <w:spacing w:after="0" w:line="202" w:lineRule="exact"/>
              <w:rPr>
                <w:sz w:val="20"/>
                <w:szCs w:val="20"/>
                <w:color w:val="auto"/>
              </w:rPr>
            </w:pPr>
            <w:r>
              <w:rPr>
                <w:rFonts w:ascii="Arial" w:cs="Arial" w:eastAsia="Arial" w:hAnsi="Arial"/>
                <w:sz w:val="18"/>
                <w:szCs w:val="18"/>
                <w:color w:val="auto"/>
              </w:rPr>
              <w:t>2026</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9,252</w:t>
            </w:r>
          </w:p>
        </w:tc>
        <w:tc>
          <w:tcPr>
            <w:tcW w:w="100" w:type="dxa"/>
            <w:vAlign w:val="bottom"/>
          </w:tcPr>
          <w:p>
            <w:pPr>
              <w:spacing w:after="0"/>
              <w:rPr>
                <w:sz w:val="17"/>
                <w:szCs w:val="17"/>
                <w:color w:val="auto"/>
              </w:rPr>
            </w:pPr>
          </w:p>
        </w:tc>
      </w:tr>
      <w:tr>
        <w:trPr>
          <w:trHeight w:val="202"/>
        </w:trPr>
        <w:tc>
          <w:tcPr>
            <w:tcW w:w="9160" w:type="dxa"/>
            <w:vAlign w:val="bottom"/>
            <w:shd w:val="clear" w:color="auto" w:fill="CFF0FC"/>
          </w:tcPr>
          <w:p>
            <w:pPr>
              <w:jc w:val="right"/>
              <w:ind w:right="8430"/>
              <w:spacing w:after="0" w:line="202" w:lineRule="exact"/>
              <w:rPr>
                <w:sz w:val="20"/>
                <w:szCs w:val="20"/>
                <w:color w:val="auto"/>
              </w:rPr>
            </w:pPr>
            <w:r>
              <w:rPr>
                <w:rFonts w:ascii="Arial" w:cs="Arial" w:eastAsia="Arial" w:hAnsi="Arial"/>
                <w:sz w:val="18"/>
                <w:szCs w:val="18"/>
                <w:color w:val="auto"/>
              </w:rPr>
              <w:t>2027</w:t>
            </w: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4,671</w:t>
            </w:r>
          </w:p>
        </w:tc>
        <w:tc>
          <w:tcPr>
            <w:tcW w:w="100" w:type="dxa"/>
            <w:vAlign w:val="bottom"/>
            <w:shd w:val="clear" w:color="auto" w:fill="CFF0FC"/>
          </w:tcPr>
          <w:p>
            <w:pPr>
              <w:spacing w:after="0"/>
              <w:rPr>
                <w:sz w:val="17"/>
                <w:szCs w:val="17"/>
                <w:color w:val="auto"/>
              </w:rPr>
            </w:pPr>
          </w:p>
        </w:tc>
      </w:tr>
      <w:tr>
        <w:trPr>
          <w:trHeight w:val="203"/>
        </w:trPr>
        <w:tc>
          <w:tcPr>
            <w:tcW w:w="9160" w:type="dxa"/>
            <w:vAlign w:val="bottom"/>
          </w:tcPr>
          <w:p>
            <w:pPr>
              <w:jc w:val="right"/>
              <w:ind w:right="8430"/>
              <w:spacing w:after="0" w:line="202" w:lineRule="exact"/>
              <w:rPr>
                <w:sz w:val="20"/>
                <w:szCs w:val="20"/>
                <w:color w:val="auto"/>
              </w:rPr>
            </w:pPr>
            <w:r>
              <w:rPr>
                <w:rFonts w:ascii="Arial" w:cs="Arial" w:eastAsia="Arial" w:hAnsi="Arial"/>
                <w:sz w:val="18"/>
                <w:szCs w:val="18"/>
                <w:color w:val="auto"/>
              </w:rPr>
              <w:t>2028</w:t>
            </w: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830</w:t>
            </w:r>
          </w:p>
        </w:tc>
        <w:tc>
          <w:tcPr>
            <w:tcW w:w="100" w:type="dxa"/>
            <w:vAlign w:val="bottom"/>
          </w:tcPr>
          <w:p>
            <w:pPr>
              <w:spacing w:after="0"/>
              <w:rPr>
                <w:sz w:val="17"/>
                <w:szCs w:val="17"/>
                <w:color w:val="auto"/>
              </w:rPr>
            </w:pPr>
          </w:p>
        </w:tc>
      </w:tr>
      <w:tr>
        <w:trPr>
          <w:trHeight w:val="196"/>
        </w:trPr>
        <w:tc>
          <w:tcPr>
            <w:tcW w:w="9160" w:type="dxa"/>
            <w:vAlign w:val="bottom"/>
          </w:tcPr>
          <w:p>
            <w:pPr>
              <w:spacing w:after="0"/>
              <w:rPr>
                <w:sz w:val="17"/>
                <w:szCs w:val="17"/>
                <w:color w:val="auto"/>
              </w:rPr>
            </w:pP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14,753</w:t>
            </w:r>
          </w:p>
        </w:tc>
        <w:tc>
          <w:tcPr>
            <w:tcW w:w="100" w:type="dxa"/>
            <w:vAlign w:val="bottom"/>
          </w:tcPr>
          <w:p>
            <w:pPr>
              <w:spacing w:after="0"/>
              <w:rPr>
                <w:sz w:val="17"/>
                <w:szCs w:val="17"/>
                <w:color w:val="auto"/>
              </w:rPr>
            </w:pPr>
          </w:p>
        </w:tc>
      </w:tr>
      <w:tr>
        <w:trPr>
          <w:trHeight w:val="20"/>
        </w:trPr>
        <w:tc>
          <w:tcPr>
            <w:tcW w:w="91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Company sponsors a 401(k) defined contribution plan covering all eligible U.S. employees. Contributions to the 401(k) plan are discretionary. The Company also has a Deferred Profit Sharing Plan covering all eligible Canadian employees. The Company made $1.7, $1.6 and $1.4 million of matching contributions to the two retirement plans for the years ended December 31, 2025, 2024 and 2023,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From time to time, the Company is subject to or otherwise involved in various lawsuits, claims and legal proceedings that arise out of or are incidental to the conduct of our business, including those relating to employment matters, and contractual and other commercial disputes.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records an accrued liability. Accrued liabilities related to legal matters are included within other accrued liabilities in Note 8. If the loss is not probable or cannot be reasonably estimated, a liability is not recorded in its consolidated financial statements. While it is not feasible to predict or determine the ultimate outcome of these matters, the Company believes that, as of December 31, 2025, no current claims and legal proceedings are expected to have a material adverse effect on its financial position,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generally seeks to limit, or cap, its indemnification exposure in its commercial and other contracts, although some agreements are not limited or capped.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2"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The Company’s amended and restated certificate of incorporation authorizes the issuance of 5,000,000 shares of undesignated preferred stock with a par value of $0.0001 per share with rights and preferences, including voting rights,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jc w:val="both"/>
        <w:spacing w:after="0" w:line="271" w:lineRule="auto"/>
        <w:rPr>
          <w:sz w:val="20"/>
          <w:szCs w:val="20"/>
          <w:color w:val="auto"/>
        </w:rPr>
      </w:pPr>
      <w:r>
        <w:rPr>
          <w:rFonts w:ascii="Arial" w:cs="Arial" w:eastAsia="Arial" w:hAnsi="Arial"/>
          <w:sz w:val="18"/>
          <w:szCs w:val="18"/>
          <w:color w:val="auto"/>
        </w:rPr>
        <w:t>designated from time to time by the board of directors. The Company had no shares of preferred stock issued or outstanding at December 31, 2025 or 2024.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Company has two classes of common stock: Class A common stock and Class B common stock. In connection with the IPO, the Company’s amended and restated certificate of incorporation became effective, which authorized the issuance of 883,950,000 shares of Class A common stock and 111,050,000 shares of Class B common stock. The shares of Class A common stock and Class B common stock are identical, except with respect to voting and conversion. Each share of Class A common stock is entitled to one vote. Each share of Class B common stock is entitled to ten votes. Class A and Class B common stock have a par value of $0.0001 per share, and are referred to as common stock throughout the notes to the consolidated financial statements, unless otherwise noted. Holders of common stock are entitled to receive any dividends as may be declared from time to time by the board of directors.</w:t>
      </w:r>
    </w:p>
    <w:p>
      <w:pPr>
        <w:spacing w:after="0" w:line="77"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Shares of Class B common stock may be converted to Class A common stock at any time at the option of the stockholder. Shares of Class B common stock automatically convert to Class A common stock upon the following: (i) sale or transfer of such share of Class B common stock (other than transfers to certain transferees identified in the Company’s charter); (ii) the death of the Class B common stockholder (or nine months after the date of death if the stockholder is one of the Company’s founders); and (iii) on the first trading day on or after the date on which the outstanding shares of Class B common stock represent less than 10% of the then outstanding Class A and Class B common stock. Following the conversion of all outstanding shares of Class B common stock into Class A common stock, no further shares of Class B common stock will be issued.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On May 13, 2021, the Company entered into a warrant agreement with JPMC Strategic Investments I Corporation (JPMC), an affiliate of J.P. Morgan Securities LLC, an underwriter in our 2021 initial public offering (IPO), pursuant to which the Company agreed to issue a warrant to JPMC for up to 509,370 shares of Class A common stock upon completion of the IPO at an exercise price of $18.38 per share (the “May 2021 warrant agreement”). Upon completion of the IPO, 382,027 of the warrant shares vested and were exercisable. The vesting of the remaining 127,343 shares of Class A common stock underlying the warrant were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 certain commercial milestones was extended through December 31, 2026 and minimum revenue commitments were set for each of the calendar years through 2026. As of December 31, 2025 and 2024, all 509,370 warrant shares were vested and exercisable under the May 2021 warrant agreement.</w:t>
      </w:r>
    </w:p>
    <w:p>
      <w:pPr>
        <w:spacing w:after="0" w:line="7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On August 29, 2022, the Company entered into a second warrant agreement with JPMC, in connection with an amendment to the Company's existing commercial agreement with JPM Chase discussed above, pursuant to which the Company issued a warrant to JPMC for up to 684,510 shares of Class A common stock at an exercise price of $10.10 per share (the “August 2022 warrant agreement”). Upon signing the August 2022 warrant agreement, 171,128 of the warrant shares vested and were exercisable. The vesting of the remaining 513,382 shares of Class A common stock underlying the warrant were subject to the achievement of certain commercial milestones through December 31, 2026 pursuant to the commercial agreement, as amended. During 2024, the Company reassessed the probability relating to achievement of certain milestones related to the August 2022 warrant, and the resulting increase of $0.8 million was recorded as additional paid-in capital and as contract acquisition cost included in prepaid expenses and other assets in the consolidated balance sheets. As of December 31, 2025 and 2024, 684,510 and 175,904 warrant shares were vested and exercisable under the August 2022 warrant agreement,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Warrants granted, vested and exercisable by period, and unvested under outstanding JPMC warrant agreements are shown below: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May 2021</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8"/>
              </w:rPr>
              <w:t>August 2022</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Warrant</w:t>
            </w: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Warrant</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94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Agreement</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Agreement</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Granted</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509,370</w:t>
            </w:r>
          </w:p>
        </w:tc>
        <w:tc>
          <w:tcPr>
            <w:tcW w:w="14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684,510</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1,193,880</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Vesting dates: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 upon issuance</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382,027</w:t>
            </w: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171,128</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553,155</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December 31, 2021</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15,917</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15,917</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December 31, 2022</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19,101</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19,101</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December 31, 2023</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31,835</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31,835</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December 31, 2024</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60,490</w:t>
            </w: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4,776</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65,266</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December 31, 2025</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508,606</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508,606</w:t>
            </w:r>
          </w:p>
        </w:tc>
        <w:tc>
          <w:tcPr>
            <w:tcW w:w="100" w:type="dxa"/>
            <w:vAlign w:val="bottom"/>
          </w:tcPr>
          <w:p>
            <w:pPr>
              <w:spacing w:after="0"/>
              <w:rPr>
                <w:sz w:val="17"/>
                <w:szCs w:val="17"/>
                <w:color w:val="auto"/>
              </w:rPr>
            </w:pPr>
          </w:p>
        </w:tc>
      </w:tr>
      <w:tr>
        <w:trPr>
          <w:trHeight w:val="196"/>
        </w:trPr>
        <w:tc>
          <w:tcPr>
            <w:tcW w:w="694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vested and exercisable</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509,370</w:t>
            </w:r>
          </w:p>
        </w:tc>
        <w:tc>
          <w:tcPr>
            <w:tcW w:w="14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684,510</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1,193,880</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In May 2021, the Company’s board of directors (the "Board")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2024 and 2025, pursuant to the Evergreen Addition, approximately 5.0 million and 5.0 million shares of Class A common stock were added to the 2021 Plan issuance reserve. At December 31, 2025, there were 25.5 million remaining shares available for the Company to grant under the 2021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 summary of the Company’s option activity during the year ended December 31, 2025 was as follows (in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left="330"/>
              <w:spacing w:after="0" w:line="202" w:lineRule="exact"/>
              <w:rPr>
                <w:sz w:val="20"/>
                <w:szCs w:val="20"/>
                <w:color w:val="auto"/>
              </w:rPr>
            </w:pPr>
            <w:r>
              <w:rPr>
                <w:rFonts w:ascii="Arial" w:cs="Arial" w:eastAsia="Arial" w:hAnsi="Arial"/>
                <w:sz w:val="18"/>
                <w:szCs w:val="18"/>
                <w:b w:val="1"/>
                <w:bCs w:val="1"/>
                <w:color w:val="auto"/>
                <w:w w:val="98"/>
              </w:rPr>
              <w:t>Weighted-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left="330"/>
              <w:spacing w:after="0" w:line="202" w:lineRule="exact"/>
              <w:rPr>
                <w:sz w:val="20"/>
                <w:szCs w:val="20"/>
                <w:color w:val="auto"/>
              </w:rPr>
            </w:pPr>
            <w:r>
              <w:rPr>
                <w:rFonts w:ascii="Arial" w:cs="Arial" w:eastAsia="Arial" w:hAnsi="Arial"/>
                <w:sz w:val="18"/>
                <w:szCs w:val="18"/>
                <w:b w:val="1"/>
                <w:bCs w:val="1"/>
                <w:color w:val="auto"/>
                <w:w w:val="98"/>
              </w:rPr>
              <w:t>Average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4320" w:type="dxa"/>
            <w:vAlign w:val="bottom"/>
          </w:tcPr>
          <w:p>
            <w:pPr>
              <w:spacing w:after="0"/>
              <w:rPr>
                <w:sz w:val="17"/>
                <w:szCs w:val="17"/>
                <w:color w:val="auto"/>
              </w:rPr>
            </w:pPr>
          </w:p>
        </w:tc>
        <w:tc>
          <w:tcPr>
            <w:tcW w:w="2000" w:type="dxa"/>
            <w:vAlign w:val="bottom"/>
            <w:gridSpan w:val="2"/>
          </w:tcPr>
          <w:p>
            <w:pPr>
              <w:jc w:val="right"/>
              <w:ind w:right="720"/>
              <w:spacing w:after="0" w:line="202" w:lineRule="exact"/>
              <w:rPr>
                <w:sz w:val="20"/>
                <w:szCs w:val="20"/>
                <w:color w:val="auto"/>
              </w:rPr>
            </w:pPr>
            <w:r>
              <w:rPr>
                <w:rFonts w:ascii="Arial" w:cs="Arial" w:eastAsia="Arial" w:hAnsi="Arial"/>
                <w:sz w:val="18"/>
                <w:szCs w:val="18"/>
                <w:b w:val="1"/>
                <w:bCs w:val="1"/>
                <w:color w:val="auto"/>
              </w:rPr>
              <w:t>Options</w:t>
            </w: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Exercise Price</w:t>
            </w: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21"/>
        </w:trPr>
        <w:tc>
          <w:tcPr>
            <w:tcW w:w="4320" w:type="dxa"/>
            <w:vAlign w:val="bottom"/>
          </w:tcPr>
          <w:p>
            <w:pPr>
              <w:spacing w:after="0"/>
              <w:rPr>
                <w:sz w:val="19"/>
                <w:szCs w:val="19"/>
                <w:color w:val="auto"/>
              </w:rPr>
            </w:pPr>
          </w:p>
        </w:tc>
        <w:tc>
          <w:tcPr>
            <w:tcW w:w="1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8"/>
              </w:rPr>
              <w:t>per Share</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Life </w:t>
            </w:r>
            <w:r>
              <w:rPr>
                <w:rFonts w:ascii="Arial" w:cs="Arial" w:eastAsia="Arial" w:hAnsi="Arial"/>
                <w:sz w:val="18"/>
                <w:szCs w:val="18"/>
                <w:b w:val="1"/>
                <w:bCs w:val="1"/>
                <w:i w:val="1"/>
                <w:iCs w:val="1"/>
                <w:color w:val="auto"/>
                <w:w w:val="99"/>
              </w:rPr>
              <w:t>(years)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9"/>
                <w:szCs w:val="19"/>
                <w:color w:val="auto"/>
              </w:rPr>
            </w:pPr>
          </w:p>
        </w:tc>
      </w:tr>
      <w:tr>
        <w:trPr>
          <w:trHeight w:val="19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2024</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3,534,103</w:t>
            </w:r>
          </w:p>
        </w:tc>
        <w:tc>
          <w:tcPr>
            <w:tcW w:w="1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1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8.47</w:t>
            </w:r>
          </w:p>
        </w:tc>
        <w:tc>
          <w:tcPr>
            <w:tcW w:w="1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4.26</w:t>
            </w: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85,525</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120"/>
              <w:spacing w:after="0" w:line="202" w:lineRule="exact"/>
              <w:rPr>
                <w:sz w:val="20"/>
                <w:szCs w:val="20"/>
                <w:color w:val="auto"/>
              </w:rPr>
            </w:pPr>
            <w:r>
              <w:rPr>
                <w:rFonts w:ascii="Arial" w:cs="Arial" w:eastAsia="Arial" w:hAnsi="Arial"/>
                <w:sz w:val="18"/>
                <w:szCs w:val="18"/>
                <w:color w:val="auto"/>
              </w:rPr>
              <w:t>Options exercised</w:t>
            </w:r>
          </w:p>
        </w:tc>
        <w:tc>
          <w:tcPr>
            <w:tcW w:w="2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(82,476)</w:t>
            </w:r>
          </w:p>
        </w:tc>
        <w:tc>
          <w:tcPr>
            <w:tcW w:w="14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3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Options forfeited</w:t>
            </w:r>
          </w:p>
        </w:tc>
        <w:tc>
          <w:tcPr>
            <w:tcW w:w="20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(8,042)</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0.67</w:t>
            </w: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43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Outstanding at December 31, 2025</w:t>
            </w:r>
          </w:p>
        </w:tc>
        <w:tc>
          <w:tcPr>
            <w:tcW w:w="1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3,443,585</w:t>
            </w:r>
          </w:p>
        </w:tc>
        <w:tc>
          <w:tcPr>
            <w:tcW w:w="100" w:type="dxa"/>
            <w:vAlign w:val="bottom"/>
            <w:tcBorders>
              <w:top w:val="single" w:sz="8" w:color="CFF0FC"/>
            </w:tcBorders>
          </w:tcPr>
          <w:p>
            <w:pPr>
              <w:spacing w:after="0"/>
              <w:rPr>
                <w:sz w:val="17"/>
                <w:szCs w:val="17"/>
                <w:color w:val="auto"/>
              </w:rPr>
            </w:pPr>
          </w:p>
        </w:tc>
        <w:tc>
          <w:tcPr>
            <w:tcW w:w="1400" w:type="dxa"/>
            <w:vAlign w:val="bottom"/>
            <w:tcBorders>
              <w:top w:val="single" w:sz="8" w:color="CFF0FC"/>
            </w:tcBorders>
          </w:tcPr>
          <w:p>
            <w:pPr>
              <w:jc w:val="right"/>
              <w:ind w:right="121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8.64</w:t>
            </w:r>
          </w:p>
        </w:tc>
        <w:tc>
          <w:tcPr>
            <w:tcW w:w="170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3.32</w:t>
            </w:r>
          </w:p>
        </w:tc>
        <w:tc>
          <w:tcPr>
            <w:tcW w:w="220" w:type="dxa"/>
            <w:vAlign w:val="bottom"/>
            <w:tcBorders>
              <w:top w:val="single" w:sz="8" w:color="CFF0FC"/>
            </w:tcBorders>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79,016</w:t>
            </w:r>
          </w:p>
        </w:tc>
        <w:tc>
          <w:tcPr>
            <w:tcW w:w="100" w:type="dxa"/>
            <w:vAlign w:val="bottom"/>
            <w:tcBorders>
              <w:top w:val="single" w:sz="8" w:color="CFF0FC"/>
            </w:tcBorders>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3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Exercisable at December 31, 2025</w:t>
            </w:r>
          </w:p>
        </w:tc>
        <w:tc>
          <w:tcPr>
            <w:tcW w:w="1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3,442,460</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ind w:right="121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8.64</w:t>
            </w:r>
          </w:p>
        </w:tc>
        <w:tc>
          <w:tcPr>
            <w:tcW w:w="17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3.32</w:t>
            </w:r>
          </w:p>
        </w:tc>
        <w:tc>
          <w:tcPr>
            <w:tcW w:w="220" w:type="dxa"/>
            <w:vAlign w:val="bottom"/>
            <w:tcBorders>
              <w:bottom w:val="single" w:sz="8" w:color="CFF0FC"/>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78,991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-316865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fair value of these historical awards was estimated on the date of grant using the Black-Scholes option-pricing model. There were no options granted during the years ended December 31, 2025, 2024 and 2023. Aggregate intrinsic value represents the difference between the exercise price of the options and the fair value of the Company’s common stock. The aggregate intrinsic value of options exercised during the years ended December 31, 2025, 2024 and 2023 was $2.6 million, $7.1 million and $1.6 million, respectively.</w:t>
      </w:r>
    </w:p>
    <w:p>
      <w:pPr>
        <w:spacing w:after="0" w:line="6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At December 31, 2025, total unrecognized compensation cost related to unvested stock options granted under the 2012 Equity Incentive Plan was immaterial and is expected to be recognized over a weighted-average period of less than one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RSUs activity during the year ended December 31, 2025 was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8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8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8320" w:type="dxa"/>
            <w:vAlign w:val="bottom"/>
          </w:tcPr>
          <w:p>
            <w:pPr>
              <w:spacing w:after="0"/>
              <w:rPr>
                <w:sz w:val="17"/>
                <w:szCs w:val="17"/>
                <w:color w:val="auto"/>
              </w:rPr>
            </w:pPr>
          </w:p>
        </w:tc>
        <w:tc>
          <w:tcPr>
            <w:tcW w:w="1480" w:type="dxa"/>
            <w:vAlign w:val="bottom"/>
            <w:gridSpan w:val="2"/>
          </w:tcPr>
          <w:p>
            <w:pPr>
              <w:jc w:val="right"/>
              <w:ind w:right="540"/>
              <w:spacing w:after="0" w:line="202" w:lineRule="exact"/>
              <w:rPr>
                <w:sz w:val="20"/>
                <w:szCs w:val="20"/>
                <w:color w:val="auto"/>
              </w:rPr>
            </w:pPr>
            <w:r>
              <w:rPr>
                <w:rFonts w:ascii="Arial" w:cs="Arial" w:eastAsia="Arial" w:hAnsi="Arial"/>
                <w:sz w:val="18"/>
                <w:szCs w:val="18"/>
                <w:b w:val="1"/>
                <w:bCs w:val="1"/>
                <w:color w:val="auto"/>
              </w:rPr>
              <w:t>RSUs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Grant Date</w:t>
            </w:r>
          </w:p>
        </w:tc>
      </w:tr>
      <w:tr>
        <w:trPr>
          <w:trHeight w:val="221"/>
        </w:trPr>
        <w:tc>
          <w:tcPr>
            <w:tcW w:w="8320" w:type="dxa"/>
            <w:vAlign w:val="bottom"/>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196"/>
        </w:trPr>
        <w:tc>
          <w:tcPr>
            <w:tcW w:w="8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Awarded and unvested at December 31, 2024</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2,096,168</w:t>
            </w:r>
          </w:p>
        </w:tc>
        <w:tc>
          <w:tcPr>
            <w:tcW w:w="8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16.01</w:t>
            </w:r>
          </w:p>
        </w:tc>
        <w:tc>
          <w:tcPr>
            <w:tcW w:w="100" w:type="dxa"/>
            <w:vAlign w:val="bottom"/>
            <w:shd w:val="clear" w:color="auto" w:fill="CFF0FC"/>
          </w:tcPr>
          <w:p>
            <w:pPr>
              <w:spacing w:after="0"/>
              <w:rPr>
                <w:sz w:val="17"/>
                <w:szCs w:val="17"/>
                <w:color w:val="auto"/>
              </w:rPr>
            </w:pPr>
          </w:p>
        </w:tc>
      </w:tr>
      <w:tr>
        <w:trPr>
          <w:trHeight w:val="203"/>
        </w:trPr>
        <w:tc>
          <w:tcPr>
            <w:tcW w:w="8320" w:type="dxa"/>
            <w:vAlign w:val="bottom"/>
          </w:tcPr>
          <w:p>
            <w:pPr>
              <w:ind w:left="220"/>
              <w:spacing w:after="0" w:line="202" w:lineRule="exact"/>
              <w:rPr>
                <w:sz w:val="20"/>
                <w:szCs w:val="20"/>
                <w:color w:val="auto"/>
              </w:rPr>
            </w:pPr>
            <w:r>
              <w:rPr>
                <w:rFonts w:ascii="Arial" w:cs="Arial" w:eastAsia="Arial" w:hAnsi="Arial"/>
                <w:sz w:val="18"/>
                <w:szCs w:val="18"/>
                <w:color w:val="auto"/>
              </w:rPr>
              <w:t>Awards granted</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1,712,341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30.51</w:t>
            </w:r>
          </w:p>
        </w:tc>
        <w:tc>
          <w:tcPr>
            <w:tcW w:w="100" w:type="dxa"/>
            <w:vAlign w:val="bottom"/>
          </w:tcPr>
          <w:p>
            <w:pPr>
              <w:spacing w:after="0"/>
              <w:rPr>
                <w:sz w:val="17"/>
                <w:szCs w:val="17"/>
                <w:color w:val="auto"/>
              </w:rPr>
            </w:pPr>
          </w:p>
        </w:tc>
      </w:tr>
      <w:tr>
        <w:trPr>
          <w:trHeight w:val="203"/>
        </w:trPr>
        <w:tc>
          <w:tcPr>
            <w:tcW w:w="83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Awards vested</w:t>
            </w: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(969,345)</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18.27</w:t>
            </w:r>
          </w:p>
        </w:tc>
        <w:tc>
          <w:tcPr>
            <w:tcW w:w="100" w:type="dxa"/>
            <w:vAlign w:val="bottom"/>
            <w:shd w:val="clear" w:color="auto" w:fill="CFF0FC"/>
          </w:tcPr>
          <w:p>
            <w:pPr>
              <w:spacing w:after="0"/>
              <w:rPr>
                <w:sz w:val="17"/>
                <w:szCs w:val="17"/>
                <w:color w:val="auto"/>
              </w:rPr>
            </w:pPr>
          </w:p>
        </w:tc>
      </w:tr>
      <w:tr>
        <w:trPr>
          <w:trHeight w:val="203"/>
        </w:trPr>
        <w:tc>
          <w:tcPr>
            <w:tcW w:w="8320" w:type="dxa"/>
            <w:vAlign w:val="bottom"/>
          </w:tcPr>
          <w:p>
            <w:pPr>
              <w:ind w:left="220"/>
              <w:spacing w:after="0" w:line="202" w:lineRule="exact"/>
              <w:rPr>
                <w:sz w:val="20"/>
                <w:szCs w:val="20"/>
                <w:color w:val="auto"/>
              </w:rPr>
            </w:pPr>
            <w:r>
              <w:rPr>
                <w:rFonts w:ascii="Arial" w:cs="Arial" w:eastAsia="Arial" w:hAnsi="Arial"/>
                <w:sz w:val="18"/>
                <w:szCs w:val="18"/>
                <w:color w:val="auto"/>
              </w:rPr>
              <w:t>Awards forfeited</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(72,888)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19.77</w:t>
            </w:r>
          </w:p>
        </w:tc>
        <w:tc>
          <w:tcPr>
            <w:tcW w:w="100" w:type="dxa"/>
            <w:vAlign w:val="bottom"/>
          </w:tcPr>
          <w:p>
            <w:pPr>
              <w:spacing w:after="0"/>
              <w:rPr>
                <w:sz w:val="17"/>
                <w:szCs w:val="17"/>
                <w:color w:val="auto"/>
              </w:rPr>
            </w:pPr>
          </w:p>
        </w:tc>
      </w:tr>
      <w:tr>
        <w:trPr>
          <w:trHeight w:val="236"/>
        </w:trPr>
        <w:tc>
          <w:tcPr>
            <w:tcW w:w="83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Awarded and unvested at December 31, 2025</w:t>
            </w:r>
          </w:p>
        </w:tc>
        <w:tc>
          <w:tcPr>
            <w:tcW w:w="1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2,766,276</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24.09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The weighted-average grant-date fair value of RSUs granted during the years ended December 31, 2025, 2024 and 2023 was $52.2 million, $20.2 million and $10.8 million, respectively. RSUs vest over the requisite service period, which generally ranges between four years and five years from the date of grant for employees and one to three years for directors, subject to continued employment for employees and provision of services for non-employees. The weighted-average fair value of RSUs vested during the years ended December 31, 2025, 2024 and 2023 was $33.3 million, $15.3 million and $4.7 million, respectively.</w:t>
      </w:r>
    </w:p>
    <w:p>
      <w:pPr>
        <w:spacing w:after="0" w:line="71"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At December 31, 2025, there was $61.3 million of total unrecognized compensation cost related to unvested RSUs granted under the 2021 Plan, which is expected to be recognized over a remaining weighted-average period of 3.4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Stock-based compensation expense (including amortization of capitalized warrants cost for 2025 and 2024 - see Note 10) included in the consolidated statements of operations was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w:t>
            </w:r>
          </w:p>
        </w:tc>
        <w:tc>
          <w:tcPr>
            <w:tcW w:w="3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287</w:t>
            </w:r>
          </w:p>
        </w:tc>
        <w:tc>
          <w:tcPr>
            <w:tcW w:w="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251</w:t>
            </w:r>
          </w:p>
        </w:tc>
        <w:tc>
          <w:tcPr>
            <w:tcW w:w="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3,903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1,990</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6,695</w:t>
            </w:r>
          </w:p>
        </w:tc>
        <w:tc>
          <w:tcPr>
            <w:tcW w:w="12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5,639</w:t>
            </w:r>
          </w:p>
        </w:tc>
        <w:tc>
          <w:tcPr>
            <w:tcW w:w="10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2,808</w:t>
            </w:r>
          </w:p>
        </w:tc>
        <w:tc>
          <w:tcPr>
            <w:tcW w:w="100" w:type="dxa"/>
            <w:vAlign w:val="bottom"/>
            <w:shd w:val="clear" w:color="auto" w:fill="CFF0FC"/>
          </w:tcPr>
          <w:p>
            <w:pPr>
              <w:spacing w:after="0"/>
              <w:rPr>
                <w:sz w:val="17"/>
                <w:szCs w:val="17"/>
                <w:color w:val="auto"/>
              </w:rPr>
            </w:pPr>
          </w:p>
        </w:tc>
      </w:tr>
      <w:tr>
        <w:trPr>
          <w:trHeight w:val="202"/>
        </w:trPr>
        <w:tc>
          <w:tcPr>
            <w:tcW w:w="67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9,936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4,436</w:t>
            </w:r>
          </w:p>
        </w:tc>
        <w:tc>
          <w:tcPr>
            <w:tcW w:w="100" w:type="dxa"/>
            <w:vAlign w:val="bottom"/>
          </w:tcPr>
          <w:p>
            <w:pPr>
              <w:spacing w:after="0"/>
              <w:rPr>
                <w:sz w:val="17"/>
                <w:szCs w:val="17"/>
                <w:color w:val="auto"/>
              </w:rPr>
            </w:pPr>
          </w:p>
        </w:tc>
      </w:tr>
      <w:tr>
        <w:trPr>
          <w:trHeight w:val="236"/>
        </w:trPr>
        <w:tc>
          <w:tcPr>
            <w:tcW w:w="6760" w:type="dxa"/>
            <w:vAlign w:val="bottom"/>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stock-based compensation</w:t>
            </w:r>
          </w:p>
        </w:tc>
        <w:tc>
          <w:tcPr>
            <w:tcW w:w="36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20,821</w:t>
            </w:r>
          </w:p>
        </w:tc>
        <w:tc>
          <w:tcPr>
            <w:tcW w:w="3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12,855</w:t>
            </w:r>
          </w:p>
        </w:tc>
        <w:tc>
          <w:tcPr>
            <w:tcW w:w="460" w:type="dxa"/>
            <w:vAlign w:val="bottom"/>
            <w:gridSpan w:val="2"/>
            <w:shd w:val="clear" w:color="auto" w:fill="CFF0FC"/>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9,390</w:t>
            </w:r>
          </w:p>
        </w:tc>
        <w:tc>
          <w:tcPr>
            <w:tcW w:w="100" w:type="dxa"/>
            <w:vAlign w:val="bottom"/>
            <w:shd w:val="clear" w:color="auto" w:fill="CFF0FC"/>
          </w:tcPr>
          <w:p>
            <w:pPr>
              <w:spacing w:after="0"/>
              <w:rPr>
                <w:sz w:val="20"/>
                <w:szCs w:val="20"/>
                <w:color w:val="auto"/>
              </w:rPr>
            </w:pPr>
          </w:p>
        </w:tc>
      </w:tr>
      <w:tr>
        <w:trPr>
          <w:trHeight w:val="735"/>
        </w:trPr>
        <w:tc>
          <w:tcPr>
            <w:tcW w:w="676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12.  Income Taxes</w:t>
            </w: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03"/>
        </w:trPr>
        <w:tc>
          <w:tcPr>
            <w:tcW w:w="6760" w:type="dxa"/>
            <w:vAlign w:val="bottom"/>
          </w:tcPr>
          <w:p>
            <w:pPr>
              <w:ind w:left="380"/>
              <w:spacing w:after="0"/>
              <w:rPr>
                <w:sz w:val="20"/>
                <w:szCs w:val="20"/>
                <w:color w:val="auto"/>
              </w:rPr>
            </w:pPr>
            <w:r>
              <w:rPr>
                <w:rFonts w:ascii="Arial" w:cs="Arial" w:eastAsia="Arial" w:hAnsi="Arial"/>
                <w:sz w:val="18"/>
                <w:szCs w:val="18"/>
                <w:color w:val="auto"/>
                <w:w w:val="99"/>
              </w:rPr>
              <w:t>The components of income before income taxes were as follows (in thousands):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4"/>
        </w:trPr>
        <w:tc>
          <w:tcPr>
            <w:tcW w:w="6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1"/>
        </w:trPr>
        <w:tc>
          <w:tcPr>
            <w:tcW w:w="6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67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80,857</w:t>
            </w:r>
          </w:p>
        </w:tc>
        <w:tc>
          <w:tcPr>
            <w:tcW w:w="3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49,116</w:t>
            </w:r>
          </w:p>
        </w:tc>
        <w:tc>
          <w:tcPr>
            <w:tcW w:w="46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21,225</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Foreign</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4,418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4,828</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3,899</w:t>
            </w:r>
          </w:p>
        </w:tc>
        <w:tc>
          <w:tcPr>
            <w:tcW w:w="100" w:type="dxa"/>
            <w:vAlign w:val="bottom"/>
          </w:tcPr>
          <w:p>
            <w:pPr>
              <w:spacing w:after="0"/>
              <w:rPr>
                <w:sz w:val="17"/>
                <w:szCs w:val="17"/>
                <w:color w:val="auto"/>
              </w:rPr>
            </w:pPr>
          </w:p>
        </w:tc>
      </w:tr>
      <w:tr>
        <w:trPr>
          <w:trHeight w:val="216"/>
        </w:trPr>
        <w:tc>
          <w:tcPr>
            <w:tcW w:w="6760" w:type="dxa"/>
            <w:vAlign w:val="bottom"/>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85,275</w:t>
            </w:r>
          </w:p>
        </w:tc>
        <w:tc>
          <w:tcPr>
            <w:tcW w:w="38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53,944</w:t>
            </w:r>
          </w:p>
        </w:tc>
        <w:tc>
          <w:tcPr>
            <w:tcW w:w="460" w:type="dxa"/>
            <w:vAlign w:val="bottom"/>
            <w:gridSpan w:val="2"/>
            <w:shd w:val="clear" w:color="auto" w:fill="CFF0FC"/>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25,124</w:t>
            </w:r>
          </w:p>
        </w:tc>
        <w:tc>
          <w:tcPr>
            <w:tcW w:w="100" w:type="dxa"/>
            <w:vAlign w:val="bottom"/>
            <w:shd w:val="clear" w:color="auto" w:fill="CFF0FC"/>
          </w:tcPr>
          <w:p>
            <w:pPr>
              <w:spacing w:after="0"/>
              <w:rPr>
                <w:sz w:val="18"/>
                <w:szCs w:val="18"/>
                <w:color w:val="auto"/>
              </w:rPr>
            </w:pPr>
          </w:p>
        </w:tc>
      </w:tr>
      <w:tr>
        <w:trPr>
          <w:trHeight w:val="20"/>
        </w:trPr>
        <w:tc>
          <w:tcPr>
            <w:tcW w:w="6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-1439545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-1422400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-1439545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-1422400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income taxes paid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State &amp;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Foreign</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tax paid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158"/>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ind w:left="78"/>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8572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478"/>
        <w:spacing w:after="0"/>
        <w:rPr>
          <w:sz w:val="20"/>
          <w:szCs w:val="20"/>
          <w:color w:val="auto"/>
        </w:rPr>
      </w:pPr>
      <w:r>
        <w:rPr>
          <w:rFonts w:ascii="Arial" w:cs="Arial" w:eastAsia="Arial" w:hAnsi="Arial"/>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85725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ind w:left="778" w:hanging="778"/>
        <w:spacing w:after="0"/>
        <w:tabs>
          <w:tab w:leader="none" w:pos="778" w:val="left"/>
        </w:tabs>
        <w:numPr>
          <w:ilvl w:val="0"/>
          <w:numId w:val="52"/>
        </w:numPr>
        <w:rPr>
          <w:rFonts w:ascii="Arial" w:cs="Arial" w:eastAsia="Arial" w:hAnsi="Arial"/>
          <w:sz w:val="18"/>
          <w:szCs w:val="18"/>
          <w:color w:val="auto"/>
        </w:rPr>
      </w:pPr>
      <w:r>
        <w:rPr>
          <w:rFonts w:ascii="Arial" w:cs="Arial" w:eastAsia="Arial" w:hAnsi="Arial"/>
          <w:sz w:val="18"/>
          <w:szCs w:val="18"/>
          <w:color w:val="auto"/>
        </w:rPr>
        <w:t>11,310</w:t>
      </w:r>
    </w:p>
    <w:p>
      <w:pPr>
        <w:ind w:left="878"/>
        <w:spacing w:after="0" w:line="234" w:lineRule="auto"/>
        <w:rPr>
          <w:rFonts w:ascii="Arial" w:cs="Arial" w:eastAsia="Arial" w:hAnsi="Arial"/>
          <w:sz w:val="18"/>
          <w:szCs w:val="18"/>
          <w:color w:val="auto"/>
        </w:rPr>
      </w:pPr>
      <w:r>
        <w:rPr>
          <w:rFonts w:ascii="Arial" w:cs="Arial" w:eastAsia="Arial" w:hAnsi="Arial"/>
          <w:sz w:val="18"/>
          <w:szCs w:val="18"/>
          <w:color w:val="auto"/>
        </w:rPr>
        <w:t>3,014</w:t>
      </w:r>
    </w:p>
    <w:p>
      <w:pPr>
        <w:ind w:left="1038"/>
        <w:spacing w:after="0"/>
        <w:rPr>
          <w:rFonts w:ascii="Arial" w:cs="Arial" w:eastAsia="Arial" w:hAnsi="Arial"/>
          <w:sz w:val="18"/>
          <w:szCs w:val="18"/>
          <w:color w:val="auto"/>
        </w:rPr>
      </w:pPr>
      <w:r>
        <w:rPr>
          <w:rFonts w:ascii="Arial" w:cs="Arial" w:eastAsia="Arial" w:hAnsi="Arial"/>
          <w:sz w:val="17"/>
          <w:szCs w:val="17"/>
          <w:color w:val="auto"/>
        </w:rPr>
        <w:t>626</w:t>
      </w:r>
    </w:p>
    <w:p>
      <w:pPr>
        <w:spacing w:after="0" w:line="21" w:lineRule="exact"/>
        <w:rPr>
          <w:sz w:val="20"/>
          <w:szCs w:val="20"/>
          <w:color w:val="auto"/>
        </w:rPr>
      </w:pPr>
    </w:p>
    <w:p>
      <w:pPr>
        <w:ind w:left="778" w:hanging="778"/>
        <w:spacing w:after="0"/>
        <w:tabs>
          <w:tab w:leader="none" w:pos="7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14,950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8572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572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062" w:space="720"/>
            <w:col w:w="1458"/>
          </w:cols>
          <w:pgMar w:left="320" w:top="980" w:right="339" w:bottom="1440" w:gutter="0" w:footer="0" w:header="0"/>
          <w:type w:val="continuous"/>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39"/>
        </w:trPr>
        <w:tc>
          <w:tcPr>
            <w:tcW w:w="6440" w:type="dxa"/>
            <w:vAlign w:val="bottom"/>
          </w:tcPr>
          <w:p>
            <w:pPr>
              <w:ind w:left="380"/>
              <w:spacing w:after="0"/>
              <w:rPr>
                <w:sz w:val="20"/>
                <w:szCs w:val="20"/>
                <w:color w:val="auto"/>
              </w:rPr>
            </w:pPr>
            <w:r>
              <w:rPr>
                <w:rFonts w:ascii="Arial" w:cs="Arial" w:eastAsia="Arial" w:hAnsi="Arial"/>
                <w:sz w:val="18"/>
                <w:szCs w:val="18"/>
                <w:color w:val="auto"/>
              </w:rPr>
              <w:t>The provision for income taxes consisted of the following (in thousands):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3"/>
        </w:trPr>
        <w:tc>
          <w:tcPr>
            <w:tcW w:w="6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644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Current:</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100"/>
              <w:spacing w:after="0" w:line="202" w:lineRule="exact"/>
              <w:rPr>
                <w:sz w:val="20"/>
                <w:szCs w:val="20"/>
                <w:color w:val="auto"/>
              </w:rPr>
            </w:pPr>
            <w:r>
              <w:rPr>
                <w:rFonts w:ascii="Arial" w:cs="Arial" w:eastAsia="Arial" w:hAnsi="Arial"/>
                <w:sz w:val="18"/>
                <w:szCs w:val="18"/>
                <w:color w:val="auto"/>
              </w:rPr>
              <w:t>Federal</w:t>
            </w:r>
          </w:p>
        </w:tc>
        <w:tc>
          <w:tcPr>
            <w:tcW w:w="6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15,352</w:t>
            </w:r>
          </w:p>
        </w:tc>
        <w:tc>
          <w:tcPr>
            <w:tcW w:w="12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7,843</w:t>
            </w:r>
          </w:p>
        </w:tc>
        <w:tc>
          <w:tcPr>
            <w:tcW w:w="1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577</w:t>
            </w:r>
          </w:p>
        </w:tc>
        <w:tc>
          <w:tcPr>
            <w:tcW w:w="100" w:type="dxa"/>
            <w:vAlign w:val="bottom"/>
          </w:tcPr>
          <w:p>
            <w:pPr>
              <w:spacing w:after="0"/>
              <w:rPr>
                <w:sz w:val="17"/>
                <w:szCs w:val="17"/>
                <w:color w:val="auto"/>
              </w:rPr>
            </w:pPr>
          </w:p>
        </w:tc>
      </w:tr>
      <w:tr>
        <w:trPr>
          <w:trHeight w:val="203"/>
        </w:trPr>
        <w:tc>
          <w:tcPr>
            <w:tcW w:w="64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State &amp; Local</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3,149</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2,140</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100"/>
              <w:spacing w:after="0" w:line="202" w:lineRule="exact"/>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(213)</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1,061</w:t>
            </w:r>
          </w:p>
        </w:tc>
        <w:tc>
          <w:tcPr>
            <w:tcW w:w="100" w:type="dxa"/>
            <w:vAlign w:val="bottom"/>
          </w:tcPr>
          <w:p>
            <w:pPr>
              <w:spacing w:after="0"/>
              <w:rPr>
                <w:sz w:val="17"/>
                <w:szCs w:val="17"/>
                <w:color w:val="auto"/>
              </w:rPr>
            </w:pPr>
          </w:p>
        </w:tc>
      </w:tr>
      <w:tr>
        <w:trPr>
          <w:trHeight w:val="196"/>
        </w:trPr>
        <w:tc>
          <w:tcPr>
            <w:tcW w:w="64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18,288</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11,123</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40" w:type="dxa"/>
            <w:vAlign w:val="bottom"/>
          </w:tcPr>
          <w:p>
            <w:pPr>
              <w:ind w:left="60"/>
              <w:spacing w:after="0" w:line="196" w:lineRule="exact"/>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Federal</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(865)</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100"/>
              <w:spacing w:after="0" w:line="202" w:lineRule="exact"/>
              <w:rPr>
                <w:sz w:val="20"/>
                <w:szCs w:val="20"/>
                <w:color w:val="auto"/>
              </w:rPr>
            </w:pPr>
            <w:r>
              <w:rPr>
                <w:rFonts w:ascii="Arial" w:cs="Arial" w:eastAsia="Arial" w:hAnsi="Arial"/>
                <w:sz w:val="18"/>
                <w:szCs w:val="18"/>
                <w:color w:val="auto"/>
              </w:rPr>
              <w:t>State &amp; Local</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(303)</w:t>
            </w:r>
          </w:p>
        </w:tc>
        <w:tc>
          <w:tcPr>
            <w:tcW w:w="30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(467)</w:t>
            </w: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r>
      <w:tr>
        <w:trPr>
          <w:trHeight w:val="203"/>
        </w:trPr>
        <w:tc>
          <w:tcPr>
            <w:tcW w:w="64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Foreign</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7"/>
                <w:szCs w:val="17"/>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44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(1,348)</w:t>
            </w:r>
          </w:p>
        </w:tc>
        <w:tc>
          <w:tcPr>
            <w:tcW w:w="3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414</w:t>
            </w:r>
          </w:p>
        </w:tc>
        <w:tc>
          <w:tcPr>
            <w:tcW w:w="100" w:type="dxa"/>
            <w:vAlign w:val="bottom"/>
          </w:tcPr>
          <w:p>
            <w:pPr>
              <w:spacing w:after="0"/>
              <w:rPr>
                <w:sz w:val="17"/>
                <w:szCs w:val="17"/>
                <w:color w:val="auto"/>
              </w:rPr>
            </w:pPr>
          </w:p>
        </w:tc>
      </w:tr>
      <w:tr>
        <w:trPr>
          <w:trHeight w:val="196"/>
        </w:trPr>
        <w:tc>
          <w:tcPr>
            <w:tcW w:w="644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Total Tax:</w:t>
            </w:r>
          </w:p>
        </w:tc>
        <w:tc>
          <w:tcPr>
            <w:tcW w:w="3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100"/>
              <w:spacing w:after="0" w:line="202" w:lineRule="exact"/>
              <w:rPr>
                <w:sz w:val="20"/>
                <w:szCs w:val="20"/>
                <w:color w:val="auto"/>
              </w:rPr>
            </w:pPr>
            <w:r>
              <w:rPr>
                <w:rFonts w:ascii="Arial" w:cs="Arial" w:eastAsia="Arial" w:hAnsi="Arial"/>
                <w:sz w:val="18"/>
                <w:szCs w:val="18"/>
                <w:color w:val="auto"/>
              </w:rPr>
              <w:t>Federal</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15,631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6,978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905</w:t>
            </w:r>
          </w:p>
        </w:tc>
        <w:tc>
          <w:tcPr>
            <w:tcW w:w="100" w:type="dxa"/>
            <w:vAlign w:val="bottom"/>
          </w:tcPr>
          <w:p>
            <w:pPr>
              <w:spacing w:after="0"/>
              <w:rPr>
                <w:sz w:val="17"/>
                <w:szCs w:val="17"/>
                <w:color w:val="auto"/>
              </w:rPr>
            </w:pPr>
          </w:p>
        </w:tc>
      </w:tr>
      <w:tr>
        <w:trPr>
          <w:trHeight w:val="203"/>
        </w:trPr>
        <w:tc>
          <w:tcPr>
            <w:tcW w:w="64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State &amp; Local</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2,846</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1,673</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810</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100"/>
              <w:spacing w:after="0" w:line="202" w:lineRule="exact"/>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(139)</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1,087</w:t>
            </w:r>
          </w:p>
        </w:tc>
        <w:tc>
          <w:tcPr>
            <w:tcW w:w="100" w:type="dxa"/>
            <w:vAlign w:val="bottom"/>
          </w:tcPr>
          <w:p>
            <w:pPr>
              <w:spacing w:after="0"/>
              <w:rPr>
                <w:sz w:val="17"/>
                <w:szCs w:val="17"/>
                <w:color w:val="auto"/>
              </w:rPr>
            </w:pPr>
          </w:p>
        </w:tc>
      </w:tr>
      <w:tr>
        <w:trPr>
          <w:trHeight w:val="236"/>
        </w:trPr>
        <w:tc>
          <w:tcPr>
            <w:tcW w:w="644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18,338</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9,775</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2,802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-1344930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-1344930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-822325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-822325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The effective income tax rate differs from the federal statutory income tax rate applied to the income before provision for income taxes due to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760" w:type="dxa"/>
            <w:vAlign w:val="bottom"/>
            <w:gridSpan w:val="4"/>
          </w:tcPr>
          <w:p>
            <w:pPr>
              <w:ind w:left="6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80" w:type="dxa"/>
            <w:vAlign w:val="bottom"/>
            <w:tcBorders>
              <w:top w:val="single" w:sz="8" w:color="auto"/>
              <w:bottom w:val="single" w:sz="8" w:color="auto"/>
            </w:tcBorders>
          </w:tcPr>
          <w:p>
            <w:pPr>
              <w:ind w:left="64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statutory rate</w:t>
            </w:r>
          </w:p>
        </w:tc>
        <w:tc>
          <w:tcPr>
            <w:tcW w:w="4680" w:type="dxa"/>
            <w:vAlign w:val="bottom"/>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21.0%</w:t>
            </w:r>
          </w:p>
        </w:tc>
        <w:tc>
          <w:tcPr>
            <w:tcW w:w="18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State taxes</w:t>
            </w:r>
          </w:p>
        </w:tc>
        <w:tc>
          <w:tcPr>
            <w:tcW w:w="46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4.4%</w:t>
            </w:r>
          </w:p>
        </w:tc>
        <w:tc>
          <w:tcPr>
            <w:tcW w:w="1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Non-deductible executive compensation</w:t>
            </w:r>
          </w:p>
        </w:tc>
        <w:tc>
          <w:tcPr>
            <w:tcW w:w="468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18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Other permanent differences</w:t>
            </w:r>
          </w:p>
        </w:tc>
        <w:tc>
          <w:tcPr>
            <w:tcW w:w="46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0.2%</w:t>
            </w:r>
          </w:p>
        </w:tc>
        <w:tc>
          <w:tcPr>
            <w:tcW w:w="1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Excess tax benefit on stock-based compensation</w:t>
            </w:r>
          </w:p>
        </w:tc>
        <w:tc>
          <w:tcPr>
            <w:tcW w:w="46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(6.1)%</w:t>
            </w:r>
          </w:p>
        </w:tc>
        <w:tc>
          <w:tcPr>
            <w:tcW w:w="18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Difference in prior year tax filings from provision</w:t>
            </w:r>
          </w:p>
        </w:tc>
        <w:tc>
          <w:tcPr>
            <w:tcW w:w="46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(0.2)%</w:t>
            </w:r>
          </w:p>
        </w:tc>
        <w:tc>
          <w:tcPr>
            <w:tcW w:w="1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tax rate differences</w:t>
            </w:r>
          </w:p>
        </w:tc>
        <w:tc>
          <w:tcPr>
            <w:tcW w:w="468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0.1%</w:t>
            </w:r>
          </w:p>
        </w:tc>
        <w:tc>
          <w:tcPr>
            <w:tcW w:w="18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46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1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R&amp;D Credits</w:t>
            </w:r>
          </w:p>
        </w:tc>
        <w:tc>
          <w:tcPr>
            <w:tcW w:w="46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(0.9)%</w:t>
            </w:r>
          </w:p>
        </w:tc>
        <w:tc>
          <w:tcPr>
            <w:tcW w:w="1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760" w:type="dxa"/>
            <w:vAlign w:val="bottom"/>
          </w:tcPr>
          <w:p>
            <w:pPr>
              <w:spacing w:after="0"/>
              <w:rPr>
                <w:sz w:val="17"/>
                <w:szCs w:val="17"/>
                <w:color w:val="auto"/>
              </w:rPr>
            </w:pPr>
          </w:p>
        </w:tc>
        <w:tc>
          <w:tcPr>
            <w:tcW w:w="1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0.8%</w:t>
            </w:r>
          </w:p>
        </w:tc>
        <w:tc>
          <w:tcPr>
            <w:tcW w:w="1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76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9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18.1%</w:t>
            </w:r>
          </w:p>
        </w:tc>
        <w:tc>
          <w:tcPr>
            <w:tcW w:w="18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760" w:type="dxa"/>
            <w:vAlign w:val="bottom"/>
            <w:vMerge w:val="restart"/>
          </w:tcPr>
          <w:p>
            <w:pPr>
              <w:jc w:val="right"/>
              <w:ind w:right="1670"/>
              <w:spacing w:after="0"/>
              <w:rPr>
                <w:sz w:val="20"/>
                <w:szCs w:val="20"/>
                <w:color w:val="auto"/>
              </w:rPr>
            </w:pPr>
            <w:r>
              <w:rPr>
                <w:rFonts w:ascii="Arial" w:cs="Arial" w:eastAsia="Arial" w:hAnsi="Arial"/>
                <w:sz w:val="18"/>
                <w:szCs w:val="18"/>
                <w:color w:val="auto"/>
              </w:rPr>
              <w:t>83</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7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7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Year Ended December 31,</w:t>
            </w:r>
          </w:p>
        </w:tc>
      </w:tr>
      <w:tr>
        <w:trPr>
          <w:trHeight w:val="196"/>
        </w:trPr>
        <w:tc>
          <w:tcPr>
            <w:tcW w:w="6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646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Income before income taxes</w:t>
            </w:r>
          </w:p>
        </w:tc>
        <w:tc>
          <w:tcPr>
            <w:tcW w:w="18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85,275</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6460" w:type="dxa"/>
            <w:vAlign w:val="bottom"/>
          </w:tcPr>
          <w:p>
            <w:pPr>
              <w:ind w:left="120"/>
              <w:spacing w:after="0" w:line="202" w:lineRule="exact"/>
              <w:rPr>
                <w:sz w:val="20"/>
                <w:szCs w:val="20"/>
                <w:color w:val="auto"/>
              </w:rPr>
            </w:pPr>
            <w:r>
              <w:rPr>
                <w:rFonts w:ascii="Arial" w:cs="Arial" w:eastAsia="Arial" w:hAnsi="Arial"/>
                <w:sz w:val="18"/>
                <w:szCs w:val="18"/>
                <w:color w:val="auto"/>
              </w:rPr>
              <w:t>U.S. Federal statutory income tax rate</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17,908</w:t>
            </w:r>
          </w:p>
        </w:tc>
        <w:tc>
          <w:tcPr>
            <w:tcW w:w="1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64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Domestic Federal</w:t>
            </w:r>
          </w:p>
        </w:tc>
        <w:tc>
          <w:tcPr>
            <w:tcW w:w="1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6460" w:type="dxa"/>
            <w:vAlign w:val="bottom"/>
          </w:tcPr>
          <w:p>
            <w:pPr>
              <w:ind w:left="220"/>
              <w:spacing w:after="0" w:line="202" w:lineRule="exact"/>
              <w:rPr>
                <w:sz w:val="20"/>
                <w:szCs w:val="20"/>
                <w:color w:val="auto"/>
              </w:rPr>
            </w:pPr>
            <w:r>
              <w:rPr>
                <w:rFonts w:ascii="Arial" w:cs="Arial" w:eastAsia="Arial" w:hAnsi="Arial"/>
                <w:sz w:val="18"/>
                <w:szCs w:val="18"/>
                <w:color w:val="auto"/>
              </w:rPr>
              <w:t>Research &amp; Development Credits</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(2,666)</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w:t>
            </w:r>
          </w:p>
        </w:tc>
      </w:tr>
      <w:tr>
        <w:trPr>
          <w:trHeight w:val="203"/>
        </w:trPr>
        <w:tc>
          <w:tcPr>
            <w:tcW w:w="646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Non-taxable and non-deductible items</w:t>
            </w:r>
          </w:p>
        </w:tc>
        <w:tc>
          <w:tcPr>
            <w:tcW w:w="1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6460" w:type="dxa"/>
            <w:vAlign w:val="bottom"/>
          </w:tcPr>
          <w:p>
            <w:pPr>
              <w:ind w:left="320"/>
              <w:spacing w:after="0" w:line="202" w:lineRule="exact"/>
              <w:rPr>
                <w:sz w:val="20"/>
                <w:szCs w:val="20"/>
                <w:color w:val="auto"/>
              </w:rPr>
            </w:pPr>
            <w:r>
              <w:rPr>
                <w:rFonts w:ascii="Arial" w:cs="Arial" w:eastAsia="Arial" w:hAnsi="Arial"/>
                <w:sz w:val="18"/>
                <w:szCs w:val="18"/>
                <w:color w:val="auto"/>
              </w:rPr>
              <w:t>Non-deductible executive compensation</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2,120</w:t>
            </w:r>
          </w:p>
        </w:tc>
        <w:tc>
          <w:tcPr>
            <w:tcW w:w="1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w:t>
            </w:r>
          </w:p>
        </w:tc>
      </w:tr>
      <w:tr>
        <w:trPr>
          <w:trHeight w:val="203"/>
        </w:trPr>
        <w:tc>
          <w:tcPr>
            <w:tcW w:w="6460" w:type="dxa"/>
            <w:vAlign w:val="bottom"/>
            <w:shd w:val="clear" w:color="auto" w:fill="CFF0FC"/>
          </w:tcPr>
          <w:p>
            <w:pPr>
              <w:ind w:left="320"/>
              <w:spacing w:after="0" w:line="202" w:lineRule="exact"/>
              <w:rPr>
                <w:sz w:val="20"/>
                <w:szCs w:val="20"/>
                <w:color w:val="auto"/>
              </w:rPr>
            </w:pPr>
            <w:r>
              <w:rPr>
                <w:rFonts w:ascii="Arial" w:cs="Arial" w:eastAsia="Arial" w:hAnsi="Arial"/>
                <w:sz w:val="18"/>
                <w:szCs w:val="18"/>
                <w:color w:val="auto"/>
              </w:rPr>
              <w:t>Excess tax benefits on share-based payments</w:t>
            </w:r>
          </w:p>
        </w:tc>
        <w:tc>
          <w:tcPr>
            <w:tcW w:w="1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(2,469)</w:t>
            </w: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(2.9)%</w:t>
            </w:r>
          </w:p>
        </w:tc>
      </w:tr>
      <w:tr>
        <w:trPr>
          <w:trHeight w:val="203"/>
        </w:trPr>
        <w:tc>
          <w:tcPr>
            <w:tcW w:w="6460" w:type="dxa"/>
            <w:vAlign w:val="bottom"/>
          </w:tcPr>
          <w:p>
            <w:pPr>
              <w:ind w:left="320"/>
              <w:spacing w:after="0" w:line="202" w:lineRule="exact"/>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0.2%</w:t>
            </w:r>
          </w:p>
        </w:tc>
      </w:tr>
      <w:tr>
        <w:trPr>
          <w:trHeight w:val="203"/>
        </w:trPr>
        <w:tc>
          <w:tcPr>
            <w:tcW w:w="646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Cross-border tax laws</w:t>
            </w:r>
          </w:p>
        </w:tc>
        <w:tc>
          <w:tcPr>
            <w:tcW w:w="1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1,048</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1.2%</w:t>
            </w:r>
          </w:p>
        </w:tc>
      </w:tr>
      <w:tr>
        <w:trPr>
          <w:trHeight w:val="203"/>
        </w:trPr>
        <w:tc>
          <w:tcPr>
            <w:tcW w:w="6460" w:type="dxa"/>
            <w:vAlign w:val="bottom"/>
          </w:tcPr>
          <w:p>
            <w:pPr>
              <w:ind w:left="220"/>
              <w:spacing w:after="0" w:line="202" w:lineRule="exact"/>
              <w:rPr>
                <w:sz w:val="20"/>
                <w:szCs w:val="20"/>
                <w:color w:val="auto"/>
              </w:rPr>
            </w:pPr>
            <w:r>
              <w:rPr>
                <w:rFonts w:ascii="Arial" w:cs="Arial" w:eastAsia="Arial" w:hAnsi="Arial"/>
                <w:sz w:val="18"/>
                <w:szCs w:val="18"/>
                <w:color w:val="auto"/>
              </w:rPr>
              <w:t>Changes in valuation allowances</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(255)</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(0.3)%</w:t>
            </w:r>
          </w:p>
        </w:tc>
      </w:tr>
      <w:tr>
        <w:trPr>
          <w:trHeight w:val="203"/>
        </w:trPr>
        <w:tc>
          <w:tcPr>
            <w:tcW w:w="646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Other</w:t>
            </w:r>
          </w:p>
        </w:tc>
        <w:tc>
          <w:tcPr>
            <w:tcW w:w="1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0.1%</w:t>
            </w:r>
          </w:p>
        </w:tc>
      </w:tr>
      <w:tr>
        <w:trPr>
          <w:trHeight w:val="203"/>
        </w:trPr>
        <w:tc>
          <w:tcPr>
            <w:tcW w:w="6460" w:type="dxa"/>
            <w:vAlign w:val="bottom"/>
          </w:tcPr>
          <w:p>
            <w:pPr>
              <w:ind w:left="120"/>
              <w:spacing w:after="0" w:line="202" w:lineRule="exact"/>
              <w:rPr>
                <w:sz w:val="20"/>
                <w:szCs w:val="20"/>
                <w:color w:val="auto"/>
              </w:rPr>
            </w:pPr>
            <w:r>
              <w:rPr>
                <w:rFonts w:ascii="Arial" w:cs="Arial" w:eastAsia="Arial" w:hAnsi="Arial"/>
                <w:sz w:val="17"/>
                <w:szCs w:val="17"/>
                <w:color w:val="auto"/>
              </w:rPr>
              <w:t xml:space="preserve">Domestic state &amp; local income taxes, net of federal effect </w:t>
            </w:r>
            <w:r>
              <w:rPr>
                <w:rFonts w:ascii="Arial" w:cs="Arial" w:eastAsia="Arial" w:hAnsi="Arial"/>
                <w:sz w:val="23"/>
                <w:szCs w:val="23"/>
                <w:color w:val="auto"/>
                <w:vertAlign w:val="superscript"/>
              </w:rPr>
              <w:t>(1)</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2,846</w:t>
            </w:r>
          </w:p>
        </w:tc>
        <w:tc>
          <w:tcPr>
            <w:tcW w:w="1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w:t>
            </w:r>
          </w:p>
        </w:tc>
      </w:tr>
      <w:tr>
        <w:trPr>
          <w:trHeight w:val="203"/>
        </w:trPr>
        <w:tc>
          <w:tcPr>
            <w:tcW w:w="64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Foreign tax effects</w:t>
            </w:r>
          </w:p>
        </w:tc>
        <w:tc>
          <w:tcPr>
            <w:tcW w:w="1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6460" w:type="dxa"/>
            <w:vAlign w:val="bottom"/>
          </w:tcPr>
          <w:p>
            <w:pPr>
              <w:ind w:left="220"/>
              <w:spacing w:after="0" w:line="202" w:lineRule="exact"/>
              <w:rPr>
                <w:sz w:val="20"/>
                <w:szCs w:val="20"/>
                <w:color w:val="auto"/>
              </w:rPr>
            </w:pPr>
            <w:r>
              <w:rPr>
                <w:rFonts w:ascii="Arial" w:cs="Arial" w:eastAsia="Arial" w:hAnsi="Arial"/>
                <w:sz w:val="18"/>
                <w:szCs w:val="18"/>
                <w:color w:val="auto"/>
              </w:rPr>
              <w:t>Canada</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6460" w:type="dxa"/>
            <w:vAlign w:val="bottom"/>
            <w:shd w:val="clear" w:color="auto" w:fill="CFF0FC"/>
          </w:tcPr>
          <w:p>
            <w:pPr>
              <w:ind w:left="320"/>
              <w:spacing w:after="0" w:line="202" w:lineRule="exact"/>
              <w:rPr>
                <w:sz w:val="20"/>
                <w:szCs w:val="20"/>
                <w:color w:val="auto"/>
              </w:rPr>
            </w:pPr>
            <w:r>
              <w:rPr>
                <w:rFonts w:ascii="Arial" w:cs="Arial" w:eastAsia="Arial" w:hAnsi="Arial"/>
                <w:sz w:val="18"/>
                <w:szCs w:val="18"/>
                <w:color w:val="auto"/>
              </w:rPr>
              <w:t>SR&amp;ED credits</w:t>
            </w:r>
          </w:p>
        </w:tc>
        <w:tc>
          <w:tcPr>
            <w:tcW w:w="1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(2,539)</w:t>
            </w: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w:t>
            </w:r>
          </w:p>
        </w:tc>
      </w:tr>
      <w:tr>
        <w:trPr>
          <w:trHeight w:val="203"/>
        </w:trPr>
        <w:tc>
          <w:tcPr>
            <w:tcW w:w="6460" w:type="dxa"/>
            <w:vAlign w:val="bottom"/>
          </w:tcPr>
          <w:p>
            <w:pPr>
              <w:ind w:left="320"/>
              <w:spacing w:after="0" w:line="202" w:lineRule="exact"/>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1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0.7%</w:t>
            </w:r>
          </w:p>
        </w:tc>
      </w:tr>
      <w:tr>
        <w:trPr>
          <w:trHeight w:val="203"/>
        </w:trPr>
        <w:tc>
          <w:tcPr>
            <w:tcW w:w="646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Other foreign jurisdiction</w:t>
            </w:r>
          </w:p>
        </w:tc>
        <w:tc>
          <w:tcPr>
            <w:tcW w:w="1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0.1%</w:t>
            </w:r>
          </w:p>
        </w:tc>
      </w:tr>
      <w:tr>
        <w:trPr>
          <w:trHeight w:val="203"/>
        </w:trPr>
        <w:tc>
          <w:tcPr>
            <w:tcW w:w="6460" w:type="dxa"/>
            <w:vAlign w:val="bottom"/>
          </w:tcPr>
          <w:p>
            <w:pPr>
              <w:ind w:left="120"/>
              <w:spacing w:after="0" w:line="202" w:lineRule="exact"/>
              <w:rPr>
                <w:sz w:val="20"/>
                <w:szCs w:val="20"/>
                <w:color w:val="auto"/>
              </w:rPr>
            </w:pPr>
            <w:r>
              <w:rPr>
                <w:rFonts w:ascii="Arial" w:cs="Arial" w:eastAsia="Arial" w:hAnsi="Arial"/>
                <w:sz w:val="18"/>
                <w:szCs w:val="18"/>
                <w:color w:val="auto"/>
              </w:rPr>
              <w:t>Worldwide changes in unrecognized tax benefits</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1,474</w:t>
            </w:r>
          </w:p>
        </w:tc>
        <w:tc>
          <w:tcPr>
            <w:tcW w:w="1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w:t>
            </w:r>
          </w:p>
        </w:tc>
      </w:tr>
      <w:tr>
        <w:trPr>
          <w:trHeight w:val="20"/>
        </w:trPr>
        <w:tc>
          <w:tcPr>
            <w:tcW w:w="6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6460" w:type="dxa"/>
            <w:vAlign w:val="bottom"/>
            <w:shd w:val="clear" w:color="auto" w:fill="CFF0FC"/>
          </w:tcPr>
          <w:p>
            <w:pPr>
              <w:ind w:left="60"/>
              <w:spacing w:after="0" w:line="182" w:lineRule="exact"/>
              <w:rPr>
                <w:sz w:val="20"/>
                <w:szCs w:val="20"/>
                <w:color w:val="auto"/>
              </w:rPr>
            </w:pPr>
            <w:r>
              <w:rPr>
                <w:rFonts w:ascii="Arial" w:cs="Arial" w:eastAsia="Arial" w:hAnsi="Arial"/>
                <w:sz w:val="18"/>
                <w:szCs w:val="18"/>
                <w:color w:val="auto"/>
              </w:rPr>
              <w:t>Effective income tax rate</w:t>
            </w:r>
          </w:p>
        </w:tc>
        <w:tc>
          <w:tcPr>
            <w:tcW w:w="186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18,338</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21.5%</w:t>
            </w: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87" w:lineRule="exact"/>
        <w:rPr>
          <w:sz w:val="20"/>
          <w:szCs w:val="20"/>
          <w:color w:val="auto"/>
        </w:rPr>
      </w:pPr>
    </w:p>
    <w:p>
      <w:pPr>
        <w:ind w:right="160" w:firstLine="382"/>
        <w:spacing w:after="0"/>
        <w:tabs>
          <w:tab w:leader="none" w:pos="537"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In 2025 state and local income taxes in Illinois, New York, and Texas comprise the majority of the state and local income taxes, net of federal effect category.</w:t>
      </w:r>
    </w:p>
    <w:p>
      <w:pPr>
        <w:spacing w:after="0" w:line="274"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at December 31, 2025 and 2024 were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 and other payroll related accruals</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4,863</w:t>
            </w:r>
          </w:p>
        </w:tc>
        <w:tc>
          <w:tcPr>
            <w:tcW w:w="1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4,298</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Federal and state net operating losses</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w:t>
            </w:r>
          </w:p>
        </w:tc>
        <w:tc>
          <w:tcPr>
            <w:tcW w:w="1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w:t>
            </w: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Foreign tax credit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2,601</w:t>
            </w:r>
          </w:p>
        </w:tc>
        <w:tc>
          <w:tcPr>
            <w:tcW w:w="1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3,054</w:t>
            </w: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Intangible assets</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3,941</w:t>
            </w:r>
          </w:p>
        </w:tc>
        <w:tc>
          <w:tcPr>
            <w:tcW w:w="1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2,975</w:t>
            </w: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3,765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1,996</w:t>
            </w:r>
          </w:p>
        </w:tc>
        <w:tc>
          <w:tcPr>
            <w:tcW w:w="120" w:type="dxa"/>
            <w:vAlign w:val="bottom"/>
          </w:tcPr>
          <w:p>
            <w:pPr>
              <w:spacing w:after="0"/>
              <w:rPr>
                <w:sz w:val="17"/>
                <w:szCs w:val="17"/>
                <w:color w:val="auto"/>
              </w:rPr>
            </w:pPr>
          </w:p>
        </w:tc>
      </w:tr>
      <w:tr>
        <w:trPr>
          <w:trHeight w:val="196"/>
        </w:trPr>
        <w:tc>
          <w:tcPr>
            <w:tcW w:w="68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deferred tax assets</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16,081</w:t>
            </w:r>
          </w:p>
        </w:tc>
        <w:tc>
          <w:tcPr>
            <w:tcW w:w="1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13,178</w:t>
            </w: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280"/>
              <w:spacing w:after="0" w:line="202" w:lineRule="exact"/>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w:t>
            </w:r>
          </w:p>
        </w:tc>
        <w:tc>
          <w:tcPr>
            <w:tcW w:w="260" w:type="dxa"/>
            <w:vAlign w:val="bottom"/>
          </w:tcPr>
          <w:p>
            <w:pPr>
              <w:spacing w:after="0"/>
              <w:rPr>
                <w:sz w:val="17"/>
                <w:szCs w:val="17"/>
                <w:color w:val="auto"/>
              </w:rPr>
            </w:pPr>
          </w:p>
        </w:tc>
        <w:tc>
          <w:tcPr>
            <w:tcW w:w="1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(284)</w:t>
            </w:r>
          </w:p>
        </w:tc>
      </w:tr>
      <w:tr>
        <w:trPr>
          <w:trHeight w:val="236"/>
        </w:trPr>
        <w:tc>
          <w:tcPr>
            <w:tcW w:w="684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16,052</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12,894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83"/>
        </w:trPr>
        <w:tc>
          <w:tcPr>
            <w:tcW w:w="6840" w:type="dxa"/>
            <w:vAlign w:val="bottom"/>
          </w:tcPr>
          <w:p>
            <w:pPr>
              <w:spacing w:after="0" w:line="183" w:lineRule="exact"/>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2"/>
        </w:trPr>
        <w:tc>
          <w:tcPr>
            <w:tcW w:w="6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20" w:type="dxa"/>
            <w:vAlign w:val="bottom"/>
            <w:tcBorders>
              <w:right w:val="single" w:sz="8" w:color="CFF0FC"/>
            </w:tcBorders>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(9,362)</w:t>
            </w:r>
          </w:p>
        </w:tc>
        <w:tc>
          <w:tcPr>
            <w:tcW w:w="2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(7,365)</w:t>
            </w:r>
          </w:p>
        </w:tc>
      </w:tr>
      <w:tr>
        <w:trPr>
          <w:trHeight w:val="184"/>
        </w:trPr>
        <w:tc>
          <w:tcPr>
            <w:tcW w:w="6840" w:type="dxa"/>
            <w:vAlign w:val="bottom"/>
          </w:tcPr>
          <w:p>
            <w:pPr>
              <w:ind w:left="100"/>
              <w:spacing w:after="0" w:line="183" w:lineRule="exact"/>
              <w:rPr>
                <w:sz w:val="20"/>
                <w:szCs w:val="20"/>
                <w:color w:val="auto"/>
              </w:rPr>
            </w:pPr>
            <w:r>
              <w:rPr>
                <w:rFonts w:ascii="Arial" w:cs="Arial" w:eastAsia="Arial" w:hAnsi="Arial"/>
                <w:sz w:val="18"/>
                <w:szCs w:val="18"/>
                <w:color w:val="auto"/>
              </w:rPr>
              <w:t>Capitalized research and development costs and capitalized internal-use software</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6840" w:type="dxa"/>
            <w:vAlign w:val="bottom"/>
          </w:tcPr>
          <w:p>
            <w:pPr>
              <w:ind w:left="100"/>
              <w:spacing w:after="0"/>
              <w:rPr>
                <w:sz w:val="20"/>
                <w:szCs w:val="20"/>
                <w:color w:val="auto"/>
              </w:rPr>
            </w:pPr>
            <w:r>
              <w:rPr>
                <w:rFonts w:ascii="Arial" w:cs="Arial" w:eastAsia="Arial" w:hAnsi="Arial"/>
                <w:sz w:val="18"/>
                <w:szCs w:val="18"/>
                <w:color w:val="auto"/>
              </w:rPr>
              <w:t>developments costs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(2,231)</w:t>
            </w:r>
          </w:p>
        </w:tc>
      </w:tr>
      <w:tr>
        <w:trPr>
          <w:trHeight w:val="203"/>
        </w:trPr>
        <w:tc>
          <w:tcPr>
            <w:tcW w:w="6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20" w:type="dxa"/>
            <w:vAlign w:val="bottom"/>
            <w:tcBorders>
              <w:right w:val="single" w:sz="8" w:color="CFF0FC"/>
            </w:tcBorders>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(2,434)</w:t>
            </w:r>
          </w:p>
        </w:tc>
        <w:tc>
          <w:tcPr>
            <w:tcW w:w="2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(2,850)</w:t>
            </w: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Foregone foreign tax credit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w:t>
            </w:r>
          </w:p>
        </w:tc>
        <w:tc>
          <w:tcPr>
            <w:tcW w:w="260" w:type="dxa"/>
            <w:vAlign w:val="bottom"/>
          </w:tcPr>
          <w:p>
            <w:pPr>
              <w:spacing w:after="0"/>
              <w:rPr>
                <w:sz w:val="17"/>
                <w:szCs w:val="17"/>
                <w:color w:val="auto"/>
              </w:rPr>
            </w:pPr>
          </w:p>
        </w:tc>
        <w:tc>
          <w:tcPr>
            <w:tcW w:w="1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w:t>
            </w:r>
          </w:p>
        </w:tc>
      </w:tr>
      <w:tr>
        <w:trPr>
          <w:trHeight w:val="203"/>
        </w:trPr>
        <w:tc>
          <w:tcPr>
            <w:tcW w:w="6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20" w:type="dxa"/>
            <w:vAlign w:val="bottom"/>
            <w:tcBorders>
              <w:right w:val="single" w:sz="8" w:color="CFF0FC"/>
            </w:tcBorders>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(893)</w:t>
            </w:r>
          </w:p>
        </w:tc>
        <w:tc>
          <w:tcPr>
            <w:tcW w:w="2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
        </w:trPr>
        <w:tc>
          <w:tcPr>
            <w:tcW w:w="6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840" w:type="dxa"/>
            <w:vAlign w:val="bottom"/>
          </w:tcPr>
          <w:p>
            <w:pPr>
              <w:ind w:left="200"/>
              <w:spacing w:after="0" w:line="196" w:lineRule="exact"/>
              <w:rPr>
                <w:sz w:val="20"/>
                <w:szCs w:val="20"/>
                <w:color w:val="auto"/>
              </w:rPr>
            </w:pPr>
            <w:r>
              <w:rPr>
                <w:rFonts w:ascii="Arial" w:cs="Arial" w:eastAsia="Arial" w:hAnsi="Arial"/>
                <w:sz w:val="18"/>
                <w:szCs w:val="18"/>
                <w:color w:val="auto"/>
              </w:rPr>
              <w:t>Total deferred tax liabilities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(15,738)</w:t>
            </w:r>
          </w:p>
        </w:tc>
        <w:tc>
          <w:tcPr>
            <w:tcW w:w="260" w:type="dxa"/>
            <w:vAlign w:val="bottom"/>
          </w:tcPr>
          <w:p>
            <w:pPr>
              <w:spacing w:after="0"/>
              <w:rPr>
                <w:sz w:val="17"/>
                <w:szCs w:val="17"/>
                <w:color w:val="auto"/>
              </w:rPr>
            </w:pPr>
          </w:p>
        </w:tc>
        <w:tc>
          <w:tcPr>
            <w:tcW w:w="18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(12,527)</w:t>
            </w:r>
          </w:p>
        </w:tc>
      </w:tr>
      <w:tr>
        <w:trPr>
          <w:trHeight w:val="236"/>
        </w:trPr>
        <w:tc>
          <w:tcPr>
            <w:tcW w:w="684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314</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-1224915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-1207770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-299720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had a valuation allowance of an immaterial amount and $0.3 million as of December 31, 2025 and 2024,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retains a valuation allowance against certain foreign tax credits that are not more likely than not to be utilized.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85" w:name="page86"/>
    <w:bookmarkEnd w:id="85"/>
    <w:p>
      <w:pPr>
        <w:ind w:firstLine="374"/>
        <w:spacing w:after="0" w:line="271" w:lineRule="auto"/>
        <w:rPr>
          <w:sz w:val="20"/>
          <w:szCs w:val="20"/>
          <w:color w:val="auto"/>
        </w:rPr>
      </w:pPr>
      <w:r>
        <w:rPr>
          <w:rFonts w:ascii="Arial" w:cs="Arial" w:eastAsia="Arial" w:hAnsi="Arial"/>
          <w:sz w:val="18"/>
          <w:szCs w:val="18"/>
          <w:color w:val="auto"/>
        </w:rPr>
        <w:t>As of December 31, 2025, the Company had an immaterial amount of federal and $7.5 million of state net operating loss carryforwards available to offset future taxable income. State net operating losses, if not utilized, will begin to expire in 2032.</w:t>
      </w:r>
    </w:p>
    <w:p>
      <w:pPr>
        <w:spacing w:after="0" w:line="46"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As of December 31, 2025, the Company’s total amount for unrecognized tax benefits relating to tax positions that do not meet the more-likely-than not threshold is $1.6 million. Of this balance, $0.8 million would impact the Company’s effective tax rate if recognized.</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unrecognized tax benefits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Increases related to prior year tax positions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unrecognized tax benefits - end of year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6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300" w:type="dxa"/>
            <w:vAlign w:val="bottom"/>
            <w:tcBorders>
              <w:top w:val="single" w:sz="8" w:color="auto"/>
            </w:tcBorders>
            <w:gridSpan w:val="2"/>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r>
      <w:tr>
        <w:trPr>
          <w:trHeight w:val="177"/>
        </w:trPr>
        <w:tc>
          <w:tcPr>
            <w:tcW w:w="13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93</w:t>
            </w:r>
          </w:p>
        </w:tc>
        <w:tc>
          <w:tcPr>
            <w:tcW w:w="120" w:type="dxa"/>
            <w:vAlign w:val="bottom"/>
          </w:tcPr>
          <w:p>
            <w:pPr>
              <w:spacing w:after="0"/>
              <w:rPr>
                <w:sz w:val="15"/>
                <w:szCs w:val="15"/>
                <w:color w:val="auto"/>
              </w:rPr>
            </w:pPr>
          </w:p>
        </w:tc>
        <w:tc>
          <w:tcPr>
            <w:tcW w:w="11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w:t>
            </w:r>
          </w:p>
        </w:tc>
      </w:tr>
      <w:tr>
        <w:trPr>
          <w:trHeight w:val="203"/>
        </w:trPr>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21"/>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1,567</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7740" w:space="720"/>
            <w:col w:w="2780"/>
          </w:cols>
          <w:pgMar w:left="320" w:top="1093" w:right="339" w:bottom="1440" w:gutter="0" w:footer="0" w:header="0"/>
          <w:type w:val="continuous"/>
        </w:sectPr>
      </w:pPr>
    </w:p>
    <w:p>
      <w:pPr>
        <w:jc w:val="both"/>
        <w:ind w:firstLine="374"/>
        <w:spacing w:after="0" w:line="244" w:lineRule="auto"/>
        <w:rPr>
          <w:sz w:val="20"/>
          <w:szCs w:val="20"/>
          <w:color w:val="auto"/>
        </w:rPr>
      </w:pPr>
      <w:r>
        <w:rPr>
          <w:rFonts w:ascii="Arial" w:cs="Arial" w:eastAsia="Arial" w:hAnsi="Arial"/>
          <w:sz w:val="18"/>
          <w:szCs w:val="18"/>
          <w:color w:val="auto"/>
        </w:rPr>
        <w:t>Interest and penalties related to income tax matters are classified as a component of income tax expense and were immaterial for the years ended December 31, 2025, 2024 and 2023. Although it is possible that certain unrecognized tax benefits may increase or decrease within the next 12 months, the Company does not anticipate any significant changes to unrecognized tax benefits over the next 12 months. As of December 31, 2025, the Company is subject to ongoing examinations in various jurisdictions, but is not aware of any potential tax liabilities associated with the ongoing audits.</w:t>
      </w:r>
    </w:p>
    <w:p>
      <w:pPr>
        <w:spacing w:after="0" w:line="68"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The Company files income tax returns in the U.S. federal jurisdiction, various state jurisdictions, and in various international jurisdictions. The Company’s tax filings remain subject to audits by applicable tax authorities for a certain length of time following the tax year to which those filings relate. Tax years 2021 and forward generally remain open for examination for federal and state tax purposes. Tax years 2020 and forward generally remain open for examination for foreign tax purposes.</w:t>
      </w:r>
    </w:p>
    <w:p>
      <w:pPr>
        <w:spacing w:after="0" w:line="66" w:lineRule="exact"/>
        <w:rPr>
          <w:sz w:val="20"/>
          <w:szCs w:val="20"/>
          <w:color w:val="auto"/>
        </w:rPr>
      </w:pPr>
    </w:p>
    <w:p>
      <w:pPr>
        <w:jc w:val="both"/>
        <w:ind w:right="20" w:firstLine="374"/>
        <w:spacing w:after="0" w:line="271" w:lineRule="auto"/>
        <w:rPr>
          <w:sz w:val="20"/>
          <w:szCs w:val="20"/>
          <w:color w:val="auto"/>
        </w:rPr>
      </w:pPr>
      <w:r>
        <w:rPr>
          <w:rFonts w:ascii="Arial" w:cs="Arial" w:eastAsia="Arial" w:hAnsi="Arial"/>
          <w:sz w:val="18"/>
          <w:szCs w:val="18"/>
          <w:color w:val="auto"/>
        </w:rPr>
        <w:t>The Company has not recorded foreign withholding taxes or deferred income tax liabilities related to undistributed earnings of foreign operations, since such earnings are considered permanently reinvested.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 Attributable to Common Stock</w:t>
      </w:r>
    </w:p>
    <w:p>
      <w:pPr>
        <w:spacing w:after="0" w:line="104"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Basic net income per share attributable to common stock is computed by dividing the net income for the period attributable to common stockholders by the weighted-average number of common shares outstanding during the period.</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Diluted net income per share attributable to common stock is computed by giving effect to all potentially dilutive common stock equivalents to the extent they are dilutive. The dilutive effect of outstanding options, RSUs and warrants is reflected in diluted net income per share attributable to common stock by application of the treasury stock method. The calculation of diluted net income per share attributable to common stock excludes all anti-dilutive common shares.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spacing w:after="0" w:line="66"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5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66,937</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44,169</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22,322</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Denominator:</w:t>
            </w: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Weighted-average shares of common stock — basic</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125,246,892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124,372,031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123,511,608</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Dilutive effect of stock options</w:t>
            </w: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2,549,332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2,323,355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1,262,918</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240"/>
              <w:spacing w:after="0" w:line="202" w:lineRule="exact"/>
              <w:rPr>
                <w:sz w:val="20"/>
                <w:szCs w:val="20"/>
                <w:color w:val="auto"/>
              </w:rPr>
            </w:pPr>
            <w:r>
              <w:rPr>
                <w:rFonts w:ascii="Arial" w:cs="Arial" w:eastAsia="Arial" w:hAnsi="Arial"/>
                <w:sz w:val="18"/>
                <w:szCs w:val="18"/>
                <w:color w:val="auto"/>
              </w:rPr>
              <w:t>Dilutive effect of RSUs</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976,879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850,024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271,754</w:t>
            </w:r>
          </w:p>
        </w:tc>
        <w:tc>
          <w:tcPr>
            <w:tcW w:w="100" w:type="dxa"/>
            <w:vAlign w:val="bottom"/>
          </w:tcPr>
          <w:p>
            <w:pPr>
              <w:spacing w:after="0"/>
              <w:rPr>
                <w:sz w:val="17"/>
                <w:szCs w:val="17"/>
                <w:color w:val="auto"/>
              </w:rPr>
            </w:pPr>
          </w:p>
        </w:tc>
      </w:tr>
      <w:tr>
        <w:trPr>
          <w:trHeight w:val="203"/>
        </w:trPr>
        <w:tc>
          <w:tcPr>
            <w:tcW w:w="5140" w:type="dxa"/>
            <w:vAlign w:val="bottom"/>
            <w:tcBorders>
              <w:bottom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Dilutive effect of warrants</w:t>
            </w:r>
          </w:p>
        </w:tc>
        <w:tc>
          <w:tcPr>
            <w:tcW w:w="8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340,581</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169,212</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25,549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Weighted-average shares of common stock — diluted</w:t>
            </w:r>
          </w:p>
        </w:tc>
        <w:tc>
          <w:tcPr>
            <w:tcW w:w="8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129,113,684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127,714,622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125,071,829</w:t>
            </w:r>
          </w:p>
        </w:tc>
        <w:tc>
          <w:tcPr>
            <w:tcW w:w="10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1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income per share</w:t>
            </w:r>
          </w:p>
        </w:tc>
        <w:tc>
          <w:tcPr>
            <w:tcW w:w="8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1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0.52</w:t>
            </w:r>
          </w:p>
        </w:tc>
        <w:tc>
          <w:tcPr>
            <w:tcW w:w="4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0.35</w:t>
            </w:r>
          </w:p>
        </w:tc>
        <w:tc>
          <w:tcPr>
            <w:tcW w:w="3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17"/>
                <w:szCs w:val="17"/>
                <w:color w:val="auto"/>
              </w:rPr>
            </w:pPr>
          </w:p>
        </w:tc>
      </w:tr>
      <w:tr>
        <w:trPr>
          <w:trHeight w:val="544"/>
        </w:trPr>
        <w:tc>
          <w:tcPr>
            <w:tcW w:w="514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5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-1379220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-1379220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86" w:name="page87"/>
    <w:bookmarkEnd w:id="86"/>
    <w:p>
      <w:pPr>
        <w:jc w:val="both"/>
        <w:ind w:firstLine="494"/>
        <w:spacing w:after="0" w:line="271" w:lineRule="auto"/>
        <w:rPr>
          <w:sz w:val="20"/>
          <w:szCs w:val="20"/>
          <w:color w:val="auto"/>
        </w:rPr>
      </w:pPr>
      <w:r>
        <w:rPr>
          <w:rFonts w:ascii="Arial" w:cs="Arial" w:eastAsia="Arial" w:hAnsi="Arial"/>
          <w:sz w:val="18"/>
          <w:szCs w:val="18"/>
          <w:color w:val="auto"/>
        </w:rPr>
        <w:t>The following table summarizes weighted average securities that were excluded from the computation of diluted net income per share attributable to common stock as their inclusion would have been antidilutive for the respective year: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8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980" w:type="dxa"/>
            <w:vAlign w:val="bottom"/>
          </w:tcPr>
          <w:p>
            <w:pPr>
              <w:spacing w:after="0"/>
              <w:rPr>
                <w:sz w:val="17"/>
                <w:szCs w:val="17"/>
                <w:color w:val="auto"/>
              </w:rPr>
            </w:pPr>
          </w:p>
        </w:tc>
        <w:tc>
          <w:tcPr>
            <w:tcW w:w="1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3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RSUs</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5,686</w:t>
            </w:r>
          </w:p>
        </w:tc>
        <w:tc>
          <w:tcPr>
            <w:tcW w:w="1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171,101</w:t>
            </w:r>
          </w:p>
        </w:tc>
        <w:tc>
          <w:tcPr>
            <w:tcW w:w="1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1,055,467</w:t>
            </w:r>
          </w:p>
        </w:tc>
        <w:tc>
          <w:tcPr>
            <w:tcW w:w="100" w:type="dxa"/>
            <w:vAlign w:val="bottom"/>
            <w:shd w:val="clear" w:color="auto" w:fill="CFF0FC"/>
          </w:tcPr>
          <w:p>
            <w:pPr>
              <w:spacing w:after="0"/>
              <w:rPr>
                <w:sz w:val="17"/>
                <w:szCs w:val="17"/>
                <w:color w:val="auto"/>
              </w:rPr>
            </w:pPr>
          </w:p>
        </w:tc>
      </w:tr>
      <w:tr>
        <w:trPr>
          <w:trHeight w:val="239"/>
        </w:trPr>
        <w:tc>
          <w:tcPr>
            <w:tcW w:w="732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417,132</w:t>
            </w:r>
          </w:p>
        </w:tc>
        <w:tc>
          <w:tcPr>
            <w:tcW w:w="100" w:type="dxa"/>
            <w:vAlign w:val="bottom"/>
          </w:tcPr>
          <w:p>
            <w:pPr>
              <w:spacing w:after="0"/>
              <w:rPr>
                <w:sz w:val="20"/>
                <w:szCs w:val="20"/>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Transactions involving related parties cannot be presumed to be carried out on an arm’s length basis due to the absence of free market forces that naturally exist in business dealings between two or more unrelated entities. Related party transactions may not always be favorable to the Company’s business and may include terms, conditions and agreements that are not necessarily beneficial to or in the best interest of the Company.</w:t>
      </w:r>
    </w:p>
    <w:p>
      <w:pPr>
        <w:spacing w:after="0" w:line="6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spouse of the Company’s Chief Executive Officer serves as a vice president for the Company. She received aggregate compensation, inclusive of her base salary and bonus, of $0.3 million for her employment with the Company for each of the years ended December 31, 2025, 2024 and 2023.</w:t>
      </w:r>
    </w:p>
    <w:p>
      <w:pPr>
        <w:spacing w:after="0" w:line="6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In addition, the son of a member of the Company’s board of directors serves as a vice president of the Company. He received aggregate compensation, inclusive of his base salary and bonus, of $0.5 million for his employment with the Company for the year ended December 31, 2025, $0.4 million for the year ended December 31, 2024 and $0.3 million for the year ended December 31, 2023. In addition, for each of the years ended December 31, 2025 and December 31, 2024, he received a grant of restricted stock units with a value of $0.4 million that vests over five years from the grant date, and for the year ended December 31, 2023, he received grants of restricted stock units with an aggregate value of $1.1 million that vest over four years from the grant date.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30733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307330" cy="8890"/>
                    </a:xfrm>
                    <a:prstGeom prst="rect">
                      <a:avLst/>
                    </a:prstGeom>
                    <a:noFill/>
                  </pic:spPr>
                </pic:pic>
              </a:graphicData>
            </a:graphic>
          </wp:anchor>
        </w:drawing>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408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7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December 31, 2025. Based on such evaluation, our Chief Executive Officer and Chief Financial Officer have concluded that, as of such date, our disclosure controls and procedures were effective at the reasonable assurance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its financial statements.</w:t>
      </w:r>
    </w:p>
    <w:p>
      <w:pPr>
        <w:spacing w:after="0" w:line="7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any evaluation of effectiveness to future periods is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management, including our Chief Executive Officer and Chief Financial Officer, conducted an assessment of the effectiveness of our internal control over financial reporting as of December 31, 2025. In making this assessment, our management used the criteria set forth in Internal Control-Integrated Framework (2013) issued by the Committee of Sponsoring Organizations of the Treadway Commission (COSO). Based upon this evaluation, management concluded the Company’s internal control over financial reporting was effective as of December 31, 2025.</w:t>
      </w:r>
    </w:p>
    <w:p>
      <w:pPr>
        <w:spacing w:after="0" w:line="6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effectiveness of our internal control over financial reporting as of December 31, 2025 has been audited by PricewaterhouseCoopers LLP, an independent registered public accounting firm, as stated in their report which is included in Item 8 of this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jc w:val="both"/>
        <w:spacing w:after="0" w:line="253" w:lineRule="auto"/>
        <w:rPr>
          <w:sz w:val="20"/>
          <w:szCs w:val="20"/>
          <w:color w:val="auto"/>
        </w:rPr>
      </w:pPr>
      <w:r>
        <w:rPr>
          <w:rFonts w:ascii="Arial" w:cs="Arial" w:eastAsia="Arial" w:hAnsi="Arial"/>
          <w:sz w:val="18"/>
          <w:szCs w:val="18"/>
          <w:color w:val="auto"/>
        </w:rPr>
        <w:t>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408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8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During the quarter ended December 31, 2025, none of the Company’s directors or officers adopted or terminated a “Rule 10b5-1 trading arrangement” or “non-Rule 10b5-1 trading arrangement,” as such terms are defined in Item 408(a) of Regulation S-K.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2087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04"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We expect to file a definitive proxy statement relating to our 2026 Annual Meeting of Stockholders with the SEC pursuant to Regulation 14A, not later than 120 days after the end of our most recent fiscal year. Accordingly, certain information required by Part III of this Annual Report on Form 10-K has been omitted under General Instruction G(3) to Form 10-K. Only the information from the definitive proxy statement that specifically addresses disclosure requirements of Items 10-14 below is incorporated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52425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524250" cy="8890"/>
                    </a:xfrm>
                    <a:prstGeom prst="rect">
                      <a:avLst/>
                    </a:prstGeom>
                    <a:noFill/>
                  </pic:spPr>
                </pic:pic>
              </a:graphicData>
            </a:graphic>
          </wp:anchor>
        </w:drawing>
      </w:r>
    </w:p>
    <w:p>
      <w:pPr>
        <w:spacing w:after="0" w:line="8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information required under this Item is incorporated herein by reference to the information set forth in our Proxy Statement for the 2026 Annual Meeting of Stockholders, or the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154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815465"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Shareholder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9851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898515"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59041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590415"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289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28900"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10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PART IV</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505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5051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Consolidated Financial Statements:</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consolidated financial statements are included in Part II, Item 8, "Financial Statements and Supplementary Data".</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 Index to Financial Statement Schedules:</w:t>
      </w:r>
    </w:p>
    <w:p>
      <w:pPr>
        <w:spacing w:after="0" w:line="104" w:lineRule="exact"/>
        <w:rPr>
          <w:sz w:val="20"/>
          <w:szCs w:val="20"/>
          <w:color w:val="auto"/>
        </w:rPr>
      </w:pPr>
    </w:p>
    <w:p>
      <w:pPr>
        <w:ind w:left="520" w:firstLine="509"/>
        <w:spacing w:after="0" w:line="271" w:lineRule="auto"/>
        <w:rPr>
          <w:sz w:val="20"/>
          <w:szCs w:val="20"/>
          <w:color w:val="auto"/>
        </w:rPr>
      </w:pPr>
      <w:r>
        <w:rPr>
          <w:rFonts w:ascii="Arial" w:cs="Arial" w:eastAsia="Arial" w:hAnsi="Arial"/>
          <w:sz w:val="18"/>
          <w:szCs w:val="18"/>
          <w:color w:val="auto"/>
        </w:rPr>
        <w:t>All schedules have been omitted because the required information is included in the consolidated financial statements or notes, thereto, or because it is not required.</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 Index to Exhibits</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exhibits listed under Part (b) below:</w:t>
      </w:r>
    </w:p>
    <w:p>
      <w:pPr>
        <w:spacing w:after="0" w:line="104"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w:t>
      </w:r>
      <w:r>
        <w:rPr>
          <w:rFonts w:ascii="Arial" w:cs="Arial" w:eastAsia="Arial" w:hAnsi="Arial"/>
          <w:sz w:val="16"/>
          <w:szCs w:val="16"/>
          <w:color w:val="auto"/>
        </w:rPr>
        <w:t>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Incorporated by Reference</w:t>
            </w: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20" w:type="dxa"/>
            <w:vAlign w:val="bottom"/>
          </w:tcPr>
          <w:p>
            <w:pPr>
              <w:ind w:left="260"/>
              <w:spacing w:after="0"/>
              <w:rPr>
                <w:sz w:val="20"/>
                <w:szCs w:val="20"/>
                <w:color w:val="auto"/>
              </w:rPr>
            </w:pPr>
            <w:r>
              <w:rPr>
                <w:rFonts w:ascii="Arial" w:cs="Arial" w:eastAsia="Arial" w:hAnsi="Arial"/>
                <w:sz w:val="16"/>
                <w:szCs w:val="16"/>
                <w:b w:val="1"/>
                <w:bCs w:val="1"/>
                <w:color w:val="auto"/>
              </w:rPr>
              <w:t>Exhibit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03"/>
        </w:trPr>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Number</w:t>
            </w: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18"/>
          </w:tcPr>
          <w:p>
            <w:pPr>
              <w:ind w:left="340"/>
              <w:spacing w:after="0"/>
              <w:rPr>
                <w:sz w:val="20"/>
                <w:szCs w:val="20"/>
                <w:color w:val="auto"/>
              </w:rPr>
            </w:pPr>
            <w:r>
              <w:rPr>
                <w:rFonts w:ascii="Arial" w:cs="Arial" w:eastAsia="Arial" w:hAnsi="Arial"/>
                <w:sz w:val="16"/>
                <w:szCs w:val="16"/>
                <w:b w:val="1"/>
                <w:bCs w:val="1"/>
                <w:color w:val="auto"/>
              </w:rPr>
              <w:t>Description</w:t>
            </w: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Form</w:t>
            </w:r>
          </w:p>
        </w:tc>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File 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55"/>
        </w:trPr>
        <w:tc>
          <w:tcPr>
            <w:tcW w:w="1120" w:type="dxa"/>
            <w:vAlign w:val="bottom"/>
          </w:tcPr>
          <w:p>
            <w:pPr>
              <w:jc w:val="center"/>
              <w:ind w:right="59"/>
              <w:spacing w:after="0" w:line="155" w:lineRule="exact"/>
              <w:rPr>
                <w:sz w:val="20"/>
                <w:szCs w:val="20"/>
                <w:color w:val="auto"/>
              </w:rPr>
            </w:pPr>
            <w:r>
              <w:rPr>
                <w:rFonts w:ascii="Arial" w:cs="Arial" w:eastAsia="Arial" w:hAnsi="Arial"/>
                <w:sz w:val="16"/>
                <w:szCs w:val="16"/>
                <w:color w:val="auto"/>
                <w:w w:val="98"/>
              </w:rPr>
              <w:t>3.1</w:t>
            </w:r>
          </w:p>
        </w:tc>
        <w:tc>
          <w:tcPr>
            <w:tcW w:w="4280" w:type="dxa"/>
            <w:vAlign w:val="bottom"/>
            <w:gridSpan w:val="21"/>
          </w:tcPr>
          <w:p>
            <w:pPr>
              <w:spacing w:after="0" w:line="155" w:lineRule="exact"/>
              <w:rPr>
                <w:rFonts w:ascii="Arial" w:cs="Arial" w:eastAsia="Arial" w:hAnsi="Arial"/>
                <w:sz w:val="16"/>
                <w:szCs w:val="16"/>
                <w:color w:val="0000FF"/>
              </w:rPr>
            </w:pPr>
            <w:hyperlink r:id="rId393">
              <w:r>
                <w:rPr>
                  <w:rFonts w:ascii="Arial" w:cs="Arial" w:eastAsia="Arial" w:hAnsi="Arial"/>
                  <w:sz w:val="16"/>
                  <w:szCs w:val="16"/>
                  <w:color w:val="0000FF"/>
                </w:rPr>
                <w:t>Amended and Restated Certificate of Incorporation of</w:t>
              </w:r>
            </w:hyperlink>
          </w:p>
        </w:tc>
        <w:tc>
          <w:tcPr>
            <w:tcW w:w="860" w:type="dxa"/>
            <w:vAlign w:val="bottom"/>
          </w:tcPr>
          <w:p>
            <w:pPr>
              <w:jc w:val="center"/>
              <w:ind w:left="39"/>
              <w:spacing w:after="0" w:line="155" w:lineRule="exact"/>
              <w:rPr>
                <w:sz w:val="20"/>
                <w:szCs w:val="20"/>
                <w:color w:val="auto"/>
              </w:rPr>
            </w:pPr>
            <w:r>
              <w:rPr>
                <w:rFonts w:ascii="Arial" w:cs="Arial" w:eastAsia="Arial" w:hAnsi="Arial"/>
                <w:sz w:val="16"/>
                <w:szCs w:val="16"/>
                <w:color w:val="auto"/>
              </w:rPr>
              <w:t>8-K</w:t>
            </w:r>
          </w:p>
        </w:tc>
        <w:tc>
          <w:tcPr>
            <w:tcW w:w="1380" w:type="dxa"/>
            <w:vAlign w:val="bottom"/>
          </w:tcPr>
          <w:p>
            <w:pPr>
              <w:jc w:val="center"/>
              <w:ind w:left="39"/>
              <w:spacing w:after="0" w:line="155" w:lineRule="exact"/>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line="155" w:lineRule="exact"/>
              <w:rPr>
                <w:sz w:val="20"/>
                <w:szCs w:val="20"/>
                <w:color w:val="auto"/>
              </w:rPr>
            </w:pPr>
            <w:r>
              <w:rPr>
                <w:rFonts w:ascii="Arial" w:cs="Arial" w:eastAsia="Arial" w:hAnsi="Arial"/>
                <w:sz w:val="16"/>
                <w:szCs w:val="16"/>
                <w:color w:val="auto"/>
                <w:w w:val="98"/>
              </w:rPr>
              <w:t>3.1</w:t>
            </w:r>
          </w:p>
        </w:tc>
        <w:tc>
          <w:tcPr>
            <w:tcW w:w="1620" w:type="dxa"/>
            <w:vAlign w:val="bottom"/>
          </w:tcPr>
          <w:p>
            <w:pPr>
              <w:jc w:val="center"/>
              <w:spacing w:after="0" w:line="155" w:lineRule="exact"/>
              <w:rPr>
                <w:sz w:val="20"/>
                <w:szCs w:val="20"/>
                <w:color w:val="auto"/>
              </w:rPr>
            </w:pPr>
            <w:r>
              <w:rPr>
                <w:rFonts w:ascii="Arial" w:cs="Arial" w:eastAsia="Arial" w:hAnsi="Arial"/>
                <w:sz w:val="16"/>
                <w:szCs w:val="16"/>
                <w:color w:val="auto"/>
              </w:rPr>
              <w:t>May 28, 2021</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393">
              <w:r>
                <w:rPr>
                  <w:rFonts w:ascii="Arial" w:cs="Arial" w:eastAsia="Arial" w:hAnsi="Arial"/>
                  <w:sz w:val="16"/>
                  <w:szCs w:val="16"/>
                  <w:color w:val="0000FF"/>
                </w:rPr>
                <w:t>Paymentus Holdings, Inc.</w:t>
              </w:r>
            </w:hyperlink>
          </w:p>
        </w:tc>
        <w:tc>
          <w:tcPr>
            <w:tcW w:w="2020" w:type="dxa"/>
            <w:vAlign w:val="bottom"/>
            <w:tcBorders>
              <w:top w:val="single" w:sz="8" w:color="0000FF"/>
            </w:tcBorders>
            <w:gridSpan w:val="9"/>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20" w:type="dxa"/>
            <w:vAlign w:val="bottom"/>
          </w:tcPr>
          <w:p>
            <w:pPr>
              <w:jc w:val="center"/>
              <w:ind w:right="39"/>
              <w:spacing w:after="0"/>
              <w:rPr>
                <w:sz w:val="20"/>
                <w:szCs w:val="20"/>
                <w:color w:val="auto"/>
              </w:rPr>
            </w:pPr>
            <w:r>
              <w:rPr>
                <w:rFonts w:ascii="Arial" w:cs="Arial" w:eastAsia="Arial" w:hAnsi="Arial"/>
                <w:sz w:val="16"/>
                <w:szCs w:val="16"/>
                <w:color w:val="auto"/>
              </w:rPr>
              <w:t>3.1.1</w:t>
            </w:r>
          </w:p>
        </w:tc>
        <w:tc>
          <w:tcPr>
            <w:tcW w:w="4280" w:type="dxa"/>
            <w:vAlign w:val="bottom"/>
            <w:gridSpan w:val="21"/>
          </w:tcPr>
          <w:p>
            <w:pPr>
              <w:spacing w:after="0"/>
              <w:rPr>
                <w:rFonts w:ascii="Arial" w:cs="Arial" w:eastAsia="Arial" w:hAnsi="Arial"/>
                <w:sz w:val="16"/>
                <w:szCs w:val="16"/>
                <w:color w:val="0000FF"/>
              </w:rPr>
            </w:pPr>
            <w:hyperlink r:id="rId394">
              <w:r>
                <w:rPr>
                  <w:rFonts w:ascii="Arial" w:cs="Arial" w:eastAsia="Arial" w:hAnsi="Arial"/>
                  <w:sz w:val="16"/>
                  <w:szCs w:val="16"/>
                  <w:color w:val="0000FF"/>
                </w:rPr>
                <w:t>Amendment to Amended and Restated Certificate of</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rPr>
              <w:t>10-Q</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620" w:type="dxa"/>
            <w:vAlign w:val="bottom"/>
          </w:tcPr>
          <w:p>
            <w:pPr>
              <w:jc w:val="center"/>
              <w:spacing w:after="0"/>
              <w:rPr>
                <w:sz w:val="20"/>
                <w:szCs w:val="20"/>
                <w:color w:val="auto"/>
              </w:rPr>
            </w:pPr>
            <w:r>
              <w:rPr>
                <w:rFonts w:ascii="Arial" w:cs="Arial" w:eastAsia="Arial" w:hAnsi="Arial"/>
                <w:sz w:val="16"/>
                <w:szCs w:val="16"/>
                <w:color w:val="auto"/>
              </w:rPr>
              <w:t>August 7,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80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394">
              <w:r>
                <w:rPr>
                  <w:rFonts w:ascii="Arial" w:cs="Arial" w:eastAsia="Arial" w:hAnsi="Arial"/>
                  <w:sz w:val="16"/>
                  <w:szCs w:val="16"/>
                  <w:color w:val="0000FF"/>
                </w:rPr>
                <w:t>Incorporation of Paymentus Holdings, Inc.</w:t>
              </w:r>
            </w:hyperlink>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jc w:val="center"/>
              <w:ind w:right="59"/>
              <w:spacing w:after="0"/>
              <w:rPr>
                <w:sz w:val="20"/>
                <w:szCs w:val="20"/>
                <w:color w:val="auto"/>
              </w:rPr>
            </w:pPr>
            <w:r>
              <w:rPr>
                <w:rFonts w:ascii="Arial" w:cs="Arial" w:eastAsia="Arial" w:hAnsi="Arial"/>
                <w:sz w:val="16"/>
                <w:szCs w:val="16"/>
                <w:color w:val="auto"/>
                <w:w w:val="98"/>
              </w:rPr>
              <w:t>3.2</w:t>
            </w:r>
          </w:p>
        </w:tc>
        <w:tc>
          <w:tcPr>
            <w:tcW w:w="4280" w:type="dxa"/>
            <w:vAlign w:val="bottom"/>
            <w:gridSpan w:val="21"/>
          </w:tcPr>
          <w:p>
            <w:pPr>
              <w:spacing w:after="0"/>
              <w:rPr>
                <w:rFonts w:ascii="Arial" w:cs="Arial" w:eastAsia="Arial" w:hAnsi="Arial"/>
                <w:sz w:val="16"/>
                <w:szCs w:val="16"/>
                <w:color w:val="0000FF"/>
              </w:rPr>
            </w:pPr>
            <w:hyperlink r:id="rId395">
              <w:r>
                <w:rPr>
                  <w:rFonts w:ascii="Arial" w:cs="Arial" w:eastAsia="Arial" w:hAnsi="Arial"/>
                  <w:sz w:val="16"/>
                  <w:szCs w:val="16"/>
                  <w:color w:val="0000FF"/>
                </w:rPr>
                <w:t>Amended and Restated Bylaws of Paymentus Holdings,</w:t>
              </w:r>
            </w:hyperlink>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8-K</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620" w:type="dxa"/>
            <w:vAlign w:val="bottom"/>
          </w:tcPr>
          <w:p>
            <w:pPr>
              <w:jc w:val="center"/>
              <w:spacing w:after="0"/>
              <w:rPr>
                <w:sz w:val="20"/>
                <w:szCs w:val="20"/>
                <w:color w:val="auto"/>
              </w:rPr>
            </w:pPr>
            <w:r>
              <w:rPr>
                <w:rFonts w:ascii="Arial" w:cs="Arial" w:eastAsia="Arial" w:hAnsi="Arial"/>
                <w:sz w:val="16"/>
                <w:szCs w:val="16"/>
                <w:color w:val="auto"/>
              </w:rPr>
              <w:t>November 14, 2022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2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2"/>
              </w:rPr>
            </w:pPr>
            <w:hyperlink r:id="rId395">
              <w:r>
                <w:rPr>
                  <w:rFonts w:ascii="Arial" w:cs="Arial" w:eastAsia="Arial" w:hAnsi="Arial"/>
                  <w:sz w:val="16"/>
                  <w:szCs w:val="16"/>
                  <w:color w:val="0000FF"/>
                  <w:w w:val="92"/>
                </w:rPr>
                <w:t>Inc.</w:t>
              </w:r>
            </w:hyperlink>
          </w:p>
        </w:tc>
        <w:tc>
          <w:tcPr>
            <w:tcW w:w="20" w:type="dxa"/>
            <w:vAlign w:val="bottom"/>
            <w:tcBorders>
              <w:top w:val="single" w:sz="8" w:color="0000FF"/>
              <w:bottom w:val="single" w:sz="8" w:color="0000EE"/>
            </w:tcBorders>
          </w:tcPr>
          <w:p>
            <w:pPr>
              <w:spacing w:after="0"/>
              <w:rPr>
                <w:sz w:val="14"/>
                <w:szCs w:val="14"/>
                <w:color w:val="auto"/>
              </w:rPr>
            </w:pPr>
          </w:p>
        </w:tc>
        <w:tc>
          <w:tcPr>
            <w:tcW w:w="3780" w:type="dxa"/>
            <w:vAlign w:val="bottom"/>
            <w:tcBorders>
              <w:top w:val="single" w:sz="8" w:color="0000FF"/>
            </w:tcBorders>
            <w:gridSpan w:val="16"/>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20" w:type="dxa"/>
            <w:vAlign w:val="bottom"/>
          </w:tcPr>
          <w:p>
            <w:pPr>
              <w:jc w:val="center"/>
              <w:ind w:right="19"/>
              <w:spacing w:after="0"/>
              <w:rPr>
                <w:sz w:val="20"/>
                <w:szCs w:val="20"/>
                <w:color w:val="auto"/>
              </w:rPr>
            </w:pPr>
            <w:r>
              <w:rPr>
                <w:rFonts w:ascii="Arial" w:cs="Arial" w:eastAsia="Arial" w:hAnsi="Arial"/>
                <w:sz w:val="16"/>
                <w:szCs w:val="16"/>
                <w:color w:val="auto"/>
                <w:w w:val="98"/>
              </w:rPr>
              <w:t>4.1</w:t>
            </w:r>
          </w:p>
        </w:tc>
        <w:tc>
          <w:tcPr>
            <w:tcW w:w="4280" w:type="dxa"/>
            <w:vAlign w:val="bottom"/>
            <w:gridSpan w:val="21"/>
          </w:tcPr>
          <w:p>
            <w:pPr>
              <w:spacing w:after="0"/>
              <w:rPr>
                <w:rFonts w:ascii="Arial" w:cs="Arial" w:eastAsia="Arial" w:hAnsi="Arial"/>
                <w:sz w:val="16"/>
                <w:szCs w:val="16"/>
                <w:color w:val="0000FF"/>
              </w:rPr>
            </w:pPr>
            <w:hyperlink r:id="rId396">
              <w:r>
                <w:rPr>
                  <w:rFonts w:ascii="Arial" w:cs="Arial" w:eastAsia="Arial" w:hAnsi="Arial"/>
                  <w:sz w:val="16"/>
                  <w:szCs w:val="16"/>
                  <w:color w:val="0000FF"/>
                </w:rPr>
                <w:t>Form of Class A Common Stock Certificate</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620" w:type="dxa"/>
            <w:vAlign w:val="bottom"/>
          </w:tcPr>
          <w:p>
            <w:pPr>
              <w:jc w:val="center"/>
              <w:spacing w:after="0"/>
              <w:rPr>
                <w:sz w:val="20"/>
                <w:szCs w:val="20"/>
                <w:color w:val="auto"/>
              </w:rPr>
            </w:pPr>
            <w:r>
              <w:rPr>
                <w:rFonts w:ascii="Arial" w:cs="Arial" w:eastAsia="Arial" w:hAnsi="Arial"/>
                <w:sz w:val="16"/>
                <w:szCs w:val="16"/>
                <w:color w:val="auto"/>
              </w:rPr>
              <w:t>May 13,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jc w:val="center"/>
              <w:ind w:right="19"/>
              <w:spacing w:after="0"/>
              <w:rPr>
                <w:sz w:val="20"/>
                <w:szCs w:val="20"/>
                <w:color w:val="auto"/>
              </w:rPr>
            </w:pPr>
            <w:r>
              <w:rPr>
                <w:rFonts w:ascii="Arial" w:cs="Arial" w:eastAsia="Arial" w:hAnsi="Arial"/>
                <w:sz w:val="16"/>
                <w:szCs w:val="16"/>
                <w:color w:val="auto"/>
                <w:w w:val="98"/>
              </w:rPr>
              <w:t>4.2</w:t>
            </w:r>
          </w:p>
        </w:tc>
        <w:tc>
          <w:tcPr>
            <w:tcW w:w="4280" w:type="dxa"/>
            <w:vAlign w:val="bottom"/>
            <w:gridSpan w:val="21"/>
          </w:tcPr>
          <w:p>
            <w:pPr>
              <w:spacing w:after="0"/>
              <w:rPr>
                <w:rFonts w:ascii="Arial" w:cs="Arial" w:eastAsia="Arial" w:hAnsi="Arial"/>
                <w:sz w:val="16"/>
                <w:szCs w:val="16"/>
                <w:color w:val="0000FF"/>
              </w:rPr>
            </w:pPr>
            <w:hyperlink r:id="rId397">
              <w:r>
                <w:rPr>
                  <w:rFonts w:ascii="Arial" w:cs="Arial" w:eastAsia="Arial" w:hAnsi="Arial"/>
                  <w:sz w:val="16"/>
                  <w:szCs w:val="16"/>
                  <w:color w:val="0000FF"/>
                </w:rPr>
                <w:t>Registration Rights Agreement, dated as of May 24, 2021,</w:t>
              </w:r>
            </w:hyperlink>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8-K</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620" w:type="dxa"/>
            <w:vAlign w:val="bottom"/>
          </w:tcPr>
          <w:p>
            <w:pPr>
              <w:jc w:val="center"/>
              <w:spacing w:after="0"/>
              <w:rPr>
                <w:sz w:val="20"/>
                <w:szCs w:val="20"/>
                <w:color w:val="auto"/>
              </w:rPr>
            </w:pPr>
            <w:r>
              <w:rPr>
                <w:rFonts w:ascii="Arial" w:cs="Arial" w:eastAsia="Arial" w:hAnsi="Arial"/>
                <w:sz w:val="16"/>
                <w:szCs w:val="16"/>
                <w:color w:val="auto"/>
              </w:rPr>
              <w:t>May 28,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418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397">
              <w:r>
                <w:rPr>
                  <w:rFonts w:ascii="Arial" w:cs="Arial" w:eastAsia="Arial" w:hAnsi="Arial"/>
                  <w:sz w:val="16"/>
                  <w:szCs w:val="16"/>
                  <w:color w:val="0000FF"/>
                </w:rPr>
                <w:t>by and among Paymentus Holdings, Inc. and the other</w:t>
              </w:r>
            </w:hyperlink>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94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397">
              <w:r>
                <w:rPr>
                  <w:rFonts w:ascii="Arial" w:cs="Arial" w:eastAsia="Arial" w:hAnsi="Arial"/>
                  <w:sz w:val="16"/>
                  <w:szCs w:val="16"/>
                  <w:color w:val="0000FF"/>
                </w:rPr>
                <w:t>signatories thereto</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jc w:val="center"/>
              <w:ind w:right="19"/>
              <w:spacing w:after="0"/>
              <w:rPr>
                <w:sz w:val="20"/>
                <w:szCs w:val="20"/>
                <w:color w:val="auto"/>
              </w:rPr>
            </w:pPr>
            <w:r>
              <w:rPr>
                <w:rFonts w:ascii="Arial" w:cs="Arial" w:eastAsia="Arial" w:hAnsi="Arial"/>
                <w:sz w:val="16"/>
                <w:szCs w:val="16"/>
                <w:color w:val="auto"/>
                <w:w w:val="98"/>
              </w:rPr>
              <w:t>4.3</w:t>
            </w:r>
          </w:p>
        </w:tc>
        <w:tc>
          <w:tcPr>
            <w:tcW w:w="4280" w:type="dxa"/>
            <w:vAlign w:val="bottom"/>
            <w:gridSpan w:val="21"/>
          </w:tcPr>
          <w:p>
            <w:pPr>
              <w:spacing w:after="0"/>
              <w:rPr>
                <w:rFonts w:ascii="Arial" w:cs="Arial" w:eastAsia="Arial" w:hAnsi="Arial"/>
                <w:sz w:val="16"/>
                <w:szCs w:val="16"/>
                <w:color w:val="0000FF"/>
              </w:rPr>
            </w:pPr>
            <w:hyperlink r:id="rId398">
              <w:r>
                <w:rPr>
                  <w:rFonts w:ascii="Arial" w:cs="Arial" w:eastAsia="Arial" w:hAnsi="Arial"/>
                  <w:sz w:val="16"/>
                  <w:szCs w:val="16"/>
                  <w:color w:val="0000FF"/>
                </w:rPr>
                <w:t>Description of Securities</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620" w:type="dxa"/>
            <w:vAlign w:val="bottom"/>
          </w:tcPr>
          <w:p>
            <w:pPr>
              <w:jc w:val="center"/>
              <w:spacing w:after="0"/>
              <w:rPr>
                <w:sz w:val="20"/>
                <w:szCs w:val="20"/>
                <w:color w:val="auto"/>
              </w:rPr>
            </w:pPr>
            <w:r>
              <w:rPr>
                <w:rFonts w:ascii="Arial" w:cs="Arial" w:eastAsia="Arial" w:hAnsi="Arial"/>
                <w:sz w:val="16"/>
                <w:szCs w:val="16"/>
                <w:color w:val="auto"/>
              </w:rPr>
              <w:t>March 3,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jc w:val="center"/>
              <w:ind w:right="19"/>
              <w:spacing w:after="0"/>
              <w:rPr>
                <w:sz w:val="20"/>
                <w:szCs w:val="20"/>
                <w:color w:val="auto"/>
              </w:rPr>
            </w:pPr>
            <w:r>
              <w:rPr>
                <w:rFonts w:ascii="Arial" w:cs="Arial" w:eastAsia="Arial" w:hAnsi="Arial"/>
                <w:sz w:val="16"/>
                <w:szCs w:val="16"/>
                <w:color w:val="auto"/>
              </w:rPr>
              <w:t>10.1+</w:t>
            </w:r>
          </w:p>
        </w:tc>
        <w:tc>
          <w:tcPr>
            <w:tcW w:w="3980" w:type="dxa"/>
            <w:vAlign w:val="bottom"/>
            <w:tcBorders>
              <w:bottom w:val="single" w:sz="8" w:color="0000FF"/>
            </w:tcBorders>
            <w:gridSpan w:val="16"/>
          </w:tcPr>
          <w:p>
            <w:pPr>
              <w:spacing w:after="0"/>
              <w:rPr>
                <w:rFonts w:ascii="Arial" w:cs="Arial" w:eastAsia="Arial" w:hAnsi="Arial"/>
                <w:sz w:val="16"/>
                <w:szCs w:val="16"/>
                <w:color w:val="0000FF"/>
              </w:rPr>
            </w:pPr>
            <w:hyperlink r:id="rId399">
              <w:r>
                <w:rPr>
                  <w:rFonts w:ascii="Arial" w:cs="Arial" w:eastAsia="Arial" w:hAnsi="Arial"/>
                  <w:sz w:val="16"/>
                  <w:szCs w:val="16"/>
                  <w:color w:val="0000FF"/>
                </w:rPr>
                <w:t>Form of Director and Officer Indemnification Agreement</w:t>
              </w:r>
            </w:hyperlink>
          </w:p>
        </w:tc>
        <w:tc>
          <w:tcPr>
            <w:tcW w:w="300" w:type="dxa"/>
            <w:vAlign w:val="bottom"/>
            <w:gridSpan w:val="5"/>
          </w:tcPr>
          <w:p>
            <w:pPr>
              <w:spacing w:after="0"/>
              <w:rPr>
                <w:sz w:val="24"/>
                <w:szCs w:val="24"/>
                <w:color w:val="auto"/>
              </w:rPr>
            </w:pPr>
          </w:p>
        </w:tc>
        <w:tc>
          <w:tcPr>
            <w:tcW w:w="860" w:type="dxa"/>
            <w:vAlign w:val="bottom"/>
          </w:tcPr>
          <w:p>
            <w:pPr>
              <w:jc w:val="center"/>
              <w:ind w:left="59"/>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620" w:type="dxa"/>
            <w:vAlign w:val="bottom"/>
          </w:tcPr>
          <w:p>
            <w:pPr>
              <w:jc w:val="center"/>
              <w:spacing w:after="0"/>
              <w:rPr>
                <w:sz w:val="20"/>
                <w:szCs w:val="20"/>
                <w:color w:val="auto"/>
              </w:rPr>
            </w:pPr>
            <w:r>
              <w:rPr>
                <w:rFonts w:ascii="Arial" w:cs="Arial" w:eastAsia="Arial" w:hAnsi="Arial"/>
                <w:sz w:val="16"/>
                <w:szCs w:val="16"/>
                <w:color w:val="auto"/>
              </w:rPr>
              <w:t>May 13,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20" w:type="dxa"/>
            <w:vAlign w:val="bottom"/>
          </w:tcPr>
          <w:p>
            <w:pPr>
              <w:jc w:val="center"/>
              <w:ind w:right="19"/>
              <w:spacing w:after="0"/>
              <w:rPr>
                <w:sz w:val="20"/>
                <w:szCs w:val="20"/>
                <w:color w:val="auto"/>
              </w:rPr>
            </w:pPr>
            <w:r>
              <w:rPr>
                <w:rFonts w:ascii="Arial" w:cs="Arial" w:eastAsia="Arial" w:hAnsi="Arial"/>
                <w:sz w:val="16"/>
                <w:szCs w:val="16"/>
                <w:color w:val="auto"/>
              </w:rPr>
              <w:t>10.2+</w:t>
            </w:r>
          </w:p>
        </w:tc>
        <w:tc>
          <w:tcPr>
            <w:tcW w:w="4040" w:type="dxa"/>
            <w:vAlign w:val="bottom"/>
            <w:tcBorders>
              <w:bottom w:val="single" w:sz="8" w:color="0000FF"/>
            </w:tcBorders>
            <w:gridSpan w:val="17"/>
          </w:tcPr>
          <w:p>
            <w:pPr>
              <w:spacing w:after="0"/>
              <w:rPr>
                <w:rFonts w:ascii="Arial" w:cs="Arial" w:eastAsia="Arial" w:hAnsi="Arial"/>
                <w:sz w:val="16"/>
                <w:szCs w:val="16"/>
                <w:color w:val="0000FF"/>
              </w:rPr>
            </w:pPr>
            <w:hyperlink r:id="rId400">
              <w:r>
                <w:rPr>
                  <w:rFonts w:ascii="Arial" w:cs="Arial" w:eastAsia="Arial" w:hAnsi="Arial"/>
                  <w:sz w:val="16"/>
                  <w:szCs w:val="16"/>
                  <w:color w:val="0000FF"/>
                </w:rPr>
                <w:t>2012 Equity Incentive Plan and related form agreements</w:t>
              </w:r>
            </w:hyperlink>
          </w:p>
        </w:tc>
        <w:tc>
          <w:tcPr>
            <w:tcW w:w="240" w:type="dxa"/>
            <w:vAlign w:val="bottom"/>
            <w:gridSpan w:val="4"/>
          </w:tcPr>
          <w:p>
            <w:pPr>
              <w:spacing w:after="0"/>
              <w:rPr>
                <w:sz w:val="24"/>
                <w:szCs w:val="24"/>
                <w:color w:val="auto"/>
              </w:rPr>
            </w:pPr>
          </w:p>
        </w:tc>
        <w:tc>
          <w:tcPr>
            <w:tcW w:w="860" w:type="dxa"/>
            <w:vAlign w:val="bottom"/>
          </w:tcPr>
          <w:p>
            <w:pPr>
              <w:jc w:val="center"/>
              <w:ind w:left="59"/>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20" w:type="dxa"/>
            <w:vAlign w:val="bottom"/>
          </w:tcPr>
          <w:p>
            <w:pPr>
              <w:jc w:val="center"/>
              <w:spacing w:after="0"/>
              <w:rPr>
                <w:sz w:val="20"/>
                <w:szCs w:val="20"/>
                <w:color w:val="auto"/>
              </w:rPr>
            </w:pPr>
            <w:r>
              <w:rPr>
                <w:rFonts w:ascii="Arial" w:cs="Arial" w:eastAsia="Arial" w:hAnsi="Arial"/>
                <w:sz w:val="16"/>
                <w:szCs w:val="16"/>
                <w:color w:val="auto"/>
              </w:rPr>
              <w:t>May 17,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20" w:type="dxa"/>
            <w:vAlign w:val="bottom"/>
          </w:tcPr>
          <w:p>
            <w:pPr>
              <w:jc w:val="center"/>
              <w:ind w:right="19"/>
              <w:spacing w:after="0"/>
              <w:rPr>
                <w:sz w:val="20"/>
                <w:szCs w:val="20"/>
                <w:color w:val="auto"/>
              </w:rPr>
            </w:pPr>
            <w:r>
              <w:rPr>
                <w:rFonts w:ascii="Arial" w:cs="Arial" w:eastAsia="Arial" w:hAnsi="Arial"/>
                <w:sz w:val="16"/>
                <w:szCs w:val="16"/>
                <w:color w:val="auto"/>
              </w:rPr>
              <w:t>10.3+</w:t>
            </w:r>
          </w:p>
        </w:tc>
        <w:tc>
          <w:tcPr>
            <w:tcW w:w="4280" w:type="dxa"/>
            <w:vAlign w:val="bottom"/>
            <w:gridSpan w:val="21"/>
          </w:tcPr>
          <w:p>
            <w:pPr>
              <w:spacing w:after="0"/>
              <w:rPr>
                <w:rFonts w:ascii="Arial" w:cs="Arial" w:eastAsia="Arial" w:hAnsi="Arial"/>
                <w:sz w:val="16"/>
                <w:szCs w:val="16"/>
                <w:color w:val="0000FF"/>
              </w:rPr>
            </w:pPr>
            <w:hyperlink r:id="rId401">
              <w:r>
                <w:rPr>
                  <w:rFonts w:ascii="Arial" w:cs="Arial" w:eastAsia="Arial" w:hAnsi="Arial"/>
                  <w:sz w:val="16"/>
                  <w:szCs w:val="16"/>
                  <w:color w:val="0000FF"/>
                </w:rPr>
                <w:t>Executive Incentive Compensation Plan</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333- 255683</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10.4</w:t>
            </w:r>
          </w:p>
        </w:tc>
        <w:tc>
          <w:tcPr>
            <w:tcW w:w="1620" w:type="dxa"/>
            <w:vAlign w:val="bottom"/>
          </w:tcPr>
          <w:p>
            <w:pPr>
              <w:jc w:val="center"/>
              <w:spacing w:after="0"/>
              <w:rPr>
                <w:sz w:val="20"/>
                <w:szCs w:val="20"/>
                <w:color w:val="auto"/>
              </w:rPr>
            </w:pPr>
            <w:r>
              <w:rPr>
                <w:rFonts w:ascii="Arial" w:cs="Arial" w:eastAsia="Arial" w:hAnsi="Arial"/>
                <w:sz w:val="16"/>
                <w:szCs w:val="16"/>
                <w:color w:val="auto"/>
              </w:rPr>
              <w:t>May 17,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20" w:type="dxa"/>
            <w:vAlign w:val="bottom"/>
          </w:tcPr>
          <w:p>
            <w:pPr>
              <w:jc w:val="center"/>
              <w:ind w:right="19"/>
              <w:spacing w:after="0"/>
              <w:rPr>
                <w:sz w:val="20"/>
                <w:szCs w:val="20"/>
                <w:color w:val="auto"/>
              </w:rPr>
            </w:pPr>
            <w:r>
              <w:rPr>
                <w:rFonts w:ascii="Arial" w:cs="Arial" w:eastAsia="Arial" w:hAnsi="Arial"/>
                <w:sz w:val="16"/>
                <w:szCs w:val="16"/>
                <w:color w:val="auto"/>
              </w:rPr>
              <w:t>10.4+</w:t>
            </w:r>
          </w:p>
        </w:tc>
        <w:tc>
          <w:tcPr>
            <w:tcW w:w="2740" w:type="dxa"/>
            <w:vAlign w:val="bottom"/>
            <w:tcBorders>
              <w:top w:val="single" w:sz="8" w:color="0000FF"/>
              <w:bottom w:val="single" w:sz="8" w:color="0000FF"/>
            </w:tcBorders>
            <w:gridSpan w:val="9"/>
          </w:tcPr>
          <w:p>
            <w:pPr>
              <w:spacing w:after="0"/>
              <w:rPr>
                <w:rFonts w:ascii="Arial" w:cs="Arial" w:eastAsia="Arial" w:hAnsi="Arial"/>
                <w:sz w:val="16"/>
                <w:szCs w:val="16"/>
                <w:color w:val="0000FF"/>
              </w:rPr>
            </w:pPr>
            <w:hyperlink r:id="rId402">
              <w:r>
                <w:rPr>
                  <w:rFonts w:ascii="Arial" w:cs="Arial" w:eastAsia="Arial" w:hAnsi="Arial"/>
                  <w:sz w:val="16"/>
                  <w:szCs w:val="16"/>
                  <w:color w:val="0000FF"/>
                </w:rPr>
                <w:t>Outside Director Compensation Policy</w:t>
              </w:r>
            </w:hyperlink>
          </w:p>
        </w:tc>
        <w:tc>
          <w:tcPr>
            <w:tcW w:w="100" w:type="dxa"/>
            <w:vAlign w:val="bottom"/>
            <w:tcBorders>
              <w:top w:val="single" w:sz="8" w:color="0000FF"/>
            </w:tcBorders>
          </w:tcPr>
          <w:p>
            <w:pPr>
              <w:spacing w:after="0"/>
              <w:rPr>
                <w:sz w:val="24"/>
                <w:szCs w:val="24"/>
                <w:color w:val="auto"/>
              </w:rPr>
            </w:pPr>
          </w:p>
        </w:tc>
        <w:tc>
          <w:tcPr>
            <w:tcW w:w="1440" w:type="dxa"/>
            <w:vAlign w:val="bottom"/>
            <w:gridSpan w:val="11"/>
          </w:tcPr>
          <w:p>
            <w:pPr>
              <w:spacing w:after="0"/>
              <w:rPr>
                <w:sz w:val="24"/>
                <w:szCs w:val="24"/>
                <w:color w:val="auto"/>
              </w:rPr>
            </w:pPr>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8-K</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20" w:type="dxa"/>
            <w:vAlign w:val="bottom"/>
          </w:tcPr>
          <w:p>
            <w:pPr>
              <w:jc w:val="center"/>
              <w:spacing w:after="0"/>
              <w:rPr>
                <w:sz w:val="20"/>
                <w:szCs w:val="20"/>
                <w:color w:val="auto"/>
              </w:rPr>
            </w:pPr>
            <w:r>
              <w:rPr>
                <w:rFonts w:ascii="Arial" w:cs="Arial" w:eastAsia="Arial" w:hAnsi="Arial"/>
                <w:sz w:val="16"/>
                <w:szCs w:val="16"/>
                <w:color w:val="auto"/>
              </w:rPr>
              <w:t>February 14,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20" w:type="dxa"/>
            <w:vAlign w:val="bottom"/>
          </w:tcPr>
          <w:p>
            <w:pPr>
              <w:jc w:val="center"/>
              <w:ind w:right="19"/>
              <w:spacing w:after="0"/>
              <w:rPr>
                <w:sz w:val="20"/>
                <w:szCs w:val="20"/>
                <w:color w:val="auto"/>
              </w:rPr>
            </w:pPr>
            <w:r>
              <w:rPr>
                <w:rFonts w:ascii="Arial" w:cs="Arial" w:eastAsia="Arial" w:hAnsi="Arial"/>
                <w:sz w:val="16"/>
                <w:szCs w:val="16"/>
                <w:color w:val="auto"/>
              </w:rPr>
              <w:t>10.5+</w:t>
            </w:r>
          </w:p>
        </w:tc>
        <w:tc>
          <w:tcPr>
            <w:tcW w:w="4280" w:type="dxa"/>
            <w:vAlign w:val="bottom"/>
            <w:gridSpan w:val="21"/>
          </w:tcPr>
          <w:p>
            <w:pPr>
              <w:spacing w:after="0"/>
              <w:rPr>
                <w:rFonts w:ascii="Arial" w:cs="Arial" w:eastAsia="Arial" w:hAnsi="Arial"/>
                <w:sz w:val="16"/>
                <w:szCs w:val="16"/>
                <w:color w:val="0000FF"/>
              </w:rPr>
            </w:pPr>
            <w:hyperlink r:id="rId403">
              <w:r>
                <w:rPr>
                  <w:rFonts w:ascii="Arial" w:cs="Arial" w:eastAsia="Arial" w:hAnsi="Arial"/>
                  <w:sz w:val="16"/>
                  <w:szCs w:val="16"/>
                  <w:color w:val="0000FF"/>
                </w:rPr>
                <w:t>Confirmatory Employment Letter by and between the</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620" w:type="dxa"/>
            <w:vAlign w:val="bottom"/>
          </w:tcPr>
          <w:p>
            <w:pPr>
              <w:jc w:val="center"/>
              <w:spacing w:after="0"/>
              <w:rPr>
                <w:sz w:val="20"/>
                <w:szCs w:val="20"/>
                <w:color w:val="auto"/>
              </w:rPr>
            </w:pPr>
            <w:r>
              <w:rPr>
                <w:rFonts w:ascii="Arial" w:cs="Arial" w:eastAsia="Arial" w:hAnsi="Arial"/>
                <w:sz w:val="16"/>
                <w:szCs w:val="16"/>
                <w:color w:val="auto"/>
              </w:rPr>
              <w:t>May 17,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416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403">
              <w:r>
                <w:rPr>
                  <w:rFonts w:ascii="Arial" w:cs="Arial" w:eastAsia="Arial" w:hAnsi="Arial"/>
                  <w:sz w:val="16"/>
                  <w:szCs w:val="16"/>
                  <w:color w:val="0000FF"/>
                </w:rPr>
                <w:t>registrant and Dushyant Sharma</w:t>
              </w:r>
            </w:hyperlink>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jc w:val="center"/>
              <w:ind w:right="19"/>
              <w:spacing w:after="0"/>
              <w:rPr>
                <w:sz w:val="20"/>
                <w:szCs w:val="20"/>
                <w:color w:val="auto"/>
              </w:rPr>
            </w:pPr>
            <w:r>
              <w:rPr>
                <w:rFonts w:ascii="Arial" w:cs="Arial" w:eastAsia="Arial" w:hAnsi="Arial"/>
                <w:sz w:val="16"/>
                <w:szCs w:val="16"/>
                <w:color w:val="auto"/>
              </w:rPr>
              <w:t>10.6+</w:t>
            </w:r>
          </w:p>
        </w:tc>
        <w:tc>
          <w:tcPr>
            <w:tcW w:w="4280" w:type="dxa"/>
            <w:vAlign w:val="bottom"/>
            <w:gridSpan w:val="21"/>
          </w:tcPr>
          <w:p>
            <w:pPr>
              <w:spacing w:after="0"/>
              <w:rPr>
                <w:rFonts w:ascii="Arial" w:cs="Arial" w:eastAsia="Arial" w:hAnsi="Arial"/>
                <w:sz w:val="16"/>
                <w:szCs w:val="16"/>
                <w:color w:val="0000FF"/>
              </w:rPr>
            </w:pPr>
            <w:hyperlink r:id="rId404">
              <w:r>
                <w:rPr>
                  <w:rFonts w:ascii="Arial" w:cs="Arial" w:eastAsia="Arial" w:hAnsi="Arial"/>
                  <w:sz w:val="16"/>
                  <w:szCs w:val="16"/>
                  <w:color w:val="0000FF"/>
                </w:rPr>
                <w:t>Confirmatory Employment Letter by and between the</w:t>
              </w:r>
            </w:hyperlink>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8-K</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620" w:type="dxa"/>
            <w:vAlign w:val="bottom"/>
          </w:tcPr>
          <w:p>
            <w:pPr>
              <w:jc w:val="center"/>
              <w:spacing w:after="0"/>
              <w:rPr>
                <w:sz w:val="20"/>
                <w:szCs w:val="20"/>
                <w:color w:val="auto"/>
              </w:rPr>
            </w:pPr>
            <w:r>
              <w:rPr>
                <w:rFonts w:ascii="Arial" w:cs="Arial" w:eastAsia="Arial" w:hAnsi="Arial"/>
                <w:sz w:val="16"/>
                <w:szCs w:val="16"/>
                <w:color w:val="auto"/>
              </w:rPr>
              <w:t>March 6,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416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404">
              <w:r>
                <w:rPr>
                  <w:rFonts w:ascii="Arial" w:cs="Arial" w:eastAsia="Arial" w:hAnsi="Arial"/>
                  <w:sz w:val="16"/>
                  <w:szCs w:val="16"/>
                  <w:color w:val="0000FF"/>
                </w:rPr>
                <w:t>registrant and Sanjay Kalra</w:t>
              </w:r>
            </w:hyperlink>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jc w:val="center"/>
              <w:ind w:right="19"/>
              <w:spacing w:after="0"/>
              <w:rPr>
                <w:sz w:val="20"/>
                <w:szCs w:val="20"/>
                <w:color w:val="auto"/>
              </w:rPr>
            </w:pPr>
            <w:r>
              <w:rPr>
                <w:rFonts w:ascii="Arial" w:cs="Arial" w:eastAsia="Arial" w:hAnsi="Arial"/>
                <w:sz w:val="16"/>
                <w:szCs w:val="16"/>
                <w:color w:val="auto"/>
              </w:rPr>
              <w:t>10.7+</w:t>
            </w:r>
          </w:p>
        </w:tc>
        <w:tc>
          <w:tcPr>
            <w:tcW w:w="4280" w:type="dxa"/>
            <w:vAlign w:val="bottom"/>
            <w:gridSpan w:val="21"/>
          </w:tcPr>
          <w:p>
            <w:pPr>
              <w:spacing w:after="0"/>
              <w:rPr>
                <w:rFonts w:ascii="Arial" w:cs="Arial" w:eastAsia="Arial" w:hAnsi="Arial"/>
                <w:sz w:val="16"/>
                <w:szCs w:val="16"/>
                <w:color w:val="0000FF"/>
              </w:rPr>
            </w:pPr>
            <w:hyperlink r:id="rId405">
              <w:r>
                <w:rPr>
                  <w:rFonts w:ascii="Arial" w:cs="Arial" w:eastAsia="Arial" w:hAnsi="Arial"/>
                  <w:sz w:val="16"/>
                  <w:szCs w:val="16"/>
                  <w:color w:val="0000FF"/>
                </w:rPr>
                <w:t>Confirmatory Employment Letter by and between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1620" w:type="dxa"/>
            <w:vAlign w:val="bottom"/>
          </w:tcPr>
          <w:p>
            <w:pPr>
              <w:jc w:val="center"/>
              <w:spacing w:after="0"/>
              <w:rPr>
                <w:sz w:val="20"/>
                <w:szCs w:val="20"/>
                <w:color w:val="auto"/>
              </w:rPr>
            </w:pPr>
            <w:r>
              <w:rPr>
                <w:rFonts w:ascii="Arial" w:cs="Arial" w:eastAsia="Arial" w:hAnsi="Arial"/>
                <w:sz w:val="16"/>
                <w:szCs w:val="16"/>
                <w:color w:val="auto"/>
              </w:rPr>
              <w:t>March 3, 2022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100" w:type="dxa"/>
            <w:vAlign w:val="bottom"/>
            <w:tcBorders>
              <w:top w:val="single" w:sz="8" w:color="0000FF"/>
              <w:bottom w:val="single" w:sz="8" w:color="0000FF"/>
            </w:tcBorders>
            <w:gridSpan w:val="12"/>
          </w:tcPr>
          <w:p>
            <w:pPr>
              <w:spacing w:after="0" w:line="169" w:lineRule="exact"/>
              <w:rPr>
                <w:rFonts w:ascii="Arial" w:cs="Arial" w:eastAsia="Arial" w:hAnsi="Arial"/>
                <w:sz w:val="16"/>
                <w:szCs w:val="16"/>
                <w:color w:val="0000FF"/>
              </w:rPr>
            </w:pPr>
            <w:hyperlink r:id="rId405">
              <w:r>
                <w:rPr>
                  <w:rFonts w:ascii="Arial" w:cs="Arial" w:eastAsia="Arial" w:hAnsi="Arial"/>
                  <w:sz w:val="16"/>
                  <w:szCs w:val="16"/>
                  <w:color w:val="0000FF"/>
                </w:rPr>
                <w:t>registrant and Gerasimos (Jerry) Portocalis</w:t>
              </w:r>
            </w:hyperlink>
          </w:p>
        </w:tc>
        <w:tc>
          <w:tcPr>
            <w:tcW w:w="1060" w:type="dxa"/>
            <w:vAlign w:val="bottom"/>
            <w:tcBorders>
              <w:top w:val="single" w:sz="8" w:color="0000FF"/>
            </w:tcBorders>
            <w:gridSpan w:val="7"/>
          </w:tcPr>
          <w:p>
            <w:pPr>
              <w:spacing w:after="0"/>
              <w:rPr>
                <w:sz w:val="14"/>
                <w:szCs w:val="14"/>
                <w:color w:val="auto"/>
              </w:rPr>
            </w:pPr>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20" w:type="dxa"/>
            <w:vAlign w:val="bottom"/>
          </w:tcPr>
          <w:p>
            <w:pPr>
              <w:jc w:val="center"/>
              <w:ind w:right="19"/>
              <w:spacing w:after="0"/>
              <w:rPr>
                <w:sz w:val="20"/>
                <w:szCs w:val="20"/>
                <w:color w:val="auto"/>
              </w:rPr>
            </w:pPr>
            <w:r>
              <w:rPr>
                <w:rFonts w:ascii="Arial" w:cs="Arial" w:eastAsia="Arial" w:hAnsi="Arial"/>
                <w:sz w:val="16"/>
                <w:szCs w:val="16"/>
                <w:color w:val="auto"/>
              </w:rPr>
              <w:t>10.8+</w:t>
            </w:r>
          </w:p>
        </w:tc>
        <w:tc>
          <w:tcPr>
            <w:tcW w:w="4280" w:type="dxa"/>
            <w:vAlign w:val="bottom"/>
            <w:gridSpan w:val="21"/>
          </w:tcPr>
          <w:p>
            <w:pPr>
              <w:spacing w:after="0"/>
              <w:rPr>
                <w:rFonts w:ascii="Arial" w:cs="Arial" w:eastAsia="Arial" w:hAnsi="Arial"/>
                <w:sz w:val="16"/>
                <w:szCs w:val="16"/>
                <w:color w:val="0000FF"/>
              </w:rPr>
            </w:pPr>
            <w:hyperlink r:id="rId406">
              <w:r>
                <w:rPr>
                  <w:rFonts w:ascii="Arial" w:cs="Arial" w:eastAsia="Arial" w:hAnsi="Arial"/>
                  <w:sz w:val="16"/>
                  <w:szCs w:val="16"/>
                  <w:color w:val="0000FF"/>
                </w:rPr>
                <w:t>Confirmatory Employment Letter by and between the</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rPr>
              <w:t>10-Q</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May 8,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416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406">
              <w:r>
                <w:rPr>
                  <w:rFonts w:ascii="Arial" w:cs="Arial" w:eastAsia="Arial" w:hAnsi="Arial"/>
                  <w:sz w:val="16"/>
                  <w:szCs w:val="16"/>
                  <w:color w:val="0000FF"/>
                </w:rPr>
                <w:t>registrant and Andrew Gerber</w:t>
              </w:r>
            </w:hyperlink>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Incorporated by Reference</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ind w:left="26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03"/>
        </w:trPr>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3"/>
          </w:tcPr>
          <w:p>
            <w:pPr>
              <w:ind w:left="140"/>
              <w:spacing w:after="0"/>
              <w:rPr>
                <w:sz w:val="20"/>
                <w:szCs w:val="20"/>
                <w:color w:val="auto"/>
              </w:rPr>
            </w:pPr>
            <w:r>
              <w:rPr>
                <w:rFonts w:ascii="Arial" w:cs="Arial" w:eastAsia="Arial" w:hAnsi="Arial"/>
                <w:sz w:val="16"/>
                <w:szCs w:val="16"/>
                <w:b w:val="1"/>
                <w:bCs w:val="1"/>
                <w:color w:val="auto"/>
              </w:rPr>
              <w:t>Description</w:t>
            </w: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Form</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Exhibit</w:t>
            </w:r>
          </w:p>
        </w:tc>
        <w:tc>
          <w:tcPr>
            <w:tcW w:w="14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Filing Date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56"/>
        </w:trPr>
        <w:tc>
          <w:tcPr>
            <w:tcW w:w="1020" w:type="dxa"/>
            <w:vAlign w:val="bottom"/>
          </w:tcPr>
          <w:p>
            <w:pPr>
              <w:jc w:val="center"/>
              <w:spacing w:after="0" w:line="155" w:lineRule="exact"/>
              <w:rPr>
                <w:sz w:val="20"/>
                <w:szCs w:val="20"/>
                <w:color w:val="auto"/>
              </w:rPr>
            </w:pPr>
            <w:r>
              <w:rPr>
                <w:rFonts w:ascii="Arial" w:cs="Arial" w:eastAsia="Arial" w:hAnsi="Arial"/>
                <w:sz w:val="16"/>
                <w:szCs w:val="16"/>
                <w:color w:val="auto"/>
              </w:rPr>
              <w:t>10.9+</w:t>
            </w:r>
          </w:p>
        </w:tc>
        <w:tc>
          <w:tcPr>
            <w:tcW w:w="120" w:type="dxa"/>
            <w:vAlign w:val="bottom"/>
          </w:tcPr>
          <w:p>
            <w:pPr>
              <w:spacing w:after="0"/>
              <w:rPr>
                <w:sz w:val="13"/>
                <w:szCs w:val="13"/>
                <w:color w:val="auto"/>
              </w:rPr>
            </w:pPr>
          </w:p>
        </w:tc>
        <w:tc>
          <w:tcPr>
            <w:tcW w:w="4320" w:type="dxa"/>
            <w:vAlign w:val="bottom"/>
            <w:gridSpan w:val="28"/>
          </w:tcPr>
          <w:p>
            <w:pPr>
              <w:spacing w:after="0" w:line="155" w:lineRule="exact"/>
              <w:rPr>
                <w:rFonts w:ascii="Arial" w:cs="Arial" w:eastAsia="Arial" w:hAnsi="Arial"/>
                <w:sz w:val="16"/>
                <w:szCs w:val="16"/>
                <w:color w:val="0000FF"/>
              </w:rPr>
            </w:pPr>
            <w:hyperlink r:id="rId408">
              <w:r>
                <w:rPr>
                  <w:rFonts w:ascii="Arial" w:cs="Arial" w:eastAsia="Arial" w:hAnsi="Arial"/>
                  <w:sz w:val="16"/>
                  <w:szCs w:val="16"/>
                  <w:color w:val="0000FF"/>
                </w:rPr>
                <w:t>Change in Control and Severance Agreement by and</w:t>
              </w:r>
            </w:hyperlink>
          </w:p>
        </w:tc>
        <w:tc>
          <w:tcPr>
            <w:tcW w:w="900" w:type="dxa"/>
            <w:vAlign w:val="bottom"/>
          </w:tcPr>
          <w:p>
            <w:pPr>
              <w:jc w:val="center"/>
              <w:spacing w:after="0" w:line="155" w:lineRule="exact"/>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line="155" w:lineRule="exact"/>
              <w:rPr>
                <w:sz w:val="20"/>
                <w:szCs w:val="20"/>
                <w:color w:val="auto"/>
              </w:rPr>
            </w:pPr>
            <w:r>
              <w:rPr>
                <w:rFonts w:ascii="Arial" w:cs="Arial" w:eastAsia="Arial" w:hAnsi="Arial"/>
                <w:sz w:val="16"/>
                <w:szCs w:val="16"/>
                <w:color w:val="auto"/>
              </w:rPr>
              <w:t>333- 255683</w:t>
            </w:r>
          </w:p>
        </w:tc>
        <w:tc>
          <w:tcPr>
            <w:tcW w:w="860" w:type="dxa"/>
            <w:vAlign w:val="bottom"/>
          </w:tcPr>
          <w:p>
            <w:pPr>
              <w:jc w:val="center"/>
              <w:spacing w:after="0" w:line="155" w:lineRule="exact"/>
              <w:rPr>
                <w:sz w:val="20"/>
                <w:szCs w:val="20"/>
                <w:color w:val="auto"/>
              </w:rPr>
            </w:pPr>
            <w:r>
              <w:rPr>
                <w:rFonts w:ascii="Arial" w:cs="Arial" w:eastAsia="Arial" w:hAnsi="Arial"/>
                <w:sz w:val="16"/>
                <w:szCs w:val="16"/>
                <w:color w:val="auto"/>
              </w:rPr>
              <w:t>10.9</w:t>
            </w:r>
          </w:p>
        </w:tc>
        <w:tc>
          <w:tcPr>
            <w:tcW w:w="1480" w:type="dxa"/>
            <w:vAlign w:val="bottom"/>
          </w:tcPr>
          <w:p>
            <w:pPr>
              <w:jc w:val="center"/>
              <w:spacing w:after="0" w:line="155" w:lineRule="exact"/>
              <w:rPr>
                <w:sz w:val="20"/>
                <w:szCs w:val="20"/>
                <w:color w:val="auto"/>
              </w:rPr>
            </w:pPr>
            <w:r>
              <w:rPr>
                <w:rFonts w:ascii="Arial" w:cs="Arial" w:eastAsia="Arial" w:hAnsi="Arial"/>
                <w:sz w:val="16"/>
                <w:szCs w:val="16"/>
                <w:color w:val="auto"/>
              </w:rPr>
              <w:t>May 17, 2021</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408">
              <w:r>
                <w:rPr>
                  <w:rFonts w:ascii="Arial" w:cs="Arial" w:eastAsia="Arial" w:hAnsi="Arial"/>
                  <w:sz w:val="16"/>
                  <w:szCs w:val="16"/>
                  <w:color w:val="0000FF"/>
                </w:rPr>
                <w:t>between the registrant and Dushyant Sharma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6"/>
                <w:szCs w:val="16"/>
                <w:color w:val="0000FF"/>
              </w:rPr>
            </w:pPr>
            <w:hyperlink r:id="rId409">
              <w:r>
                <w:rPr>
                  <w:rFonts w:ascii="Arial" w:cs="Arial" w:eastAsia="Arial" w:hAnsi="Arial"/>
                  <w:sz w:val="16"/>
                  <w:szCs w:val="16"/>
                  <w:color w:val="0000FF"/>
                </w:rPr>
                <w:t>Change in Control and Severance Agreement by and</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10.2</w:t>
            </w:r>
          </w:p>
        </w:tc>
        <w:tc>
          <w:tcPr>
            <w:tcW w:w="1480" w:type="dxa"/>
            <w:vAlign w:val="bottom"/>
          </w:tcPr>
          <w:p>
            <w:pPr>
              <w:jc w:val="center"/>
              <w:spacing w:after="0"/>
              <w:rPr>
                <w:sz w:val="20"/>
                <w:szCs w:val="20"/>
                <w:color w:val="auto"/>
              </w:rPr>
            </w:pPr>
            <w:r>
              <w:rPr>
                <w:rFonts w:ascii="Arial" w:cs="Arial" w:eastAsia="Arial" w:hAnsi="Arial"/>
                <w:sz w:val="16"/>
                <w:szCs w:val="16"/>
                <w:color w:val="auto"/>
              </w:rPr>
              <w:t>March 6, 2023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409">
              <w:r>
                <w:rPr>
                  <w:rFonts w:ascii="Arial" w:cs="Arial" w:eastAsia="Arial" w:hAnsi="Arial"/>
                  <w:sz w:val="16"/>
                  <w:szCs w:val="16"/>
                  <w:color w:val="0000FF"/>
                </w:rPr>
                <w:t>between the registrant and Sanjay Kalra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6"/>
                <w:szCs w:val="16"/>
                <w:color w:val="0000FF"/>
              </w:rPr>
            </w:pPr>
            <w:hyperlink r:id="rId410">
              <w:r>
                <w:rPr>
                  <w:rFonts w:ascii="Arial" w:cs="Arial" w:eastAsia="Arial" w:hAnsi="Arial"/>
                  <w:sz w:val="16"/>
                  <w:szCs w:val="16"/>
                  <w:color w:val="0000FF"/>
                </w:rPr>
                <w:t>Change in Control and Severance Agreement by and</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10-K</w:t>
            </w:r>
          </w:p>
        </w:tc>
        <w:tc>
          <w:tcPr>
            <w:tcW w:w="1280" w:type="dxa"/>
            <w:vAlign w:val="bottom"/>
          </w:tcPr>
          <w:p>
            <w:pPr>
              <w:ind w:left="300"/>
              <w:spacing w:after="0"/>
              <w:rPr>
                <w:sz w:val="20"/>
                <w:szCs w:val="20"/>
                <w:color w:val="auto"/>
              </w:rPr>
            </w:pPr>
            <w:r>
              <w:rPr>
                <w:rFonts w:ascii="Arial" w:cs="Arial" w:eastAsia="Arial" w:hAnsi="Arial"/>
                <w:sz w:val="16"/>
                <w:szCs w:val="16"/>
                <w:color w:val="auto"/>
              </w:rPr>
              <w:t>001-40429</w:t>
            </w:r>
          </w:p>
        </w:tc>
        <w:tc>
          <w:tcPr>
            <w:tcW w:w="860" w:type="dxa"/>
            <w:vAlign w:val="bottom"/>
          </w:tcPr>
          <w:p>
            <w:pPr>
              <w:ind w:left="180"/>
              <w:spacing w:after="0"/>
              <w:rPr>
                <w:sz w:val="20"/>
                <w:szCs w:val="20"/>
                <w:color w:val="auto"/>
              </w:rPr>
            </w:pPr>
            <w:r>
              <w:rPr>
                <w:rFonts w:ascii="Arial" w:cs="Arial" w:eastAsia="Arial" w:hAnsi="Arial"/>
                <w:sz w:val="16"/>
                <w:szCs w:val="16"/>
                <w:color w:val="auto"/>
              </w:rPr>
              <w:t>10.13</w:t>
            </w:r>
          </w:p>
        </w:tc>
        <w:tc>
          <w:tcPr>
            <w:tcW w:w="1480" w:type="dxa"/>
            <w:vAlign w:val="bottom"/>
          </w:tcPr>
          <w:p>
            <w:pPr>
              <w:jc w:val="center"/>
              <w:spacing w:after="0"/>
              <w:rPr>
                <w:sz w:val="20"/>
                <w:szCs w:val="20"/>
                <w:color w:val="auto"/>
              </w:rPr>
            </w:pPr>
            <w:r>
              <w:rPr>
                <w:rFonts w:ascii="Arial" w:cs="Arial" w:eastAsia="Arial" w:hAnsi="Arial"/>
                <w:sz w:val="16"/>
                <w:szCs w:val="16"/>
                <w:color w:val="auto"/>
              </w:rPr>
              <w:t>March 3, 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18"/>
          </w:tcPr>
          <w:p>
            <w:pPr>
              <w:spacing w:after="0" w:line="169" w:lineRule="exact"/>
              <w:rPr>
                <w:rFonts w:ascii="Arial" w:cs="Arial" w:eastAsia="Arial" w:hAnsi="Arial"/>
                <w:sz w:val="16"/>
                <w:szCs w:val="16"/>
                <w:color w:val="0000FF"/>
              </w:rPr>
            </w:pPr>
            <w:hyperlink r:id="rId410">
              <w:r>
                <w:rPr>
                  <w:rFonts w:ascii="Arial" w:cs="Arial" w:eastAsia="Arial" w:hAnsi="Arial"/>
                  <w:sz w:val="16"/>
                  <w:szCs w:val="16"/>
                  <w:color w:val="0000FF"/>
                </w:rPr>
                <w:t>between the registrant and Gerasimos (Jerry) Portocalis</w:t>
              </w:r>
            </w:hyperlink>
          </w:p>
        </w:tc>
        <w:tc>
          <w:tcPr>
            <w:tcW w:w="1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6"/>
                <w:szCs w:val="16"/>
                <w:color w:val="0000FF"/>
              </w:rPr>
            </w:pPr>
            <w:hyperlink r:id="rId411">
              <w:r>
                <w:rPr>
                  <w:rFonts w:ascii="Arial" w:cs="Arial" w:eastAsia="Arial" w:hAnsi="Arial"/>
                  <w:sz w:val="16"/>
                  <w:szCs w:val="16"/>
                  <w:color w:val="0000FF"/>
                </w:rPr>
                <w:t>Change in Control and Severance Agreement by and</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10-Q</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10.6</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May 8, 2023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411">
              <w:r>
                <w:rPr>
                  <w:rFonts w:ascii="Arial" w:cs="Arial" w:eastAsia="Arial" w:hAnsi="Arial"/>
                  <w:sz w:val="16"/>
                  <w:szCs w:val="16"/>
                  <w:color w:val="0000FF"/>
                </w:rPr>
                <w:t>between the registrant and Andrew Gerber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ind w:left="28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4"/>
                <w:szCs w:val="24"/>
                <w:color w:val="auto"/>
              </w:rPr>
            </w:pPr>
          </w:p>
        </w:tc>
        <w:tc>
          <w:tcPr>
            <w:tcW w:w="4320" w:type="dxa"/>
            <w:vAlign w:val="bottom"/>
            <w:tcBorders>
              <w:bottom w:val="single" w:sz="8" w:color="0000FF"/>
            </w:tcBorders>
            <w:gridSpan w:val="28"/>
          </w:tcPr>
          <w:p>
            <w:pPr>
              <w:spacing w:after="0"/>
              <w:rPr>
                <w:rFonts w:ascii="Arial" w:cs="Arial" w:eastAsia="Arial" w:hAnsi="Arial"/>
                <w:sz w:val="16"/>
                <w:szCs w:val="16"/>
                <w:color w:val="0000FF"/>
              </w:rPr>
            </w:pPr>
            <w:hyperlink r:id="rId412">
              <w:r>
                <w:rPr>
                  <w:rFonts w:ascii="Arial" w:cs="Arial" w:eastAsia="Arial" w:hAnsi="Arial"/>
                  <w:sz w:val="16"/>
                  <w:szCs w:val="16"/>
                  <w:color w:val="0000FF"/>
                </w:rPr>
                <w:t>Stockholders Agreement, dated as of May 24, 2021, by</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480" w:type="dxa"/>
            <w:vAlign w:val="bottom"/>
          </w:tcPr>
          <w:p>
            <w:pPr>
              <w:jc w:val="center"/>
              <w:spacing w:after="0"/>
              <w:rPr>
                <w:sz w:val="20"/>
                <w:szCs w:val="20"/>
                <w:color w:val="auto"/>
              </w:rPr>
            </w:pPr>
            <w:r>
              <w:rPr>
                <w:rFonts w:ascii="Arial" w:cs="Arial" w:eastAsia="Arial" w:hAnsi="Arial"/>
                <w:sz w:val="16"/>
                <w:szCs w:val="16"/>
                <w:color w:val="auto"/>
              </w:rPr>
              <w:t>May 28,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gridSpan w:val="28"/>
          </w:tcPr>
          <w:p>
            <w:pPr>
              <w:spacing w:after="0" w:line="169" w:lineRule="exact"/>
              <w:rPr>
                <w:rFonts w:ascii="Arial" w:cs="Arial" w:eastAsia="Arial" w:hAnsi="Arial"/>
                <w:sz w:val="16"/>
                <w:szCs w:val="16"/>
                <w:color w:val="0000FF"/>
              </w:rPr>
            </w:pPr>
            <w:hyperlink r:id="rId412">
              <w:r>
                <w:rPr>
                  <w:rFonts w:ascii="Arial" w:cs="Arial" w:eastAsia="Arial" w:hAnsi="Arial"/>
                  <w:sz w:val="16"/>
                  <w:szCs w:val="16"/>
                  <w:color w:val="0000FF"/>
                </w:rPr>
                <w:t>and  among  Paymentus  Holdings,  Inc.  and  the  other</w:t>
              </w:r>
            </w:hyperlink>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412">
              <w:r>
                <w:rPr>
                  <w:rFonts w:ascii="Arial" w:cs="Arial" w:eastAsia="Arial" w:hAnsi="Arial"/>
                  <w:sz w:val="16"/>
                  <w:szCs w:val="16"/>
                  <w:color w:val="0000FF"/>
                </w:rPr>
                <w:t>signatories thereto</w:t>
              </w:r>
            </w:hyperlink>
          </w:p>
        </w:tc>
        <w:tc>
          <w:tcPr>
            <w:tcW w:w="292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4"/>
                <w:szCs w:val="24"/>
                <w:color w:val="auto"/>
              </w:rPr>
            </w:pPr>
          </w:p>
        </w:tc>
        <w:tc>
          <w:tcPr>
            <w:tcW w:w="1940" w:type="dxa"/>
            <w:vAlign w:val="bottom"/>
            <w:tcBorders>
              <w:bottom w:val="single" w:sz="8" w:color="0000FF"/>
            </w:tcBorders>
            <w:gridSpan w:val="7"/>
          </w:tcPr>
          <w:p>
            <w:pPr>
              <w:spacing w:after="0"/>
              <w:rPr>
                <w:rFonts w:ascii="Arial" w:cs="Arial" w:eastAsia="Arial" w:hAnsi="Arial"/>
                <w:sz w:val="16"/>
                <w:szCs w:val="16"/>
                <w:color w:val="0000FF"/>
              </w:rPr>
            </w:pPr>
            <w:hyperlink r:id="rId413">
              <w:r>
                <w:rPr>
                  <w:rFonts w:ascii="Arial" w:cs="Arial" w:eastAsia="Arial" w:hAnsi="Arial"/>
                  <w:sz w:val="16"/>
                  <w:szCs w:val="16"/>
                  <w:color w:val="0000FF"/>
                </w:rPr>
                <w:t>2021 Equity Incentive Plan</w:t>
              </w:r>
            </w:hyperlink>
          </w:p>
        </w:tc>
        <w:tc>
          <w:tcPr>
            <w:tcW w:w="2380" w:type="dxa"/>
            <w:vAlign w:val="bottom"/>
            <w:gridSpan w:val="21"/>
          </w:tcPr>
          <w:p>
            <w:pPr>
              <w:spacing w:after="0"/>
              <w:rPr>
                <w:sz w:val="24"/>
                <w:szCs w:val="24"/>
                <w:color w:val="auto"/>
              </w:rPr>
            </w:pPr>
          </w:p>
        </w:tc>
        <w:tc>
          <w:tcPr>
            <w:tcW w:w="900" w:type="dxa"/>
            <w:vAlign w:val="bottom"/>
          </w:tcPr>
          <w:p>
            <w:pPr>
              <w:jc w:val="center"/>
              <w:ind w:left="39"/>
              <w:spacing w:after="0"/>
              <w:rPr>
                <w:sz w:val="20"/>
                <w:szCs w:val="20"/>
                <w:color w:val="auto"/>
              </w:rPr>
            </w:pPr>
            <w:r>
              <w:rPr>
                <w:rFonts w:ascii="Arial" w:cs="Arial" w:eastAsia="Arial" w:hAnsi="Arial"/>
                <w:sz w:val="16"/>
                <w:szCs w:val="16"/>
                <w:color w:val="auto"/>
              </w:rPr>
              <w:t>10-K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ind w:left="180"/>
              <w:spacing w:after="0"/>
              <w:rPr>
                <w:sz w:val="20"/>
                <w:szCs w:val="20"/>
                <w:color w:val="auto"/>
              </w:rPr>
            </w:pPr>
            <w:r>
              <w:rPr>
                <w:rFonts w:ascii="Arial" w:cs="Arial" w:eastAsia="Arial" w:hAnsi="Arial"/>
                <w:sz w:val="16"/>
                <w:szCs w:val="16"/>
                <w:color w:val="auto"/>
              </w:rPr>
              <w:t>10.16</w:t>
            </w:r>
          </w:p>
        </w:tc>
        <w:tc>
          <w:tcPr>
            <w:tcW w:w="1480" w:type="dxa"/>
            <w:vAlign w:val="bottom"/>
          </w:tcPr>
          <w:p>
            <w:pPr>
              <w:jc w:val="center"/>
              <w:spacing w:after="0"/>
              <w:rPr>
                <w:sz w:val="20"/>
                <w:szCs w:val="20"/>
                <w:color w:val="auto"/>
              </w:rPr>
            </w:pPr>
            <w:r>
              <w:rPr>
                <w:rFonts w:ascii="Arial" w:cs="Arial" w:eastAsia="Arial" w:hAnsi="Arial"/>
                <w:sz w:val="16"/>
                <w:szCs w:val="16"/>
                <w:color w:val="auto"/>
              </w:rPr>
              <w:t>March 3, 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6"/>
                <w:szCs w:val="16"/>
                <w:color w:val="0000FF"/>
              </w:rPr>
            </w:pPr>
            <w:hyperlink r:id="rId414">
              <w:r>
                <w:rPr>
                  <w:rFonts w:ascii="Arial" w:cs="Arial" w:eastAsia="Arial" w:hAnsi="Arial"/>
                  <w:sz w:val="16"/>
                  <w:szCs w:val="16"/>
                  <w:color w:val="0000FF"/>
                </w:rPr>
                <w:t>Form of Stock Option Award Agreement under the 2021</w:t>
              </w:r>
            </w:hyperlink>
          </w:p>
        </w:tc>
        <w:tc>
          <w:tcPr>
            <w:tcW w:w="900" w:type="dxa"/>
            <w:vAlign w:val="bottom"/>
          </w:tcPr>
          <w:p>
            <w:pPr>
              <w:jc w:val="center"/>
              <w:ind w:left="39"/>
              <w:spacing w:after="0"/>
              <w:rPr>
                <w:sz w:val="20"/>
                <w:szCs w:val="20"/>
                <w:color w:val="auto"/>
              </w:rPr>
            </w:pPr>
            <w:r>
              <w:rPr>
                <w:rFonts w:ascii="Arial" w:cs="Arial" w:eastAsia="Arial" w:hAnsi="Arial"/>
                <w:sz w:val="16"/>
                <w:szCs w:val="16"/>
                <w:color w:val="auto"/>
              </w:rPr>
              <w:t>10-K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ind w:left="180"/>
              <w:spacing w:after="0"/>
              <w:rPr>
                <w:sz w:val="20"/>
                <w:szCs w:val="20"/>
                <w:color w:val="auto"/>
              </w:rPr>
            </w:pPr>
            <w:r>
              <w:rPr>
                <w:rFonts w:ascii="Arial" w:cs="Arial" w:eastAsia="Arial" w:hAnsi="Arial"/>
                <w:sz w:val="16"/>
                <w:szCs w:val="16"/>
                <w:color w:val="auto"/>
              </w:rPr>
              <w:t>10.17</w:t>
            </w:r>
          </w:p>
        </w:tc>
        <w:tc>
          <w:tcPr>
            <w:tcW w:w="1480" w:type="dxa"/>
            <w:vAlign w:val="bottom"/>
          </w:tcPr>
          <w:p>
            <w:pPr>
              <w:jc w:val="center"/>
              <w:spacing w:after="0"/>
              <w:rPr>
                <w:sz w:val="20"/>
                <w:szCs w:val="20"/>
                <w:color w:val="auto"/>
              </w:rPr>
            </w:pPr>
            <w:r>
              <w:rPr>
                <w:rFonts w:ascii="Arial" w:cs="Arial" w:eastAsia="Arial" w:hAnsi="Arial"/>
                <w:sz w:val="16"/>
                <w:szCs w:val="16"/>
                <w:color w:val="auto"/>
              </w:rPr>
              <w:t>March 3, 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414">
              <w:r>
                <w:rPr>
                  <w:rFonts w:ascii="Arial" w:cs="Arial" w:eastAsia="Arial" w:hAnsi="Arial"/>
                  <w:sz w:val="16"/>
                  <w:szCs w:val="16"/>
                  <w:color w:val="0000FF"/>
                </w:rPr>
                <w:t>Equity Incentive Plan</w:t>
              </w:r>
            </w:hyperlink>
          </w:p>
        </w:tc>
        <w:tc>
          <w:tcPr>
            <w:tcW w:w="278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6"/>
                <w:szCs w:val="16"/>
                <w:color w:val="0000FF"/>
              </w:rPr>
            </w:pPr>
            <w:hyperlink r:id="rId415">
              <w:r>
                <w:rPr>
                  <w:rFonts w:ascii="Arial" w:cs="Arial" w:eastAsia="Arial" w:hAnsi="Arial"/>
                  <w:sz w:val="16"/>
                  <w:szCs w:val="16"/>
                  <w:color w:val="0000FF"/>
                </w:rPr>
                <w:t>Form of Restricted Stock Unit Award Agreement under</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10-K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480" w:type="dxa"/>
            <w:vAlign w:val="bottom"/>
          </w:tcPr>
          <w:p>
            <w:pPr>
              <w:jc w:val="center"/>
              <w:spacing w:after="0"/>
              <w:rPr>
                <w:sz w:val="20"/>
                <w:szCs w:val="20"/>
                <w:color w:val="auto"/>
              </w:rPr>
            </w:pPr>
            <w:r>
              <w:rPr>
                <w:rFonts w:ascii="Arial" w:cs="Arial" w:eastAsia="Arial" w:hAnsi="Arial"/>
                <w:sz w:val="16"/>
                <w:szCs w:val="16"/>
                <w:color w:val="auto"/>
              </w:rPr>
              <w:t>March 3, 2023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Borders>
              <w:top w:val="single" w:sz="8" w:color="0000FF"/>
              <w:bottom w:val="single" w:sz="8" w:color="0000FF"/>
            </w:tcBorders>
            <w:gridSpan w:val="9"/>
          </w:tcPr>
          <w:p>
            <w:pPr>
              <w:spacing w:after="0" w:line="169" w:lineRule="exact"/>
              <w:rPr>
                <w:rFonts w:ascii="Arial" w:cs="Arial" w:eastAsia="Arial" w:hAnsi="Arial"/>
                <w:sz w:val="16"/>
                <w:szCs w:val="16"/>
                <w:color w:val="0000FF"/>
              </w:rPr>
            </w:pPr>
            <w:hyperlink r:id="rId415">
              <w:r>
                <w:rPr>
                  <w:rFonts w:ascii="Arial" w:cs="Arial" w:eastAsia="Arial" w:hAnsi="Arial"/>
                  <w:sz w:val="16"/>
                  <w:szCs w:val="16"/>
                  <w:color w:val="0000FF"/>
                </w:rPr>
                <w:t>the 2021 Equity Incentive Plan</w:t>
              </w:r>
            </w:hyperlink>
          </w:p>
        </w:tc>
        <w:tc>
          <w:tcPr>
            <w:tcW w:w="196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6"/>
                <w:szCs w:val="16"/>
                <w:color w:val="0000FF"/>
              </w:rPr>
            </w:pPr>
            <w:hyperlink r:id="rId416">
              <w:r>
                <w:rPr>
                  <w:rFonts w:ascii="Arial" w:cs="Arial" w:eastAsia="Arial" w:hAnsi="Arial"/>
                  <w:sz w:val="16"/>
                  <w:szCs w:val="16"/>
                  <w:color w:val="0000FF"/>
                </w:rPr>
                <w:t>Form  of  Restricted  Stock  Unit  Award  Agreement  for</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10-Q</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May 6, 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416">
              <w:r>
                <w:rPr>
                  <w:rFonts w:ascii="Arial" w:cs="Arial" w:eastAsia="Arial" w:hAnsi="Arial"/>
                  <w:sz w:val="16"/>
                  <w:szCs w:val="16"/>
                  <w:color w:val="0000FF"/>
                </w:rPr>
                <w:t>Outside Directors under the 2021 Equity Incentive Plan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1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6"/>
                <w:szCs w:val="16"/>
                <w:color w:val="0000FF"/>
              </w:rPr>
            </w:pPr>
            <w:hyperlink r:id="rId417">
              <w:r>
                <w:rPr>
                  <w:rFonts w:ascii="Arial" w:cs="Arial" w:eastAsia="Arial" w:hAnsi="Arial"/>
                  <w:sz w:val="16"/>
                  <w:szCs w:val="16"/>
                  <w:color w:val="0000FF"/>
                </w:rPr>
                <w:t>Warrant Agreement, dated as of May 13, 2021, by and</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333-255683</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480" w:type="dxa"/>
            <w:vAlign w:val="bottom"/>
          </w:tcPr>
          <w:p>
            <w:pPr>
              <w:jc w:val="center"/>
              <w:spacing w:after="0"/>
              <w:rPr>
                <w:sz w:val="20"/>
                <w:szCs w:val="20"/>
                <w:color w:val="auto"/>
              </w:rPr>
            </w:pPr>
            <w:r>
              <w:rPr>
                <w:rFonts w:ascii="Arial" w:cs="Arial" w:eastAsia="Arial" w:hAnsi="Arial"/>
                <w:sz w:val="16"/>
                <w:szCs w:val="16"/>
                <w:color w:val="auto"/>
              </w:rPr>
              <w:t>May 28,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417">
              <w:r>
                <w:rPr>
                  <w:rFonts w:ascii="Arial" w:cs="Arial" w:eastAsia="Arial" w:hAnsi="Arial"/>
                  <w:sz w:val="16"/>
                  <w:szCs w:val="16"/>
                  <w:color w:val="0000FF"/>
                </w:rPr>
                <w:t>between the Registrant and JPMC Strategic Investments</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417">
              <w:r>
                <w:rPr>
                  <w:rFonts w:ascii="Arial" w:cs="Arial" w:eastAsia="Arial" w:hAnsi="Arial"/>
                  <w:sz w:val="16"/>
                  <w:szCs w:val="16"/>
                  <w:color w:val="0000FF"/>
                </w:rPr>
                <w:t>I Corporation.</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1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6"/>
                <w:szCs w:val="16"/>
                <w:color w:val="0000FF"/>
              </w:rPr>
            </w:pPr>
            <w:hyperlink r:id="rId418">
              <w:r>
                <w:rPr>
                  <w:rFonts w:ascii="Arial" w:cs="Arial" w:eastAsia="Arial" w:hAnsi="Arial"/>
                  <w:sz w:val="16"/>
                  <w:szCs w:val="16"/>
                  <w:color w:val="0000FF"/>
                </w:rPr>
                <w:t>Warrant Agreement, dated as of August 29, 2022, by and</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480" w:type="dxa"/>
            <w:vAlign w:val="bottom"/>
          </w:tcPr>
          <w:p>
            <w:pPr>
              <w:jc w:val="center"/>
              <w:spacing w:after="0"/>
              <w:rPr>
                <w:sz w:val="20"/>
                <w:szCs w:val="20"/>
                <w:color w:val="auto"/>
              </w:rPr>
            </w:pPr>
            <w:r>
              <w:rPr>
                <w:rFonts w:ascii="Arial" w:cs="Arial" w:eastAsia="Arial" w:hAnsi="Arial"/>
                <w:sz w:val="16"/>
                <w:szCs w:val="16"/>
                <w:color w:val="auto"/>
              </w:rPr>
              <w:t>August 30, 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418">
              <w:r>
                <w:rPr>
                  <w:rFonts w:ascii="Arial" w:cs="Arial" w:eastAsia="Arial" w:hAnsi="Arial"/>
                  <w:sz w:val="16"/>
                  <w:szCs w:val="16"/>
                  <w:color w:val="0000FF"/>
                </w:rPr>
                <w:t>between Paymentus Holdings, Inc. and JPMC Strategic</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418">
              <w:r>
                <w:rPr>
                  <w:rFonts w:ascii="Arial" w:cs="Arial" w:eastAsia="Arial" w:hAnsi="Arial"/>
                  <w:sz w:val="16"/>
                  <w:szCs w:val="16"/>
                  <w:color w:val="0000FF"/>
                </w:rPr>
                <w:t>Investments I Corporation.</w:t>
              </w:r>
            </w:hyperlink>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24"/>
                <w:szCs w:val="24"/>
                <w:color w:val="auto"/>
              </w:rPr>
            </w:pPr>
          </w:p>
        </w:tc>
        <w:tc>
          <w:tcPr>
            <w:tcW w:w="3740" w:type="dxa"/>
            <w:vAlign w:val="bottom"/>
            <w:tcBorders>
              <w:bottom w:val="single" w:sz="8" w:color="0000FF"/>
            </w:tcBorders>
            <w:gridSpan w:val="16"/>
          </w:tcPr>
          <w:p>
            <w:pPr>
              <w:spacing w:after="0"/>
              <w:rPr>
                <w:rFonts w:ascii="Arial" w:cs="Arial" w:eastAsia="Arial" w:hAnsi="Arial"/>
                <w:sz w:val="16"/>
                <w:szCs w:val="16"/>
                <w:color w:val="0000FF"/>
              </w:rPr>
            </w:pPr>
            <w:hyperlink r:id="rId419">
              <w:r>
                <w:rPr>
                  <w:rFonts w:ascii="Arial" w:cs="Arial" w:eastAsia="Arial" w:hAnsi="Arial"/>
                  <w:sz w:val="16"/>
                  <w:szCs w:val="16"/>
                  <w:color w:val="0000FF"/>
                </w:rPr>
                <w:t>Form of Restricted Stock Unit Award Agreement for</w:t>
              </w:r>
            </w:hyperlink>
          </w:p>
        </w:tc>
        <w:tc>
          <w:tcPr>
            <w:tcW w:w="580" w:type="dxa"/>
            <w:vAlign w:val="bottom"/>
            <w:gridSpan w:val="12"/>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10-Q</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May 7, 2025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gridSpan w:val="28"/>
          </w:tcPr>
          <w:p>
            <w:pPr>
              <w:spacing w:after="0" w:line="169" w:lineRule="exact"/>
              <w:rPr>
                <w:rFonts w:ascii="Arial" w:cs="Arial" w:eastAsia="Arial" w:hAnsi="Arial"/>
                <w:sz w:val="16"/>
                <w:szCs w:val="16"/>
                <w:color w:val="0000FF"/>
              </w:rPr>
            </w:pPr>
            <w:hyperlink r:id="rId419">
              <w:r>
                <w:rPr>
                  <w:rFonts w:ascii="Arial" w:cs="Arial" w:eastAsia="Arial" w:hAnsi="Arial"/>
                  <w:sz w:val="16"/>
                  <w:szCs w:val="16"/>
                  <w:color w:val="0000FF"/>
                </w:rPr>
                <w:t>Independent Contractors under the 2021 Equity Incentive</w:t>
              </w:r>
            </w:hyperlink>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8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419">
              <w:r>
                <w:rPr>
                  <w:rFonts w:ascii="Arial" w:cs="Arial" w:eastAsia="Arial" w:hAnsi="Arial"/>
                  <w:sz w:val="16"/>
                  <w:szCs w:val="16"/>
                  <w:color w:val="0000FF"/>
                </w:rPr>
                <w:t>Plan</w:t>
              </w:r>
            </w:hyperlink>
          </w:p>
        </w:tc>
        <w:tc>
          <w:tcPr>
            <w:tcW w:w="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6"/>
                <w:szCs w:val="16"/>
                <w:color w:val="0000FF"/>
              </w:rPr>
            </w:pPr>
            <w:hyperlink r:id="rId420">
              <w:r>
                <w:rPr>
                  <w:rFonts w:ascii="Arial" w:cs="Arial" w:eastAsia="Arial" w:hAnsi="Arial"/>
                  <w:sz w:val="16"/>
                  <w:szCs w:val="16"/>
                  <w:color w:val="0000FF"/>
                </w:rPr>
                <w:t>Form of Restricted Stock Award Agreement under the</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10-Q</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10.2</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May 7, 2025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420">
              <w:r>
                <w:rPr>
                  <w:rFonts w:ascii="Arial" w:cs="Arial" w:eastAsia="Arial" w:hAnsi="Arial"/>
                  <w:sz w:val="16"/>
                  <w:szCs w:val="16"/>
                  <w:color w:val="0000FF"/>
                </w:rPr>
                <w:t>2021 Equity Incentive Plan</w:t>
              </w:r>
            </w:hyperlink>
          </w:p>
        </w:tc>
        <w:tc>
          <w:tcPr>
            <w:tcW w:w="2000" w:type="dxa"/>
            <w:vAlign w:val="bottom"/>
            <w:tcBorders>
              <w:top w:val="single" w:sz="8" w:color="0000FF"/>
            </w:tcBorders>
            <w:gridSpan w:val="10"/>
          </w:tcPr>
          <w:p>
            <w:pPr>
              <w:spacing w:after="0"/>
              <w:rPr>
                <w:sz w:val="14"/>
                <w:szCs w:val="14"/>
                <w:color w:val="auto"/>
              </w:rPr>
            </w:pPr>
          </w:p>
        </w:tc>
        <w:tc>
          <w:tcPr>
            <w:tcW w:w="200" w:type="dxa"/>
            <w:vAlign w:val="bottom"/>
            <w:gridSpan w:val="2"/>
          </w:tcPr>
          <w:p>
            <w:pPr>
              <w:spacing w:after="0"/>
              <w:rPr>
                <w:sz w:val="14"/>
                <w:szCs w:val="14"/>
                <w:color w:val="auto"/>
              </w:rPr>
            </w:pPr>
          </w:p>
        </w:tc>
        <w:tc>
          <w:tcPr>
            <w:tcW w:w="180" w:type="dxa"/>
            <w:vAlign w:val="bottom"/>
            <w:gridSpan w:val="9"/>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6"/>
                <w:szCs w:val="16"/>
                <w:color w:val="0000FF"/>
              </w:rPr>
            </w:pPr>
            <w:hyperlink r:id="rId421">
              <w:r>
                <w:rPr>
                  <w:rFonts w:ascii="Arial" w:cs="Arial" w:eastAsia="Arial" w:hAnsi="Arial"/>
                  <w:sz w:val="16"/>
                  <w:szCs w:val="16"/>
                  <w:color w:val="0000FF"/>
                </w:rPr>
                <w:t>Form of Restricted Stock Unit Agreement under the 2021</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480" w:type="dxa"/>
            <w:vAlign w:val="bottom"/>
          </w:tcPr>
          <w:p>
            <w:pPr>
              <w:jc w:val="center"/>
              <w:spacing w:after="0"/>
              <w:rPr>
                <w:sz w:val="20"/>
                <w:szCs w:val="20"/>
                <w:color w:val="auto"/>
              </w:rPr>
            </w:pPr>
            <w:r>
              <w:rPr>
                <w:rFonts w:ascii="Arial" w:cs="Arial" w:eastAsia="Arial" w:hAnsi="Arial"/>
                <w:sz w:val="16"/>
                <w:szCs w:val="16"/>
                <w:color w:val="auto"/>
              </w:rPr>
              <w:t>July 2, 2025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tcBorders>
              <w:top w:val="single" w:sz="8" w:color="0000FF"/>
              <w:bottom w:val="single" w:sz="8" w:color="0000FF"/>
            </w:tcBorders>
            <w:gridSpan w:val="13"/>
          </w:tcPr>
          <w:p>
            <w:pPr>
              <w:spacing w:after="0" w:line="169" w:lineRule="exact"/>
              <w:rPr>
                <w:rFonts w:ascii="Arial" w:cs="Arial" w:eastAsia="Arial" w:hAnsi="Arial"/>
                <w:sz w:val="16"/>
                <w:szCs w:val="16"/>
                <w:color w:val="0000FF"/>
              </w:rPr>
            </w:pPr>
            <w:hyperlink r:id="rId421">
              <w:r>
                <w:rPr>
                  <w:rFonts w:ascii="Arial" w:cs="Arial" w:eastAsia="Arial" w:hAnsi="Arial"/>
                  <w:sz w:val="16"/>
                  <w:szCs w:val="16"/>
                  <w:color w:val="0000FF"/>
                </w:rPr>
                <w:t>Equity Incentive Plan for Dushyant Sharma</w:t>
              </w:r>
            </w:hyperlink>
          </w:p>
        </w:tc>
        <w:tc>
          <w:tcPr>
            <w:tcW w:w="1040" w:type="dxa"/>
            <w:vAlign w:val="bottom"/>
            <w:tcBorders>
              <w:top w:val="single" w:sz="8" w:color="0000FF"/>
            </w:tcBorders>
            <w:gridSpan w:val="6"/>
          </w:tcPr>
          <w:p>
            <w:pPr>
              <w:spacing w:after="0"/>
              <w:rPr>
                <w:sz w:val="14"/>
                <w:szCs w:val="14"/>
                <w:color w:val="auto"/>
              </w:rPr>
            </w:pPr>
          </w:p>
        </w:tc>
        <w:tc>
          <w:tcPr>
            <w:tcW w:w="180" w:type="dxa"/>
            <w:vAlign w:val="bottom"/>
            <w:gridSpan w:val="9"/>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6"/>
                <w:szCs w:val="16"/>
                <w:color w:val="0000FF"/>
              </w:rPr>
            </w:pPr>
            <w:hyperlink r:id="rId422">
              <w:r>
                <w:rPr>
                  <w:rFonts w:ascii="Arial" w:cs="Arial" w:eastAsia="Arial" w:hAnsi="Arial"/>
                  <w:sz w:val="16"/>
                  <w:szCs w:val="16"/>
                  <w:color w:val="0000FF"/>
                </w:rPr>
                <w:t>Paymentus Holdings, Inc. Insider Trading Policy</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10-Q</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19.1</w:t>
            </w:r>
          </w:p>
        </w:tc>
        <w:tc>
          <w:tcPr>
            <w:tcW w:w="1480" w:type="dxa"/>
            <w:vAlign w:val="bottom"/>
          </w:tcPr>
          <w:p>
            <w:pPr>
              <w:jc w:val="center"/>
              <w:spacing w:after="0"/>
              <w:rPr>
                <w:sz w:val="20"/>
                <w:szCs w:val="20"/>
                <w:color w:val="auto"/>
              </w:rPr>
            </w:pPr>
            <w:r>
              <w:rPr>
                <w:rFonts w:ascii="Arial" w:cs="Arial" w:eastAsia="Arial" w:hAnsi="Arial"/>
                <w:sz w:val="16"/>
                <w:szCs w:val="16"/>
                <w:color w:val="auto"/>
              </w:rPr>
              <w:t>August 5, 2025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4"/>
                <w:szCs w:val="24"/>
                <w:color w:val="auto"/>
              </w:rPr>
            </w:pPr>
          </w:p>
        </w:tc>
        <w:tc>
          <w:tcPr>
            <w:tcW w:w="212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r:id="rId423">
              <w:r>
                <w:rPr>
                  <w:rFonts w:ascii="Arial" w:cs="Arial" w:eastAsia="Arial" w:hAnsi="Arial"/>
                  <w:sz w:val="16"/>
                  <w:szCs w:val="16"/>
                  <w:color w:val="0000FF"/>
                </w:rPr>
                <w:t>Subsidiaries of the Registrant</w:t>
              </w:r>
            </w:hyperlink>
          </w:p>
        </w:tc>
        <w:tc>
          <w:tcPr>
            <w:tcW w:w="1320" w:type="dxa"/>
            <w:vAlign w:val="bottom"/>
            <w:tcBorders>
              <w:top w:val="single" w:sz="8" w:color="0000FF"/>
            </w:tcBorders>
            <w:gridSpan w:val="7"/>
          </w:tcPr>
          <w:p>
            <w:pPr>
              <w:spacing w:after="0"/>
              <w:rPr>
                <w:sz w:val="24"/>
                <w:szCs w:val="24"/>
                <w:color w:val="auto"/>
              </w:rPr>
            </w:pPr>
          </w:p>
        </w:tc>
        <w:tc>
          <w:tcPr>
            <w:tcW w:w="880" w:type="dxa"/>
            <w:vAlign w:val="bottom"/>
            <w:gridSpan w:val="13"/>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4"/>
                <w:szCs w:val="24"/>
                <w:color w:val="auto"/>
              </w:rPr>
            </w:pPr>
          </w:p>
        </w:tc>
        <w:tc>
          <w:tcPr>
            <w:tcW w:w="4320" w:type="dxa"/>
            <w:vAlign w:val="bottom"/>
            <w:gridSpan w:val="28"/>
          </w:tcPr>
          <w:p>
            <w:pPr>
              <w:spacing w:after="0"/>
              <w:rPr>
                <w:sz w:val="20"/>
                <w:szCs w:val="20"/>
                <w:color w:val="auto"/>
              </w:rPr>
            </w:pPr>
            <w:r>
              <w:rPr>
                <w:rFonts w:ascii="Arial" w:cs="Arial" w:eastAsia="Arial" w:hAnsi="Arial"/>
                <w:sz w:val="16"/>
                <w:szCs w:val="16"/>
                <w:color w:val="0000FF"/>
              </w:rPr>
              <w:t>Consent of PricewaterhouseCoopers LLP, Independent</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6"/>
                <w:szCs w:val="16"/>
                <w:color w:val="0000FF"/>
              </w:rPr>
              <w:t>Registered Public Accounting Firm</w:t>
            </w:r>
          </w:p>
        </w:tc>
        <w:tc>
          <w:tcPr>
            <w:tcW w:w="120" w:type="dxa"/>
            <w:vAlign w:val="bottom"/>
            <w:gridSpan w:val="6"/>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60" w:type="dxa"/>
            <w:vAlign w:val="bottom"/>
            <w:gridSpan w:val="8"/>
            <w:shd w:val="clear" w:color="auto" w:fill="0000FF"/>
          </w:tcPr>
          <w:p>
            <w:pPr>
              <w:spacing w:after="0" w:line="20" w:lineRule="exact"/>
              <w:rPr>
                <w:sz w:val="1"/>
                <w:szCs w:val="1"/>
                <w:color w:val="auto"/>
              </w:rPr>
            </w:pPr>
          </w:p>
        </w:tc>
        <w:tc>
          <w:tcPr>
            <w:tcW w:w="184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4"/>
                <w:szCs w:val="24"/>
                <w:color w:val="auto"/>
              </w:rPr>
            </w:pPr>
          </w:p>
        </w:tc>
        <w:tc>
          <w:tcPr>
            <w:tcW w:w="4320" w:type="dxa"/>
            <w:vAlign w:val="bottom"/>
            <w:tcBorders>
              <w:bottom w:val="single" w:sz="8" w:color="0000FF"/>
            </w:tcBorders>
            <w:gridSpan w:val="28"/>
          </w:tcPr>
          <w:p>
            <w:pPr>
              <w:spacing w:after="0"/>
              <w:rPr>
                <w:sz w:val="20"/>
                <w:szCs w:val="20"/>
                <w:color w:val="auto"/>
              </w:rPr>
            </w:pPr>
            <w:r>
              <w:rPr>
                <w:rFonts w:ascii="Arial" w:cs="Arial" w:eastAsia="Arial" w:hAnsi="Arial"/>
                <w:sz w:val="16"/>
                <w:szCs w:val="16"/>
                <w:color w:val="0000FF"/>
              </w:rPr>
              <w:t>Power  of  Attorney  (included  on  the  signature  page</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8"/>
              </w:rPr>
              <w:t>hereto)</w:t>
            </w:r>
          </w:p>
        </w:tc>
        <w:tc>
          <w:tcPr>
            <w:tcW w:w="3800" w:type="dxa"/>
            <w:vAlign w:val="bottom"/>
            <w:gridSpan w:val="26"/>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3"/>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Exhibit</w:t>
            </w:r>
          </w:p>
        </w:tc>
        <w:tc>
          <w:tcPr>
            <w:tcW w:w="1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Incorporated by Reference</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60" w:type="dxa"/>
            <w:vAlign w:val="bottom"/>
          </w:tcPr>
          <w:p>
            <w:pPr>
              <w:jc w:val="center"/>
              <w:ind w:right="19"/>
              <w:spacing w:after="0"/>
              <w:rPr>
                <w:sz w:val="20"/>
                <w:szCs w:val="20"/>
                <w:color w:val="auto"/>
              </w:rPr>
            </w:pPr>
            <w:r>
              <w:rPr>
                <w:rFonts w:ascii="Arial" w:cs="Arial" w:eastAsia="Arial" w:hAnsi="Arial"/>
                <w:sz w:val="16"/>
                <w:szCs w:val="16"/>
                <w:b w:val="1"/>
                <w:bCs w:val="1"/>
                <w:color w:val="auto"/>
              </w:rPr>
              <w:t>Number</w:t>
            </w:r>
          </w:p>
        </w:tc>
        <w:tc>
          <w:tcPr>
            <w:tcW w:w="10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03"/>
        </w:trPr>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8"/>
          </w:tcPr>
          <w:p>
            <w:pPr>
              <w:ind w:left="560"/>
              <w:spacing w:after="0"/>
              <w:rPr>
                <w:sz w:val="20"/>
                <w:szCs w:val="20"/>
                <w:color w:val="auto"/>
              </w:rPr>
            </w:pPr>
            <w:r>
              <w:rPr>
                <w:rFonts w:ascii="Arial" w:cs="Arial" w:eastAsia="Arial" w:hAnsi="Arial"/>
                <w:sz w:val="16"/>
                <w:szCs w:val="16"/>
                <w:b w:val="1"/>
                <w:bCs w:val="1"/>
                <w:color w:val="auto"/>
              </w:rPr>
              <w:t>Description</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344"/>
        </w:trPr>
        <w:tc>
          <w:tcPr>
            <w:tcW w:w="1160" w:type="dxa"/>
            <w:vAlign w:val="bottom"/>
          </w:tcPr>
          <w:p>
            <w:pPr>
              <w:jc w:val="center"/>
              <w:ind w:right="19"/>
              <w:spacing w:after="0"/>
              <w:rPr>
                <w:sz w:val="20"/>
                <w:szCs w:val="20"/>
                <w:color w:val="auto"/>
              </w:rPr>
            </w:pPr>
            <w:r>
              <w:rPr>
                <w:rFonts w:ascii="Arial" w:cs="Arial" w:eastAsia="Arial" w:hAnsi="Arial"/>
                <w:sz w:val="16"/>
                <w:szCs w:val="16"/>
                <w:color w:val="auto"/>
                <w:w w:val="96"/>
              </w:rPr>
              <w:t>31.1</w:t>
            </w:r>
          </w:p>
        </w:tc>
        <w:tc>
          <w:tcPr>
            <w:tcW w:w="41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Certification of Principal Executive Officer Pursuant to</w:t>
            </w:r>
          </w:p>
        </w:tc>
        <w:tc>
          <w:tcPr>
            <w:tcW w:w="20" w:type="dxa"/>
            <w:vAlign w:val="bottom"/>
            <w:tcBorders>
              <w:bottom w:val="single" w:sz="8" w:color="0000EE"/>
            </w:tcBorders>
          </w:tcPr>
          <w:p>
            <w:pPr>
              <w:spacing w:after="0"/>
              <w:rPr>
                <w:sz w:val="24"/>
                <w:szCs w:val="24"/>
                <w:color w:val="auto"/>
              </w:rPr>
            </w:pPr>
          </w:p>
        </w:tc>
        <w:tc>
          <w:tcPr>
            <w:tcW w:w="80" w:type="dxa"/>
            <w:vAlign w:val="bottom"/>
            <w:gridSpan w:val="3"/>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180" w:type="dxa"/>
            <w:vAlign w:val="bottom"/>
            <w:tcBorders>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Rules  13a-14(a)  and  15d-14(a)  under  the  Securities</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00" w:type="dxa"/>
            <w:vAlign w:val="bottom"/>
            <w:tcBorders>
              <w:bottom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Exchange Act of 1934, as Adopted Pursuant to Section</w:t>
            </w: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gridSpan w:val="8"/>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jc w:val="center"/>
              <w:ind w:right="19"/>
              <w:spacing w:after="0"/>
              <w:rPr>
                <w:sz w:val="20"/>
                <w:szCs w:val="20"/>
                <w:color w:val="auto"/>
              </w:rPr>
            </w:pPr>
            <w:r>
              <w:rPr>
                <w:rFonts w:ascii="Arial" w:cs="Arial" w:eastAsia="Arial" w:hAnsi="Arial"/>
                <w:sz w:val="16"/>
                <w:szCs w:val="16"/>
                <w:color w:val="auto"/>
                <w:w w:val="96"/>
              </w:rPr>
              <w:t>31.2</w:t>
            </w:r>
          </w:p>
        </w:tc>
        <w:tc>
          <w:tcPr>
            <w:tcW w:w="41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Certification of Principal Financial Officer Pursuant to</w:t>
            </w:r>
          </w:p>
        </w:tc>
        <w:tc>
          <w:tcPr>
            <w:tcW w:w="20" w:type="dxa"/>
            <w:vAlign w:val="bottom"/>
            <w:tcBorders>
              <w:bottom w:val="single" w:sz="8" w:color="0000EE"/>
            </w:tcBorders>
          </w:tcPr>
          <w:p>
            <w:pPr>
              <w:spacing w:after="0"/>
              <w:rPr>
                <w:sz w:val="24"/>
                <w:szCs w:val="24"/>
                <w:color w:val="auto"/>
              </w:rPr>
            </w:pPr>
          </w:p>
        </w:tc>
        <w:tc>
          <w:tcPr>
            <w:tcW w:w="80" w:type="dxa"/>
            <w:vAlign w:val="bottom"/>
            <w:gridSpan w:val="3"/>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180" w:type="dxa"/>
            <w:vAlign w:val="bottom"/>
            <w:gridSpan w:val="6"/>
          </w:tcPr>
          <w:p>
            <w:pPr>
              <w:spacing w:after="0" w:line="169" w:lineRule="exact"/>
              <w:rPr>
                <w:sz w:val="20"/>
                <w:szCs w:val="20"/>
                <w:color w:val="auto"/>
              </w:rPr>
            </w:pPr>
            <w:r>
              <w:rPr>
                <w:rFonts w:ascii="Arial" w:cs="Arial" w:eastAsia="Arial" w:hAnsi="Arial"/>
                <w:sz w:val="16"/>
                <w:szCs w:val="16"/>
                <w:color w:val="0000FF"/>
              </w:rPr>
              <w:t>Rules  13a-14(a)  and  15d-14(a)  under  the  Securities</w:t>
            </w:r>
          </w:p>
        </w:tc>
        <w:tc>
          <w:tcPr>
            <w:tcW w:w="80" w:type="dxa"/>
            <w:vAlign w:val="bottom"/>
            <w:gridSpan w:val="3"/>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0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Exchange Act of 1934, as Adopted Pursuant to Section</w:t>
            </w:r>
          </w:p>
        </w:tc>
        <w:tc>
          <w:tcPr>
            <w:tcW w:w="6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jc w:val="center"/>
              <w:ind w:right="19"/>
              <w:spacing w:after="0"/>
              <w:rPr>
                <w:sz w:val="20"/>
                <w:szCs w:val="20"/>
                <w:color w:val="auto"/>
              </w:rPr>
            </w:pPr>
            <w:r>
              <w:rPr>
                <w:rFonts w:ascii="Arial" w:cs="Arial" w:eastAsia="Arial" w:hAnsi="Arial"/>
                <w:sz w:val="16"/>
                <w:szCs w:val="16"/>
                <w:color w:val="auto"/>
              </w:rPr>
              <w:t>32.1*</w:t>
            </w:r>
          </w:p>
        </w:tc>
        <w:tc>
          <w:tcPr>
            <w:tcW w:w="4260" w:type="dxa"/>
            <w:vAlign w:val="bottom"/>
            <w:gridSpan w:val="9"/>
          </w:tcPr>
          <w:p>
            <w:pPr>
              <w:spacing w:after="0"/>
              <w:rPr>
                <w:sz w:val="20"/>
                <w:szCs w:val="20"/>
                <w:color w:val="auto"/>
              </w:rPr>
            </w:pPr>
            <w:r>
              <w:rPr>
                <w:rFonts w:ascii="Arial" w:cs="Arial" w:eastAsia="Arial" w:hAnsi="Arial"/>
                <w:sz w:val="16"/>
                <w:szCs w:val="16"/>
                <w:color w:val="0000FF"/>
              </w:rPr>
              <w:t>Certification of Principal Executive Officer Pursuant to 18</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14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U.S.C. Section 1350, as Adopted Pursuant to Section</w:t>
            </w:r>
          </w:p>
        </w:tc>
        <w:tc>
          <w:tcPr>
            <w:tcW w:w="120" w:type="dxa"/>
            <w:vAlign w:val="bottom"/>
            <w:gridSpan w:val="5"/>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6"/>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160" w:type="dxa"/>
            <w:vAlign w:val="bottom"/>
          </w:tcPr>
          <w:p>
            <w:pPr>
              <w:jc w:val="center"/>
              <w:ind w:right="19"/>
              <w:spacing w:after="0"/>
              <w:rPr>
                <w:sz w:val="20"/>
                <w:szCs w:val="20"/>
                <w:color w:val="auto"/>
              </w:rPr>
            </w:pPr>
            <w:r>
              <w:rPr>
                <w:rFonts w:ascii="Arial" w:cs="Arial" w:eastAsia="Arial" w:hAnsi="Arial"/>
                <w:sz w:val="16"/>
                <w:szCs w:val="16"/>
                <w:color w:val="auto"/>
              </w:rPr>
              <w:t>32.2*</w:t>
            </w:r>
          </w:p>
        </w:tc>
        <w:tc>
          <w:tcPr>
            <w:tcW w:w="4260" w:type="dxa"/>
            <w:vAlign w:val="bottom"/>
            <w:gridSpan w:val="9"/>
          </w:tcPr>
          <w:p>
            <w:pPr>
              <w:spacing w:after="0"/>
              <w:rPr>
                <w:sz w:val="20"/>
                <w:szCs w:val="20"/>
                <w:color w:val="auto"/>
              </w:rPr>
            </w:pPr>
            <w:r>
              <w:rPr>
                <w:rFonts w:ascii="Arial" w:cs="Arial" w:eastAsia="Arial" w:hAnsi="Arial"/>
                <w:sz w:val="16"/>
                <w:szCs w:val="16"/>
                <w:color w:val="0000FF"/>
              </w:rPr>
              <w:t>Certification of Principal Financial Officer Pursuant to 18</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14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U.S.C. Section 1350, as Adopted Pursuant to Section</w:t>
            </w:r>
          </w:p>
        </w:tc>
        <w:tc>
          <w:tcPr>
            <w:tcW w:w="120" w:type="dxa"/>
            <w:vAlign w:val="bottom"/>
            <w:gridSpan w:val="5"/>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6"/>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jc w:val="center"/>
              <w:ind w:right="19"/>
              <w:spacing w:after="0"/>
              <w:rPr>
                <w:sz w:val="20"/>
                <w:szCs w:val="20"/>
                <w:color w:val="auto"/>
              </w:rPr>
            </w:pPr>
            <w:r>
              <w:rPr>
                <w:rFonts w:ascii="Arial" w:cs="Arial" w:eastAsia="Arial" w:hAnsi="Arial"/>
                <w:sz w:val="16"/>
                <w:szCs w:val="16"/>
                <w:color w:val="auto"/>
                <w:w w:val="96"/>
              </w:rPr>
              <w:t>97.1</w:t>
            </w:r>
          </w:p>
        </w:tc>
        <w:tc>
          <w:tcPr>
            <w:tcW w:w="4260" w:type="dxa"/>
            <w:vAlign w:val="bottom"/>
            <w:gridSpan w:val="9"/>
          </w:tcPr>
          <w:p>
            <w:pPr>
              <w:spacing w:after="0"/>
              <w:rPr>
                <w:rFonts w:ascii="Arial" w:cs="Arial" w:eastAsia="Arial" w:hAnsi="Arial"/>
                <w:sz w:val="16"/>
                <w:szCs w:val="16"/>
                <w:color w:val="0000FF"/>
              </w:rPr>
            </w:pPr>
            <w:hyperlink r:id="rId425">
              <w:r>
                <w:rPr>
                  <w:rFonts w:ascii="Arial" w:cs="Arial" w:eastAsia="Arial" w:hAnsi="Arial"/>
                  <w:sz w:val="16"/>
                  <w:szCs w:val="16"/>
                  <w:color w:val="0000FF"/>
                </w:rPr>
                <w:t>Policy  for  the  Recovery  of  Erroneously  Awarded</w:t>
              </w:r>
            </w:hyperlink>
          </w:p>
        </w:tc>
        <w:tc>
          <w:tcPr>
            <w:tcW w:w="980" w:type="dxa"/>
            <w:vAlign w:val="bottom"/>
          </w:tcPr>
          <w:p>
            <w:pPr>
              <w:jc w:val="center"/>
              <w:spacing w:after="0"/>
              <w:rPr>
                <w:sz w:val="20"/>
                <w:szCs w:val="20"/>
                <w:color w:val="auto"/>
              </w:rPr>
            </w:pPr>
            <w:r>
              <w:rPr>
                <w:rFonts w:ascii="Arial" w:cs="Arial" w:eastAsia="Arial" w:hAnsi="Arial"/>
                <w:sz w:val="16"/>
                <w:szCs w:val="16"/>
                <w:color w:val="auto"/>
              </w:rPr>
              <w:t>10-K</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001-40429</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97.1</w:t>
            </w:r>
          </w:p>
        </w:tc>
        <w:tc>
          <w:tcPr>
            <w:tcW w:w="1460" w:type="dxa"/>
            <w:vAlign w:val="bottom"/>
          </w:tcPr>
          <w:p>
            <w:pPr>
              <w:jc w:val="center"/>
              <w:spacing w:after="0"/>
              <w:rPr>
                <w:sz w:val="20"/>
                <w:szCs w:val="20"/>
                <w:color w:val="auto"/>
              </w:rPr>
            </w:pPr>
            <w:r>
              <w:rPr>
                <w:rFonts w:ascii="Arial" w:cs="Arial" w:eastAsia="Arial" w:hAnsi="Arial"/>
                <w:sz w:val="16"/>
                <w:szCs w:val="16"/>
                <w:color w:val="auto"/>
              </w:rPr>
              <w:t>March 5, 2024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rPr>
            </w:pPr>
            <w:hyperlink r:id="rId425">
              <w:r>
                <w:rPr>
                  <w:rFonts w:ascii="Arial" w:cs="Arial" w:eastAsia="Arial" w:hAnsi="Arial"/>
                  <w:sz w:val="16"/>
                  <w:szCs w:val="16"/>
                  <w:color w:val="0000FF"/>
                </w:rPr>
                <w:t>Compensation</w:t>
              </w:r>
            </w:hyperlink>
          </w:p>
        </w:tc>
        <w:tc>
          <w:tcPr>
            <w:tcW w:w="3100" w:type="dxa"/>
            <w:vAlign w:val="bottom"/>
            <w:tcBorders>
              <w:top w:val="single" w:sz="8" w:color="0000FF"/>
            </w:tcBorders>
            <w:gridSpan w:val="4"/>
          </w:tcPr>
          <w:p>
            <w:pPr>
              <w:spacing w:after="0"/>
              <w:rPr>
                <w:sz w:val="14"/>
                <w:szCs w:val="14"/>
                <w:color w:val="auto"/>
              </w:rPr>
            </w:pPr>
          </w:p>
        </w:tc>
        <w:tc>
          <w:tcPr>
            <w:tcW w:w="100" w:type="dxa"/>
            <w:vAlign w:val="bottom"/>
            <w:gridSpan w:val="4"/>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1160" w:type="dxa"/>
            <w:vAlign w:val="bottom"/>
          </w:tcPr>
          <w:p>
            <w:pPr>
              <w:jc w:val="center"/>
              <w:ind w:right="19"/>
              <w:spacing w:after="0"/>
              <w:rPr>
                <w:sz w:val="20"/>
                <w:szCs w:val="20"/>
                <w:color w:val="auto"/>
              </w:rPr>
            </w:pPr>
            <w:r>
              <w:rPr>
                <w:rFonts w:ascii="Arial" w:cs="Arial" w:eastAsia="Arial" w:hAnsi="Arial"/>
                <w:sz w:val="16"/>
                <w:szCs w:val="16"/>
                <w:color w:val="auto"/>
              </w:rPr>
              <w:t>101.SCH</w:t>
            </w:r>
          </w:p>
        </w:tc>
        <w:tc>
          <w:tcPr>
            <w:tcW w:w="426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52"/>
        </w:trPr>
        <w:tc>
          <w:tcPr>
            <w:tcW w:w="1160" w:type="dxa"/>
            <w:vAlign w:val="bottom"/>
          </w:tcPr>
          <w:p>
            <w:pPr>
              <w:jc w:val="center"/>
              <w:ind w:right="19"/>
              <w:spacing w:after="0"/>
              <w:rPr>
                <w:sz w:val="20"/>
                <w:szCs w:val="20"/>
                <w:color w:val="auto"/>
              </w:rPr>
            </w:pPr>
            <w:r>
              <w:rPr>
                <w:rFonts w:ascii="Arial" w:cs="Arial" w:eastAsia="Arial" w:hAnsi="Arial"/>
                <w:sz w:val="16"/>
                <w:szCs w:val="16"/>
                <w:color w:val="auto"/>
                <w:w w:val="99"/>
              </w:rPr>
              <w:t>101.CAL</w:t>
            </w:r>
          </w:p>
        </w:tc>
        <w:tc>
          <w:tcPr>
            <w:tcW w:w="426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6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1160" w:type="dxa"/>
            <w:vAlign w:val="bottom"/>
          </w:tcPr>
          <w:p>
            <w:pPr>
              <w:jc w:val="center"/>
              <w:ind w:right="39"/>
              <w:spacing w:after="0"/>
              <w:rPr>
                <w:sz w:val="20"/>
                <w:szCs w:val="20"/>
                <w:color w:val="auto"/>
              </w:rPr>
            </w:pPr>
            <w:r>
              <w:rPr>
                <w:rFonts w:ascii="Arial" w:cs="Arial" w:eastAsia="Arial" w:hAnsi="Arial"/>
                <w:sz w:val="16"/>
                <w:szCs w:val="16"/>
                <w:color w:val="auto"/>
              </w:rPr>
              <w:t>101.DEF</w:t>
            </w:r>
          </w:p>
        </w:tc>
        <w:tc>
          <w:tcPr>
            <w:tcW w:w="426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6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1160" w:type="dxa"/>
            <w:vAlign w:val="bottom"/>
          </w:tcPr>
          <w:p>
            <w:pPr>
              <w:jc w:val="center"/>
              <w:ind w:right="19"/>
              <w:spacing w:after="0"/>
              <w:rPr>
                <w:sz w:val="20"/>
                <w:szCs w:val="20"/>
                <w:color w:val="auto"/>
              </w:rPr>
            </w:pPr>
            <w:r>
              <w:rPr>
                <w:rFonts w:ascii="Arial" w:cs="Arial" w:eastAsia="Arial" w:hAnsi="Arial"/>
                <w:sz w:val="16"/>
                <w:szCs w:val="16"/>
                <w:color w:val="auto"/>
              </w:rPr>
              <w:t>101.LAB</w:t>
            </w:r>
          </w:p>
        </w:tc>
        <w:tc>
          <w:tcPr>
            <w:tcW w:w="426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6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1160" w:type="dxa"/>
            <w:vAlign w:val="bottom"/>
          </w:tcPr>
          <w:p>
            <w:pPr>
              <w:jc w:val="center"/>
              <w:ind w:right="19"/>
              <w:spacing w:after="0"/>
              <w:rPr>
                <w:sz w:val="20"/>
                <w:szCs w:val="20"/>
                <w:color w:val="auto"/>
              </w:rPr>
            </w:pPr>
            <w:r>
              <w:rPr>
                <w:rFonts w:ascii="Arial" w:cs="Arial" w:eastAsia="Arial" w:hAnsi="Arial"/>
                <w:sz w:val="16"/>
                <w:szCs w:val="16"/>
                <w:color w:val="auto"/>
              </w:rPr>
              <w:t>101.PRE</w:t>
            </w:r>
          </w:p>
        </w:tc>
        <w:tc>
          <w:tcPr>
            <w:tcW w:w="426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6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1160" w:type="dxa"/>
            <w:vAlign w:val="bottom"/>
          </w:tcPr>
          <w:p>
            <w:pPr>
              <w:jc w:val="center"/>
              <w:ind w:right="19"/>
              <w:spacing w:after="0"/>
              <w:rPr>
                <w:sz w:val="20"/>
                <w:szCs w:val="20"/>
                <w:color w:val="auto"/>
              </w:rPr>
            </w:pPr>
            <w:r>
              <w:rPr>
                <w:rFonts w:ascii="Arial" w:cs="Arial" w:eastAsia="Arial" w:hAnsi="Arial"/>
                <w:sz w:val="16"/>
                <w:szCs w:val="16"/>
                <w:color w:val="auto"/>
                <w:w w:val="97"/>
              </w:rPr>
              <w:t>104</w:t>
            </w:r>
          </w:p>
        </w:tc>
        <w:tc>
          <w:tcPr>
            <w:tcW w:w="426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60" w:type="dxa"/>
            <w:vAlign w:val="bottom"/>
            <w:gridSpan w:val="9"/>
          </w:tcPr>
          <w:p>
            <w:pPr>
              <w:spacing w:after="0"/>
              <w:rPr>
                <w:sz w:val="20"/>
                <w:szCs w:val="20"/>
                <w:color w:val="auto"/>
              </w:rPr>
            </w:pPr>
            <w:r>
              <w:rPr>
                <w:rFonts w:ascii="Arial" w:cs="Arial" w:eastAsia="Arial" w:hAnsi="Arial"/>
                <w:sz w:val="16"/>
                <w:szCs w:val="16"/>
                <w:color w:val="auto"/>
              </w:rPr>
              <w:t>XBRL and contained in Exhibit 101)</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Where applicable, schedules and exhibits have been omitted pursuant to Item 601(a)(5) of Regulation S-K. The registrant agrees to furnish supplementally a copy of any omitted schedule or exhibit to the U.S. Securities and Exchange Commission upon request.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+Indicates a management contract or compensatory plan or arrangement.</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certifications attached as Exhibit 32.1 and 32.2 that accompany this report are not deemed filed with the Securities and Exchange Commission and are not to be incorporated by reference into any filing of Paymentus Holdings, Inc. under the Securities Act or the Securities Exchange Act of 1934, as amended, whether made before or after the date of this report, irrespective of any general incorporation language contained in such filing.</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74866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748665" cy="8890"/>
                    </a:xfrm>
                    <a:prstGeom prst="rect">
                      <a:avLst/>
                    </a:prstGeom>
                    <a:noFill/>
                  </pic:spPr>
                </pic:pic>
              </a:graphicData>
            </a:graphic>
          </wp:anchor>
        </w:drawing>
      </w:r>
    </w:p>
    <w:p>
      <w:pPr>
        <w:spacing w:after="0" w:line="1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PAYMENTUS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8890</wp:posOffset>
            </wp:positionV>
            <wp:extent cx="35401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92" w:lineRule="exact"/>
        <w:rPr>
          <w:sz w:val="20"/>
          <w:szCs w:val="20"/>
          <w:color w:val="auto"/>
        </w:rPr>
      </w:pPr>
    </w:p>
    <w:p>
      <w:pPr>
        <w:spacing w:after="0"/>
        <w:tabs>
          <w:tab w:leader="none" w:pos="5640" w:val="left"/>
          <w:tab w:leader="none" w:pos="6080" w:val="left"/>
        </w:tabs>
        <w:rPr>
          <w:sz w:val="20"/>
          <w:szCs w:val="20"/>
          <w:color w:val="auto"/>
        </w:rPr>
      </w:pPr>
      <w:r>
        <w:rPr>
          <w:rFonts w:ascii="Arial" w:cs="Arial" w:eastAsia="Arial" w:hAnsi="Arial"/>
          <w:sz w:val="18"/>
          <w:szCs w:val="18"/>
          <w:color w:val="auto"/>
        </w:rPr>
        <w:t>Date: February 23,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8890</wp:posOffset>
            </wp:positionV>
            <wp:extent cx="32658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Dushyant Sharma</w:t>
      </w:r>
    </w:p>
    <w:p>
      <w:pPr>
        <w:ind w:left="6100"/>
        <w:spacing w:after="0"/>
        <w:rPr>
          <w:sz w:val="20"/>
          <w:szCs w:val="20"/>
          <w:color w:val="auto"/>
        </w:rPr>
      </w:pPr>
      <w:r>
        <w:rPr>
          <w:rFonts w:ascii="Arial" w:cs="Arial" w:eastAsia="Arial" w:hAnsi="Arial"/>
          <w:sz w:val="18"/>
          <w:szCs w:val="18"/>
          <w:color w:val="auto"/>
        </w:rPr>
        <w:t>Chairman, President and Chief Executive Officer</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Each person whose signature appears below hereby severally constitutes and appoints each of Dushyant Sharma, Sanjay Kalra and Andrew A. Gerber as his true and lawful attorney-in-fact and agent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each said attorney-in-fact and agent or his substitute or substitutes may lawfully do or cause to be done by virtue hereof.</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940" w:type="dxa"/>
            <w:vAlign w:val="bottom"/>
            <w:gridSpan w:val="2"/>
          </w:tcPr>
          <w:p>
            <w:pPr>
              <w:jc w:val="right"/>
              <w:ind w:right="4350"/>
              <w:spacing w:after="0"/>
              <w:rPr>
                <w:sz w:val="20"/>
                <w:szCs w:val="20"/>
                <w:color w:val="auto"/>
              </w:rPr>
            </w:pPr>
            <w:r>
              <w:rPr>
                <w:rFonts w:ascii="Arial" w:cs="Arial" w:eastAsia="Arial" w:hAnsi="Arial"/>
                <w:sz w:val="18"/>
                <w:szCs w:val="18"/>
                <w:b w:val="1"/>
                <w:bCs w:val="1"/>
                <w:color w:val="auto"/>
              </w:rPr>
              <w:t>Title</w:t>
            </w:r>
          </w:p>
        </w:tc>
        <w:tc>
          <w:tcPr>
            <w:tcW w:w="2440" w:type="dxa"/>
            <w:vAlign w:val="bottom"/>
            <w:gridSpan w:val="2"/>
          </w:tcPr>
          <w:p>
            <w:pPr>
              <w:ind w:left="260"/>
              <w:spacing w:after="0"/>
              <w:rPr>
                <w:sz w:val="20"/>
                <w:szCs w:val="20"/>
                <w:color w:val="auto"/>
              </w:rPr>
            </w:pPr>
            <w:r>
              <w:rPr>
                <w:rFonts w:ascii="Arial" w:cs="Arial" w:eastAsia="Arial" w:hAnsi="Arial"/>
                <w:sz w:val="18"/>
                <w:szCs w:val="18"/>
                <w:b w:val="1"/>
                <w:bCs w:val="1"/>
                <w:color w:val="auto"/>
              </w:rPr>
              <w:t>Date</w:t>
            </w:r>
          </w:p>
        </w:tc>
      </w:tr>
      <w:tr>
        <w:trPr>
          <w:trHeight w:val="196"/>
        </w:trPr>
        <w:tc>
          <w:tcPr>
            <w:tcW w:w="60" w:type="dxa"/>
            <w:vAlign w:val="bottom"/>
          </w:tcPr>
          <w:p>
            <w:pPr>
              <w:spacing w:after="0"/>
              <w:rPr>
                <w:sz w:val="17"/>
                <w:szCs w:val="17"/>
                <w:color w:val="auto"/>
              </w:rPr>
            </w:pPr>
          </w:p>
        </w:tc>
        <w:tc>
          <w:tcPr>
            <w:tcW w:w="28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/s/Dushyant Sharma</w:t>
            </w:r>
          </w:p>
        </w:tc>
        <w:tc>
          <w:tcPr>
            <w:tcW w:w="1140" w:type="dxa"/>
            <w:vAlign w:val="bottom"/>
            <w:tcBorders>
              <w:top w:val="single" w:sz="8" w:color="auto"/>
              <w:bottom w:val="single" w:sz="8" w:color="auto"/>
            </w:tcBorders>
          </w:tcPr>
          <w:p>
            <w:pPr>
              <w:spacing w:after="0"/>
              <w:rPr>
                <w:sz w:val="17"/>
                <w:szCs w:val="17"/>
                <w:color w:val="auto"/>
              </w:rPr>
            </w:pPr>
          </w:p>
        </w:tc>
        <w:tc>
          <w:tcPr>
            <w:tcW w:w="4800" w:type="dxa"/>
            <w:vAlign w:val="bottom"/>
            <w:tcBorders>
              <w:top w:val="single" w:sz="8" w:color="auto"/>
            </w:tcBorders>
          </w:tcPr>
          <w:p>
            <w:pPr>
              <w:jc w:val="center"/>
              <w:ind w:left="150"/>
              <w:spacing w:after="0" w:line="196" w:lineRule="exact"/>
              <w:rPr>
                <w:sz w:val="20"/>
                <w:szCs w:val="20"/>
                <w:color w:val="auto"/>
              </w:rPr>
            </w:pPr>
            <w:r>
              <w:rPr>
                <w:rFonts w:ascii="Arial" w:cs="Arial" w:eastAsia="Arial" w:hAnsi="Arial"/>
                <w:sz w:val="18"/>
                <w:szCs w:val="18"/>
                <w:color w:val="auto"/>
                <w:w w:val="99"/>
              </w:rPr>
              <w:t>Chairman, President, and Chief Executive Officer</w:t>
            </w:r>
          </w:p>
        </w:tc>
        <w:tc>
          <w:tcPr>
            <w:tcW w:w="2380" w:type="dxa"/>
            <w:vAlign w:val="bottom"/>
            <w:tcBorders>
              <w:top w:val="single" w:sz="8" w:color="auto"/>
            </w:tcBorders>
          </w:tcPr>
          <w:p>
            <w:pPr>
              <w:ind w:left="260"/>
              <w:spacing w:after="0" w:line="196" w:lineRule="exact"/>
              <w:rPr>
                <w:sz w:val="20"/>
                <w:szCs w:val="20"/>
                <w:color w:val="auto"/>
              </w:rPr>
            </w:pPr>
            <w:r>
              <w:rPr>
                <w:rFonts w:ascii="Arial" w:cs="Arial" w:eastAsia="Arial" w:hAnsi="Arial"/>
                <w:sz w:val="18"/>
                <w:szCs w:val="18"/>
                <w:color w:val="auto"/>
              </w:rPr>
              <w:t>February 23, 2026</w:t>
            </w:r>
          </w:p>
        </w:tc>
        <w:tc>
          <w:tcPr>
            <w:tcW w:w="60" w:type="dxa"/>
            <w:vAlign w:val="bottom"/>
          </w:tcPr>
          <w:p>
            <w:pPr>
              <w:spacing w:after="0"/>
              <w:rPr>
                <w:sz w:val="17"/>
                <w:szCs w:val="17"/>
                <w:color w:val="auto"/>
              </w:rPr>
            </w:pPr>
          </w:p>
        </w:tc>
      </w:tr>
      <w:tr>
        <w:trPr>
          <w:trHeight w:val="232"/>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Dushyant Sharma</w:t>
            </w:r>
          </w:p>
        </w:tc>
        <w:tc>
          <w:tcPr>
            <w:tcW w:w="1140" w:type="dxa"/>
            <w:vAlign w:val="bottom"/>
          </w:tcPr>
          <w:p>
            <w:pPr>
              <w:spacing w:after="0"/>
              <w:rPr>
                <w:sz w:val="20"/>
                <w:szCs w:val="20"/>
                <w:color w:val="auto"/>
              </w:rPr>
            </w:pP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9"/>
              </w:rPr>
              <w:t>(Principal Executive Officer)</w:t>
            </w: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6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/s/Sanjay Kalra</w:t>
            </w:r>
          </w:p>
        </w:tc>
        <w:tc>
          <w:tcPr>
            <w:tcW w:w="1140" w:type="dxa"/>
            <w:vAlign w:val="bottom"/>
            <w:tcBorders>
              <w:bottom w:val="single" w:sz="8" w:color="auto"/>
            </w:tcBorders>
          </w:tcPr>
          <w:p>
            <w:pPr>
              <w:spacing w:after="0"/>
              <w:rPr>
                <w:sz w:val="24"/>
                <w:szCs w:val="24"/>
                <w:color w:val="auto"/>
              </w:rPr>
            </w:pP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9"/>
              </w:rPr>
              <w:t>Senior Vice President and Chief Financial Officer</w:t>
            </w: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February 23, 2026</w:t>
            </w:r>
          </w:p>
        </w:tc>
      </w:tr>
      <w:tr>
        <w:trPr>
          <w:trHeight w:val="232"/>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Sanjay Kalra</w:t>
            </w:r>
          </w:p>
        </w:tc>
        <w:tc>
          <w:tcPr>
            <w:tcW w:w="1140" w:type="dxa"/>
            <w:vAlign w:val="bottom"/>
          </w:tcPr>
          <w:p>
            <w:pPr>
              <w:spacing w:after="0"/>
              <w:rPr>
                <w:sz w:val="20"/>
                <w:szCs w:val="20"/>
                <w:color w:val="auto"/>
              </w:rPr>
            </w:pPr>
          </w:p>
        </w:tc>
        <w:tc>
          <w:tcPr>
            <w:tcW w:w="4800" w:type="dxa"/>
            <w:vAlign w:val="bottom"/>
          </w:tcPr>
          <w:p>
            <w:pPr>
              <w:jc w:val="center"/>
              <w:ind w:left="150"/>
              <w:spacing w:after="0"/>
              <w:rPr>
                <w:sz w:val="20"/>
                <w:szCs w:val="20"/>
                <w:color w:val="auto"/>
              </w:rPr>
            </w:pPr>
            <w:r>
              <w:rPr>
                <w:rFonts w:ascii="Arial" w:cs="Arial" w:eastAsia="Arial" w:hAnsi="Arial"/>
                <w:sz w:val="18"/>
                <w:szCs w:val="18"/>
                <w:color w:val="auto"/>
              </w:rPr>
              <w:t>(Principal Financial Officer and Accounting Officer)</w:t>
            </w: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6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Jody Davids</w:t>
            </w:r>
          </w:p>
        </w:tc>
        <w:tc>
          <w:tcPr>
            <w:tcW w:w="1140" w:type="dxa"/>
            <w:vAlign w:val="bottom"/>
            <w:tcBorders>
              <w:bottom w:val="single" w:sz="8" w:color="auto"/>
            </w:tcBorders>
          </w:tcPr>
          <w:p>
            <w:pPr>
              <w:spacing w:after="0"/>
              <w:rPr>
                <w:sz w:val="24"/>
                <w:szCs w:val="24"/>
                <w:color w:val="auto"/>
              </w:rPr>
            </w:pPr>
          </w:p>
        </w:tc>
        <w:tc>
          <w:tcPr>
            <w:tcW w:w="4800" w:type="dxa"/>
            <w:vAlign w:val="bottom"/>
          </w:tcPr>
          <w:p>
            <w:pPr>
              <w:jc w:val="center"/>
              <w:ind w:left="15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February 23, 2026</w:t>
            </w:r>
          </w:p>
        </w:tc>
      </w:tr>
      <w:tr>
        <w:trPr>
          <w:trHeight w:val="232"/>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Jody Davids</w:t>
            </w:r>
          </w:p>
        </w:tc>
        <w:tc>
          <w:tcPr>
            <w:tcW w:w="1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6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Ingram</w:t>
            </w:r>
          </w:p>
        </w:tc>
        <w:tc>
          <w:tcPr>
            <w:tcW w:w="1140" w:type="dxa"/>
            <w:vAlign w:val="bottom"/>
            <w:tcBorders>
              <w:bottom w:val="single" w:sz="8" w:color="auto"/>
            </w:tcBorders>
          </w:tcPr>
          <w:p>
            <w:pPr>
              <w:spacing w:after="0"/>
              <w:rPr>
                <w:sz w:val="24"/>
                <w:szCs w:val="24"/>
                <w:color w:val="auto"/>
              </w:rPr>
            </w:pPr>
          </w:p>
        </w:tc>
        <w:tc>
          <w:tcPr>
            <w:tcW w:w="4800" w:type="dxa"/>
            <w:vAlign w:val="bottom"/>
          </w:tcPr>
          <w:p>
            <w:pPr>
              <w:jc w:val="center"/>
              <w:ind w:left="15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February 23, 2026</w:t>
            </w:r>
          </w:p>
        </w:tc>
      </w:tr>
      <w:tr>
        <w:trPr>
          <w:trHeight w:val="232"/>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William Ingram</w:t>
            </w:r>
          </w:p>
        </w:tc>
        <w:tc>
          <w:tcPr>
            <w:tcW w:w="1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6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Klein</w:t>
            </w:r>
          </w:p>
        </w:tc>
        <w:tc>
          <w:tcPr>
            <w:tcW w:w="1140" w:type="dxa"/>
            <w:vAlign w:val="bottom"/>
            <w:tcBorders>
              <w:bottom w:val="single" w:sz="8" w:color="auto"/>
            </w:tcBorders>
          </w:tcPr>
          <w:p>
            <w:pPr>
              <w:spacing w:after="0"/>
              <w:rPr>
                <w:sz w:val="24"/>
                <w:szCs w:val="24"/>
                <w:color w:val="auto"/>
              </w:rPr>
            </w:pPr>
          </w:p>
        </w:tc>
        <w:tc>
          <w:tcPr>
            <w:tcW w:w="4800" w:type="dxa"/>
            <w:vAlign w:val="bottom"/>
          </w:tcPr>
          <w:p>
            <w:pPr>
              <w:jc w:val="center"/>
              <w:ind w:left="15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February 23, 2026</w:t>
            </w:r>
          </w:p>
        </w:tc>
      </w:tr>
      <w:tr>
        <w:trPr>
          <w:trHeight w:val="232"/>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Jason Klein</w:t>
            </w:r>
          </w:p>
        </w:tc>
        <w:tc>
          <w:tcPr>
            <w:tcW w:w="1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6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Malinowski</w:t>
            </w:r>
          </w:p>
        </w:tc>
        <w:tc>
          <w:tcPr>
            <w:tcW w:w="1140" w:type="dxa"/>
            <w:vAlign w:val="bottom"/>
            <w:tcBorders>
              <w:bottom w:val="single" w:sz="8" w:color="auto"/>
            </w:tcBorders>
          </w:tcPr>
          <w:p>
            <w:pPr>
              <w:spacing w:after="0"/>
              <w:rPr>
                <w:sz w:val="24"/>
                <w:szCs w:val="24"/>
                <w:color w:val="auto"/>
              </w:rPr>
            </w:pPr>
          </w:p>
        </w:tc>
        <w:tc>
          <w:tcPr>
            <w:tcW w:w="4800" w:type="dxa"/>
            <w:vAlign w:val="bottom"/>
          </w:tcPr>
          <w:p>
            <w:pPr>
              <w:jc w:val="center"/>
              <w:ind w:left="15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February 23, 2026</w:t>
            </w:r>
          </w:p>
        </w:tc>
      </w:tr>
      <w:tr>
        <w:trPr>
          <w:trHeight w:val="232"/>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Adam Malinowski</w:t>
            </w:r>
          </w:p>
        </w:tc>
        <w:tc>
          <w:tcPr>
            <w:tcW w:w="1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6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Arun Oberoi</w:t>
            </w:r>
          </w:p>
        </w:tc>
        <w:tc>
          <w:tcPr>
            <w:tcW w:w="1140" w:type="dxa"/>
            <w:vAlign w:val="bottom"/>
            <w:tcBorders>
              <w:bottom w:val="single" w:sz="8" w:color="auto"/>
            </w:tcBorders>
          </w:tcPr>
          <w:p>
            <w:pPr>
              <w:spacing w:after="0"/>
              <w:rPr>
                <w:sz w:val="24"/>
                <w:szCs w:val="24"/>
                <w:color w:val="auto"/>
              </w:rPr>
            </w:pPr>
          </w:p>
        </w:tc>
        <w:tc>
          <w:tcPr>
            <w:tcW w:w="4800" w:type="dxa"/>
            <w:vAlign w:val="bottom"/>
          </w:tcPr>
          <w:p>
            <w:pPr>
              <w:jc w:val="center"/>
              <w:ind w:left="15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February 23, 2026</w:t>
            </w:r>
          </w:p>
        </w:tc>
      </w:tr>
      <w:tr>
        <w:trPr>
          <w:trHeight w:val="232"/>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Arun Oberoi</w:t>
            </w:r>
          </w:p>
        </w:tc>
        <w:tc>
          <w:tcPr>
            <w:tcW w:w="1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6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Palumbo</w:t>
            </w:r>
          </w:p>
        </w:tc>
        <w:tc>
          <w:tcPr>
            <w:tcW w:w="1140" w:type="dxa"/>
            <w:vAlign w:val="bottom"/>
            <w:tcBorders>
              <w:bottom w:val="single" w:sz="8" w:color="auto"/>
            </w:tcBorders>
          </w:tcPr>
          <w:p>
            <w:pPr>
              <w:spacing w:after="0"/>
              <w:rPr>
                <w:sz w:val="24"/>
                <w:szCs w:val="24"/>
                <w:color w:val="auto"/>
              </w:rPr>
            </w:pPr>
          </w:p>
        </w:tc>
        <w:tc>
          <w:tcPr>
            <w:tcW w:w="4800" w:type="dxa"/>
            <w:vAlign w:val="bottom"/>
          </w:tcPr>
          <w:p>
            <w:pPr>
              <w:jc w:val="center"/>
              <w:ind w:left="15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February 23, 2026</w:t>
            </w:r>
          </w:p>
        </w:tc>
      </w:tr>
      <w:tr>
        <w:trPr>
          <w:trHeight w:val="232"/>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Robert Palumbo</w:t>
            </w:r>
          </w:p>
        </w:tc>
        <w:tc>
          <w:tcPr>
            <w:tcW w:w="1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6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Trainor</w:t>
            </w:r>
          </w:p>
        </w:tc>
        <w:tc>
          <w:tcPr>
            <w:tcW w:w="1140" w:type="dxa"/>
            <w:vAlign w:val="bottom"/>
            <w:tcBorders>
              <w:bottom w:val="single" w:sz="8" w:color="auto"/>
            </w:tcBorders>
          </w:tcPr>
          <w:p>
            <w:pPr>
              <w:spacing w:after="0"/>
              <w:rPr>
                <w:sz w:val="24"/>
                <w:szCs w:val="24"/>
                <w:color w:val="auto"/>
              </w:rPr>
            </w:pPr>
          </w:p>
        </w:tc>
        <w:tc>
          <w:tcPr>
            <w:tcW w:w="4800" w:type="dxa"/>
            <w:vAlign w:val="bottom"/>
          </w:tcPr>
          <w:p>
            <w:pPr>
              <w:jc w:val="center"/>
              <w:ind w:left="15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February 23, 2026</w:t>
            </w:r>
          </w:p>
        </w:tc>
      </w:tr>
      <w:tr>
        <w:trPr>
          <w:trHeight w:val="232"/>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Gary Trainor</w:t>
            </w:r>
          </w:p>
        </w:tc>
        <w:tc>
          <w:tcPr>
            <w:tcW w:w="1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9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940" w:type="dxa"/>
            <w:vAlign w:val="bottom"/>
            <w:gridSpan w:val="2"/>
          </w:tcPr>
          <w:p>
            <w:pPr>
              <w:jc w:val="right"/>
              <w:ind w:right="2990"/>
              <w:spacing w:after="0"/>
              <w:rPr>
                <w:sz w:val="20"/>
                <w:szCs w:val="20"/>
                <w:color w:val="auto"/>
              </w:rPr>
            </w:pPr>
            <w:r>
              <w:rPr>
                <w:rFonts w:ascii="Arial" w:cs="Arial" w:eastAsia="Arial" w:hAnsi="Arial"/>
                <w:sz w:val="18"/>
                <w:szCs w:val="18"/>
                <w:color w:val="auto"/>
              </w:rPr>
              <w:t>94</w:t>
            </w: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6"/>
        </w:trPr>
        <w:tc>
          <w:tcPr>
            <w:tcW w:w="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color w:val="auto"/>
        </w:rPr>
        <w:t>Exhibit 21.1</w:t>
      </w:r>
    </w:p>
    <w:p>
      <w:pPr>
        <w:spacing w:after="0" w:line="194"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SUBSIDIARIES OF PAYMENTUS HOLDINGS, INC.</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6"/>
                <w:szCs w:val="16"/>
                <w:b w:val="1"/>
                <w:bCs w:val="1"/>
                <w:color w:val="auto"/>
                <w:w w:val="96"/>
              </w:rPr>
              <w:t>Name</w:t>
            </w:r>
          </w:p>
        </w:tc>
        <w:tc>
          <w:tcPr>
            <w:tcW w:w="7140" w:type="dxa"/>
            <w:vAlign w:val="bottom"/>
            <w:gridSpan w:val="3"/>
          </w:tcPr>
          <w:p>
            <w:pPr>
              <w:jc w:val="center"/>
              <w:ind w:left="3579"/>
              <w:spacing w:after="0"/>
              <w:rPr>
                <w:sz w:val="20"/>
                <w:szCs w:val="20"/>
                <w:color w:val="auto"/>
              </w:rPr>
            </w:pPr>
            <w:r>
              <w:rPr>
                <w:rFonts w:ascii="Arial" w:cs="Arial" w:eastAsia="Arial" w:hAnsi="Arial"/>
                <w:sz w:val="16"/>
                <w:szCs w:val="16"/>
                <w:b w:val="1"/>
                <w:bCs w:val="1"/>
                <w:color w:val="auto"/>
              </w:rPr>
              <w:t>Jurisdiction of Incorporation or Organization</w:t>
            </w:r>
          </w:p>
        </w:tc>
      </w:tr>
      <w:tr>
        <w:trPr>
          <w:trHeight w:val="182"/>
        </w:trPr>
        <w:tc>
          <w:tcPr>
            <w:tcW w:w="3040" w:type="dxa"/>
            <w:vAlign w:val="bottom"/>
          </w:tcPr>
          <w:p>
            <w:pPr>
              <w:spacing w:after="0" w:line="182" w:lineRule="exact"/>
              <w:rPr>
                <w:sz w:val="20"/>
                <w:szCs w:val="20"/>
                <w:color w:val="auto"/>
              </w:rPr>
            </w:pPr>
            <w:r>
              <w:rPr>
                <w:rFonts w:ascii="Arial" w:cs="Arial" w:eastAsia="Arial" w:hAnsi="Arial"/>
                <w:sz w:val="16"/>
                <w:szCs w:val="16"/>
                <w:color w:val="auto"/>
              </w:rPr>
              <w:t>Paymentus Group, Inc. (1)</w:t>
            </w:r>
          </w:p>
        </w:tc>
        <w:tc>
          <w:tcPr>
            <w:tcW w:w="440" w:type="dxa"/>
            <w:vAlign w:val="bottom"/>
            <w:tcBorders>
              <w:top w:val="single" w:sz="8" w:color="auto"/>
            </w:tcBorders>
          </w:tcPr>
          <w:p>
            <w:pPr>
              <w:spacing w:after="0"/>
              <w:rPr>
                <w:sz w:val="15"/>
                <w:szCs w:val="15"/>
                <w:color w:val="auto"/>
              </w:rPr>
            </w:pPr>
          </w:p>
        </w:tc>
        <w:tc>
          <w:tcPr>
            <w:tcW w:w="3680" w:type="dxa"/>
            <w:vAlign w:val="bottom"/>
          </w:tcPr>
          <w:p>
            <w:pPr>
              <w:spacing w:after="0"/>
              <w:rPr>
                <w:sz w:val="15"/>
                <w:szCs w:val="15"/>
                <w:color w:val="auto"/>
              </w:rPr>
            </w:pPr>
          </w:p>
        </w:tc>
        <w:tc>
          <w:tcPr>
            <w:tcW w:w="34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9"/>
        </w:trPr>
        <w:tc>
          <w:tcPr>
            <w:tcW w:w="3480" w:type="dxa"/>
            <w:vAlign w:val="bottom"/>
            <w:gridSpan w:val="2"/>
          </w:tcPr>
          <w:p>
            <w:pPr>
              <w:spacing w:after="0"/>
              <w:rPr>
                <w:sz w:val="20"/>
                <w:szCs w:val="20"/>
                <w:color w:val="auto"/>
              </w:rPr>
            </w:pPr>
            <w:r>
              <w:rPr>
                <w:rFonts w:ascii="Arial" w:cs="Arial" w:eastAsia="Arial" w:hAnsi="Arial"/>
                <w:sz w:val="16"/>
                <w:szCs w:val="16"/>
                <w:color w:val="auto"/>
              </w:rPr>
              <w:t>Paymentus Corporation (2)</w:t>
            </w:r>
          </w:p>
        </w:tc>
        <w:tc>
          <w:tcPr>
            <w:tcW w:w="3680" w:type="dxa"/>
            <w:vAlign w:val="bottom"/>
          </w:tcPr>
          <w:p>
            <w:pPr>
              <w:spacing w:after="0"/>
              <w:rPr>
                <w:sz w:val="16"/>
                <w:szCs w:val="16"/>
                <w:color w:val="auto"/>
              </w:rPr>
            </w:pPr>
          </w:p>
        </w:tc>
        <w:tc>
          <w:tcPr>
            <w:tcW w:w="3460" w:type="dxa"/>
            <w:vAlign w:val="bottom"/>
            <w:gridSpan w:val="2"/>
          </w:tcPr>
          <w:p>
            <w:pPr>
              <w:jc w:val="center"/>
              <w:ind w:right="20"/>
              <w:spacing w:after="0"/>
              <w:rPr>
                <w:sz w:val="20"/>
                <w:szCs w:val="20"/>
                <w:color w:val="auto"/>
              </w:rPr>
            </w:pPr>
            <w:r>
              <w:rPr>
                <w:rFonts w:ascii="Arial" w:cs="Arial" w:eastAsia="Arial" w:hAnsi="Arial"/>
                <w:sz w:val="16"/>
                <w:szCs w:val="16"/>
                <w:color w:val="auto"/>
              </w:rPr>
              <w:t>Delaware</w:t>
            </w:r>
          </w:p>
        </w:tc>
      </w:tr>
      <w:tr>
        <w:trPr>
          <w:trHeight w:val="189"/>
        </w:trPr>
        <w:tc>
          <w:tcPr>
            <w:tcW w:w="3480" w:type="dxa"/>
            <w:vAlign w:val="bottom"/>
            <w:gridSpan w:val="2"/>
          </w:tcPr>
          <w:p>
            <w:pPr>
              <w:spacing w:after="0"/>
              <w:rPr>
                <w:sz w:val="20"/>
                <w:szCs w:val="20"/>
                <w:color w:val="auto"/>
              </w:rPr>
            </w:pPr>
            <w:r>
              <w:rPr>
                <w:rFonts w:ascii="Arial" w:cs="Arial" w:eastAsia="Arial" w:hAnsi="Arial"/>
                <w:sz w:val="16"/>
                <w:szCs w:val="16"/>
                <w:color w:val="auto"/>
              </w:rPr>
              <w:t>PROFIT Financial, Inc. (2)</w:t>
            </w:r>
          </w:p>
        </w:tc>
        <w:tc>
          <w:tcPr>
            <w:tcW w:w="3680" w:type="dxa"/>
            <w:vAlign w:val="bottom"/>
          </w:tcPr>
          <w:p>
            <w:pPr>
              <w:spacing w:after="0"/>
              <w:rPr>
                <w:sz w:val="16"/>
                <w:szCs w:val="16"/>
                <w:color w:val="auto"/>
              </w:rPr>
            </w:pPr>
          </w:p>
        </w:tc>
        <w:tc>
          <w:tcPr>
            <w:tcW w:w="3460" w:type="dxa"/>
            <w:vAlign w:val="bottom"/>
            <w:gridSpan w:val="2"/>
          </w:tcPr>
          <w:p>
            <w:pPr>
              <w:jc w:val="center"/>
              <w:ind w:right="20"/>
              <w:spacing w:after="0"/>
              <w:rPr>
                <w:sz w:val="20"/>
                <w:szCs w:val="20"/>
                <w:color w:val="auto"/>
              </w:rPr>
            </w:pPr>
            <w:r>
              <w:rPr>
                <w:rFonts w:ascii="Arial" w:cs="Arial" w:eastAsia="Arial" w:hAnsi="Arial"/>
                <w:sz w:val="16"/>
                <w:szCs w:val="16"/>
                <w:color w:val="auto"/>
              </w:rPr>
              <w:t>Delaware</w:t>
            </w:r>
          </w:p>
        </w:tc>
      </w:tr>
      <w:tr>
        <w:trPr>
          <w:trHeight w:val="189"/>
        </w:trPr>
        <w:tc>
          <w:tcPr>
            <w:tcW w:w="3480" w:type="dxa"/>
            <w:vAlign w:val="bottom"/>
            <w:gridSpan w:val="2"/>
          </w:tcPr>
          <w:p>
            <w:pPr>
              <w:spacing w:after="0"/>
              <w:rPr>
                <w:sz w:val="20"/>
                <w:szCs w:val="20"/>
                <w:color w:val="auto"/>
              </w:rPr>
            </w:pPr>
            <w:r>
              <w:rPr>
                <w:rFonts w:ascii="Arial" w:cs="Arial" w:eastAsia="Arial" w:hAnsi="Arial"/>
                <w:sz w:val="16"/>
                <w:szCs w:val="16"/>
                <w:color w:val="auto"/>
              </w:rPr>
              <w:t>Paymentus Acquisition Corp. (2)</w:t>
            </w:r>
          </w:p>
        </w:tc>
        <w:tc>
          <w:tcPr>
            <w:tcW w:w="3680" w:type="dxa"/>
            <w:vAlign w:val="bottom"/>
          </w:tcPr>
          <w:p>
            <w:pPr>
              <w:spacing w:after="0"/>
              <w:rPr>
                <w:sz w:val="16"/>
                <w:szCs w:val="16"/>
                <w:color w:val="auto"/>
              </w:rPr>
            </w:pPr>
          </w:p>
        </w:tc>
        <w:tc>
          <w:tcPr>
            <w:tcW w:w="3460" w:type="dxa"/>
            <w:vAlign w:val="bottom"/>
            <w:gridSpan w:val="2"/>
          </w:tcPr>
          <w:p>
            <w:pPr>
              <w:jc w:val="center"/>
              <w:ind w:right="20"/>
              <w:spacing w:after="0"/>
              <w:rPr>
                <w:sz w:val="20"/>
                <w:szCs w:val="20"/>
                <w:color w:val="auto"/>
              </w:rPr>
            </w:pPr>
            <w:r>
              <w:rPr>
                <w:rFonts w:ascii="Arial" w:cs="Arial" w:eastAsia="Arial" w:hAnsi="Arial"/>
                <w:sz w:val="16"/>
                <w:szCs w:val="16"/>
                <w:color w:val="auto"/>
              </w:rPr>
              <w:t>Delaware</w:t>
            </w:r>
          </w:p>
        </w:tc>
      </w:tr>
      <w:tr>
        <w:trPr>
          <w:trHeight w:val="189"/>
        </w:trPr>
        <w:tc>
          <w:tcPr>
            <w:tcW w:w="3480" w:type="dxa"/>
            <w:vAlign w:val="bottom"/>
            <w:gridSpan w:val="2"/>
          </w:tcPr>
          <w:p>
            <w:pPr>
              <w:spacing w:after="0"/>
              <w:rPr>
                <w:sz w:val="20"/>
                <w:szCs w:val="20"/>
                <w:color w:val="auto"/>
              </w:rPr>
            </w:pPr>
            <w:r>
              <w:rPr>
                <w:rFonts w:ascii="Arial" w:cs="Arial" w:eastAsia="Arial" w:hAnsi="Arial"/>
                <w:sz w:val="16"/>
                <w:szCs w:val="16"/>
                <w:color w:val="auto"/>
              </w:rPr>
              <w:t>Paxcom India Private Limited (2)</w:t>
            </w:r>
          </w:p>
        </w:tc>
        <w:tc>
          <w:tcPr>
            <w:tcW w:w="3680" w:type="dxa"/>
            <w:vAlign w:val="bottom"/>
          </w:tcPr>
          <w:p>
            <w:pPr>
              <w:spacing w:after="0"/>
              <w:rPr>
                <w:sz w:val="16"/>
                <w:szCs w:val="16"/>
                <w:color w:val="auto"/>
              </w:rPr>
            </w:pPr>
          </w:p>
        </w:tc>
        <w:tc>
          <w:tcPr>
            <w:tcW w:w="3460" w:type="dxa"/>
            <w:vAlign w:val="bottom"/>
            <w:gridSpan w:val="2"/>
          </w:tcPr>
          <w:p>
            <w:pPr>
              <w:jc w:val="center"/>
              <w:ind w:right="20"/>
              <w:spacing w:after="0"/>
              <w:rPr>
                <w:sz w:val="20"/>
                <w:szCs w:val="20"/>
                <w:color w:val="auto"/>
              </w:rPr>
            </w:pPr>
            <w:r>
              <w:rPr>
                <w:rFonts w:ascii="Arial" w:cs="Arial" w:eastAsia="Arial" w:hAnsi="Arial"/>
                <w:sz w:val="16"/>
                <w:szCs w:val="16"/>
                <w:color w:val="auto"/>
              </w:rPr>
              <w:t>India</w:t>
            </w:r>
          </w:p>
        </w:tc>
      </w:tr>
      <w:tr>
        <w:trPr>
          <w:trHeight w:val="189"/>
        </w:trPr>
        <w:tc>
          <w:tcPr>
            <w:tcW w:w="3480" w:type="dxa"/>
            <w:vAlign w:val="bottom"/>
            <w:gridSpan w:val="2"/>
          </w:tcPr>
          <w:p>
            <w:pPr>
              <w:spacing w:after="0"/>
              <w:rPr>
                <w:sz w:val="20"/>
                <w:szCs w:val="20"/>
                <w:color w:val="auto"/>
              </w:rPr>
            </w:pPr>
            <w:r>
              <w:rPr>
                <w:rFonts w:ascii="Arial" w:cs="Arial" w:eastAsia="Arial" w:hAnsi="Arial"/>
                <w:sz w:val="16"/>
                <w:szCs w:val="16"/>
                <w:color w:val="auto"/>
              </w:rPr>
              <w:t>PayVeris, LLC (2)</w:t>
            </w:r>
          </w:p>
        </w:tc>
        <w:tc>
          <w:tcPr>
            <w:tcW w:w="3680" w:type="dxa"/>
            <w:vAlign w:val="bottom"/>
          </w:tcPr>
          <w:p>
            <w:pPr>
              <w:spacing w:after="0"/>
              <w:rPr>
                <w:sz w:val="16"/>
                <w:szCs w:val="16"/>
                <w:color w:val="auto"/>
              </w:rPr>
            </w:pPr>
          </w:p>
        </w:tc>
        <w:tc>
          <w:tcPr>
            <w:tcW w:w="3460" w:type="dxa"/>
            <w:vAlign w:val="bottom"/>
            <w:gridSpan w:val="2"/>
          </w:tcPr>
          <w:p>
            <w:pPr>
              <w:jc w:val="center"/>
              <w:ind w:right="20"/>
              <w:spacing w:after="0"/>
              <w:rPr>
                <w:sz w:val="20"/>
                <w:szCs w:val="20"/>
                <w:color w:val="auto"/>
              </w:rPr>
            </w:pPr>
            <w:r>
              <w:rPr>
                <w:rFonts w:ascii="Arial" w:cs="Arial" w:eastAsia="Arial" w:hAnsi="Arial"/>
                <w:sz w:val="16"/>
                <w:szCs w:val="16"/>
                <w:color w:val="auto"/>
              </w:rPr>
              <w:t>Delaware</w:t>
            </w:r>
          </w:p>
        </w:tc>
      </w:tr>
      <w:tr>
        <w:trPr>
          <w:trHeight w:val="189"/>
        </w:trPr>
        <w:tc>
          <w:tcPr>
            <w:tcW w:w="3480" w:type="dxa"/>
            <w:vAlign w:val="bottom"/>
            <w:gridSpan w:val="2"/>
          </w:tcPr>
          <w:p>
            <w:pPr>
              <w:spacing w:after="0"/>
              <w:rPr>
                <w:sz w:val="20"/>
                <w:szCs w:val="20"/>
                <w:color w:val="auto"/>
              </w:rPr>
            </w:pPr>
            <w:r>
              <w:rPr>
                <w:rFonts w:ascii="Arial" w:cs="Arial" w:eastAsia="Arial" w:hAnsi="Arial"/>
                <w:sz w:val="16"/>
                <w:szCs w:val="16"/>
                <w:color w:val="auto"/>
              </w:rPr>
              <w:t>Paymentus Financial, LLC (3)</w:t>
            </w:r>
          </w:p>
        </w:tc>
        <w:tc>
          <w:tcPr>
            <w:tcW w:w="3680" w:type="dxa"/>
            <w:vAlign w:val="bottom"/>
          </w:tcPr>
          <w:p>
            <w:pPr>
              <w:spacing w:after="0"/>
              <w:rPr>
                <w:sz w:val="16"/>
                <w:szCs w:val="16"/>
                <w:color w:val="auto"/>
              </w:rPr>
            </w:pPr>
          </w:p>
        </w:tc>
        <w:tc>
          <w:tcPr>
            <w:tcW w:w="3460" w:type="dxa"/>
            <w:vAlign w:val="bottom"/>
            <w:gridSpan w:val="2"/>
          </w:tcPr>
          <w:p>
            <w:pPr>
              <w:jc w:val="center"/>
              <w:ind w:right="20"/>
              <w:spacing w:after="0"/>
              <w:rPr>
                <w:sz w:val="20"/>
                <w:szCs w:val="20"/>
                <w:color w:val="auto"/>
              </w:rPr>
            </w:pPr>
            <w:r>
              <w:rPr>
                <w:rFonts w:ascii="Arial" w:cs="Arial" w:eastAsia="Arial" w:hAnsi="Arial"/>
                <w:sz w:val="16"/>
                <w:szCs w:val="16"/>
                <w:color w:val="auto"/>
              </w:rPr>
              <w:t>Delaware</w:t>
            </w:r>
          </w:p>
        </w:tc>
      </w:tr>
      <w:tr>
        <w:trPr>
          <w:trHeight w:val="215"/>
        </w:trPr>
        <w:tc>
          <w:tcPr>
            <w:tcW w:w="3480" w:type="dxa"/>
            <w:vAlign w:val="bottom"/>
            <w:gridSpan w:val="2"/>
          </w:tcPr>
          <w:p>
            <w:pPr>
              <w:spacing w:after="0"/>
              <w:rPr>
                <w:sz w:val="20"/>
                <w:szCs w:val="20"/>
                <w:color w:val="auto"/>
              </w:rPr>
            </w:pPr>
            <w:r>
              <w:rPr>
                <w:rFonts w:ascii="Arial" w:cs="Arial" w:eastAsia="Arial" w:hAnsi="Arial"/>
                <w:sz w:val="16"/>
                <w:szCs w:val="16"/>
                <w:color w:val="auto"/>
              </w:rPr>
              <w:t>Paymentus (Canada) Corporation (4)</w:t>
            </w:r>
          </w:p>
        </w:tc>
        <w:tc>
          <w:tcPr>
            <w:tcW w:w="3680" w:type="dxa"/>
            <w:vAlign w:val="bottom"/>
          </w:tcPr>
          <w:p>
            <w:pPr>
              <w:spacing w:after="0"/>
              <w:rPr>
                <w:sz w:val="18"/>
                <w:szCs w:val="18"/>
                <w:color w:val="auto"/>
              </w:rPr>
            </w:pPr>
          </w:p>
        </w:tc>
        <w:tc>
          <w:tcPr>
            <w:tcW w:w="3460" w:type="dxa"/>
            <w:vAlign w:val="bottom"/>
            <w:gridSpan w:val="2"/>
          </w:tcPr>
          <w:p>
            <w:pPr>
              <w:jc w:val="center"/>
              <w:ind w:right="20"/>
              <w:spacing w:after="0"/>
              <w:rPr>
                <w:sz w:val="20"/>
                <w:szCs w:val="20"/>
                <w:color w:val="auto"/>
              </w:rPr>
            </w:pPr>
            <w:r>
              <w:rPr>
                <w:rFonts w:ascii="Arial" w:cs="Arial" w:eastAsia="Arial" w:hAnsi="Arial"/>
                <w:sz w:val="16"/>
                <w:szCs w:val="16"/>
                <w:color w:val="auto"/>
              </w:rPr>
              <w:t>Nova Scotia, Canada</w:t>
            </w:r>
          </w:p>
        </w:tc>
      </w:tr>
    </w:tbl>
    <w:p>
      <w:pPr>
        <w:spacing w:after="0" w:line="163" w:lineRule="exact"/>
        <w:rPr>
          <w:sz w:val="20"/>
          <w:szCs w:val="20"/>
          <w:color w:val="auto"/>
        </w:rPr>
      </w:pPr>
    </w:p>
    <w:p>
      <w:pPr>
        <w:ind w:left="640" w:hanging="378"/>
        <w:spacing w:after="0"/>
        <w:tabs>
          <w:tab w:leader="none" w:pos="6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Wholly owned by Paymentus Holdings, Inc.</w:t>
      </w:r>
    </w:p>
    <w:p>
      <w:pPr>
        <w:spacing w:after="0" w:line="29" w:lineRule="exact"/>
        <w:rPr>
          <w:rFonts w:ascii="Times New Roman" w:cs="Times New Roman" w:eastAsia="Times New Roman" w:hAnsi="Times New Roman"/>
          <w:sz w:val="16"/>
          <w:szCs w:val="16"/>
          <w:color w:val="auto"/>
        </w:rPr>
      </w:pPr>
    </w:p>
    <w:p>
      <w:pPr>
        <w:ind w:left="640" w:hanging="378"/>
        <w:spacing w:after="0"/>
        <w:tabs>
          <w:tab w:leader="none" w:pos="6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Wholly owned by Paymentus Group, Inc.</w:t>
      </w:r>
    </w:p>
    <w:p>
      <w:pPr>
        <w:spacing w:after="0" w:line="17" w:lineRule="exact"/>
        <w:rPr>
          <w:rFonts w:ascii="Times New Roman" w:cs="Times New Roman" w:eastAsia="Times New Roman" w:hAnsi="Times New Roman"/>
          <w:sz w:val="16"/>
          <w:szCs w:val="16"/>
          <w:color w:val="auto"/>
        </w:rPr>
      </w:pPr>
    </w:p>
    <w:p>
      <w:pPr>
        <w:ind w:left="640" w:hanging="378"/>
        <w:spacing w:after="0"/>
        <w:tabs>
          <w:tab w:leader="none" w:pos="6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Wholly owned by Paymentus Corporation</w:t>
      </w:r>
    </w:p>
    <w:p>
      <w:pPr>
        <w:spacing w:after="0" w:line="17" w:lineRule="exact"/>
        <w:rPr>
          <w:rFonts w:ascii="Times New Roman" w:cs="Times New Roman" w:eastAsia="Times New Roman" w:hAnsi="Times New Roman"/>
          <w:sz w:val="16"/>
          <w:szCs w:val="16"/>
          <w:color w:val="auto"/>
        </w:rPr>
      </w:pPr>
    </w:p>
    <w:p>
      <w:pPr>
        <w:ind w:left="640" w:hanging="378"/>
        <w:spacing w:after="0"/>
        <w:tabs>
          <w:tab w:leader="none" w:pos="6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Wholly owned by Paymentus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737235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7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333-256505, 333-263274, 333-270283, 333-277669 and 333-285695) of Paymentus Holdings, Inc. of our report dated February 23, 2026, relating to the financial statements and the effectiveness of internal control over financial reporting, which appears in this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February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6208395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ind w:left="10200"/>
        <w:spacing w:after="0"/>
        <w:rPr>
          <w:sz w:val="20"/>
          <w:szCs w:val="20"/>
          <w:color w:val="auto"/>
        </w:rPr>
      </w:pPr>
      <w:r>
        <w:rPr>
          <w:rFonts w:ascii="Arial" w:cs="Arial" w:eastAsia="Arial" w:hAnsi="Arial"/>
          <w:sz w:val="18"/>
          <w:szCs w:val="18"/>
          <w:b w:val="1"/>
          <w:bCs w:val="1"/>
          <w:color w:val="auto"/>
        </w:rPr>
        <w:t>Exhibit 31.1</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CERTIFICATION PURSUANT</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 Dushyant Sharma, certify that:</w:t>
      </w:r>
    </w:p>
    <w:p>
      <w:pPr>
        <w:spacing w:after="0" w:line="212"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Paymentus Holdings, Inc.;</w:t>
      </w:r>
    </w:p>
    <w:p>
      <w:pPr>
        <w:spacing w:after="0" w:line="211" w:lineRule="exact"/>
        <w:rPr>
          <w:rFonts w:ascii="Arial" w:cs="Arial" w:eastAsia="Arial" w:hAnsi="Arial"/>
          <w:sz w:val="18"/>
          <w:szCs w:val="18"/>
          <w:color w:val="auto"/>
        </w:rPr>
      </w:pPr>
    </w:p>
    <w:p>
      <w:pPr>
        <w:ind w:left="380" w:hanging="372"/>
        <w:spacing w:after="0" w:line="253"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380" w:right="80" w:hanging="372"/>
        <w:spacing w:after="0" w:line="271"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8"/>
          <w:szCs w:val="18"/>
          <w:color w:val="auto"/>
        </w:rPr>
      </w:pPr>
    </w:p>
    <w:p>
      <w:pPr>
        <w:ind w:left="380" w:right="60" w:hanging="372"/>
        <w:spacing w:after="0" w:line="245"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26" w:lineRule="exact"/>
        <w:rPr>
          <w:rFonts w:ascii="Arial" w:cs="Arial" w:eastAsia="Arial" w:hAnsi="Arial"/>
          <w:sz w:val="18"/>
          <w:szCs w:val="18"/>
          <w:color w:val="auto"/>
        </w:rPr>
      </w:pPr>
    </w:p>
    <w:p>
      <w:pPr>
        <w:jc w:val="both"/>
        <w:ind w:left="1060" w:right="280" w:hanging="628"/>
        <w:spacing w:after="0" w:line="253" w:lineRule="auto"/>
        <w:tabs>
          <w:tab w:leader="none" w:pos="1006" w:val="left"/>
        </w:tabs>
        <w:numPr>
          <w:ilvl w:val="2"/>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060" w:right="220" w:hanging="678"/>
        <w:spacing w:after="0" w:line="253" w:lineRule="auto"/>
        <w:tabs>
          <w:tab w:leader="none" w:pos="1056"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8"/>
          <w:szCs w:val="18"/>
          <w:color w:val="auto"/>
        </w:rPr>
      </w:pPr>
    </w:p>
    <w:p>
      <w:pPr>
        <w:jc w:val="both"/>
        <w:ind w:left="1060" w:right="160" w:hanging="678"/>
        <w:spacing w:after="0" w:line="253" w:lineRule="auto"/>
        <w:tabs>
          <w:tab w:leader="none" w:pos="10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8"/>
          <w:szCs w:val="18"/>
          <w:color w:val="auto"/>
        </w:rPr>
      </w:pPr>
    </w:p>
    <w:p>
      <w:pPr>
        <w:ind w:left="1060" w:right="80" w:hanging="678"/>
        <w:spacing w:after="0" w:line="253" w:lineRule="auto"/>
        <w:tabs>
          <w:tab w:leader="none" w:pos="786"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380" w:right="60" w:hanging="372"/>
        <w:spacing w:after="0" w:line="253"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8"/>
          <w:szCs w:val="18"/>
          <w:color w:val="auto"/>
        </w:rPr>
      </w:pPr>
    </w:p>
    <w:p>
      <w:pPr>
        <w:ind w:left="1060" w:right="120" w:hanging="678"/>
        <w:spacing w:after="0" w:line="301" w:lineRule="auto"/>
        <w:tabs>
          <w:tab w:leader="none" w:pos="786"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1060" w:right="340" w:hanging="678"/>
        <w:spacing w:after="0" w:line="271" w:lineRule="auto"/>
        <w:tabs>
          <w:tab w:leader="none" w:pos="786"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spacing w:after="0"/>
        <w:tabs>
          <w:tab w:leader="none" w:pos="5640" w:val="left"/>
          <w:tab w:leader="none" w:pos="7740" w:val="left"/>
        </w:tabs>
        <w:rPr>
          <w:sz w:val="20"/>
          <w:szCs w:val="20"/>
          <w:color w:val="auto"/>
        </w:rPr>
      </w:pPr>
      <w:r>
        <w:rPr>
          <w:rFonts w:ascii="Arial" w:cs="Arial" w:eastAsia="Arial" w:hAnsi="Arial"/>
          <w:sz w:val="18"/>
          <w:szCs w:val="18"/>
          <w:color w:val="auto"/>
        </w:rPr>
        <w:t>Date: February 23,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8890</wp:posOffset>
            </wp:positionV>
            <wp:extent cx="331724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Dushyant Sharma</w:t>
      </w:r>
    </w:p>
    <w:p>
      <w:pPr>
        <w:jc w:val="center"/>
        <w:ind w:left="5980"/>
        <w:spacing w:after="0" w:line="234" w:lineRule="auto"/>
        <w:rPr>
          <w:sz w:val="20"/>
          <w:szCs w:val="20"/>
          <w:color w:val="auto"/>
        </w:rPr>
      </w:pPr>
      <w:r>
        <w:rPr>
          <w:rFonts w:ascii="Arial" w:cs="Arial" w:eastAsia="Arial" w:hAnsi="Arial"/>
          <w:sz w:val="18"/>
          <w:szCs w:val="18"/>
          <w:b w:val="1"/>
          <w:bCs w:val="1"/>
          <w:color w:val="auto"/>
        </w:rPr>
        <w:t>Chairman, President and,</w:t>
      </w:r>
    </w:p>
    <w:p>
      <w:pPr>
        <w:jc w:val="center"/>
        <w:ind w:left="5980"/>
        <w:spacing w:after="0" w:line="235"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1287780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8" w:name="page99"/>
    <w:bookmarkEnd w:id="98"/>
    <w:p>
      <w:pPr>
        <w:ind w:left="10200"/>
        <w:spacing w:after="0"/>
        <w:rPr>
          <w:sz w:val="20"/>
          <w:szCs w:val="20"/>
          <w:color w:val="auto"/>
        </w:rPr>
      </w:pPr>
      <w:r>
        <w:rPr>
          <w:rFonts w:ascii="Arial" w:cs="Arial" w:eastAsia="Arial" w:hAnsi="Arial"/>
          <w:sz w:val="18"/>
          <w:szCs w:val="18"/>
          <w:b w:val="1"/>
          <w:bCs w:val="1"/>
          <w:color w:val="auto"/>
        </w:rPr>
        <w:t>Exhibit 31.2</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 Sanjay Kalra, certify that:</w:t>
      </w:r>
    </w:p>
    <w:p>
      <w:pPr>
        <w:spacing w:after="0" w:line="212" w:lineRule="exact"/>
        <w:rPr>
          <w:sz w:val="20"/>
          <w:szCs w:val="20"/>
          <w:color w:val="auto"/>
        </w:rPr>
      </w:pPr>
    </w:p>
    <w:p>
      <w:pPr>
        <w:ind w:left="380" w:hanging="372"/>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Paymentus Holdings, Inc.;</w:t>
      </w:r>
    </w:p>
    <w:p>
      <w:pPr>
        <w:spacing w:after="0" w:line="211" w:lineRule="exact"/>
        <w:rPr>
          <w:rFonts w:ascii="Arial" w:cs="Arial" w:eastAsia="Arial" w:hAnsi="Arial"/>
          <w:sz w:val="18"/>
          <w:szCs w:val="18"/>
          <w:color w:val="auto"/>
        </w:rPr>
      </w:pPr>
    </w:p>
    <w:p>
      <w:pPr>
        <w:ind w:left="380" w:right="20" w:hanging="372"/>
        <w:spacing w:after="0" w:line="253"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380" w:right="100" w:hanging="372"/>
        <w:spacing w:after="0" w:line="271"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8"/>
          <w:szCs w:val="18"/>
          <w:color w:val="auto"/>
        </w:rPr>
      </w:pPr>
    </w:p>
    <w:p>
      <w:pPr>
        <w:ind w:left="380" w:right="80" w:hanging="372"/>
        <w:spacing w:after="0" w:line="245"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26" w:lineRule="exact"/>
        <w:rPr>
          <w:rFonts w:ascii="Arial" w:cs="Arial" w:eastAsia="Arial" w:hAnsi="Arial"/>
          <w:sz w:val="18"/>
          <w:szCs w:val="18"/>
          <w:color w:val="auto"/>
        </w:rPr>
      </w:pPr>
    </w:p>
    <w:p>
      <w:pPr>
        <w:ind w:left="1060" w:right="260" w:hanging="628"/>
        <w:spacing w:after="0" w:line="253" w:lineRule="auto"/>
        <w:tabs>
          <w:tab w:leader="none" w:pos="1056" w:val="left"/>
        </w:tabs>
        <w:numPr>
          <w:ilvl w:val="2"/>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060" w:right="300" w:hanging="678"/>
        <w:spacing w:after="0" w:line="253" w:lineRule="auto"/>
        <w:tabs>
          <w:tab w:leader="none" w:pos="1006"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8"/>
          <w:szCs w:val="18"/>
          <w:color w:val="auto"/>
        </w:rPr>
      </w:pPr>
    </w:p>
    <w:p>
      <w:pPr>
        <w:jc w:val="both"/>
        <w:ind w:left="1060" w:right="180" w:hanging="628"/>
        <w:spacing w:after="0" w:line="253" w:lineRule="auto"/>
        <w:tabs>
          <w:tab w:leader="none" w:pos="1046" w:val="left"/>
        </w:tabs>
        <w:numPr>
          <w:ilvl w:val="2"/>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sz w:val="20"/>
          <w:szCs w:val="20"/>
          <w:color w:val="auto"/>
        </w:rPr>
      </w:pPr>
    </w:p>
    <w:p>
      <w:pPr>
        <w:ind w:left="1060" w:right="100" w:hanging="678"/>
        <w:spacing w:after="0" w:line="253" w:lineRule="auto"/>
        <w:tabs>
          <w:tab w:leader="none" w:pos="786"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380" w:right="80" w:hanging="372"/>
        <w:spacing w:after="0" w:line="253"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8"/>
          <w:szCs w:val="18"/>
          <w:color w:val="auto"/>
        </w:rPr>
      </w:pPr>
    </w:p>
    <w:p>
      <w:pPr>
        <w:ind w:left="1060" w:right="140" w:hanging="678"/>
        <w:spacing w:after="0" w:line="301" w:lineRule="auto"/>
        <w:tabs>
          <w:tab w:leader="none" w:pos="786"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1060" w:right="360" w:hanging="678"/>
        <w:spacing w:after="0" w:line="271" w:lineRule="auto"/>
        <w:tabs>
          <w:tab w:leader="none" w:pos="7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Date: February 23, 2026</w:t>
            </w:r>
          </w:p>
        </w:tc>
        <w:tc>
          <w:tcPr>
            <w:tcW w:w="2320" w:type="dxa"/>
            <w:vAlign w:val="bottom"/>
          </w:tcPr>
          <w:p>
            <w:pPr>
              <w:ind w:left="1960"/>
              <w:spacing w:after="0"/>
              <w:rPr>
                <w:sz w:val="20"/>
                <w:szCs w:val="20"/>
                <w:color w:val="auto"/>
              </w:rPr>
            </w:pPr>
            <w:r>
              <w:rPr>
                <w:rFonts w:ascii="Arial" w:cs="Arial" w:eastAsia="Arial" w:hAnsi="Arial"/>
                <w:sz w:val="16"/>
                <w:szCs w:val="16"/>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Sanjay Kalra</w:t>
            </w:r>
          </w:p>
        </w:tc>
      </w:tr>
      <w:tr>
        <w:trPr>
          <w:trHeight w:val="168"/>
        </w:trPr>
        <w:tc>
          <w:tcPr>
            <w:tcW w:w="3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2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9"/>
              </w:rPr>
              <w:t>Sanjay Kalra</w:t>
            </w:r>
          </w:p>
        </w:tc>
      </w:tr>
      <w:tr>
        <w:trPr>
          <w:trHeight w:val="191"/>
        </w:trPr>
        <w:tc>
          <w:tcPr>
            <w:tcW w:w="37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20" w:type="dxa"/>
            <w:vAlign w:val="bottom"/>
          </w:tcPr>
          <w:p>
            <w:pPr>
              <w:jc w:val="center"/>
              <w:spacing w:after="0"/>
              <w:rPr>
                <w:sz w:val="20"/>
                <w:szCs w:val="20"/>
                <w:color w:val="auto"/>
              </w:rPr>
            </w:pPr>
            <w:r>
              <w:rPr>
                <w:rFonts w:ascii="Arial" w:cs="Arial" w:eastAsia="Arial" w:hAnsi="Arial"/>
                <w:sz w:val="16"/>
                <w:szCs w:val="16"/>
                <w:b w:val="1"/>
                <w:bCs w:val="1"/>
                <w:color w:val="auto"/>
              </w:rPr>
              <w:t>Chief Financial Officer</w:t>
            </w:r>
          </w:p>
        </w:tc>
      </w:tr>
      <w:tr>
        <w:trPr>
          <w:trHeight w:val="221"/>
        </w:trPr>
        <w:tc>
          <w:tcPr>
            <w:tcW w:w="37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(Principal Financial Officer)</w:t>
            </w:r>
          </w:p>
        </w:tc>
      </w:tr>
      <w:tr>
        <w:trPr>
          <w:trHeight w:val="2039"/>
        </w:trPr>
        <w:tc>
          <w:tcPr>
            <w:tcW w:w="37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Exhibit 32.1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18 U.S.C. SECTION 1350, AS ADOPTED PURSUANT TO</w:t>
      </w:r>
    </w:p>
    <w:p>
      <w:pPr>
        <w:ind w:left="33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7" w:lineRule="exact"/>
        <w:rPr>
          <w:sz w:val="20"/>
          <w:szCs w:val="20"/>
          <w:color w:val="auto"/>
        </w:rPr>
      </w:pPr>
    </w:p>
    <w:p>
      <w:pPr>
        <w:ind w:right="220" w:firstLine="578"/>
        <w:spacing w:after="0" w:line="253" w:lineRule="auto"/>
        <w:rPr>
          <w:sz w:val="20"/>
          <w:szCs w:val="20"/>
          <w:color w:val="auto"/>
        </w:rPr>
      </w:pPr>
      <w:r>
        <w:rPr>
          <w:rFonts w:ascii="Arial" w:cs="Arial" w:eastAsia="Arial" w:hAnsi="Arial"/>
          <w:sz w:val="18"/>
          <w:szCs w:val="18"/>
          <w:color w:val="auto"/>
        </w:rPr>
        <w:t>In connection with the Annual Report on Form 10-K of Paymentus Holdings, Inc. (the “Company”) for the year ended December 31,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00" w:right="180" w:hanging="992"/>
        <w:spacing w:after="0" w:line="271"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356" w:lineRule="exact"/>
        <w:rPr>
          <w:rFonts w:ascii="Arial" w:cs="Arial" w:eastAsia="Arial" w:hAnsi="Arial"/>
          <w:sz w:val="18"/>
          <w:szCs w:val="18"/>
          <w:color w:val="auto"/>
        </w:rPr>
      </w:pPr>
    </w:p>
    <w:p>
      <w:pPr>
        <w:ind w:left="900" w:right="260" w:hanging="892"/>
        <w:spacing w:after="0" w:line="271"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tabs>
          <w:tab w:leader="none" w:pos="5640" w:val="left"/>
          <w:tab w:leader="none" w:pos="7760" w:val="left"/>
        </w:tabs>
        <w:rPr>
          <w:sz w:val="20"/>
          <w:szCs w:val="20"/>
          <w:color w:val="auto"/>
        </w:rPr>
      </w:pPr>
      <w:r>
        <w:rPr>
          <w:rFonts w:ascii="Arial" w:cs="Arial" w:eastAsia="Arial" w:hAnsi="Arial"/>
          <w:sz w:val="18"/>
          <w:szCs w:val="18"/>
          <w:color w:val="auto"/>
        </w:rPr>
        <w:t>Date: February 23,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8890</wp:posOffset>
            </wp:positionV>
            <wp:extent cx="33172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Dushyant Sharma</w:t>
      </w:r>
    </w:p>
    <w:p>
      <w:pPr>
        <w:jc w:val="center"/>
        <w:ind w:left="5980"/>
        <w:spacing w:after="0" w:line="234" w:lineRule="auto"/>
        <w:rPr>
          <w:sz w:val="20"/>
          <w:szCs w:val="20"/>
          <w:color w:val="auto"/>
        </w:rPr>
      </w:pPr>
      <w:r>
        <w:rPr>
          <w:rFonts w:ascii="Arial" w:cs="Arial" w:eastAsia="Arial" w:hAnsi="Arial"/>
          <w:sz w:val="18"/>
          <w:szCs w:val="18"/>
          <w:b w:val="1"/>
          <w:bCs w:val="1"/>
          <w:color w:val="auto"/>
        </w:rPr>
        <w:t>Chairman, President and,</w:t>
      </w:r>
    </w:p>
    <w:p>
      <w:pPr>
        <w:jc w:val="center"/>
        <w:ind w:left="5980"/>
        <w:spacing w:after="0" w:line="235"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29" w:lineRule="exact"/>
        <w:rPr>
          <w:sz w:val="20"/>
          <w:szCs w:val="20"/>
          <w:color w:val="auto"/>
        </w:rPr>
      </w:pPr>
    </w:p>
    <w:p>
      <w:pPr>
        <w:jc w:val="both"/>
        <w:ind w:firstLine="578"/>
        <w:spacing w:after="0" w:line="242" w:lineRule="auto"/>
        <w:rPr>
          <w:sz w:val="20"/>
          <w:szCs w:val="20"/>
          <w:color w:val="auto"/>
        </w:rPr>
      </w:pPr>
      <w:r>
        <w:rPr>
          <w:rFonts w:ascii="Arial" w:cs="Arial" w:eastAsia="Arial" w:hAnsi="Arial"/>
          <w:sz w:val="18"/>
          <w:szCs w:val="18"/>
          <w:color w:val="auto"/>
        </w:rPr>
        <w:t>A signed original of this written statement required by Section 906 has been provided to Paymentus Holdings, Inc. and will be retained by Paymentus Holdings, Inc. and furnished to the Securities and Exchange Commission or its staff upon request. This written statement shall not be deemed filed by Paymentus Holdings, Inc. for purposes of Section 18 of the Securities Exchange Act of 1934, as amended (the “Exchange Act”), or otherwise subject to liability under that section, and will not be deemed to be incorporated by reference into any filing under the Securities Act of 1933, as amended, or the Exchange Act, except to the extent that Paymentus Holdings,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32.2</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18 U.S.C. SECTION 1350, AS ADOPTED PURSUANT TO</w:t>
      </w:r>
    </w:p>
    <w:p>
      <w:pPr>
        <w:ind w:left="33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7" w:lineRule="exact"/>
        <w:rPr>
          <w:sz w:val="20"/>
          <w:szCs w:val="20"/>
          <w:color w:val="auto"/>
        </w:rPr>
      </w:pPr>
    </w:p>
    <w:p>
      <w:pPr>
        <w:ind w:right="220" w:firstLine="578"/>
        <w:spacing w:after="0" w:line="253" w:lineRule="auto"/>
        <w:rPr>
          <w:sz w:val="20"/>
          <w:szCs w:val="20"/>
          <w:color w:val="auto"/>
        </w:rPr>
      </w:pPr>
      <w:r>
        <w:rPr>
          <w:rFonts w:ascii="Arial" w:cs="Arial" w:eastAsia="Arial" w:hAnsi="Arial"/>
          <w:sz w:val="18"/>
          <w:szCs w:val="18"/>
          <w:color w:val="auto"/>
        </w:rPr>
        <w:t>In connection with the Annual Report on Form 10-K of Paymentus Holdings, Inc. (the “Company”) for the year ended December 31,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00" w:right="180" w:hanging="992"/>
        <w:spacing w:after="0" w:line="271"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356" w:lineRule="exact"/>
        <w:rPr>
          <w:rFonts w:ascii="Arial" w:cs="Arial" w:eastAsia="Arial" w:hAnsi="Arial"/>
          <w:sz w:val="18"/>
          <w:szCs w:val="18"/>
          <w:color w:val="auto"/>
        </w:rPr>
      </w:pPr>
    </w:p>
    <w:p>
      <w:pPr>
        <w:ind w:left="1020" w:right="140" w:hanging="1012"/>
        <w:spacing w:after="0" w:line="271"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tabs>
          <w:tab w:leader="none" w:pos="5640" w:val="left"/>
          <w:tab w:leader="none" w:pos="7980" w:val="left"/>
        </w:tabs>
        <w:rPr>
          <w:sz w:val="20"/>
          <w:szCs w:val="20"/>
          <w:color w:val="auto"/>
        </w:rPr>
      </w:pPr>
      <w:r>
        <w:rPr>
          <w:rFonts w:ascii="Arial" w:cs="Arial" w:eastAsia="Arial" w:hAnsi="Arial"/>
          <w:sz w:val="18"/>
          <w:szCs w:val="18"/>
          <w:color w:val="auto"/>
        </w:rPr>
        <w:t>Date: February 23,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8890</wp:posOffset>
            </wp:positionV>
            <wp:extent cx="33172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Sanjay Kalra</w:t>
      </w:r>
    </w:p>
    <w:p>
      <w:pPr>
        <w:jc w:val="center"/>
        <w:ind w:left="598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both"/>
        <w:ind w:firstLine="578"/>
        <w:spacing w:after="0" w:line="242" w:lineRule="auto"/>
        <w:rPr>
          <w:sz w:val="20"/>
          <w:szCs w:val="20"/>
          <w:color w:val="auto"/>
        </w:rPr>
      </w:pPr>
      <w:r>
        <w:rPr>
          <w:rFonts w:ascii="Arial" w:cs="Arial" w:eastAsia="Arial" w:hAnsi="Arial"/>
          <w:sz w:val="18"/>
          <w:szCs w:val="18"/>
          <w:color w:val="auto"/>
        </w:rPr>
        <w:t>A signed original of this written statement required by Section 906 has been provided to Paymentus Holdings, Inc. and will be retained by Paymentus Holdings, Inc. and furnished to the Securities and Exchange Commission or its staff upon request. This written statement shall not be deemed filed by Paymentus Holdings, Inc. for purposes of Section 18 of the Securities Exchange Act of 1934, as amended (the “Exchange Act”), or otherwise subject to liability under that section, and will not be deemed to be incorporated by reference into any filing under the Securities Act of 1933, as amended, or the Exchange Act, except to the extent that Paymentus Holdings,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lowerRoman"/>
      <w:start w:val="1"/>
    </w:lvl>
  </w:abstractNum>
  <w:abstractNum w:abstractNumId="45">
    <w:nsid w:val="4F4EF005"/>
    <w:multiLevelType w:val="hybridMultilevel"/>
    <w:lvl w:ilvl="0">
      <w:lvlJc w:val="left"/>
      <w:lvlText w:val="%1."/>
      <w:numFmt w:val="decimal"/>
      <w:start w:val="2"/>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3"/>
    </w:lvl>
  </w:abstractNum>
  <w:abstractNum w:abstractNumId="49">
    <w:nsid w:val="39386575"/>
    <w:multiLevelType w:val="hybridMultilevel"/>
    <w:lvl w:ilvl="0">
      <w:lvlJc w:val="left"/>
      <w:lvlText w:val="%1."/>
      <w:numFmt w:val="decimal"/>
      <w:start w:val="8"/>
    </w:lvl>
  </w:abstractNum>
  <w:abstractNum w:abstractNumId="50">
    <w:nsid w:val="1CF10FD8"/>
    <w:multiLevelType w:val="hybridMultilevel"/>
    <w:lvl w:ilvl="0">
      <w:lvlJc w:val="left"/>
      <w:lvlText w:val="%1."/>
      <w:numFmt w:val="decimal"/>
      <w:start w:val="9"/>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2"/>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7">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8">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9">
    <w:nsid w:val="3F6AB60F"/>
    <w:multiLevelType w:val="hybridMultilevel"/>
    <w:lvl w:ilvl="0">
      <w:lvlJc w:val="left"/>
      <w:lvlText w:val="%1"/>
      <w:numFmt w:val="decimal"/>
      <w:start w:val="1"/>
    </w:lvl>
    <w:lvl w:ilvl="1">
      <w:lvlJc w:val="left"/>
      <w:lvlText w:val="(%2)"/>
      <w:numFmt w:val="lowerLetter"/>
      <w:start w:val="4"/>
    </w:lvl>
  </w:abstractNum>
  <w:abstractNum w:abstractNumId="60">
    <w:nsid w:val="61574095"/>
    <w:multiLevelType w:val="hybridMultilevel"/>
    <w:lvl w:ilvl="0">
      <w:lvlJc w:val="left"/>
      <w:lvlText w:val="%1."/>
      <w:numFmt w:val="decimal"/>
      <w:start w:val="5"/>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407" Type="http://schemas.openxmlformats.org/officeDocument/2006/relationships/image" Target="media/image386.png"/><Relationship Id="rId424"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440" Type="http://schemas.openxmlformats.org/officeDocument/2006/relationships/image" Target="media/image402.png"/><Relationship Id="rId441" Type="http://schemas.openxmlformats.org/officeDocument/2006/relationships/image" Target="media/image403.png"/><Relationship Id="rId442" Type="http://schemas.openxmlformats.org/officeDocument/2006/relationships/image" Target="media/image404.png"/><Relationship Id="rId393" Type="http://schemas.openxmlformats.org/officeDocument/2006/relationships/hyperlink" Target="https://www.sec.gov/Archives/edgar/data/1841156/000156459021030840/ck7045120534-ex31_9.htm" TargetMode="External"/><Relationship Id="rId394" Type="http://schemas.openxmlformats.org/officeDocument/2006/relationships/hyperlink" Target="https://www.sec.gov/Archives/edgar/data/1841156/000095017023039173/pay-ex3_1.htm" TargetMode="External"/><Relationship Id="rId395" Type="http://schemas.openxmlformats.org/officeDocument/2006/relationships/hyperlink" Target="https://www.sec.gov/Archives/edgar/data/1841156/000095017022025091/pay-ex3_2.htm" TargetMode="External"/><Relationship Id="rId396" Type="http://schemas.openxmlformats.org/officeDocument/2006/relationships/hyperlink" Target="https://www.sec.gov/Archives/edgar/data/1841156/000156459021027416/ck7045120534-ex41_105.htm" TargetMode="External"/><Relationship Id="rId397" Type="http://schemas.openxmlformats.org/officeDocument/2006/relationships/hyperlink" Target="https://www.sec.gov/Archives/edgar/data/1841156/000156459021030840/ck7045120534-ex41_7.htm" TargetMode="External"/><Relationship Id="rId398" Type="http://schemas.openxmlformats.org/officeDocument/2006/relationships/hyperlink" Target="https://www.sec.gov/Archives/edgar/data/1841156/000095017023005995/pay-ex4_3.htm" TargetMode="External"/><Relationship Id="rId399" Type="http://schemas.openxmlformats.org/officeDocument/2006/relationships/hyperlink" Target="https://www.sec.gov/Archives/edgar/data/1841156/000156459021027416/ck7045120534-ex101_15.htm" TargetMode="External"/><Relationship Id="rId400" Type="http://schemas.openxmlformats.org/officeDocument/2006/relationships/hyperlink" Target="https://www.sec.gov/Archives/edgar/data/1841156/000156459021028164/ck7045120534-ex102_397.htm" TargetMode="External"/><Relationship Id="rId401" Type="http://schemas.openxmlformats.org/officeDocument/2006/relationships/hyperlink" Target="https://www.sec.gov/Archives/edgar/data/1841156/000156459021028164/ck7045120534-ex104_394.htm" TargetMode="External"/><Relationship Id="rId402" Type="http://schemas.openxmlformats.org/officeDocument/2006/relationships/hyperlink" Target="https://www.sec.gov/Archives/edgar/data/1841156/000095017023002793/pay-ex10_2.htm" TargetMode="External"/><Relationship Id="rId403" Type="http://schemas.openxmlformats.org/officeDocument/2006/relationships/hyperlink" Target="https://www.sec.gov/Archives/edgar/data/1841156/000156459021028164/ck7045120534-ex106_274.htm" TargetMode="External"/><Relationship Id="rId404" Type="http://schemas.openxmlformats.org/officeDocument/2006/relationships/hyperlink" Target="https://www.sec.gov/Archives/edgar/data/1841156/000095017023006116/pay-ex10_1.htm" TargetMode="External"/><Relationship Id="rId405" Type="http://schemas.openxmlformats.org/officeDocument/2006/relationships/hyperlink" Target="https://www.sec.gov/Archives/edgar/data/1841156/000095017022002823/pay-ex10_9.htm" TargetMode="External"/><Relationship Id="rId406" Type="http://schemas.openxmlformats.org/officeDocument/2006/relationships/hyperlink" Target="https://www.sec.gov/Archives/edgar/data/1841156/000095017023018898/pay-ex10_5.htm" TargetMode="External"/><Relationship Id="rId408" Type="http://schemas.openxmlformats.org/officeDocument/2006/relationships/hyperlink" Target="https://www.sec.gov/Archives/edgar/data/1841156/000156459021028164/ck7045120534-ex109_277.htm" TargetMode="External"/><Relationship Id="rId409" Type="http://schemas.openxmlformats.org/officeDocument/2006/relationships/hyperlink" Target="https://www.sec.gov/Archives/edgar/data/1841156/000095017023006116/pay-ex10_2.htm" TargetMode="External"/><Relationship Id="rId410" Type="http://schemas.openxmlformats.org/officeDocument/2006/relationships/hyperlink" Target="https://www.sec.gov/Archives/edgar/data/1841156/000095017022002823/pay-ex10_13.htm" TargetMode="External"/><Relationship Id="rId411" Type="http://schemas.openxmlformats.org/officeDocument/2006/relationships/hyperlink" Target="https://www.sec.gov/Archives/edgar/data/1841156/000095017023018898/pay-ex10_6.htm" TargetMode="External"/><Relationship Id="rId412" Type="http://schemas.openxmlformats.org/officeDocument/2006/relationships/hyperlink" Target="https://www.sec.gov/Archives/edgar/data/1841156/000156459021030840/ck7045120534-ex101_6.htm" TargetMode="External"/><Relationship Id="rId413" Type="http://schemas.openxmlformats.org/officeDocument/2006/relationships/hyperlink" Target="https://www.sec.gov/Archives/edgar/data/1841156/000095017022002823/pay-ex10_16.htm" TargetMode="External"/><Relationship Id="rId414" Type="http://schemas.openxmlformats.org/officeDocument/2006/relationships/hyperlink" Target="https://www.sec.gov/Archives/edgar/data/1841156/000095017022002823/pay-ex10_17.htm" TargetMode="External"/><Relationship Id="rId415" Type="http://schemas.openxmlformats.org/officeDocument/2006/relationships/hyperlink" Target="https://www.sec.gov/Archives/edgar/data/1841156/000095017023005995/pay-ex10_14.htm" TargetMode="External"/><Relationship Id="rId416" Type="http://schemas.openxmlformats.org/officeDocument/2006/relationships/hyperlink" Target="https://www.sec.gov/Archives/edgar/data/1841156/000095017022008141/pay-ex10_1.htm" TargetMode="External"/><Relationship Id="rId417" Type="http://schemas.openxmlformats.org/officeDocument/2006/relationships/hyperlink" Target="https://www.sec.gov/Archives/edgar/data/1841156/000156459021028164/ck7045120534-ex1014_32.htm" TargetMode="External"/><Relationship Id="rId418" Type="http://schemas.openxmlformats.org/officeDocument/2006/relationships/hyperlink" Target="https://www.sec.gov/Archives/edgar/data/1841156/000095017022017910/pay-ex10_1.htm" TargetMode="External"/><Relationship Id="rId419" Type="http://schemas.openxmlformats.org/officeDocument/2006/relationships/hyperlink" Target="https://www.sec.gov/Archives/edgar/data/1841156/000095017025064979/pay-ex10_1.htm" TargetMode="External"/><Relationship Id="rId420" Type="http://schemas.openxmlformats.org/officeDocument/2006/relationships/hyperlink" Target="https://www.sec.gov/Archives/edgar/data/1841156/000095017025064979/pay-ex10_2.htm" TargetMode="External"/><Relationship Id="rId421" Type="http://schemas.openxmlformats.org/officeDocument/2006/relationships/hyperlink" Target="https://www.sec.gov/Archives/edgar/data/1841156/000095017025092988/pay-ex10_1.htm" TargetMode="External"/><Relationship Id="rId422" Type="http://schemas.openxmlformats.org/officeDocument/2006/relationships/hyperlink" Target="https://www.sec.gov/Archives/edgar/data/1841156/000095017023039173/pay-ex19_1.htm" TargetMode="External"/><Relationship Id="rId423" Type="http://schemas.openxmlformats.org/officeDocument/2006/relationships/hyperlink" Target="https://www.sec.gov/Archives/edgar/data/1841156/000095017023005995/pay-ex21_1.htm" TargetMode="External"/><Relationship Id="rId425" Type="http://schemas.openxmlformats.org/officeDocument/2006/relationships/hyperlink" Target="https://www.sec.gov/Archives/edgar/data/1841156/000095017024025084/pay-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2026-02-24T05:23:07Z</dcterms:created>
  <dcterms:modified xsi:type="dcterms:W3CDTF">2026-02-24T05:23:07Z</dcterms:modified>
</cp:coreProperties>
</file>