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Accel-KKR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10,845</w:t>
            </w:r>
            <w:r>
              <w:rPr>
                <w:rFonts w:ascii="Times;serif" w:hAnsi="Times;serif"/>
                <w:color w:val="008000"/>
                <w:position w:val="7"/>
                <w:sz w:val="16"/>
                <w:sz w:val="20"/>
                <w:shd w:fill="FFFFFF" w:val="clear"/>
              </w:rPr>
              <w:t>(5)(6)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(2)(3)(4)</w:t>
            </w:r>
          </w:p>
        </w:tc>
      </w:tr>
    </w:tbl>
    <w:tbl>
      <w:tblPr>
        <w:tblW w:w="130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26"/>
        <w:gridCol w:w="831"/>
        <w:gridCol w:w="1086"/>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9,736,723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9,736,723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146,020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607,024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2,489,787</w:t>
            </w:r>
            <w:r>
              <w:rPr>
                <w:rFonts w:ascii="Times;serif" w:hAnsi="Times;serif"/>
                <w:color w:val="008000"/>
                <w:position w:val="7"/>
                <w:sz w:val="16"/>
                <w:sz w:val="20"/>
                <w:shd w:fill="FFFFFF" w:val="clear"/>
              </w:rPr>
              <w:t>(8)(9)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(2)(3)(4)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Accel-KKR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ACCEL-KKR CAPITAL PARTNERS CV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ACCEL-KKR GROWTH CAPITAL PARTNERS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Accel-KKR Growth Capital Partners II Strategic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Accel-KKR Growth Capital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Accel-KKR Members Fund,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AKKR SC GPI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AKKR STRATEGIC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Accel-KKR Holdings GP, LLC,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Mr. Palumbo and Mr. Barnds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2,583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total reported in Column 5 of Table I reflects a transfer from SC GPI to SC. The transfer was exempt from reporting under Section 16 of the Securities Exchange Act of 1934 (the "Exchange Act"), as amended, pursuant to Rule 16a-13 under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1,002,627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total reported in Column 9 of Table II reflects a transfer from SC GPI to SC. The transfer was exempt from reporting under Section 16 of the Exchange Act pursuant to Rule 16a-13 under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Holdings GP, LLC,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Capital Partners CV III,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 Strategic Fund,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Accel-KKR Growth Capital Partners II,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Members Fund, LLC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Strategic Capital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AKKR SC GPI HoldCo LP /s/ Thomas C. Barnds, as its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465"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63465" TargetMode="External"/><Relationship Id="rId10" Type="http://schemas.openxmlformats.org/officeDocument/2006/relationships/hyperlink" Target="http://www.sec.gov/cgi-bin/browse-edgar?action=getcompany&amp;CIK=0001781975" TargetMode="External"/><Relationship Id="rId11" Type="http://schemas.openxmlformats.org/officeDocument/2006/relationships/hyperlink" Target="http://www.sec.gov/cgi-bin/browse-edgar?action=getcompany&amp;CIK=0001747133" TargetMode="External"/><Relationship Id="rId12" Type="http://schemas.openxmlformats.org/officeDocument/2006/relationships/hyperlink" Target="http://www.sec.gov/cgi-bin/browse-edgar?action=getcompany&amp;CIK=0001602533" TargetMode="External"/><Relationship Id="rId13" Type="http://schemas.openxmlformats.org/officeDocument/2006/relationships/hyperlink" Target="http://www.sec.gov/cgi-bin/browse-edgar?action=getcompany&amp;CIK=0001602532" TargetMode="External"/><Relationship Id="rId14" Type="http://schemas.openxmlformats.org/officeDocument/2006/relationships/hyperlink" Target="http://www.sec.gov/cgi-bin/browse-edgar?action=getcompany&amp;CIK=0001863461" TargetMode="External"/><Relationship Id="rId15" Type="http://schemas.openxmlformats.org/officeDocument/2006/relationships/hyperlink" Target="http://www.sec.gov/cgi-bin/browse-edgar?action=getcompany&amp;CIK=0002047091" TargetMode="External"/><Relationship Id="rId16" Type="http://schemas.openxmlformats.org/officeDocument/2006/relationships/hyperlink" Target="http://www.sec.gov/cgi-bin/browse-edgar?action=getcompany&amp;CIK=0002032597"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1557</Words>
  <Characters>8123</Characters>
  <CharactersWithSpaces>9418</CharactersWithSpaces>
  <Paragraphs>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