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60" w:right="1520" w:hanging="3452"/>
        <w:spacing w:after="0" w:line="264"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2025</w:t>
      </w:r>
    </w:p>
    <w:p>
      <w:pPr>
        <w:spacing w:after="0" w:line="13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26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incorporation or organization)</w:t>
            </w:r>
          </w:p>
        </w:tc>
        <w:tc>
          <w:tcPr>
            <w:tcW w:w="4260" w:type="dxa"/>
            <w:vAlign w:val="bottom"/>
          </w:tcPr>
          <w:p>
            <w:pPr>
              <w:jc w:val="center"/>
              <w:ind w:left="2650"/>
              <w:spacing w:after="0" w:line="202" w:lineRule="exact"/>
              <w:rPr>
                <w:sz w:val="20"/>
                <w:szCs w:val="20"/>
                <w:color w:val="auto"/>
              </w:rPr>
            </w:pPr>
            <w:r>
              <w:rPr>
                <w:rFonts w:ascii="Arial" w:cs="Arial" w:eastAsia="Arial" w:hAnsi="Arial"/>
                <w:sz w:val="18"/>
                <w:szCs w:val="18"/>
                <w:b w:val="1"/>
                <w:bCs w:val="1"/>
                <w:color w:val="auto"/>
                <w:w w:val="99"/>
              </w:rPr>
              <w:t>Identification No.)</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11605 North Community House Road, Suite 300</w:t>
            </w:r>
          </w:p>
        </w:tc>
        <w:tc>
          <w:tcPr>
            <w:tcW w:w="4260" w:type="dxa"/>
            <w:vAlign w:val="bottom"/>
          </w:tcPr>
          <w:p>
            <w:pPr>
              <w:spacing w:after="0"/>
              <w:rPr>
                <w:sz w:val="17"/>
                <w:szCs w:val="17"/>
                <w:color w:val="auto"/>
              </w:rPr>
            </w:pP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Charlotte, NC</w:t>
            </w:r>
          </w:p>
        </w:tc>
        <w:tc>
          <w:tcPr>
            <w:tcW w:w="42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28277</w:t>
            </w:r>
          </w:p>
        </w:tc>
      </w:tr>
      <w:tr>
        <w:trPr>
          <w:trHeight w:val="203"/>
        </w:trPr>
        <w:tc>
          <w:tcPr>
            <w:tcW w:w="41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(Address of principal executive offices)</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rPr>
              <w:t>(Zip Code)</w:t>
            </w:r>
          </w:p>
        </w:tc>
      </w:tr>
      <w:tr>
        <w:trPr>
          <w:trHeight w:val="220"/>
        </w:trPr>
        <w:tc>
          <w:tcPr>
            <w:tcW w:w="4140" w:type="dxa"/>
            <w:vAlign w:val="bottom"/>
          </w:tcPr>
          <w:p>
            <w:pPr>
              <w:spacing w:after="0"/>
              <w:rPr>
                <w:sz w:val="19"/>
                <w:szCs w:val="19"/>
                <w:color w:val="auto"/>
              </w:rPr>
            </w:pPr>
          </w:p>
        </w:tc>
        <w:tc>
          <w:tcPr>
            <w:tcW w:w="4260" w:type="dxa"/>
            <w:vAlign w:val="bottom"/>
          </w:tcPr>
          <w:p>
            <w:pPr>
              <w:jc w:val="right"/>
              <w:ind w:right="2850"/>
              <w:spacing w:after="0"/>
              <w:rPr>
                <w:sz w:val="20"/>
                <w:szCs w:val="20"/>
                <w:color w:val="auto"/>
              </w:rPr>
            </w:pPr>
            <w:r>
              <w:rPr>
                <w:rFonts w:ascii="Arial" w:cs="Arial" w:eastAsia="Arial" w:hAnsi="Arial"/>
                <w:sz w:val="18"/>
                <w:szCs w:val="18"/>
                <w:b w:val="1"/>
                <w:bCs w:val="1"/>
                <w:color w:val="auto"/>
              </w:rPr>
              <w:t>(888) 440-4826</w:t>
            </w: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PAY</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61" w:lineRule="exact"/>
        <w:rPr>
          <w:sz w:val="24"/>
          <w:szCs w:val="24"/>
          <w:color w:val="auto"/>
        </w:rPr>
      </w:pPr>
    </w:p>
    <w:p>
      <w:pPr>
        <w:ind w:right="260" w:firstLine="494"/>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660" w:firstLine="49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94"/>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line="202" w:lineRule="exact"/>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72" w:lineRule="exact"/>
        <w:rPr>
          <w:sz w:val="24"/>
          <w:szCs w:val="24"/>
          <w:color w:val="auto"/>
        </w:rPr>
      </w:pPr>
    </w:p>
    <w:p>
      <w:pPr>
        <w:ind w:right="560" w:firstLine="49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left="500"/>
        <w:spacing w:after="0" w:line="207" w:lineRule="exact"/>
        <w:tabs>
          <w:tab w:leader="none" w:pos="9720" w:val="left"/>
          <w:tab w:leader="none" w:pos="105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4"/>
          <w:szCs w:val="24"/>
          <w:color w:val="auto"/>
        </w:rPr>
      </w:pPr>
    </w:p>
    <w:p>
      <w:pPr>
        <w:ind w:right="40" w:firstLine="494"/>
        <w:spacing w:after="0" w:line="271" w:lineRule="auto"/>
        <w:rPr>
          <w:sz w:val="20"/>
          <w:szCs w:val="20"/>
          <w:color w:val="auto"/>
        </w:rPr>
      </w:pPr>
      <w:r>
        <w:rPr>
          <w:rFonts w:ascii="Arial" w:cs="Arial" w:eastAsia="Arial" w:hAnsi="Arial"/>
          <w:sz w:val="18"/>
          <w:szCs w:val="18"/>
          <w:color w:val="auto"/>
        </w:rPr>
        <w:t>As of October 30, 2025, the registrant had 55,578,758 shares of Class A Common Stock, $0.0001 par value per share and 69,849,749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8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19"/>
            <w:vMerge w:val="restart"/>
          </w:tcPr>
          <w:p>
            <w:pPr>
              <w:spacing w:after="0"/>
              <w:rPr>
                <w:sz w:val="20"/>
                <w:szCs w:val="20"/>
                <w:color w:val="auto"/>
              </w:rPr>
            </w:pPr>
            <w:r>
              <w:rPr>
                <w:rFonts w:ascii="Arial" w:cs="Arial" w:eastAsia="Arial" w:hAnsi="Arial"/>
                <w:sz w:val="18"/>
                <w:szCs w:val="18"/>
                <w:color w:val="auto"/>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3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9"/>
              </w:rPr>
              <w:t>FINANCIAL INFORMATION</w:t>
            </w:r>
          </w:p>
        </w:tc>
        <w:tc>
          <w:tcPr>
            <w:tcW w:w="1960" w:type="dxa"/>
            <w:vAlign w:val="bottom"/>
            <w:tcBorders>
              <w:top w:val="single" w:sz="8" w:color="auto"/>
            </w:tcBorders>
            <w:gridSpan w:val="5"/>
          </w:tcPr>
          <w:p>
            <w:pPr>
              <w:spacing w:after="0"/>
              <w:rPr>
                <w:sz w:val="24"/>
                <w:szCs w:val="24"/>
                <w:color w:val="auto"/>
              </w:rPr>
            </w:pPr>
          </w:p>
        </w:tc>
        <w:tc>
          <w:tcPr>
            <w:tcW w:w="50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auto"/>
            </w:tcBorders>
            <w:gridSpan w:val="9"/>
          </w:tcPr>
          <w:p>
            <w:pPr>
              <w:spacing w:after="0" w:line="182" w:lineRule="exact"/>
              <w:rPr>
                <w:sz w:val="20"/>
                <w:szCs w:val="20"/>
                <w:color w:val="auto"/>
              </w:rPr>
            </w:pPr>
            <w:r>
              <w:rPr>
                <w:rFonts w:ascii="Arial" w:cs="Arial" w:eastAsia="Arial" w:hAnsi="Arial"/>
                <w:sz w:val="18"/>
                <w:szCs w:val="18"/>
                <w:color w:val="auto"/>
                <w:w w:val="97"/>
              </w:rPr>
              <w:t>Condensed Consolidated Balance</w:t>
            </w:r>
          </w:p>
        </w:tc>
        <w:tc>
          <w:tcPr>
            <w:tcW w:w="6640" w:type="dxa"/>
            <w:vAlign w:val="bottom"/>
            <w:gridSpan w:val="10"/>
          </w:tcPr>
          <w:p>
            <w:pPr>
              <w:ind w:left="100"/>
              <w:spacing w:after="0" w:line="182" w:lineRule="exact"/>
              <w:rPr>
                <w:sz w:val="20"/>
                <w:szCs w:val="20"/>
                <w:color w:val="auto"/>
              </w:rPr>
            </w:pPr>
            <w:r>
              <w:rPr>
                <w:rFonts w:ascii="Arial" w:cs="Arial" w:eastAsia="Arial" w:hAnsi="Arial"/>
                <w:sz w:val="18"/>
                <w:szCs w:val="18"/>
                <w:color w:val="auto"/>
              </w:rPr>
              <w:t>Sheets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auto"/>
            </w:tcBorders>
            <w:gridSpan w:val="10"/>
          </w:tcPr>
          <w:p>
            <w:pPr>
              <w:spacing w:after="0" w:line="182" w:lineRule="exact"/>
              <w:rPr>
                <w:sz w:val="20"/>
                <w:szCs w:val="20"/>
                <w:color w:val="auto"/>
              </w:rPr>
            </w:pPr>
            <w:r>
              <w:rPr>
                <w:rFonts w:ascii="Arial" w:cs="Arial" w:eastAsia="Arial" w:hAnsi="Arial"/>
                <w:sz w:val="18"/>
                <w:szCs w:val="18"/>
                <w:color w:val="auto"/>
              </w:rPr>
              <w:t>Condensed Consolidated Statements of</w:t>
            </w:r>
          </w:p>
        </w:tc>
        <w:tc>
          <w:tcPr>
            <w:tcW w:w="5980" w:type="dxa"/>
            <w:vAlign w:val="bottom"/>
            <w:gridSpan w:val="9"/>
          </w:tcPr>
          <w:p>
            <w:pPr>
              <w:spacing w:after="0" w:line="182" w:lineRule="exact"/>
              <w:rPr>
                <w:sz w:val="20"/>
                <w:szCs w:val="20"/>
                <w:color w:val="auto"/>
              </w:rPr>
            </w:pPr>
            <w:r>
              <w:rPr>
                <w:rFonts w:ascii="Arial" w:cs="Arial" w:eastAsia="Arial" w:hAnsi="Arial"/>
                <w:sz w:val="18"/>
                <w:szCs w:val="18"/>
                <w:color w:val="auto"/>
              </w:rPr>
              <w:t>Operations and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20" w:type="dxa"/>
            <w:vAlign w:val="bottom"/>
            <w:tcBorders>
              <w:top w:val="single" w:sz="8" w:color="auto"/>
            </w:tcBorders>
            <w:gridSpan w:val="17"/>
          </w:tcPr>
          <w:p>
            <w:pPr>
              <w:spacing w:after="0" w:line="182" w:lineRule="exact"/>
              <w:rPr>
                <w:sz w:val="20"/>
                <w:szCs w:val="20"/>
                <w:color w:val="auto"/>
              </w:rPr>
            </w:pPr>
            <w:r>
              <w:rPr>
                <w:rFonts w:ascii="Arial" w:cs="Arial" w:eastAsia="Arial" w:hAnsi="Arial"/>
                <w:sz w:val="18"/>
                <w:szCs w:val="18"/>
                <w:color w:val="auto"/>
              </w:rPr>
              <w:t>Condensed Consolidated Statements of Stockholders' Equity</w:t>
            </w: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EE"/>
              <w:bottom w:val="single" w:sz="8" w:color="auto"/>
            </w:tcBorders>
            <w:gridSpan w:val="11"/>
          </w:tcPr>
          <w:p>
            <w:pPr>
              <w:spacing w:after="0" w:line="182" w:lineRule="exact"/>
              <w:rPr>
                <w:sz w:val="20"/>
                <w:szCs w:val="20"/>
                <w:color w:val="auto"/>
              </w:rPr>
            </w:pPr>
            <w:r>
              <w:rPr>
                <w:rFonts w:ascii="Arial" w:cs="Arial" w:eastAsia="Arial" w:hAnsi="Arial"/>
                <w:sz w:val="18"/>
                <w:szCs w:val="18"/>
                <w:color w:val="auto"/>
                <w:w w:val="99"/>
              </w:rPr>
              <w:t>Condensed Consolidated Statements of Cash Flows</w:t>
            </w:r>
          </w:p>
        </w:tc>
        <w:tc>
          <w:tcPr>
            <w:tcW w:w="680" w:type="dxa"/>
            <w:vAlign w:val="bottom"/>
            <w:tcBorders>
              <w:top w:val="single" w:sz="8" w:color="0000EE"/>
            </w:tcBorders>
            <w:gridSpan w:val="4"/>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180" w:type="dxa"/>
            <w:vAlign w:val="bottom"/>
            <w:gridSpan w:val="2"/>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auto"/>
            </w:tcBorders>
            <w:gridSpan w:val="13"/>
          </w:tcPr>
          <w:p>
            <w:pPr>
              <w:spacing w:after="0" w:line="182" w:lineRule="exact"/>
              <w:rPr>
                <w:sz w:val="20"/>
                <w:szCs w:val="20"/>
                <w:color w:val="auto"/>
              </w:rPr>
            </w:pPr>
            <w:r>
              <w:rPr>
                <w:rFonts w:ascii="Arial" w:cs="Arial" w:eastAsia="Arial" w:hAnsi="Arial"/>
                <w:sz w:val="18"/>
                <w:szCs w:val="18"/>
                <w:color w:val="auto"/>
                <w:w w:val="99"/>
              </w:rPr>
              <w:t>Notes to Condensed Consolidated Financial Statements</w:t>
            </w:r>
          </w:p>
        </w:tc>
        <w:tc>
          <w:tcPr>
            <w:tcW w:w="48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20" w:type="dxa"/>
            <w:vAlign w:val="bottom"/>
            <w:gridSpan w:val="19"/>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auto"/>
            </w:tcBorders>
            <w:gridSpan w:val="18"/>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auto"/>
              <w:bottom w:val="single" w:sz="8" w:color="auto"/>
            </w:tcBorders>
            <w:gridSpan w:val="6"/>
          </w:tcPr>
          <w:p>
            <w:pPr>
              <w:spacing w:after="0" w:line="182" w:lineRule="exact"/>
              <w:rPr>
                <w:sz w:val="20"/>
                <w:szCs w:val="20"/>
                <w:color w:val="auto"/>
              </w:rPr>
            </w:pPr>
            <w:r>
              <w:rPr>
                <w:rFonts w:ascii="Arial" w:cs="Arial" w:eastAsia="Arial" w:hAnsi="Arial"/>
                <w:sz w:val="18"/>
                <w:szCs w:val="18"/>
                <w:color w:val="auto"/>
                <w:w w:val="99"/>
              </w:rPr>
              <w:t>Controls and Procedures</w:t>
            </w:r>
          </w:p>
        </w:tc>
        <w:tc>
          <w:tcPr>
            <w:tcW w:w="2720" w:type="dxa"/>
            <w:vAlign w:val="bottom"/>
            <w:tcBorders>
              <w:top w:val="single" w:sz="8" w:color="auto"/>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Risk Factors</w:t>
            </w:r>
          </w:p>
        </w:tc>
        <w:tc>
          <w:tcPr>
            <w:tcW w:w="44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5"/>
              </w:rPr>
              <w:t>Unregistered</w:t>
            </w:r>
          </w:p>
        </w:tc>
        <w:tc>
          <w:tcPr>
            <w:tcW w:w="8320" w:type="dxa"/>
            <w:vAlign w:val="bottom"/>
            <w:gridSpan w:val="17"/>
          </w:tcPr>
          <w:p>
            <w:pPr>
              <w:ind w:left="80"/>
              <w:spacing w:after="0" w:line="182" w:lineRule="exact"/>
              <w:rPr>
                <w:sz w:val="20"/>
                <w:szCs w:val="20"/>
                <w:color w:val="auto"/>
              </w:rPr>
            </w:pPr>
            <w:r>
              <w:rPr>
                <w:rFonts w:ascii="Arial" w:cs="Arial" w:eastAsia="Arial" w:hAnsi="Arial"/>
                <w:sz w:val="18"/>
                <w:szCs w:val="18"/>
                <w:color w:val="auto"/>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Defaults Upon Senior Securities</w:t>
            </w: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auto"/>
            </w:tcBorders>
            <w:gridSpan w:val="8"/>
          </w:tcPr>
          <w:p>
            <w:pPr>
              <w:spacing w:after="0" w:line="182" w:lineRule="exact"/>
              <w:rPr>
                <w:sz w:val="20"/>
                <w:szCs w:val="20"/>
                <w:color w:val="auto"/>
              </w:rPr>
            </w:pPr>
            <w:r>
              <w:rPr>
                <w:rFonts w:ascii="Arial" w:cs="Arial" w:eastAsia="Arial" w:hAnsi="Arial"/>
                <w:sz w:val="18"/>
                <w:szCs w:val="18"/>
                <w:color w:val="auto"/>
              </w:rPr>
              <w:t>Mine Safety Disclosures</w:t>
            </w:r>
          </w:p>
        </w:tc>
        <w:tc>
          <w:tcPr>
            <w:tcW w:w="67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color w:val="auto"/>
              </w:rPr>
              <w:t>Other Information</w:t>
            </w:r>
          </w:p>
        </w:tc>
        <w:tc>
          <w:tcPr>
            <w:tcW w:w="738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Exhibits</w:t>
            </w:r>
          </w:p>
        </w:tc>
        <w:tc>
          <w:tcPr>
            <w:tcW w:w="760" w:type="dxa"/>
            <w:vAlign w:val="bottom"/>
            <w:tcBorders>
              <w:top w:val="single" w:sz="8" w:color="auto"/>
            </w:tcBorders>
            <w:gridSpan w:val="2"/>
          </w:tcPr>
          <w:p>
            <w:pPr>
              <w:spacing w:after="0"/>
              <w:rPr>
                <w:sz w:val="15"/>
                <w:szCs w:val="15"/>
                <w:color w:val="auto"/>
              </w:rPr>
            </w:pPr>
          </w:p>
        </w:tc>
        <w:tc>
          <w:tcPr>
            <w:tcW w:w="79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Signatures</w:t>
            </w:r>
          </w:p>
        </w:tc>
        <w:tc>
          <w:tcPr>
            <w:tcW w:w="4720" w:type="dxa"/>
            <w:vAlign w:val="bottom"/>
            <w:gridSpan w:val="14"/>
            <w:vMerge w:val="restart"/>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42"/>
        </w:trPr>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gridSpan w:val="14"/>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This report on Form 10-Q for the quarterly period ended September 30, 2025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changes in trade policies and tariffs, and their impact on us, consumer demand, average bill amounts and interchange fees;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those factors described in the sections titled “Risk Factors” and “Management’s Discussion and Analysis of Financial Conditions and Results of Operations” in our Annual Report on Form 10-K for the year ended December 31, 2024 and our subsequent Quarterly Reports on Form 10-Q, and the section titled “Management’s Discussion and Analysis of Financial Condition and Results of Operations” in this Quarterly Report.</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 w:name="page4"/>
    <w:bookmarkEnd w:id="3"/>
    <w:p>
      <w:pPr>
        <w:jc w:val="both"/>
        <w:ind w:right="20"/>
        <w:spacing w:after="0" w:line="271" w:lineRule="auto"/>
        <w:rPr>
          <w:sz w:val="20"/>
          <w:szCs w:val="20"/>
          <w:color w:val="auto"/>
        </w:rPr>
      </w:pPr>
      <w:r>
        <w:rPr>
          <w:rFonts w:ascii="Arial" w:cs="Arial" w:eastAsia="Arial" w:hAnsi="Arial"/>
          <w:sz w:val="18"/>
          <w:szCs w:val="18"/>
          <w:color w:val="auto"/>
        </w:rPr>
        <w:t>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jc w:val="both"/>
        <w:ind w:right="20"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BALANCE SHEETS</w:t>
      </w:r>
    </w:p>
    <w:p>
      <w:pPr>
        <w:ind w:left="358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287,908</w:t>
            </w:r>
          </w:p>
        </w:tc>
        <w:tc>
          <w:tcPr>
            <w:tcW w:w="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205,900</w:t>
            </w:r>
          </w:p>
        </w:tc>
        <w:tc>
          <w:tcPr>
            <w:tcW w:w="100" w:type="dxa"/>
            <w:vAlign w:val="bottom"/>
            <w:shd w:val="clear" w:color="auto" w:fill="CFF0FC"/>
          </w:tcPr>
          <w:p>
            <w:pPr>
              <w:spacing w:after="0"/>
              <w:rPr>
                <w:sz w:val="17"/>
                <w:szCs w:val="17"/>
                <w:color w:val="auto"/>
              </w:rPr>
            </w:pPr>
          </w:p>
        </w:tc>
      </w:tr>
      <w:tr>
        <w:trPr>
          <w:trHeight w:val="202"/>
        </w:trPr>
        <w:tc>
          <w:tcPr>
            <w:tcW w:w="7940" w:type="dxa"/>
            <w:vAlign w:val="bottom"/>
          </w:tcPr>
          <w:p>
            <w:pPr>
              <w:ind w:left="220"/>
              <w:spacing w:after="0" w:line="202" w:lineRule="exact"/>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3,511</w:t>
            </w:r>
          </w:p>
        </w:tc>
        <w:tc>
          <w:tcPr>
            <w:tcW w:w="100" w:type="dxa"/>
            <w:vAlign w:val="bottom"/>
          </w:tcPr>
          <w:p>
            <w:pPr>
              <w:spacing w:after="0"/>
              <w:rPr>
                <w:sz w:val="17"/>
                <w:szCs w:val="17"/>
                <w:color w:val="auto"/>
              </w:rPr>
            </w:pPr>
          </w:p>
        </w:tc>
      </w:tr>
      <w:tr>
        <w:trPr>
          <w:trHeight w:val="184"/>
        </w:trPr>
        <w:tc>
          <w:tcPr>
            <w:tcW w:w="794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Accounts and other receivables, net of allowance for expected credit losses of $274 and $257,</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119,816</w:t>
            </w:r>
          </w:p>
        </w:tc>
        <w:tc>
          <w:tcPr>
            <w:tcW w:w="100" w:type="dxa"/>
            <w:vAlign w:val="bottom"/>
            <w:shd w:val="clear" w:color="auto" w:fill="CFF0FC"/>
          </w:tcPr>
          <w:p>
            <w:pPr>
              <w:spacing w:after="0"/>
              <w:rPr>
                <w:sz w:val="19"/>
                <w:szCs w:val="19"/>
                <w:color w:val="auto"/>
              </w:rPr>
            </w:pPr>
          </w:p>
        </w:tc>
      </w:tr>
      <w:tr>
        <w:trPr>
          <w:trHeight w:val="203"/>
        </w:trPr>
        <w:tc>
          <w:tcPr>
            <w:tcW w:w="7940" w:type="dxa"/>
            <w:vAlign w:val="bottom"/>
          </w:tcPr>
          <w:p>
            <w:pPr>
              <w:ind w:left="220"/>
              <w:spacing w:after="0" w:line="202" w:lineRule="exact"/>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3,356</w:t>
            </w:r>
          </w:p>
        </w:tc>
        <w:tc>
          <w:tcPr>
            <w:tcW w:w="100" w:type="dxa"/>
            <w:vAlign w:val="bottom"/>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15,992</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417,105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345,641</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948</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 development costs, net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69,964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67,375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13,039</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19,076</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131,813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00" w:type="dxa"/>
            <w:vAlign w:val="bottom"/>
          </w:tcPr>
          <w:p>
            <w:pPr>
              <w:spacing w:after="0"/>
              <w:rPr>
                <w:sz w:val="17"/>
                <w:szCs w:val="17"/>
                <w:color w:val="auto"/>
              </w:rPr>
            </w:pPr>
          </w:p>
        </w:tc>
      </w:tr>
      <w:tr>
        <w:trPr>
          <w:trHeight w:val="202"/>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6,849</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7,801</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assets, less current portion</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4,560</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420"/>
              <w:spacing w:after="0" w:line="196" w:lineRule="exact"/>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644,412</w:t>
            </w:r>
          </w:p>
        </w:tc>
        <w:tc>
          <w:tcPr>
            <w:tcW w:w="8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63,937</w:t>
            </w:r>
          </w:p>
        </w:tc>
        <w:tc>
          <w:tcPr>
            <w:tcW w:w="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49,871</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2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25,693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2,248</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20"/>
              <w:spacing w:after="0" w:line="202" w:lineRule="exact"/>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3,797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Income tax payable</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7"/>
                <w:szCs w:val="17"/>
                <w:color w:val="auto"/>
              </w:rPr>
            </w:pPr>
          </w:p>
        </w:tc>
      </w:tr>
      <w:tr>
        <w:trPr>
          <w:trHeight w:val="196"/>
        </w:trPr>
        <w:tc>
          <w:tcPr>
            <w:tcW w:w="794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95,675</w:t>
            </w: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81,550</w:t>
            </w:r>
          </w:p>
        </w:tc>
        <w:tc>
          <w:tcPr>
            <w:tcW w:w="100" w:type="dxa"/>
            <w:vAlign w:val="bottom"/>
            <w:tcBorders>
              <w:top w:val="single" w:sz="8" w:color="CFF0FC"/>
            </w:tcBorders>
          </w:tcPr>
          <w:p>
            <w:pPr>
              <w:spacing w:after="0"/>
              <w:rPr>
                <w:sz w:val="17"/>
                <w:szCs w:val="17"/>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2,806</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7940" w:type="dxa"/>
            <w:vAlign w:val="bottom"/>
          </w:tcPr>
          <w:p>
            <w:pPr>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6,318</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 less current portion</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2,644</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2,783</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Accrued and other liabilities, less current portion</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9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107,010</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90,651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94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Class A common stock, $0.0001 par value per share, 883,950,000 shares authorized as of</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September 30, 2025 and December 31, 2024; 55,567,307 and 32,136,989 shares issued and</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outstanding as of September 30, 2025 and December 31, 2024, respectively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184"/>
        </w:trPr>
        <w:tc>
          <w:tcPr>
            <w:tcW w:w="7940" w:type="dxa"/>
            <w:vAlign w:val="bottom"/>
          </w:tcPr>
          <w:p>
            <w:pPr>
              <w:ind w:left="220"/>
              <w:spacing w:after="0" w:line="183" w:lineRule="exact"/>
              <w:rPr>
                <w:sz w:val="20"/>
                <w:szCs w:val="20"/>
                <w:color w:val="auto"/>
              </w:rPr>
            </w:pPr>
            <w:r>
              <w:rPr>
                <w:rFonts w:ascii="Arial" w:cs="Arial" w:eastAsia="Arial" w:hAnsi="Arial"/>
                <w:sz w:val="18"/>
                <w:szCs w:val="18"/>
                <w:color w:val="auto"/>
              </w:rPr>
              <w:t>Class B common stock, $0.0001 par value per share, 111,050,000 shares authorized as of</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94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2025 and December 31, 2024; 69,855,069 and 92,699,294 shares issued and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940" w:type="dxa"/>
            <w:vAlign w:val="bottom"/>
          </w:tcPr>
          <w:p>
            <w:pPr>
              <w:ind w:left="220"/>
              <w:spacing w:after="0"/>
              <w:rPr>
                <w:sz w:val="20"/>
                <w:szCs w:val="20"/>
                <w:color w:val="auto"/>
              </w:rPr>
            </w:pPr>
            <w:r>
              <w:rPr>
                <w:rFonts w:ascii="Arial" w:cs="Arial" w:eastAsia="Arial" w:hAnsi="Arial"/>
                <w:sz w:val="18"/>
                <w:szCs w:val="18"/>
                <w:color w:val="auto"/>
              </w:rPr>
              <w:t>outstanding as of September 30, 2025 and December 31, 2024, respectively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03"/>
        </w:trPr>
        <w:tc>
          <w:tcPr>
            <w:tcW w:w="7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395,755</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389,904</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794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142,177</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95,913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537,402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485,596</w:t>
            </w:r>
          </w:p>
        </w:tc>
        <w:tc>
          <w:tcPr>
            <w:tcW w:w="100" w:type="dxa"/>
            <w:vAlign w:val="bottom"/>
          </w:tcPr>
          <w:p>
            <w:pPr>
              <w:spacing w:after="0"/>
              <w:rPr>
                <w:sz w:val="17"/>
                <w:szCs w:val="17"/>
                <w:color w:val="auto"/>
              </w:rPr>
            </w:pPr>
          </w:p>
        </w:tc>
      </w:tr>
      <w:tr>
        <w:trPr>
          <w:trHeight w:val="236"/>
        </w:trPr>
        <w:tc>
          <w:tcPr>
            <w:tcW w:w="79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644,412</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-4482465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-3445510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-2382520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-299720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9"/>
              </w:rPr>
              <w:t>Nine Months Ended September</w:t>
            </w:r>
          </w:p>
        </w:tc>
      </w:tr>
      <w:tr>
        <w:trPr>
          <w:trHeight w:val="221"/>
        </w:trPr>
        <w:tc>
          <w:tcPr>
            <w:tcW w:w="4900" w:type="dxa"/>
            <w:vAlign w:val="bottom"/>
          </w:tcPr>
          <w:p>
            <w:pPr>
              <w:spacing w:after="0"/>
              <w:rPr>
                <w:sz w:val="19"/>
                <w:szCs w:val="19"/>
                <w:color w:val="auto"/>
              </w:rPr>
            </w:pPr>
          </w:p>
        </w:tc>
        <w:tc>
          <w:tcPr>
            <w:tcW w:w="328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19"/>
                <w:szCs w:val="19"/>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30,</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9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310,737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231,571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866,049</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613,868</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235,888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170,906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653,699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441,727</w:t>
            </w:r>
          </w:p>
        </w:tc>
        <w:tc>
          <w:tcPr>
            <w:tcW w:w="100" w:type="dxa"/>
            <w:vAlign w:val="bottom"/>
          </w:tcPr>
          <w:p>
            <w:pPr>
              <w:spacing w:after="0"/>
              <w:rPr>
                <w:sz w:val="17"/>
                <w:szCs w:val="17"/>
                <w:color w:val="auto"/>
              </w:rPr>
            </w:pPr>
          </w:p>
        </w:tc>
      </w:tr>
      <w:tr>
        <w:trPr>
          <w:trHeight w:val="196"/>
        </w:trPr>
        <w:tc>
          <w:tcPr>
            <w:tcW w:w="49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74,849</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60,665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212,350</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172,141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15,219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13,187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45,551</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37,773</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25,478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81,139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76,456</w:t>
            </w:r>
          </w:p>
        </w:tc>
        <w:tc>
          <w:tcPr>
            <w:tcW w:w="100" w:type="dxa"/>
            <w:vAlign w:val="bottom"/>
          </w:tcPr>
          <w:p>
            <w:pPr>
              <w:spacing w:after="0"/>
              <w:rPr>
                <w:sz w:val="17"/>
                <w:szCs w:val="17"/>
                <w:color w:val="auto"/>
              </w:rPr>
            </w:pPr>
          </w:p>
        </w:tc>
      </w:tr>
      <w:tr>
        <w:trPr>
          <w:trHeight w:val="202"/>
        </w:trPr>
        <w:tc>
          <w:tcPr>
            <w:tcW w:w="49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14,291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8,939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34,188</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54,988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48,577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160,878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141,474</w:t>
            </w:r>
          </w:p>
        </w:tc>
        <w:tc>
          <w:tcPr>
            <w:tcW w:w="100" w:type="dxa"/>
            <w:vAlign w:val="bottom"/>
          </w:tcPr>
          <w:p>
            <w:pPr>
              <w:spacing w:after="0"/>
              <w:rPr>
                <w:sz w:val="17"/>
                <w:szCs w:val="17"/>
                <w:color w:val="auto"/>
              </w:rPr>
            </w:pPr>
          </w:p>
        </w:tc>
      </w:tr>
      <w:tr>
        <w:trPr>
          <w:trHeight w:val="196"/>
        </w:trPr>
        <w:tc>
          <w:tcPr>
            <w:tcW w:w="490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19,861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12,088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51,472</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140"/>
              <w:spacing w:after="0" w:line="196" w:lineRule="exact"/>
              <w:rPr>
                <w:sz w:val="20"/>
                <w:szCs w:val="20"/>
                <w:color w:val="auto"/>
              </w:rPr>
            </w:pPr>
            <w:r>
              <w:rPr>
                <w:rFonts w:ascii="Arial" w:cs="Arial" w:eastAsia="Arial" w:hAnsi="Arial"/>
                <w:sz w:val="18"/>
                <w:szCs w:val="18"/>
                <w:color w:val="auto"/>
              </w:rPr>
              <w:t>Interest income, net</w:t>
            </w: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2,342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6,976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6,722</w:t>
            </w:r>
          </w:p>
        </w:tc>
        <w:tc>
          <w:tcPr>
            <w:tcW w:w="10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22,602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58,772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37,664</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(4,858)</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7"/>
                <w:szCs w:val="17"/>
                <w:color w:val="auto"/>
              </w:rPr>
            </w:pPr>
          </w:p>
        </w:tc>
        <w:tc>
          <w:tcPr>
            <w:tcW w:w="14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(12,508)</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(6,644)</w:t>
            </w:r>
          </w:p>
        </w:tc>
      </w:tr>
      <w:tr>
        <w:trPr>
          <w:trHeight w:val="20"/>
        </w:trPr>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17,744</w:t>
            </w: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14,430</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46,264</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31,020</w:t>
            </w:r>
          </w:p>
        </w:tc>
        <w:tc>
          <w:tcPr>
            <w:tcW w:w="10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0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900" w:type="dxa"/>
            <w:vAlign w:val="bottom"/>
          </w:tcPr>
          <w:p>
            <w:pPr>
              <w:ind w:left="260"/>
              <w:spacing w:after="0" w:line="202" w:lineRule="exact"/>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1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0.36</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7"/>
                <w:szCs w:val="17"/>
                <w:color w:val="auto"/>
              </w:rPr>
            </w:pPr>
          </w:p>
        </w:tc>
      </w:tr>
      <w:tr>
        <w:trPr>
          <w:trHeight w:val="184"/>
        </w:trPr>
        <w:tc>
          <w:tcPr>
            <w:tcW w:w="4900" w:type="dxa"/>
            <w:vAlign w:val="bottom"/>
          </w:tcPr>
          <w:p>
            <w:pPr>
              <w:ind w:left="140"/>
              <w:spacing w:after="0" w:line="183" w:lineRule="exact"/>
              <w:rPr>
                <w:sz w:val="20"/>
                <w:szCs w:val="20"/>
                <w:color w:val="auto"/>
              </w:rPr>
            </w:pPr>
            <w:r>
              <w:rPr>
                <w:rFonts w:ascii="Arial" w:cs="Arial" w:eastAsia="Arial" w:hAnsi="Arial"/>
                <w:sz w:val="18"/>
                <w:szCs w:val="18"/>
                <w:color w:val="auto"/>
              </w:rPr>
              <w:t>Weighted-average number of shares used to compute net</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90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9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125,341,855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124,538,195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125,159,766</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124,251,147</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6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129,249,477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127,614,115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129,053,404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127,254,611</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60"/>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17,744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46,264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31,020</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(318)</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4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r>
      <w:tr>
        <w:trPr>
          <w:trHeight w:val="20"/>
        </w:trPr>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Comprehensive income</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17,426</w:t>
            </w: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14,422</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45,955</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30,930</w:t>
            </w:r>
          </w:p>
        </w:tc>
        <w:tc>
          <w:tcPr>
            <w:tcW w:w="10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-2939415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-2939415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-2939415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-2416810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-2416810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-2416810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-2142490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-2142490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-2142490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-1876425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-1876425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-1876425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-1610995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-1610995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-1610995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-161925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7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rPr>
              <w:t>Comprehensi</w:t>
            </w:r>
          </w:p>
        </w:tc>
        <w:tc>
          <w:tcPr>
            <w:tcW w:w="20" w:type="dxa"/>
            <w:vAlign w:val="bottom"/>
          </w:tcPr>
          <w:p>
            <w:pPr>
              <w:spacing w:after="0"/>
              <w:rPr>
                <w:sz w:val="17"/>
                <w:szCs w:val="17"/>
                <w:color w:val="auto"/>
              </w:rPr>
            </w:pPr>
          </w:p>
        </w:tc>
        <w:tc>
          <w:tcPr>
            <w:tcW w:w="1260" w:type="dxa"/>
            <w:vAlign w:val="bottom"/>
            <w:gridSpan w:val="4"/>
          </w:tcPr>
          <w:p>
            <w:pPr>
              <w:jc w:val="center"/>
              <w:ind w:right="240"/>
              <w:spacing w:after="0" w:line="202" w:lineRule="exact"/>
              <w:rPr>
                <w:sz w:val="20"/>
                <w:szCs w:val="20"/>
                <w:color w:val="auto"/>
              </w:rPr>
            </w:pPr>
            <w:r>
              <w:rPr>
                <w:rFonts w:ascii="Arial" w:cs="Arial" w:eastAsia="Arial" w:hAnsi="Arial"/>
                <w:sz w:val="18"/>
                <w:szCs w:val="18"/>
                <w:b w:val="1"/>
                <w:bCs w:val="1"/>
                <w:color w:val="auto"/>
              </w:rPr>
              <w:t>Stockholde</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80" w:type="dxa"/>
            <w:vAlign w:val="bottom"/>
            <w:tcBorders>
              <w:bottom w:val="single" w:sz="8" w:color="auto"/>
            </w:tcBorders>
            <w:gridSpan w:val="4"/>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2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rs’</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0"/>
              <w:spacing w:after="0" w:line="196" w:lineRule="exact"/>
              <w:rPr>
                <w:sz w:val="20"/>
                <w:szCs w:val="20"/>
                <w:color w:val="auto"/>
              </w:rPr>
            </w:pPr>
            <w:r>
              <w:rPr>
                <w:rFonts w:ascii="Arial" w:cs="Arial" w:eastAsia="Arial" w:hAnsi="Arial"/>
                <w:sz w:val="18"/>
                <w:szCs w:val="18"/>
                <w:b w:val="1"/>
                <w:bCs w:val="1"/>
                <w:color w:val="auto"/>
                <w:w w:val="98"/>
              </w:rPr>
              <w:t>Equity</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December 31, 2024</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124,836,283</w:t>
            </w:r>
          </w:p>
        </w:tc>
        <w:tc>
          <w:tcPr>
            <w:tcW w:w="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389,904</w:t>
            </w:r>
          </w:p>
        </w:tc>
        <w:tc>
          <w:tcPr>
            <w:tcW w:w="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95,913</w:t>
            </w:r>
          </w:p>
        </w:tc>
        <w:tc>
          <w:tcPr>
            <w:tcW w:w="3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(233)</w:t>
            </w: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485,596</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of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328,201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(73,798)</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Pr>
          <w:p>
            <w:pPr>
              <w:spacing w:after="0" w:line="196" w:lineRule="exact"/>
              <w:rPr>
                <w:sz w:val="20"/>
                <w:szCs w:val="20"/>
                <w:color w:val="auto"/>
              </w:rPr>
            </w:pPr>
            <w:r>
              <w:rPr>
                <w:rFonts w:ascii="Arial" w:cs="Arial" w:eastAsia="Arial" w:hAnsi="Arial"/>
                <w:sz w:val="18"/>
                <w:szCs w:val="18"/>
                <w:b w:val="1"/>
                <w:bCs w:val="1"/>
                <w:color w:val="auto"/>
              </w:rPr>
              <w:t>Balances at March 31, 2025</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125,124,422</w:t>
            </w:r>
          </w:p>
        </w:tc>
        <w:tc>
          <w:tcPr>
            <w:tcW w:w="80" w:type="dxa"/>
            <w:vAlign w:val="bottom"/>
          </w:tcPr>
          <w:p>
            <w:pPr>
              <w:spacing w:after="0"/>
              <w:rPr>
                <w:sz w:val="17"/>
                <w:szCs w:val="17"/>
                <w:color w:val="auto"/>
              </w:rPr>
            </w:pPr>
          </w:p>
        </w:tc>
        <w:tc>
          <w:tcPr>
            <w:tcW w:w="520" w:type="dxa"/>
            <w:vAlign w:val="bottom"/>
            <w:gridSpan w:val="2"/>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390,944</w:t>
            </w:r>
          </w:p>
        </w:tc>
        <w:tc>
          <w:tcPr>
            <w:tcW w:w="8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109,726</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(287)</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500,395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0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3,315</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3,315</w:t>
            </w: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28,240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157,818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of restricted stock units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(47,209)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14,707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June 30, 2025</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125,263,271</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392,478</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124,433</w:t>
            </w:r>
          </w:p>
        </w:tc>
        <w:tc>
          <w:tcPr>
            <w:tcW w:w="3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(224)</w:t>
            </w: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516,699</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0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Stock-based compensation</w:t>
            </w: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6,682</w:t>
            </w: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6,682</w:t>
            </w:r>
          </w:p>
        </w:tc>
        <w:tc>
          <w:tcPr>
            <w:tcW w:w="120" w:type="dxa"/>
            <w:vAlign w:val="bottom"/>
            <w:tcBorders>
              <w:top w:val="single" w:sz="8" w:color="CFF0FC"/>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of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241,984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(91,130)</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17,744</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17,744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Pr>
          <w:p>
            <w:pPr>
              <w:spacing w:after="0" w:line="196" w:lineRule="exact"/>
              <w:rPr>
                <w:sz w:val="20"/>
                <w:szCs w:val="20"/>
                <w:color w:val="auto"/>
              </w:rPr>
            </w:pPr>
            <w:r>
              <w:rPr>
                <w:rFonts w:ascii="Arial" w:cs="Arial" w:eastAsia="Arial" w:hAnsi="Arial"/>
                <w:sz w:val="18"/>
                <w:szCs w:val="18"/>
                <w:b w:val="1"/>
                <w:bCs w:val="1"/>
                <w:color w:val="auto"/>
              </w:rPr>
              <w:t>Balances at September 30, 2025</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125,422,376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395,755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142,177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537,402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-3642995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-3642995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-3642995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-3642995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-3642995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-3642995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-2185670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-2167890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-2185670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-2167890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-2185670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-2167890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-2185670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-2167890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-2185670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-2167890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-2185670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-2167890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-1002665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-1002665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-1002665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-1002665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-1002665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-1002665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Comprehensi</w:t>
            </w: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ve</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8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7"/>
                <w:szCs w:val="17"/>
                <w:color w:val="auto"/>
              </w:rPr>
            </w:pPr>
          </w:p>
        </w:tc>
        <w:tc>
          <w:tcPr>
            <w:tcW w:w="96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380"/>
              <w:spacing w:after="0" w:line="196" w:lineRule="exact"/>
              <w:rPr>
                <w:sz w:val="20"/>
                <w:szCs w:val="20"/>
                <w:color w:val="auto"/>
              </w:rPr>
            </w:pPr>
            <w:r>
              <w:rPr>
                <w:rFonts w:ascii="Arial" w:cs="Arial" w:eastAsia="Arial" w:hAnsi="Arial"/>
                <w:sz w:val="18"/>
                <w:szCs w:val="18"/>
                <w:b w:val="1"/>
                <w:bCs w:val="1"/>
                <w:color w:val="auto"/>
                <w:w w:val="99"/>
              </w:rPr>
              <w:t>Loss</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2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2023</w:t>
            </w:r>
          </w:p>
        </w:tc>
        <w:tc>
          <w:tcPr>
            <w:tcW w:w="10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123,821,11</w:t>
            </w:r>
          </w:p>
        </w:tc>
        <w:tc>
          <w:tcPr>
            <w:tcW w:w="12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377,773</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51,744</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2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235,619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2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March 31, 2024</w:t>
            </w:r>
          </w:p>
        </w:tc>
        <w:tc>
          <w:tcPr>
            <w:tcW w:w="10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124,125,97</w:t>
            </w:r>
          </w:p>
        </w:tc>
        <w:tc>
          <w:tcPr>
            <w:tcW w:w="12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380,357</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58,970</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439,384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Stock-based compensation</w:t>
            </w: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2,882</w:t>
            </w: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2,882</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2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232,728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9,364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9,364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2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June 30, 2024</w:t>
            </w:r>
          </w:p>
        </w:tc>
        <w:tc>
          <w:tcPr>
            <w:tcW w:w="10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124,474,47</w:t>
            </w:r>
          </w:p>
        </w:tc>
        <w:tc>
          <w:tcPr>
            <w:tcW w:w="12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383,276</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68,334</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451,627</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Stock-based compensation</w:t>
            </w: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2,725</w:t>
            </w: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2,725</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2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104,769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14,430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2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September 30, 2024</w:t>
            </w:r>
          </w:p>
        </w:tc>
        <w:tc>
          <w:tcPr>
            <w:tcW w:w="10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124,605,18</w:t>
            </w:r>
          </w:p>
        </w:tc>
        <w:tc>
          <w:tcPr>
            <w:tcW w:w="12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386,020</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82,764</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-2407920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-2390775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-2407920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-2390775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-2407920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-2390775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-2407920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-2390775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-2407920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-2390775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-2407920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-2390775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-1216660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-1199515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-1216660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-1199515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-1216660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-1199515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-1216660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-1199515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-1216660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-1199515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-1216660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-1199515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67"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jc w:val="center"/>
        <w:spacing w:after="0" w:line="238"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140"/>
              <w:spacing w:after="0" w:line="174" w:lineRule="exact"/>
              <w:rPr>
                <w:sz w:val="20"/>
                <w:szCs w:val="20"/>
                <w:color w:val="auto"/>
              </w:rPr>
            </w:pPr>
            <w:r>
              <w:rPr>
                <w:rFonts w:ascii="Arial" w:cs="Arial" w:eastAsia="Arial" w:hAnsi="Arial"/>
                <w:sz w:val="16"/>
                <w:szCs w:val="16"/>
                <w:b w:val="1"/>
                <w:bCs w:val="1"/>
                <w:color w:val="auto"/>
              </w:rPr>
              <w:t>Nine Months Ended</w:t>
            </w:r>
          </w:p>
        </w:tc>
      </w:tr>
      <w:tr>
        <w:trPr>
          <w:trHeight w:val="203"/>
        </w:trPr>
        <w:tc>
          <w:tcPr>
            <w:tcW w:w="7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7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Net income</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46,264</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31,020</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26,827</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Deferred income taxes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(1,333)</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7,990</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capitalized warrants cost</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Non-cash lease expense</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capitalized contract acquisition cost</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Provision for expected credit losses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non-cash adjustments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Accounts and other receivables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14,807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(34,917)</w:t>
            </w: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(7,513)</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(4,579)</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Accounts payable</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14,349</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Accrued and other liabilities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(197)</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Operating lease liabilities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(1,861)</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(1,656)</w:t>
            </w: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Contract liabilities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(1,883)</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Income taxes receivable, net of payable</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(1,597)</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(4,436)</w:t>
            </w:r>
          </w:p>
        </w:tc>
      </w:tr>
      <w:tr>
        <w:trPr>
          <w:trHeight w:val="183"/>
        </w:trPr>
        <w:tc>
          <w:tcPr>
            <w:tcW w:w="7400" w:type="dxa"/>
            <w:vAlign w:val="bottom"/>
            <w:tcBorders>
              <w:top w:val="single" w:sz="8" w:color="CFF0FC"/>
            </w:tcBorders>
          </w:tcPr>
          <w:p>
            <w:pPr>
              <w:ind w:left="4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116,996</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35,721</w:t>
            </w:r>
          </w:p>
        </w:tc>
        <w:tc>
          <w:tcPr>
            <w:tcW w:w="100" w:type="dxa"/>
            <w:vAlign w:val="bottom"/>
            <w:tcBorders>
              <w:top w:val="single" w:sz="8" w:color="CFF0FC"/>
            </w:tcBorders>
          </w:tcPr>
          <w:p>
            <w:pPr>
              <w:spacing w:after="0"/>
              <w:rPr>
                <w:sz w:val="15"/>
                <w:szCs w:val="15"/>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(376)</w:t>
            </w: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Purchases of interest-bearing deposits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(1,633)</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(2,569)</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Proceeds from matured interest-bearing deposits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Capitalized internal-use software development costs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(27,414)</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(27,238)</w:t>
            </w:r>
          </w:p>
        </w:tc>
      </w:tr>
      <w:tr>
        <w:trPr>
          <w:trHeight w:val="20"/>
        </w:trPr>
        <w:tc>
          <w:tcPr>
            <w:tcW w:w="74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400" w:type="dxa"/>
            <w:vAlign w:val="bottom"/>
          </w:tcPr>
          <w:p>
            <w:pPr>
              <w:ind w:left="340"/>
              <w:spacing w:after="0" w:line="183" w:lineRule="exact"/>
              <w:rPr>
                <w:sz w:val="20"/>
                <w:szCs w:val="20"/>
                <w:color w:val="auto"/>
              </w:rPr>
            </w:pPr>
            <w:r>
              <w:rPr>
                <w:rFonts w:ascii="Arial" w:cs="Arial" w:eastAsia="Arial" w:hAnsi="Arial"/>
                <w:sz w:val="16"/>
                <w:szCs w:val="16"/>
                <w:color w:val="auto"/>
              </w:rPr>
              <w:t>Net cash used in investing activities</w:t>
            </w: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(27,779)</w:t>
            </w:r>
          </w:p>
        </w:tc>
        <w:tc>
          <w:tcPr>
            <w:tcW w:w="220" w:type="dxa"/>
            <w:vAlign w:val="bottom"/>
          </w:tcPr>
          <w:p>
            <w:pPr>
              <w:spacing w:after="0"/>
              <w:rPr>
                <w:sz w:val="15"/>
                <w:szCs w:val="15"/>
                <w:color w:val="auto"/>
              </w:rPr>
            </w:pPr>
          </w:p>
        </w:tc>
        <w:tc>
          <w:tcPr>
            <w:tcW w:w="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(27,617)</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Proceeds from exercise of stock-based awards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Payments of taxes withheld on net settled vesting of restricted stock units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(7,175)</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Settlement of holdback liability related to prior acquisitions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(545)</w:t>
            </w:r>
          </w:p>
        </w:tc>
      </w:tr>
      <w:tr>
        <w:trPr>
          <w:trHeight w:val="20"/>
        </w:trPr>
        <w:tc>
          <w:tcPr>
            <w:tcW w:w="7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00" w:type="dxa"/>
            <w:vAlign w:val="bottom"/>
            <w:shd w:val="clear" w:color="auto" w:fill="CFF0FC"/>
          </w:tcPr>
          <w:p>
            <w:pPr>
              <w:ind w:left="340"/>
              <w:spacing w:after="0" w:line="183" w:lineRule="exact"/>
              <w:rPr>
                <w:sz w:val="20"/>
                <w:szCs w:val="20"/>
                <w:color w:val="auto"/>
              </w:rPr>
            </w:pPr>
            <w:r>
              <w:rPr>
                <w:rFonts w:ascii="Arial" w:cs="Arial" w:eastAsia="Arial" w:hAnsi="Arial"/>
                <w:sz w:val="16"/>
                <w:szCs w:val="16"/>
                <w:color w:val="auto"/>
              </w:rPr>
              <w:t>Net cash used in financing activities</w:t>
            </w: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(7,078)</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(389)</w:t>
            </w:r>
          </w:p>
        </w:tc>
      </w:tr>
      <w:tr>
        <w:trPr>
          <w:trHeight w:val="20"/>
        </w:trPr>
        <w:tc>
          <w:tcPr>
            <w:tcW w:w="74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 and Restricted cash</w:t>
            </w: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(76)</w:t>
            </w:r>
          </w:p>
        </w:tc>
        <w:tc>
          <w:tcPr>
            <w:tcW w:w="220" w:type="dxa"/>
            <w:vAlign w:val="bottom"/>
          </w:tcPr>
          <w:p>
            <w:pPr>
              <w:spacing w:after="0"/>
              <w:rPr>
                <w:sz w:val="15"/>
                <w:szCs w:val="15"/>
                <w:color w:val="auto"/>
              </w:rPr>
            </w:pPr>
          </w:p>
        </w:tc>
        <w:tc>
          <w:tcPr>
            <w:tcW w:w="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(125)</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increase in cash, cash equivalents and Restricted cash</w:t>
            </w:r>
          </w:p>
        </w:tc>
        <w:tc>
          <w:tcPr>
            <w:tcW w:w="13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82,063</w:t>
            </w: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7,590</w:t>
            </w: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Cash and cash equivalents and Restricted cash at the beginning of period</w:t>
            </w:r>
          </w:p>
        </w:tc>
        <w:tc>
          <w:tcPr>
            <w:tcW w:w="1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183,195</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and cash equivalents and Restricted cash at the end of period</w:t>
            </w: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291,474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190,785</w:t>
            </w:r>
          </w:p>
        </w:tc>
        <w:tc>
          <w:tcPr>
            <w:tcW w:w="100" w:type="dxa"/>
            <w:vAlign w:val="bottom"/>
            <w:shd w:val="clear" w:color="auto" w:fill="CFF0FC"/>
          </w:tcPr>
          <w:p>
            <w:pPr>
              <w:spacing w:after="0"/>
              <w:rPr>
                <w:sz w:val="19"/>
                <w:szCs w:val="19"/>
                <w:color w:val="auto"/>
              </w:rPr>
            </w:pPr>
          </w:p>
        </w:tc>
      </w:tr>
      <w:tr>
        <w:trPr>
          <w:trHeight w:val="170"/>
        </w:trPr>
        <w:tc>
          <w:tcPr>
            <w:tcW w:w="74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Reconciliation of Cash and cash equivalents and Restricted Cash:</w:t>
            </w:r>
          </w:p>
        </w:tc>
        <w:tc>
          <w:tcPr>
            <w:tcW w:w="13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 at the beginning of period</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205,900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179,361</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Restricted cash at the beginning of period</w:t>
            </w:r>
          </w:p>
        </w:tc>
        <w:tc>
          <w:tcPr>
            <w:tcW w:w="1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Restricted cash at the beginning of period</w:t>
            </w: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209,411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183,195</w:t>
            </w:r>
          </w:p>
        </w:tc>
        <w:tc>
          <w:tcPr>
            <w:tcW w:w="100" w:type="dxa"/>
            <w:vAlign w:val="bottom"/>
            <w:shd w:val="clear" w:color="auto" w:fill="CFF0FC"/>
          </w:tcPr>
          <w:p>
            <w:pPr>
              <w:spacing w:after="0"/>
              <w:rPr>
                <w:sz w:val="19"/>
                <w:szCs w:val="19"/>
                <w:color w:val="auto"/>
              </w:rPr>
            </w:pPr>
          </w:p>
        </w:tc>
      </w:tr>
      <w:tr>
        <w:trPr>
          <w:trHeight w:val="170"/>
        </w:trPr>
        <w:tc>
          <w:tcPr>
            <w:tcW w:w="7400" w:type="dxa"/>
            <w:vAlign w:val="bottom"/>
            <w:tcBorders>
              <w:top w:val="single" w:sz="8" w:color="CFF0FC"/>
            </w:tcBorders>
          </w:tcPr>
          <w:p>
            <w:pPr>
              <w:ind w:left="180"/>
              <w:spacing w:after="0" w:line="170" w:lineRule="exact"/>
              <w:rPr>
                <w:sz w:val="20"/>
                <w:szCs w:val="20"/>
                <w:color w:val="auto"/>
              </w:rPr>
            </w:pPr>
            <w:r>
              <w:rPr>
                <w:rFonts w:ascii="Arial" w:cs="Arial" w:eastAsia="Arial" w:hAnsi="Arial"/>
                <w:sz w:val="16"/>
                <w:szCs w:val="16"/>
                <w:color w:val="auto"/>
              </w:rPr>
              <w:t>Cash and cash equivalents at the end of period</w:t>
            </w:r>
          </w:p>
        </w:tc>
        <w:tc>
          <w:tcPr>
            <w:tcW w:w="13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287,908</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187,542</w:t>
            </w:r>
          </w:p>
        </w:tc>
        <w:tc>
          <w:tcPr>
            <w:tcW w:w="100" w:type="dxa"/>
            <w:vAlign w:val="bottom"/>
            <w:tcBorders>
              <w:top w:val="single" w:sz="8" w:color="CFF0FC"/>
            </w:tcBorders>
          </w:tcPr>
          <w:p>
            <w:pPr>
              <w:spacing w:after="0"/>
              <w:rPr>
                <w:sz w:val="14"/>
                <w:szCs w:val="14"/>
                <w:color w:val="auto"/>
              </w:rPr>
            </w:pPr>
          </w:p>
        </w:tc>
      </w:tr>
      <w:tr>
        <w:trPr>
          <w:trHeight w:val="189"/>
        </w:trPr>
        <w:tc>
          <w:tcPr>
            <w:tcW w:w="7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Restricted cash at the end of period</w:t>
            </w:r>
          </w:p>
        </w:tc>
        <w:tc>
          <w:tcPr>
            <w:tcW w:w="13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color w:val="auto"/>
              </w:rPr>
              <w:t>Cash and cash equivalents and Restricted cash at the end of period</w:t>
            </w:r>
          </w:p>
        </w:tc>
        <w:tc>
          <w:tcPr>
            <w:tcW w:w="16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291,474</w:t>
            </w:r>
          </w:p>
        </w:tc>
        <w:tc>
          <w:tcPr>
            <w:tcW w:w="1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190,785</w:t>
            </w:r>
          </w:p>
        </w:tc>
        <w:tc>
          <w:tcPr>
            <w:tcW w:w="10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4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Cash paid for income taxes, net of refunds</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11,075</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12,419</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activities: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740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of operating lease obligations</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-3418840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-3418840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-2681605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-2681605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-1936115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-1936115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-1430020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-1412875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-1430020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-1412875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-915670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-898525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-650240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(In thousands,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Santa Clara, California, Richmond Hill, Ontario (Canada), and Gurugram, Mohali and Bangalore (India). The Company is currently headquartered in Charlotte, North Carolina.</w:t>
      </w:r>
    </w:p>
    <w:p>
      <w:pPr>
        <w:spacing w:after="0" w:line="1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2024 filed with the SEC on March 11, 2025 (the “2024 Form 10-K”).</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and nine months ended September 30, 2025 and 2024 are not necessarily indicative of the results to be expected for the full year or any other future interim or annual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$219.3 million and $147.2 million as of September 30, 2025 and December 31, 2024, respectively.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condensed consolidated balance sheets. No customer accounted for more than 10% of revenue for either of the three or nine months ended September 30, 2025 and 2024. As of December 31, 2024 and September 30, 2025, one reseller accounted for more than 10% of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Effective January 1, 2025, the Company changed its reporting segment structure to a single reporting segment, and the composition of the information package provided to the chief operating decision maker (“CODM”) was amended to deliver more focused and relevant data for decision-making. Previously, the Company identified three operating segments with one reportable segment. Following an internal assessment and a change in the manner in which financial results are provided to and reviewed by the CODM, the Company determined that it now operates and reports as a single operating and reportable segment. The determination was made based on the evaluation of factors, including resource allocation, management oversight, and the consolidated review of financial performance by the CODM. As a result, segment disclosures in the Company’s financial statements are updated to reflect the new reporting structure.</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Company’s CODM is its chief executive officer, and the CODM evaluates financial performance and makes resource allocation decisions based on consolidated financial information. The measure of segment profit or loss that the CODM uses to allocate resources and assess performance is the Company’s consolidated net income, as reported on the condensed consolidated statements of operations and comprehensive income. The CODM uses consolidated net income to assess overall Company performance, monitor progress toward financial targets, and make strategic decisions regarding the allocation of resources across functions and initiatives.</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accounting policies applied to the segments are the same as those described in the summary of significant accounting policies. All expense categories on the condensed consolidated statements of operations and comprehensive income are significant, and there are no other significant expenses that are reviewed or provided to the CODM, which would require disclosure.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provided to the CODM are consistent with those reported on the condensed consolidated balance sheets.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Information related to the Company’s products and services is disclosed in Note 1. Information about geographical distribution of the Company’s revenue and long-lived assets is disclosed in Notes 3 and 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2024 and 2023 and for the years ended December 31, 2024, 2023 and 2022 included in the 2024 Form 10-K. There have been no significant changes to these policies during the three and nine months ended September 30, 2025, except for "Segment Information" as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w:t>
      </w:r>
    </w:p>
    <w:p>
      <w:pPr>
        <w:jc w:val="both"/>
        <w:ind w:firstLine="8"/>
        <w:spacing w:after="0" w:line="242"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7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 xml:space="preserve">In December 2023, the Financial Accounting Standards Board ("FASB") issued ASU 2023-09, </w:t>
      </w:r>
      <w:r>
        <w:rPr>
          <w:rFonts w:ascii="Arial" w:cs="Arial" w:eastAsia="Arial" w:hAnsi="Arial"/>
          <w:sz w:val="18"/>
          <w:szCs w:val="18"/>
          <w:i w:val="1"/>
          <w:iCs w:val="1"/>
          <w:color w:val="auto"/>
        </w:rPr>
        <w:t>“Improvements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is intended to enhance income tax disclosures around the rate reconciliation and income taxes paid. The purpose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is to provide readers of the financial statements with information to better assess the differences between the effective tax rate and the statutory tax rate across multiple jurisdictions, enabling them to understand tax implications around operational opportunities and potential future cash flows. The guidance is effective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8"/>
          <w:szCs w:val="18"/>
          <w:color w:val="auto"/>
        </w:rPr>
        <w:t>beginning with the Company's Form 10-K for the fiscal year ending December 31, 2025. The adoption of ASU 2023-09 is not expected to have a material impact on the Company's financial position or results of operations.</w:t>
      </w:r>
    </w:p>
    <w:p>
      <w:pPr>
        <w:spacing w:after="0" w:line="4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which requires additional disclosures, for interim and annual reporting, of expenses by nature, such as employee compensation, depreciation and amortization, and selling expenses. The updated standard will be effective for annual periods beginning in fiscal 2027 and interim periods beginning in the first quarter of fiscal 2028. Early adoption is permitted. This ASU will result in the required additional disclosures being included in the consolidated financial statements on a prospective basis, with the option for retrospective application, once adopted. The guidance is effective beginning with the Company's Form 10-K for the fiscal year ending December 31, 2027. The Company is currently evaluating the potential impact of adopting this new guidance on its condensed consolidated financial statements and related disclosures.</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Measurement of Credit Losses for Accounts Receivable and Contract Assets</w:t>
      </w:r>
      <w:r>
        <w:rPr>
          <w:rFonts w:ascii="Arial" w:cs="Arial" w:eastAsia="Arial" w:hAnsi="Arial"/>
          <w:sz w:val="18"/>
          <w:szCs w:val="18"/>
          <w:color w:val="auto"/>
        </w:rPr>
        <w:t>. ASU 2025-05 provides guidance on the measurement of credit losses for certain accounts receivable and contract assets arising from revenue transactions. The updated standard will be effective for annual reporting periods beginning after December 15, 2025 and interim periods within those annual reporting periods. Early adoption is permitted. ASU 2025-05 will be adopted on a prospective basis. The guidance is effective beginning with the Company's Forms 10-Q for interim periods within fiscal year 2026 and its Form 10-K for the fiscal year ending December 31, 2026. The Company is currently evaluating the potential impact of adopting this new guidance on its condensed consolidated financial statements and related disclosures.</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The amended guidance modernizes the accounting for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internal-use software to more closely align with current software development methods. The guidance removes references to project stages and clarifies when the Company is required to start capitalizing eligible costs. The new guidance is effective for fiscal years beginning after December 15, 2027, and interim periods within those fiscal years, with early adoption permitted. The guidance can be applied on a prospective basis, a modified basis for in-process projects, or a retrospective basis. The Company is evaluating the impact this amended guidance may have on its condensed consolidated financial statements.</w:t>
      </w:r>
    </w:p>
    <w:p>
      <w:pPr>
        <w:spacing w:after="0" w:line="185" w:lineRule="exact"/>
        <w:rPr>
          <w:sz w:val="20"/>
          <w:szCs w:val="20"/>
          <w:color w:val="auto"/>
        </w:rPr>
      </w:pPr>
    </w:p>
    <w:p>
      <w:pPr>
        <w:ind w:right="5840" w:firstLine="8"/>
        <w:spacing w:after="0" w:line="360" w:lineRule="auto"/>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Performance Obligations and Contract Balances </w:t>
      </w:r>
      <w:r>
        <w:rPr>
          <w:rFonts w:ascii="Arial" w:cs="Arial" w:eastAsia="Arial" w:hAnsi="Arial"/>
          <w:sz w:val="18"/>
          <w:szCs w:val="18"/>
          <w:b w:val="1"/>
          <w:bCs w:val="1"/>
          <w:i w:val="1"/>
          <w:iCs w:val="1"/>
          <w:color w:val="auto"/>
        </w:rPr>
        <w:t>Disaggregation of Revenue</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disaggregation of revenue from contracts with customers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4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transaction processing revenue</w:t>
            </w:r>
          </w:p>
        </w:tc>
        <w:tc>
          <w:tcPr>
            <w:tcW w:w="15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308,803</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229,258</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860,163</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606,029</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5,886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7,839</w:t>
            </w:r>
          </w:p>
        </w:tc>
        <w:tc>
          <w:tcPr>
            <w:tcW w:w="100" w:type="dxa"/>
            <w:vAlign w:val="bottom"/>
          </w:tcPr>
          <w:p>
            <w:pPr>
              <w:spacing w:after="0"/>
              <w:rPr>
                <w:sz w:val="17"/>
                <w:szCs w:val="17"/>
                <w:color w:val="auto"/>
              </w:rPr>
            </w:pPr>
          </w:p>
        </w:tc>
      </w:tr>
      <w:tr>
        <w:trPr>
          <w:trHeight w:val="216"/>
        </w:trPr>
        <w:tc>
          <w:tcPr>
            <w:tcW w:w="46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 revenue</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310,737</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231,571</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866,049</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613,868</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6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305,693</w:t>
            </w:r>
          </w:p>
        </w:tc>
        <w:tc>
          <w:tcPr>
            <w:tcW w:w="3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227,788</w:t>
            </w:r>
          </w:p>
        </w:tc>
        <w:tc>
          <w:tcPr>
            <w:tcW w:w="3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851,789</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602,572</w:t>
            </w:r>
          </w:p>
        </w:tc>
        <w:tc>
          <w:tcPr>
            <w:tcW w:w="100" w:type="dxa"/>
            <w:vAlign w:val="bottom"/>
            <w:shd w:val="clear" w:color="auto" w:fill="CFF0FC"/>
          </w:tcPr>
          <w:p>
            <w:pPr>
              <w:spacing w:after="0"/>
              <w:rPr>
                <w:sz w:val="17"/>
                <w:szCs w:val="17"/>
                <w:color w:val="auto"/>
              </w:rPr>
            </w:pPr>
          </w:p>
        </w:tc>
      </w:tr>
      <w:tr>
        <w:trPr>
          <w:trHeight w:val="202"/>
        </w:trPr>
        <w:tc>
          <w:tcPr>
            <w:tcW w:w="35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14,260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11,296</w:t>
            </w:r>
          </w:p>
        </w:tc>
        <w:tc>
          <w:tcPr>
            <w:tcW w:w="100" w:type="dxa"/>
            <w:vAlign w:val="bottom"/>
          </w:tcPr>
          <w:p>
            <w:pPr>
              <w:spacing w:after="0"/>
              <w:rPr>
                <w:sz w:val="17"/>
                <w:szCs w:val="17"/>
                <w:color w:val="auto"/>
              </w:rPr>
            </w:pPr>
          </w:p>
        </w:tc>
      </w:tr>
      <w:tr>
        <w:trPr>
          <w:trHeight w:val="216"/>
        </w:trPr>
        <w:tc>
          <w:tcPr>
            <w:tcW w:w="35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w:t>
            </w:r>
          </w:p>
        </w:tc>
        <w:tc>
          <w:tcPr>
            <w:tcW w:w="24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310,737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231,571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866,049</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613,868</w:t>
            </w:r>
          </w:p>
        </w:tc>
        <w:tc>
          <w:tcPr>
            <w:tcW w:w="100" w:type="dxa"/>
            <w:vAlign w:val="bottom"/>
            <w:shd w:val="clear" w:color="auto" w:fill="CFF0FC"/>
          </w:tcPr>
          <w:p>
            <w:pPr>
              <w:spacing w:after="0"/>
              <w:rPr>
                <w:sz w:val="18"/>
                <w:szCs w:val="18"/>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September 30, 2025, the aggregate amount of transaction price allocated to performance obligations that are unsatisfied or partially unsatisfied was $6.4 million, of which the Company expects to recognize over 74% within the next two years, 18% between two to four years and the remainder thereafter. The timing of revenue recognition within the next four years is largely dependent upon the go-live dates of the Company's customers under the Company’s contracts.</w:t>
      </w:r>
    </w:p>
    <w:p>
      <w:pPr>
        <w:spacing w:after="0" w:line="6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As of September 30, 2025, the Company has contractual rights under its commercial agreements with customers and resellers to receive $51.5 million of fixed consideration related to the future minimum guarantees through 2029. As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color w:val="auto"/>
        </w:rPr>
        <w:t>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tcPr>
          <w:p>
            <w:pPr>
              <w:spacing w:after="0"/>
              <w:rPr>
                <w:sz w:val="20"/>
                <w:szCs w:val="20"/>
                <w:color w:val="auto"/>
              </w:rPr>
            </w:pPr>
            <w:r>
              <w:rPr>
                <w:rFonts w:ascii="Arial" w:cs="Arial" w:eastAsia="Arial" w:hAnsi="Arial"/>
                <w:sz w:val="18"/>
                <w:szCs w:val="18"/>
                <w:b w:val="1"/>
                <w:bCs w:val="1"/>
                <w:i w:val="1"/>
                <w:iCs w:val="1"/>
                <w:color w:val="auto"/>
              </w:rPr>
              <w:t>Contract Liabilities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880" w:type="dxa"/>
            <w:vAlign w:val="bottom"/>
          </w:tcPr>
          <w:p>
            <w:pPr>
              <w:ind w:left="500"/>
              <w:spacing w:after="0"/>
              <w:rPr>
                <w:sz w:val="20"/>
                <w:szCs w:val="20"/>
                <w:color w:val="auto"/>
              </w:rPr>
            </w:pPr>
            <w:r>
              <w:rPr>
                <w:rFonts w:ascii="Arial" w:cs="Arial" w:eastAsia="Arial" w:hAnsi="Arial"/>
                <w:sz w:val="18"/>
                <w:szCs w:val="18"/>
                <w:color w:val="auto"/>
              </w:rPr>
              <w:t>Contract liabilities consist of the following (in thousands):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8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100"/>
              <w:spacing w:after="0" w:line="202" w:lineRule="exact"/>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3,797</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Non-current</w:t>
            </w: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2,644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220"/>
              <w:spacing w:after="0" w:line="182" w:lineRule="exact"/>
              <w:rPr>
                <w:sz w:val="20"/>
                <w:szCs w:val="20"/>
                <w:color w:val="auto"/>
              </w:rPr>
            </w:pPr>
            <w:r>
              <w:rPr>
                <w:rFonts w:ascii="Arial" w:cs="Arial" w:eastAsia="Arial" w:hAnsi="Arial"/>
                <w:sz w:val="18"/>
                <w:szCs w:val="18"/>
                <w:color w:val="auto"/>
              </w:rPr>
              <w:t>Total contract liabilities</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6,441</w:t>
            </w:r>
          </w:p>
        </w:tc>
        <w:tc>
          <w:tcPr>
            <w:tcW w:w="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5,720</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-162560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Revenue recognized during the three months ended September 30, 2025 and 2024 that was included in the contract liabilities balance at the beginning of each of the periods was $0.6 million and $1.1 million, respectively. Revenue recognized during the nine months ended September 30, 2025 and 2024 that was included in the contract liabilities balance at the beginning of each of the periods was $1.3 million and $3.6 million,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8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88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8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6,469</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6,178</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1,811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8,663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8,277</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7"/>
                <w:szCs w:val="17"/>
                <w:color w:val="auto"/>
              </w:rPr>
            </w:pPr>
          </w:p>
        </w:tc>
        <w:tc>
          <w:tcPr>
            <w:tcW w:w="16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(7,715)</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(7,120)</w:t>
            </w:r>
          </w:p>
        </w:tc>
      </w:tr>
      <w:tr>
        <w:trPr>
          <w:trHeight w:val="20"/>
        </w:trPr>
        <w:tc>
          <w:tcPr>
            <w:tcW w:w="7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80" w:type="dxa"/>
            <w:vAlign w:val="bottom"/>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948</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1,157</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-427990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Depreciation expense recorded for property and equipment was $0.2 million and $0.2 million for the three months ended September 30, 2025 and 2024, respectively, and $0.5 million and $0.6 million for the nine months ended September 30, 2025 and 2024, respectively.</w:t>
      </w:r>
    </w:p>
    <w:p>
      <w:pPr>
        <w:spacing w:after="0" w:line="46"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The Company's long-lived assets primarily consist of computer equipment and furniture. The table below summarizes long-lived assets based on its geographical area (in thousands):</w:t>
      </w:r>
    </w:p>
    <w:tbl>
      <w:tblPr>
        <w:tblLayout w:type="fixed"/>
        <w:tblInd w:w="0" w:type="dxa"/>
        <w:tblCellMar>
          <w:top w:w="0" w:type="dxa"/>
          <w:left w:w="0" w:type="dxa"/>
          <w:bottom w:w="0" w:type="dxa"/>
          <w:right w:w="0" w:type="dxa"/>
        </w:tblCellMar>
      </w:tblPr>
      <w:tr>
        <w:trPr>
          <w:trHeight w:val="204"/>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90"/>
              <w:spacing w:after="0" w:line="204"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79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00" w:type="dxa"/>
            <w:vAlign w:val="bottom"/>
          </w:tcPr>
          <w:p>
            <w:pPr>
              <w:spacing w:after="0"/>
              <w:rPr>
                <w:sz w:val="17"/>
                <w:szCs w:val="17"/>
                <w:color w:val="auto"/>
              </w:rPr>
            </w:pPr>
          </w:p>
        </w:tc>
      </w:tr>
      <w:tr>
        <w:trPr>
          <w:trHeight w:val="216"/>
        </w:trPr>
        <w:tc>
          <w:tcPr>
            <w:tcW w:w="7980" w:type="dxa"/>
            <w:vAlign w:val="bottom"/>
            <w:shd w:val="clear" w:color="auto" w:fill="CFF0FC"/>
          </w:tcPr>
          <w:p>
            <w:pPr>
              <w:ind w:left="120"/>
              <w:spacing w:after="0" w:line="18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948</w:t>
            </w:r>
          </w:p>
        </w:tc>
        <w:tc>
          <w:tcPr>
            <w:tcW w:w="24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8"/>
                <w:szCs w:val="18"/>
                <w:color w:val="auto"/>
              </w:rPr>
            </w:pPr>
          </w:p>
        </w:tc>
      </w:tr>
      <w:tr>
        <w:trPr>
          <w:trHeight w:val="20"/>
        </w:trPr>
        <w:tc>
          <w:tcPr>
            <w:tcW w:w="7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Goodwill, Internal-use Software Development Costs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goodwill reporting units were realigned into a single reporting unit, consistent with the change to the Company's segment structure described in Note 2, "Segment Information." The changes in the carrying amount of goodwill during the three and nine months ended September 30, 2025 relate to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During the three months ended September 30, 2025 and 2024, the Company capitalized $9.2 million and $9.0 million of costs related to internal-use software development, respectively. During the nine months ended September 30, 2025 and 2024, the Company capitalized $27.3 million and $27.4 million of costs related to internal-use software development, respectively.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included in the condensed consolidated statements of operations was as follows (in thousands):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6"/>
          </w:tcPr>
          <w:p>
            <w:pPr>
              <w:ind w:left="180"/>
              <w:spacing w:after="0"/>
              <w:rPr>
                <w:sz w:val="20"/>
                <w:szCs w:val="20"/>
                <w:color w:val="auto"/>
              </w:rPr>
            </w:pPr>
            <w:r>
              <w:rPr>
                <w:rFonts w:ascii="Arial" w:cs="Arial" w:eastAsia="Arial" w:hAnsi="Arial"/>
                <w:sz w:val="18"/>
                <w:szCs w:val="18"/>
                <w:b w:val="1"/>
                <w:bCs w:val="1"/>
                <w:color w:val="auto"/>
                <w:w w:val="99"/>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9"/>
          </w:tcPr>
          <w:p>
            <w:pPr>
              <w:jc w:val="center"/>
              <w:ind w:right="50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4"/>
          </w:tcPr>
          <w:p>
            <w:pPr>
              <w:jc w:val="center"/>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5,643</w:t>
            </w:r>
          </w:p>
        </w:tc>
        <w:tc>
          <w:tcPr>
            <w:tcW w:w="580" w:type="dxa"/>
            <w:vAlign w:val="bottom"/>
            <w:gridSpan w:val="2"/>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4,627</w:t>
            </w:r>
          </w:p>
        </w:tc>
        <w:tc>
          <w:tcPr>
            <w:tcW w:w="4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16,797</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13,022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2,691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2,470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8,153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7,125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tcBorders>
              <w:right w:val="single" w:sz="8" w:color="CFF0FC"/>
            </w:tcBorders>
            <w:shd w:val="clear" w:color="auto" w:fill="CFF0FC"/>
          </w:tcPr>
          <w:p>
            <w:pPr>
              <w:ind w:left="80"/>
              <w:spacing w:after="0" w:line="182"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FF0FC"/>
              <w:right w:val="single" w:sz="8" w:color="CFF0FC"/>
            </w:tcBorders>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60" w:type="dxa"/>
            <w:vAlign w:val="bottom"/>
            <w:shd w:val="clear" w:color="auto" w:fill="CFF0FC"/>
          </w:tcPr>
          <w:p>
            <w:pPr>
              <w:jc w:val="center"/>
              <w:spacing w:after="0" w:line="182" w:lineRule="exact"/>
              <w:rPr>
                <w:sz w:val="20"/>
                <w:szCs w:val="20"/>
                <w:color w:val="auto"/>
              </w:rPr>
            </w:pPr>
            <w:r>
              <w:rPr>
                <w:rFonts w:ascii="Arial" w:cs="Arial" w:eastAsia="Arial" w:hAnsi="Arial"/>
                <w:sz w:val="18"/>
                <w:szCs w:val="18"/>
                <w:b w:val="1"/>
                <w:bCs w:val="1"/>
                <w:color w:val="auto"/>
              </w:rPr>
              <w:t>8,334</w:t>
            </w:r>
          </w:p>
        </w:tc>
        <w:tc>
          <w:tcPr>
            <w:tcW w:w="580" w:type="dxa"/>
            <w:vAlign w:val="bottom"/>
            <w:gridSpan w:val="2"/>
            <w:shd w:val="clear" w:color="auto" w:fill="CFF0FC"/>
          </w:tcPr>
          <w:p>
            <w:pPr>
              <w:jc w:val="right"/>
              <w:ind w:right="270"/>
              <w:spacing w:after="0" w:line="182" w:lineRule="exact"/>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7"/>
              </w:rPr>
              <w:t>7,097</w:t>
            </w:r>
          </w:p>
        </w:tc>
        <w:tc>
          <w:tcPr>
            <w:tcW w:w="42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gridSpan w:val="4"/>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24,950</w:t>
            </w:r>
          </w:p>
        </w:tc>
        <w:tc>
          <w:tcPr>
            <w:tcW w:w="24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20,147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43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8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100" w:type="dxa"/>
            <w:vAlign w:val="bottom"/>
            <w:gridSpan w:val="5"/>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September 30, 2025</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vMerge w:val="restart"/>
          </w:tcPr>
          <w:p>
            <w:pPr>
              <w:jc w:val="center"/>
              <w:ind w:right="2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vMerge w:val="restart"/>
          </w:tcPr>
          <w:p>
            <w:pPr>
              <w:jc w:val="center"/>
              <w:ind w:right="440"/>
              <w:spacing w:after="0"/>
              <w:rPr>
                <w:sz w:val="20"/>
                <w:szCs w:val="20"/>
                <w:color w:val="auto"/>
              </w:rPr>
            </w:pPr>
            <w:r>
              <w:rPr>
                <w:rFonts w:ascii="Arial" w:cs="Arial" w:eastAsia="Arial" w:hAnsi="Arial"/>
                <w:sz w:val="18"/>
                <w:szCs w:val="18"/>
                <w:b w:val="1"/>
                <w:bCs w:val="1"/>
                <w:color w:val="auto"/>
                <w:w w:val="99"/>
              </w:rPr>
              <w:t>Gross</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Net</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800" w:type="dxa"/>
            <w:vAlign w:val="bottom"/>
            <w:gridSpan w:val="5"/>
            <w:vMerge w:val="restart"/>
          </w:tcPr>
          <w:p>
            <w:pPr>
              <w:jc w:val="right"/>
              <w:ind w:right="420"/>
              <w:spacing w:after="0" w:line="202"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restart"/>
          </w:tcPr>
          <w:p>
            <w:pPr>
              <w:jc w:val="center"/>
              <w:ind w:right="40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3"/>
            <w:vMerge w:val="restart"/>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Carrying</w:t>
            </w:r>
          </w:p>
        </w:tc>
        <w:tc>
          <w:tcPr>
            <w:tcW w:w="1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7"/>
            <w:vMerge w:val="restart"/>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800" w:type="dxa"/>
            <w:vAlign w:val="bottom"/>
            <w:gridSpan w:val="5"/>
            <w:vMerge w:val="restart"/>
          </w:tcPr>
          <w:p>
            <w:pPr>
              <w:jc w:val="right"/>
              <w:ind w:right="440"/>
              <w:spacing w:after="0" w:line="202" w:lineRule="exact"/>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8"/>
                <w:szCs w:val="8"/>
                <w:color w:val="auto"/>
              </w:rPr>
            </w:pPr>
          </w:p>
        </w:tc>
        <w:tc>
          <w:tcPr>
            <w:tcW w:w="180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4"/>
            <w:vMerge w:val="restart"/>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3"/>
            <w:vMerge w:val="restart"/>
          </w:tcPr>
          <w:p>
            <w:pPr>
              <w:jc w:val="center"/>
              <w:ind w:right="440"/>
              <w:spacing w:after="0"/>
              <w:rPr>
                <w:sz w:val="20"/>
                <w:szCs w:val="20"/>
                <w:color w:val="auto"/>
              </w:rPr>
            </w:pPr>
            <w:r>
              <w:rPr>
                <w:rFonts w:ascii="Arial" w:cs="Arial" w:eastAsia="Arial" w:hAnsi="Arial"/>
                <w:sz w:val="18"/>
                <w:szCs w:val="18"/>
                <w:b w:val="1"/>
                <w:bCs w:val="1"/>
                <w:color w:val="auto"/>
                <w:w w:val="99"/>
              </w:rPr>
              <w:t>Amount</w:t>
            </w:r>
          </w:p>
        </w:tc>
        <w:tc>
          <w:tcPr>
            <w:tcW w:w="1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7"/>
            <w:vMerge w:val="restart"/>
          </w:tcPr>
          <w:p>
            <w:pPr>
              <w:jc w:val="center"/>
              <w:ind w:right="3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8"/>
              </w:rPr>
              <w:t>(Years)</w:t>
            </w: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21,816</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jc w:val="right"/>
              <w:ind w:right="45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4"/>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(21,588)</w:t>
            </w:r>
          </w:p>
        </w:tc>
        <w:tc>
          <w:tcPr>
            <w:tcW w:w="180" w:type="dxa"/>
            <w:vAlign w:val="bottom"/>
            <w:shd w:val="clear" w:color="auto" w:fill="CFF0FC"/>
          </w:tcPr>
          <w:p>
            <w:pPr>
              <w:jc w:val="center"/>
              <w:ind w:right="3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w:t>
            </w:r>
          </w:p>
        </w:tc>
        <w:tc>
          <w:tcPr>
            <w:tcW w:w="120" w:type="dxa"/>
            <w:vAlign w:val="bottom"/>
            <w:tcBorders>
              <w:lef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31,969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(19,164)</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12,805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2,869</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tcBorders>
              <w:right w:val="single" w:sz="8" w:color="CFF0FC"/>
            </w:tcBorders>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(2,869)</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4"/>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(4,032)</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right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60,692</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jc w:val="right"/>
              <w:ind w:right="45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4"/>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(47,653)</w:t>
            </w:r>
          </w:p>
        </w:tc>
        <w:tc>
          <w:tcPr>
            <w:tcW w:w="180" w:type="dxa"/>
            <w:vAlign w:val="bottom"/>
            <w:shd w:val="clear" w:color="auto" w:fill="CFF0FC"/>
          </w:tcPr>
          <w:p>
            <w:pPr>
              <w:jc w:val="center"/>
              <w:ind w:right="3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13,039</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vMerge w:val="restart"/>
          </w:tcPr>
          <w:p>
            <w:pPr>
              <w:jc w:val="center"/>
              <w:ind w:right="2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9"/>
              </w:rPr>
              <w:t>Gross</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Net</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800" w:type="dxa"/>
            <w:vAlign w:val="bottom"/>
            <w:gridSpan w:val="5"/>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restart"/>
          </w:tcPr>
          <w:p>
            <w:pPr>
              <w:jc w:val="center"/>
              <w:ind w:right="40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3"/>
            <w:vMerge w:val="restart"/>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Carrying</w:t>
            </w:r>
          </w:p>
        </w:tc>
        <w:tc>
          <w:tcPr>
            <w:tcW w:w="1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7"/>
            <w:vMerge w:val="restart"/>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800" w:type="dxa"/>
            <w:vAlign w:val="bottom"/>
            <w:gridSpan w:val="5"/>
            <w:vMerge w:val="restart"/>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180" w:type="dxa"/>
            <w:vAlign w:val="bottom"/>
          </w:tcPr>
          <w:p>
            <w:pPr>
              <w:spacing w:after="0"/>
              <w:rPr>
                <w:sz w:val="8"/>
                <w:szCs w:val="8"/>
                <w:color w:val="auto"/>
              </w:rPr>
            </w:pPr>
          </w:p>
        </w:tc>
        <w:tc>
          <w:tcPr>
            <w:tcW w:w="180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4"/>
            <w:vMerge w:val="restart"/>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9"/>
              </w:rPr>
              <w:t>Amount</w:t>
            </w:r>
          </w:p>
        </w:tc>
        <w:tc>
          <w:tcPr>
            <w:tcW w:w="1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7"/>
            <w:vMerge w:val="restart"/>
          </w:tcPr>
          <w:p>
            <w:pPr>
              <w:jc w:val="center"/>
              <w:ind w:right="3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21,798</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jc w:val="right"/>
              <w:ind w:right="413"/>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CFF0FC"/>
            </w:tcBorders>
            <w:gridSpan w:val="4"/>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(18,675)</w:t>
            </w:r>
          </w:p>
        </w:tc>
        <w:tc>
          <w:tcPr>
            <w:tcW w:w="1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3,123</w:t>
            </w:r>
          </w:p>
        </w:tc>
        <w:tc>
          <w:tcPr>
            <w:tcW w:w="120" w:type="dxa"/>
            <w:vAlign w:val="bottom"/>
            <w:tcBorders>
              <w:lef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31,946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(16,689)</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15,257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2,797</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tcBorders>
              <w:right w:val="single" w:sz="8" w:color="CFF0FC"/>
            </w:tcBorders>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(2,789)</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Borders>
              <w:lef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(3,350)</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right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60,579</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jc w:val="right"/>
              <w:ind w:right="413"/>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CFF0FC"/>
            </w:tcBorders>
            <w:gridSpan w:val="4"/>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(41,503)</w:t>
            </w:r>
          </w:p>
        </w:tc>
        <w:tc>
          <w:tcPr>
            <w:tcW w:w="1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19,076</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-3428365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-3411220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-3428365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-3411220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-3428365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-3411220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-1628140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-1610995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-1628140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-1610995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-1628140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-1610995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Amortization expense of intangible assets was $1.8 million and $2.0 million for the three months ended September 30, 2025 and 2024, respectively, and $6.0 million and $6.1 million for the nine months ended September 30, 2025 and 2024,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2025, future expected amortization expense is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shd w:val="clear" w:color="auto" w:fill="CFF0FC"/>
          </w:tcPr>
          <w:p>
            <w:pPr>
              <w:jc w:val="right"/>
              <w:ind w:right="2930"/>
              <w:spacing w:after="0"/>
              <w:rPr>
                <w:sz w:val="20"/>
                <w:szCs w:val="20"/>
                <w:color w:val="auto"/>
              </w:rPr>
            </w:pPr>
            <w:r>
              <w:rPr>
                <w:rFonts w:ascii="Arial" w:cs="Arial" w:eastAsia="Arial" w:hAnsi="Arial"/>
                <w:sz w:val="18"/>
                <w:szCs w:val="18"/>
                <w:b w:val="1"/>
                <w:bCs w:val="1"/>
                <w:color w:val="auto"/>
                <w:w w:val="99"/>
              </w:rPr>
              <w:t>Years Ending December 31,</w:t>
            </w:r>
          </w:p>
        </w:tc>
        <w:tc>
          <w:tcPr>
            <w:tcW w:w="25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400" w:type="dxa"/>
            <w:vAlign w:val="bottom"/>
          </w:tcPr>
          <w:p>
            <w:pPr>
              <w:jc w:val="right"/>
              <w:ind w:right="4790"/>
              <w:spacing w:after="0" w:line="202" w:lineRule="exact"/>
              <w:rPr>
                <w:sz w:val="20"/>
                <w:szCs w:val="20"/>
                <w:color w:val="auto"/>
              </w:rPr>
            </w:pPr>
            <w:r>
              <w:rPr>
                <w:rFonts w:ascii="Arial" w:cs="Arial" w:eastAsia="Arial" w:hAnsi="Arial"/>
                <w:sz w:val="18"/>
                <w:szCs w:val="18"/>
                <w:color w:val="auto"/>
              </w:rPr>
              <w:t>2025</w:t>
            </w:r>
          </w:p>
        </w:tc>
        <w:tc>
          <w:tcPr>
            <w:tcW w:w="390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1,052</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jc w:val="right"/>
              <w:ind w:right="4790"/>
              <w:spacing w:after="0" w:line="202" w:lineRule="exact"/>
              <w:rPr>
                <w:sz w:val="20"/>
                <w:szCs w:val="20"/>
                <w:color w:val="auto"/>
              </w:rPr>
            </w:pPr>
            <w:r>
              <w:rPr>
                <w:rFonts w:ascii="Arial" w:cs="Arial" w:eastAsia="Arial" w:hAnsi="Arial"/>
                <w:sz w:val="18"/>
                <w:szCs w:val="18"/>
                <w:color w:val="auto"/>
              </w:rPr>
              <w:t>2026</w:t>
            </w:r>
          </w:p>
        </w:tc>
        <w:tc>
          <w:tcPr>
            <w:tcW w:w="25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5400" w:type="dxa"/>
            <w:vAlign w:val="bottom"/>
          </w:tcPr>
          <w:p>
            <w:pPr>
              <w:jc w:val="right"/>
              <w:ind w:right="4790"/>
              <w:spacing w:after="0" w:line="202" w:lineRule="exact"/>
              <w:rPr>
                <w:sz w:val="20"/>
                <w:szCs w:val="20"/>
                <w:color w:val="auto"/>
              </w:rPr>
            </w:pPr>
            <w:r>
              <w:rPr>
                <w:rFonts w:ascii="Arial" w:cs="Arial" w:eastAsia="Arial" w:hAnsi="Arial"/>
                <w:sz w:val="18"/>
                <w:szCs w:val="18"/>
                <w:color w:val="auto"/>
              </w:rPr>
              <w:t>2027</w:t>
            </w:r>
          </w:p>
        </w:tc>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jc w:val="right"/>
              <w:ind w:right="4790"/>
              <w:spacing w:after="0" w:line="202" w:lineRule="exact"/>
              <w:rPr>
                <w:sz w:val="20"/>
                <w:szCs w:val="20"/>
                <w:color w:val="auto"/>
              </w:rPr>
            </w:pPr>
            <w:r>
              <w:rPr>
                <w:rFonts w:ascii="Arial" w:cs="Arial" w:eastAsia="Arial" w:hAnsi="Arial"/>
                <w:sz w:val="18"/>
                <w:szCs w:val="18"/>
                <w:color w:val="auto"/>
              </w:rPr>
              <w:t>2028</w:t>
            </w:r>
          </w:p>
        </w:tc>
        <w:tc>
          <w:tcPr>
            <w:tcW w:w="25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5400" w:type="dxa"/>
            <w:vAlign w:val="bottom"/>
          </w:tcPr>
          <w:p>
            <w:pPr>
              <w:jc w:val="right"/>
              <w:ind w:right="4790"/>
              <w:spacing w:after="0" w:line="202" w:lineRule="exact"/>
              <w:rPr>
                <w:sz w:val="20"/>
                <w:szCs w:val="20"/>
                <w:color w:val="auto"/>
              </w:rPr>
            </w:pPr>
            <w:r>
              <w:rPr>
                <w:rFonts w:ascii="Arial" w:cs="Arial" w:eastAsia="Arial" w:hAnsi="Arial"/>
                <w:sz w:val="18"/>
                <w:szCs w:val="18"/>
                <w:color w:val="auto"/>
              </w:rPr>
              <w:t>2029</w:t>
            </w:r>
          </w:p>
        </w:tc>
        <w:tc>
          <w:tcPr>
            <w:tcW w:w="254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100" w:type="dxa"/>
            <w:vAlign w:val="bottom"/>
          </w:tcPr>
          <w:p>
            <w:pPr>
              <w:spacing w:after="0"/>
              <w:rPr>
                <w:sz w:val="17"/>
                <w:szCs w:val="17"/>
                <w:color w:val="auto"/>
              </w:rPr>
            </w:pPr>
          </w:p>
        </w:tc>
      </w:tr>
      <w:tr>
        <w:trPr>
          <w:trHeight w:val="216"/>
        </w:trPr>
        <w:tc>
          <w:tcPr>
            <w:tcW w:w="5400" w:type="dxa"/>
            <w:vAlign w:val="bottom"/>
            <w:shd w:val="clear" w:color="auto" w:fill="CFF0FC"/>
          </w:tcPr>
          <w:p>
            <w:pPr>
              <w:jc w:val="right"/>
              <w:ind w:right="2430"/>
              <w:spacing w:after="0" w:line="196" w:lineRule="exact"/>
              <w:rPr>
                <w:sz w:val="20"/>
                <w:szCs w:val="20"/>
                <w:color w:val="auto"/>
              </w:rPr>
            </w:pPr>
            <w:r>
              <w:rPr>
                <w:rFonts w:ascii="Arial" w:cs="Arial" w:eastAsia="Arial" w:hAnsi="Arial"/>
                <w:sz w:val="18"/>
                <w:szCs w:val="18"/>
                <w:color w:val="auto"/>
              </w:rPr>
              <w:t>Total future amortization expense</w:t>
            </w:r>
          </w:p>
        </w:tc>
        <w:tc>
          <w:tcPr>
            <w:tcW w:w="3900" w:type="dxa"/>
            <w:vAlign w:val="bottom"/>
            <w:gridSpan w:val="2"/>
            <w:shd w:val="clear" w:color="auto" w:fill="CFF0FC"/>
          </w:tcPr>
          <w:p>
            <w:pPr>
              <w:jc w:val="right"/>
              <w:ind w:right="1260"/>
              <w:spacing w:after="0" w:line="196" w:lineRule="exact"/>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13,039</w:t>
            </w:r>
          </w:p>
        </w:tc>
        <w:tc>
          <w:tcPr>
            <w:tcW w:w="10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three or nine months ended September 30,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Prepaid expenses and other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prepaid expenses and other assets is as follows (in thousands):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7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6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9,720</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6,584</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Contract acquisition costs</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2,832</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prepaid expenses and other assets</w:t>
            </w: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20,552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16,073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Contract acquisition costs consist of upfront customer contract discounts, unamortized warrants cost and sales commissions. Other assets consist of security deposits for leased properties, investment in term deposits and input tax receivables.</w:t>
      </w:r>
    </w:p>
    <w:p>
      <w:pPr>
        <w:sectPr>
          <w:pgSz w:w="11900" w:h="16838" w:orient="portrait"/>
          <w:cols w:equalWidth="0" w:num="1">
            <w:col w:w="11240"/>
          </w:cols>
          <w:pgMar w:left="320" w:top="971" w:right="339" w:bottom="1440" w:gutter="0" w:footer="0" w:header="0"/>
        </w:sectPr>
      </w:pPr>
    </w:p>
    <w:p>
      <w:pPr>
        <w:spacing w:after="0" w:line="15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accrued and other liabilities is as follows (in thousands):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Payroll and employee-related expenses</w:t>
      </w:r>
    </w:p>
    <w:p>
      <w:pPr>
        <w:ind w:left="10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Total accrued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r>
      <w:tr>
        <w:trPr>
          <w:trHeight w:val="38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15,069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16,650</w:t>
            </w:r>
          </w:p>
        </w:tc>
      </w:tr>
      <w:tr>
        <w:trPr>
          <w:trHeight w:val="203"/>
        </w:trPr>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8,095</w:t>
            </w:r>
          </w:p>
        </w:tc>
      </w:tr>
      <w:tr>
        <w:trPr>
          <w:trHeight w:val="221"/>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r>
      <w:tr>
        <w:trPr>
          <w:trHeight w:val="196"/>
        </w:trPr>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26,469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26,462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960" w:space="720"/>
            <w:col w:w="3560"/>
          </w:cols>
          <w:pgMar w:left="320" w:top="971" w:right="339" w:bottom="1440" w:gutter="0" w:footer="0" w:header="0"/>
          <w:type w:val="continuous"/>
        </w:sectPr>
      </w:pPr>
    </w:p>
    <w:p>
      <w:pPr>
        <w:jc w:val="both"/>
        <w:ind w:firstLine="494"/>
        <w:spacing w:after="0" w:line="253" w:lineRule="auto"/>
        <w:rPr>
          <w:sz w:val="20"/>
          <w:szCs w:val="20"/>
          <w:color w:val="auto"/>
        </w:rPr>
      </w:pPr>
      <w:r>
        <w:rPr>
          <w:rFonts w:ascii="Arial" w:cs="Arial" w:eastAsia="Arial" w:hAnsi="Arial"/>
          <w:sz w:val="18"/>
          <w:szCs w:val="18"/>
          <w:color w:val="auto"/>
        </w:rPr>
        <w:t>Other accrued expenses consist of professional services, insurance and legal accruals, obligations related to agency commissions and other miscellaneous accruals. Other liabilities primarily consist of amounts payable to customers related to refunds arising from various circumstances, including dispute settlements and other customer-related transactions.</w:t>
      </w:r>
    </w:p>
    <w:p>
      <w:pPr>
        <w:spacing w:after="0" w:line="16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2024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From time to time as appropriate, the Company accrues liabilities related to legal claims in its financial statements. Accrued liabilities related to legal matters, if any, are included within other accrued expenses in Note 7. If the loss is not probable or cannot be reasonably estimated, a liability is not recorded in its condensed consolidated financial statements. While it is not feasible to predict or determine the ultimate outcome of these matters, the Company believes that, as of September 30, 2025, no current claims and legal proceedings are expected to have a material adverse effect on its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8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was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September 30, 2025, all 509,370 warrant shares were vested and exercisable under the May 2021 warrant agreement.</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is subject to the achievement of certain commercial milestones through December 31, 2026 pursuant to the commercial agreement, as amended. As of September 30, 2025, 175,904 warrant shares were vested and exercisable under the August 2022 warrant agreement.</w:t>
      </w:r>
    </w:p>
    <w:p>
      <w:pPr>
        <w:spacing w:after="0" w:line="77"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cs="Arial" w:eastAsia="Arial" w:hAnsi="Arial"/>
          <w:sz w:val="18"/>
          <w:szCs w:val="18"/>
          <w:i w:val="1"/>
          <w:iCs w:val="1"/>
          <w:color w:val="auto"/>
        </w:rPr>
        <w:t>Compensation-Stock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2025, pursuant to the Evergreen Addition, approximately 5.0 million shares of Class A common stock were added to the 2021 Plan issuance reserve. At September 30, 2025, there were approximately 25.4 million remaining shares available for the Company to grant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6" w:name="page17"/>
    <w:bookmarkEnd w:id="16"/>
    <w:p>
      <w:pPr>
        <w:jc w:val="both"/>
        <w:ind w:firstLine="494"/>
        <w:spacing w:after="0" w:line="271" w:lineRule="auto"/>
        <w:rPr>
          <w:sz w:val="20"/>
          <w:szCs w:val="20"/>
          <w:color w:val="auto"/>
        </w:rPr>
      </w:pPr>
      <w:r>
        <w:rPr>
          <w:rFonts w:ascii="Arial" w:cs="Arial" w:eastAsia="Arial" w:hAnsi="Arial"/>
          <w:sz w:val="18"/>
          <w:szCs w:val="18"/>
          <w:color w:val="auto"/>
        </w:rPr>
        <w:t>A summary of the Company’s option activity during the nine months ended September 30, 2025 was as follows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Weighted-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740" w:type="dxa"/>
            <w:vAlign w:val="bottom"/>
          </w:tcPr>
          <w:p>
            <w:pPr>
              <w:spacing w:after="0"/>
              <w:rPr>
                <w:sz w:val="17"/>
                <w:szCs w:val="17"/>
                <w:color w:val="auto"/>
              </w:rPr>
            </w:pPr>
          </w:p>
        </w:tc>
        <w:tc>
          <w:tcPr>
            <w:tcW w:w="17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Options</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740" w:type="dxa"/>
            <w:vAlign w:val="bottom"/>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rPr>
              <w:t>per Share</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3,534,103</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8.47</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4.26</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85,525</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Options exercised</w:t>
            </w: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(70,227)</w:t>
            </w:r>
          </w:p>
        </w:tc>
        <w:tc>
          <w:tcPr>
            <w:tcW w:w="12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1.40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Options forfeited</w:t>
            </w:r>
          </w:p>
        </w:tc>
        <w:tc>
          <w:tcPr>
            <w:tcW w:w="1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(7,667)</w:t>
            </w:r>
          </w:p>
        </w:tc>
        <w:tc>
          <w:tcPr>
            <w:tcW w:w="12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0.28</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7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at September 30, 2025</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3,456,209</w:t>
            </w:r>
          </w:p>
        </w:tc>
        <w:tc>
          <w:tcPr>
            <w:tcW w:w="10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96"/>
              </w:rPr>
              <w:t>8.63</w:t>
            </w:r>
          </w:p>
        </w:tc>
        <w:tc>
          <w:tcPr>
            <w:tcW w:w="16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3.57</w:t>
            </w:r>
          </w:p>
        </w:tc>
        <w:tc>
          <w:tcPr>
            <w:tcW w:w="260" w:type="dxa"/>
            <w:vAlign w:val="bottom"/>
            <w:tcBorders>
              <w:top w:val="single" w:sz="8" w:color="CFF0FC"/>
            </w:tcBorders>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75,926</w:t>
            </w:r>
          </w:p>
        </w:tc>
        <w:tc>
          <w:tcPr>
            <w:tcW w:w="100" w:type="dxa"/>
            <w:vAlign w:val="bottom"/>
            <w:tcBorders>
              <w:top w:val="single" w:sz="8" w:color="CFF0FC"/>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Exercisable at September 30, 2025</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3,451,470</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6"/>
              </w:rPr>
              <w:t>8.63</w:t>
            </w:r>
          </w:p>
        </w:tc>
        <w:tc>
          <w:tcPr>
            <w:tcW w:w="16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3.56</w:t>
            </w:r>
          </w:p>
        </w:tc>
        <w:tc>
          <w:tcPr>
            <w:tcW w:w="26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75,825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-316865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There were no options granted during the nine months ended September 30, 2025. Aggregate intrinsic value represents the difference between the exercise price of the options and the fair value of the Company’s common stock.</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September 30, 2025, there was $0.1 million of total unrecognized compensation cost related to unvested stock options granted under the 2012 Equity Incentive Plan, which is expected to be recognized over a remaining weighted-average period of 0.3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nine months ended September 30, 2025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788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RSUs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7880" w:type="dxa"/>
            <w:vAlign w:val="bottom"/>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Awarded and unvested at December 31, 2024</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2,096,168</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1,707,306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30.51</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Awards vested</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(728,003)</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forfeited</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(59,305)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18.72</w:t>
            </w:r>
          </w:p>
        </w:tc>
        <w:tc>
          <w:tcPr>
            <w:tcW w:w="100" w:type="dxa"/>
            <w:vAlign w:val="bottom"/>
          </w:tcPr>
          <w:p>
            <w:pPr>
              <w:spacing w:after="0"/>
              <w:rPr>
                <w:sz w:val="17"/>
                <w:szCs w:val="17"/>
                <w:color w:val="auto"/>
              </w:rPr>
            </w:pPr>
          </w:p>
        </w:tc>
      </w:tr>
      <w:tr>
        <w:trPr>
          <w:trHeight w:val="236"/>
        </w:trPr>
        <w:tc>
          <w:tcPr>
            <w:tcW w:w="7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Awarded and unvested at September 30, 2025</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3,016,166</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is one year from the date of grant for directors and generally ranges between four years and five years from the date of grant for employees, subject to continued provision of services for non-employees and continued employment for employees.</w:t>
      </w:r>
    </w:p>
    <w:p>
      <w:pPr>
        <w:spacing w:after="0" w:line="66"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At September 30, 2025, there was $67.2 million of total unrecognized compensation cost related to unvested RSUs granted under the 2021 Plan, which is expected to be recognized over a remaining weighted-average period of 3.6 years.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Stock-based compensation expense (including amortization of capitalized warrants cost) included in the condensed consolidated statements of operations was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4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2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w:t>
            </w:r>
          </w:p>
        </w:tc>
        <w:tc>
          <w:tcPr>
            <w:tcW w:w="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2,277</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4,886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4,135</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6,600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2,828</w:t>
            </w:r>
          </w:p>
        </w:tc>
        <w:tc>
          <w:tcPr>
            <w:tcW w:w="100" w:type="dxa"/>
            <w:vAlign w:val="bottom"/>
          </w:tcPr>
          <w:p>
            <w:pPr>
              <w:spacing w:after="0"/>
              <w:rPr>
                <w:sz w:val="17"/>
                <w:szCs w:val="17"/>
                <w:color w:val="auto"/>
              </w:rPr>
            </w:pPr>
          </w:p>
        </w:tc>
      </w:tr>
      <w:tr>
        <w:trPr>
          <w:trHeight w:val="236"/>
        </w:trPr>
        <w:tc>
          <w:tcPr>
            <w:tcW w:w="410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 stock-based compensation</w:t>
            </w:r>
          </w:p>
        </w:tc>
        <w:tc>
          <w:tcPr>
            <w:tcW w:w="200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5,724</w:t>
            </w:r>
          </w:p>
        </w:tc>
        <w:tc>
          <w:tcPr>
            <w:tcW w:w="3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3,168</w:t>
            </w:r>
          </w:p>
        </w:tc>
        <w:tc>
          <w:tcPr>
            <w:tcW w:w="3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14,557</w:t>
            </w:r>
          </w:p>
        </w:tc>
        <w:tc>
          <w:tcPr>
            <w:tcW w:w="32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9,424</w:t>
            </w:r>
          </w:p>
        </w:tc>
        <w:tc>
          <w:tcPr>
            <w:tcW w:w="100" w:type="dxa"/>
            <w:vAlign w:val="bottom"/>
            <w:shd w:val="clear" w:color="auto" w:fill="CFF0FC"/>
          </w:tcPr>
          <w:p>
            <w:pPr>
              <w:spacing w:after="0"/>
              <w:rPr>
                <w:sz w:val="20"/>
                <w:szCs w:val="20"/>
                <w:color w:val="auto"/>
              </w:rPr>
            </w:pPr>
          </w:p>
        </w:tc>
      </w:tr>
      <w:tr>
        <w:trPr>
          <w:trHeight w:val="632"/>
        </w:trPr>
        <w:tc>
          <w:tcPr>
            <w:tcW w:w="410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-925195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-908050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-925195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-908050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-925195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-908050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computes its tax provision for the three and nine months ended September 30, 2025 by applying the estimated annual effective tax rate to year-to-date income from recurring operations and adjusting for discrete items arising in that quarter.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40" w:type="dxa"/>
            <w:vAlign w:val="bottom"/>
            <w:gridSpan w:val="2"/>
          </w:tcPr>
          <w:p>
            <w:pPr>
              <w:ind w:left="500"/>
              <w:spacing w:after="0"/>
              <w:rPr>
                <w:sz w:val="20"/>
                <w:szCs w:val="20"/>
                <w:color w:val="auto"/>
              </w:rPr>
            </w:pPr>
            <w:r>
              <w:rPr>
                <w:rFonts w:ascii="Arial" w:cs="Arial" w:eastAsia="Arial" w:hAnsi="Arial"/>
                <w:sz w:val="18"/>
                <w:szCs w:val="18"/>
                <w:color w:val="auto"/>
              </w:rPr>
              <w:t>The Company’s effective tax rate is as follows: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4"/>
        </w:trPr>
        <w:tc>
          <w:tcPr>
            <w:tcW w:w="5820" w:type="dxa"/>
            <w:vAlign w:val="bottom"/>
          </w:tcPr>
          <w:p>
            <w:pPr>
              <w:spacing w:after="0"/>
              <w:rPr>
                <w:sz w:val="23"/>
                <w:szCs w:val="23"/>
                <w:color w:val="auto"/>
              </w:rPr>
            </w:pPr>
          </w:p>
        </w:tc>
        <w:tc>
          <w:tcPr>
            <w:tcW w:w="222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5820" w:type="dxa"/>
            <w:vAlign w:val="bottom"/>
          </w:tcPr>
          <w:p>
            <w:pPr>
              <w:spacing w:after="0"/>
              <w:rPr>
                <w:sz w:val="19"/>
                <w:szCs w:val="19"/>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5820" w:type="dxa"/>
            <w:vAlign w:val="bottom"/>
          </w:tcPr>
          <w:p>
            <w:pPr>
              <w:spacing w:after="0"/>
              <w:rPr>
                <w:sz w:val="17"/>
                <w:szCs w:val="17"/>
                <w:color w:val="auto"/>
              </w:rPr>
            </w:pPr>
          </w:p>
        </w:tc>
        <w:tc>
          <w:tcPr>
            <w:tcW w:w="820" w:type="dxa"/>
            <w:vAlign w:val="bottom"/>
            <w:tcBorders>
              <w:top w:val="single" w:sz="8" w:color="auto"/>
              <w:bottom w:val="single" w:sz="8" w:color="auto"/>
            </w:tcBorders>
          </w:tcPr>
          <w:p>
            <w:pPr>
              <w:ind w:left="400"/>
              <w:spacing w:after="0" w:line="196" w:lineRule="exact"/>
              <w:rPr>
                <w:sz w:val="20"/>
                <w:szCs w:val="20"/>
                <w:color w:val="auto"/>
              </w:rPr>
            </w:pPr>
            <w:r>
              <w:rPr>
                <w:rFonts w:ascii="Arial" w:cs="Arial" w:eastAsia="Arial" w:hAnsi="Arial"/>
                <w:sz w:val="18"/>
                <w:szCs w:val="18"/>
                <w:b w:val="1"/>
                <w:bCs w:val="1"/>
                <w:color w:val="auto"/>
                <w:w w:val="99"/>
              </w:rPr>
              <w:t>2025</w:t>
            </w:r>
          </w:p>
        </w:tc>
        <w:tc>
          <w:tcPr>
            <w:tcW w:w="4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r>
      <w:tr>
        <w:trPr>
          <w:trHeight w:val="196"/>
        </w:trPr>
        <w:tc>
          <w:tcPr>
            <w:tcW w:w="66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Effective tax rate</w:t>
            </w:r>
          </w:p>
        </w:tc>
        <w:tc>
          <w:tcPr>
            <w:tcW w:w="5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21.5%</w:t>
            </w:r>
          </w:p>
        </w:tc>
        <w:tc>
          <w:tcPr>
            <w:tcW w:w="8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0.03%</w:t>
            </w:r>
          </w:p>
        </w:tc>
        <w:tc>
          <w:tcPr>
            <w:tcW w:w="1500" w:type="dxa"/>
            <w:vAlign w:val="bottom"/>
            <w:gridSpan w:val="2"/>
            <w:shd w:val="clear" w:color="auto" w:fill="CFF0FC"/>
          </w:tcPr>
          <w:p>
            <w:pPr>
              <w:jc w:val="center"/>
              <w:ind w:left="870"/>
              <w:spacing w:after="0" w:line="196" w:lineRule="exact"/>
              <w:rPr>
                <w:sz w:val="20"/>
                <w:szCs w:val="20"/>
                <w:color w:val="auto"/>
              </w:rPr>
            </w:pPr>
            <w:r>
              <w:rPr>
                <w:rFonts w:ascii="Arial" w:cs="Arial" w:eastAsia="Arial" w:hAnsi="Arial"/>
                <w:sz w:val="18"/>
                <w:szCs w:val="18"/>
                <w:color w:val="auto"/>
              </w:rPr>
              <w:t>21.3%</w:t>
            </w:r>
          </w:p>
        </w:tc>
        <w:tc>
          <w:tcPr>
            <w:tcW w:w="11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17.6%</w:t>
            </w:r>
          </w:p>
        </w:tc>
      </w:tr>
    </w:tbl>
    <w:p>
      <w:pPr>
        <w:spacing w:after="0" w:line="8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difference between the Company’s effective tax rate and the U.S. federal statutory rate of 21.0% in the periods presented was primarily the result of permanent differences for disallowed compensation pursuant to Internal Revenue Code ("IRC") Section 162(m)), state taxes, and discrete excess tax benefits from stock-based compensation.</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Additionally, the three and nine months ended September 30, 2025, were impacted by the finalization of prior year Canadian and U.S. research and development ("R&amp;D") credit claims that were finalized during 2025. The three and nine months ended September 30, 2024, were also impacted by the release of a valuation allowance against U.S. deferred tax assets.</w:t>
      </w:r>
    </w:p>
    <w:p>
      <w:pPr>
        <w:spacing w:after="0" w:line="6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Company forecasts an estimated effective tax rate in 2025, exclusive of discrete benefits, of 28%, which primarily differs from the U.S. federal statutory rate due to state taxes and permanent differences on nondeductible compensation.</w:t>
      </w:r>
    </w:p>
    <w:p>
      <w:pPr>
        <w:spacing w:after="0" w:line="46"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On July 4, 2025, H.R. 1, known as The One Big, Beautiful Bill Act (the "OBBBA"), was enacted. The OBBBA contains significant changes to corporate taxation, including increased deductions for capital spending, expensing of domestic R&amp;D costs, and increased deductibility of interest expense deductions. The Company has completed its initial assessment of the OBBBA corporate tax provisions and has determined to elect Section 174 for fiscal year 2025, pursuant to the changes introduced under the OBBBA. Specifically, the Company plans to immediately expense domestic R&amp;D costs over one year, as permitted under the revised Section 174 treatment. The Company currently expects the impact of applying this provision to result in favorable cash tax impacts for the 2025 fiscal year, and minimal impact to the effective tax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 Attributable to Common Stock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Basic net income per share attributable to common stock is computed by dividing net income for the period by the weighted average number of common shares outstanding during the period.</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8" w:name="page19"/>
    <w:bookmarkEnd w:id="18"/>
    <w:p>
      <w:pPr>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17,744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14,430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46,264</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60" w:type="dxa"/>
            <w:vAlign w:val="bottom"/>
          </w:tcPr>
          <w:p>
            <w:pPr>
              <w:ind w:left="120"/>
              <w:spacing w:after="0" w:line="183" w:lineRule="exact"/>
              <w:rPr>
                <w:sz w:val="20"/>
                <w:szCs w:val="20"/>
                <w:color w:val="auto"/>
              </w:rPr>
            </w:pPr>
            <w:r>
              <w:rPr>
                <w:rFonts w:ascii="Arial" w:cs="Arial" w:eastAsia="Arial" w:hAnsi="Arial"/>
                <w:sz w:val="18"/>
                <w:szCs w:val="18"/>
                <w:b w:val="1"/>
                <w:bCs w:val="1"/>
                <w:color w:val="auto"/>
              </w:rPr>
              <w:t>Weighted-average shares of common stock —</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125,341,855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124,538,195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125,159,766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124,251,147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2,557,228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2,210,027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2,554,109</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2,178,842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RSUs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1,003,188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721,882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1,002,598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714,991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Dilutive effect of warrants</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347,206</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144,011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336,931</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109,631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360" w:type="dxa"/>
            <w:vAlign w:val="bottom"/>
          </w:tcPr>
          <w:p>
            <w:pPr>
              <w:ind w:left="120"/>
              <w:spacing w:after="0" w:line="177" w:lineRule="exact"/>
              <w:rPr>
                <w:sz w:val="20"/>
                <w:szCs w:val="20"/>
                <w:color w:val="auto"/>
              </w:rPr>
            </w:pPr>
            <w:r>
              <w:rPr>
                <w:rFonts w:ascii="Arial" w:cs="Arial" w:eastAsia="Arial" w:hAnsi="Arial"/>
                <w:sz w:val="18"/>
                <w:szCs w:val="18"/>
                <w:b w:val="1"/>
                <w:bCs w:val="1"/>
                <w:color w:val="auto"/>
              </w:rPr>
              <w:t>Weighted-average shares of common stock —</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129,249,477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127,614,115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129,053,404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127,254,611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60" w:type="dxa"/>
            <w:vAlign w:val="bottom"/>
          </w:tcPr>
          <w:p>
            <w:pPr>
              <w:ind w:left="120"/>
              <w:spacing w:after="0" w:line="161" w:lineRule="exact"/>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0.14</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-650875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-650875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-650875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summarizes the weighted average securities that were excluded from the computation of diluted net income per share attributable to common stock as their inclusion would have been antidilutive: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32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19"/>
                <w:szCs w:val="19"/>
                <w:color w:val="auto"/>
              </w:rPr>
            </w:pPr>
          </w:p>
        </w:tc>
        <w:tc>
          <w:tcPr>
            <w:tcW w:w="33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 September 30,</w:t>
            </w:r>
          </w:p>
        </w:tc>
      </w:tr>
      <w:tr>
        <w:trPr>
          <w:trHeight w:val="196"/>
        </w:trPr>
        <w:tc>
          <w:tcPr>
            <w:tcW w:w="46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1,900</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150,723</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1,788</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200,322</w:t>
            </w:r>
          </w:p>
        </w:tc>
        <w:tc>
          <w:tcPr>
            <w:tcW w:w="100" w:type="dxa"/>
            <w:vAlign w:val="bottom"/>
            <w:shd w:val="clear" w:color="auto" w:fill="CFF0FC"/>
          </w:tcPr>
          <w:p>
            <w:pPr>
              <w:spacing w:after="0"/>
              <w:rPr>
                <w:sz w:val="17"/>
                <w:szCs w:val="17"/>
                <w:color w:val="auto"/>
              </w:rPr>
            </w:pPr>
          </w:p>
        </w:tc>
      </w:tr>
      <w:tr>
        <w:trPr>
          <w:trHeight w:val="544"/>
        </w:trPr>
        <w:tc>
          <w:tcPr>
            <w:tcW w:w="4600" w:type="dxa"/>
            <w:vAlign w:val="bottom"/>
          </w:tcPr>
          <w:p>
            <w:pPr>
              <w:spacing w:after="0"/>
              <w:rPr>
                <w:sz w:val="24"/>
                <w:szCs w:val="24"/>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2,500 biller business and financial institution clients. Our platform was used by approximately 46 million consumers and businesses globally in December 2024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5"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80" w:type="dxa"/>
            <w:vAlign w:val="bottom"/>
          </w:tcPr>
          <w:p>
            <w:pPr>
              <w:spacing w:after="0"/>
              <w:rPr>
                <w:sz w:val="20"/>
                <w:szCs w:val="20"/>
                <w:color w:val="auto"/>
              </w:rPr>
            </w:pPr>
            <w:r>
              <w:rPr>
                <w:rFonts w:ascii="Arial" w:cs="Arial" w:eastAsia="Arial" w:hAnsi="Arial"/>
                <w:sz w:val="18"/>
                <w:szCs w:val="18"/>
                <w:b w:val="1"/>
                <w:bCs w:val="1"/>
                <w:color w:val="auto"/>
              </w:rPr>
              <w:t>Transactions Processed</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66"/>
        </w:trPr>
        <w:tc>
          <w:tcPr>
            <w:tcW w:w="5680" w:type="dxa"/>
            <w:vAlign w:val="bottom"/>
          </w:tcPr>
          <w:p>
            <w:pPr>
              <w:spacing w:after="0"/>
              <w:rPr>
                <w:sz w:val="23"/>
                <w:szCs w:val="23"/>
                <w:color w:val="auto"/>
              </w:rPr>
            </w:pPr>
          </w:p>
        </w:tc>
        <w:tc>
          <w:tcPr>
            <w:tcW w:w="28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7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5680" w:type="dxa"/>
            <w:vAlign w:val="bottom"/>
          </w:tcPr>
          <w:p>
            <w:pPr>
              <w:spacing w:after="0"/>
              <w:rPr>
                <w:sz w:val="19"/>
                <w:szCs w:val="19"/>
                <w:color w:val="auto"/>
              </w:rPr>
            </w:pPr>
          </w:p>
        </w:tc>
        <w:tc>
          <w:tcPr>
            <w:tcW w:w="2800" w:type="dxa"/>
            <w:vAlign w:val="bottom"/>
            <w:gridSpan w:val="6"/>
          </w:tcPr>
          <w:p>
            <w:pPr>
              <w:ind w:left="700"/>
              <w:spacing w:after="0"/>
              <w:rPr>
                <w:sz w:val="20"/>
                <w:szCs w:val="20"/>
                <w:color w:val="auto"/>
              </w:rPr>
            </w:pPr>
            <w:r>
              <w:rPr>
                <w:rFonts w:ascii="Arial" w:cs="Arial" w:eastAsia="Arial" w:hAnsi="Arial"/>
                <w:sz w:val="18"/>
                <w:szCs w:val="18"/>
                <w:b w:val="1"/>
                <w:bCs w:val="1"/>
                <w:color w:val="auto"/>
              </w:rPr>
              <w:t>September 30,</w:t>
            </w:r>
          </w:p>
        </w:tc>
        <w:tc>
          <w:tcPr>
            <w:tcW w:w="27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9"/>
              </w:rPr>
              <w:t>September 30,</w:t>
            </w:r>
          </w:p>
        </w:tc>
      </w:tr>
      <w:tr>
        <w:trPr>
          <w:trHeight w:val="177"/>
        </w:trPr>
        <w:tc>
          <w:tcPr>
            <w:tcW w:w="56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270"/>
              <w:spacing w:after="0" w:line="177"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21"/>
        </w:trPr>
        <w:tc>
          <w:tcPr>
            <w:tcW w:w="5680" w:type="dxa"/>
            <w:vAlign w:val="bottom"/>
          </w:tcPr>
          <w:p>
            <w:pPr>
              <w:spacing w:after="0"/>
              <w:rPr>
                <w:sz w:val="19"/>
                <w:szCs w:val="19"/>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Growth</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Growth</w:t>
            </w:r>
          </w:p>
        </w:tc>
        <w:tc>
          <w:tcPr>
            <w:tcW w:w="180" w:type="dxa"/>
            <w:vAlign w:val="bottom"/>
          </w:tcPr>
          <w:p>
            <w:pPr>
              <w:spacing w:after="0"/>
              <w:rPr>
                <w:sz w:val="19"/>
                <w:szCs w:val="19"/>
                <w:color w:val="auto"/>
              </w:rPr>
            </w:pPr>
          </w:p>
        </w:tc>
      </w:tr>
      <w:tr>
        <w:trPr>
          <w:trHeight w:val="196"/>
        </w:trPr>
        <w:tc>
          <w:tcPr>
            <w:tcW w:w="5680" w:type="dxa"/>
            <w:vAlign w:val="bottom"/>
          </w:tcPr>
          <w:p>
            <w:pPr>
              <w:spacing w:after="0"/>
              <w:rPr>
                <w:sz w:val="17"/>
                <w:szCs w:val="17"/>
                <w:color w:val="auto"/>
              </w:rPr>
            </w:pPr>
          </w:p>
        </w:tc>
        <w:tc>
          <w:tcPr>
            <w:tcW w:w="1640" w:type="dxa"/>
            <w:vAlign w:val="bottom"/>
            <w:gridSpan w:val="3"/>
          </w:tcPr>
          <w:p>
            <w:pPr>
              <w:ind w:left="4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Transactions processed</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182.3</w:t>
            </w:r>
          </w:p>
        </w:tc>
        <w:tc>
          <w:tcPr>
            <w:tcW w:w="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155.3</w:t>
            </w: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531.3</w:t>
            </w: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431.0</w:t>
            </w:r>
          </w:p>
        </w:tc>
        <w:tc>
          <w:tcPr>
            <w:tcW w:w="11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23.3%</w:t>
            </w:r>
          </w:p>
        </w:tc>
      </w:tr>
    </w:tbl>
    <w:p>
      <w:pPr>
        <w:spacing w:after="0" w:line="8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increase in number of transactions processed during the three and nine months ended September 30, 2025 as compared to the same periods in 2024 was primarily driven by the addition of new billers and increased transactions from our existing billers.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the 2024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Economic and Inflationary Trends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continued to navigate significant economic uncertainty in the third quarter of 2025, a trend we expect to persist. Elevated inflation is the primary factor influencing consumer spending habits and increasing our own interchange and processing costs. Additional concerns stem from ongoing geopolitical tensions, the interest rate environment, and potential changes in trade policies.</w:t>
      </w:r>
    </w:p>
    <w:p>
      <w:pPr>
        <w:spacing w:after="0" w:line="10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These macroeconomic pressures, particularly inflation, could affect consumer payment patterns in counteracting ways. On one hand, consumers facing economic strain might switch to lower-cost payment options or delay payments, which could reduce our average revenue per transaction and overall volume. On the other hand, a higher frequency of partial payments could increase our total transaction count, offering a potential offset. The net effect of these variables on our transaction revenues and financial performance remains uncertain.</w:t>
      </w:r>
    </w:p>
    <w:p>
      <w:pPr>
        <w:spacing w:after="0" w:line="93"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Additionally, elevated inflation presents a challenge due to the inherent time lag between experiencing cost impacts and fully implementing necessary pricing adjustments, which could potentially affect our near-term results. We actively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0" w:name="page21"/>
    <w:bookmarkEnd w:id="20"/>
    <w:p>
      <w:pPr>
        <w:ind w:right="600"/>
        <w:spacing w:after="0" w:line="383" w:lineRule="auto"/>
        <w:rPr>
          <w:sz w:val="20"/>
          <w:szCs w:val="20"/>
          <w:color w:val="auto"/>
        </w:rPr>
      </w:pPr>
      <w:r>
        <w:rPr>
          <w:rFonts w:ascii="Arial" w:cs="Arial" w:eastAsia="Arial" w:hAnsi="Arial"/>
          <w:sz w:val="18"/>
          <w:szCs w:val="18"/>
          <w:color w:val="auto"/>
        </w:rPr>
        <w:t xml:space="preserve">monitor these dynamic conditions and are prepared to adjust our financial and operational approaches to ensure continued resilience. </w:t>
      </w:r>
      <w:r>
        <w:rPr>
          <w:rFonts w:ascii="Arial" w:cs="Arial" w:eastAsia="Arial" w:hAnsi="Arial"/>
          <w:sz w:val="18"/>
          <w:szCs w:val="18"/>
          <w:b w:val="1"/>
          <w:bCs w:val="1"/>
          <w:color w:val="auto"/>
        </w:rPr>
        <w:t>Non-GAAP Measures</w:t>
      </w:r>
    </w:p>
    <w:p>
      <w:pPr>
        <w:spacing w:after="0" w:line="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assessment and other network fees paid by us to our payment processors.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calculate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method or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8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r>
              <w:rPr>
                <w:rFonts w:ascii="Arial" w:cs="Arial" w:eastAsia="Arial" w:hAnsi="Arial"/>
                <w:sz w:val="18"/>
                <w:szCs w:val="18"/>
                <w:i w:val="1"/>
                <w:iCs w:val="1"/>
                <w:color w:val="auto"/>
              </w:rPr>
              <w:t>Contribution Profit</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388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38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4"/>
          </w:tcPr>
          <w:p>
            <w:pPr>
              <w:ind w:left="3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3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right"/>
              <w:ind w:right="390"/>
              <w:spacing w:after="0" w:line="196" w:lineRule="exact"/>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2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b w:val="1"/>
                <w:bCs w:val="1"/>
                <w:color w:val="auto"/>
                <w:w w:val="98"/>
              </w:rPr>
              <w:t>74,849</w:t>
            </w:r>
          </w:p>
        </w:tc>
        <w:tc>
          <w:tcPr>
            <w:tcW w:w="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60,665</w:t>
            </w:r>
          </w:p>
        </w:tc>
        <w:tc>
          <w:tcPr>
            <w:tcW w:w="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212,350</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172,141</w:t>
            </w:r>
          </w:p>
        </w:tc>
        <w:tc>
          <w:tcPr>
            <w:tcW w:w="100" w:type="dxa"/>
            <w:vAlign w:val="bottom"/>
            <w:shd w:val="clear" w:color="auto" w:fill="CFF0FC"/>
          </w:tcPr>
          <w:p>
            <w:pPr>
              <w:spacing w:after="0"/>
              <w:rPr>
                <w:sz w:val="17"/>
                <w:szCs w:val="17"/>
                <w:color w:val="auto"/>
              </w:rPr>
            </w:pPr>
          </w:p>
        </w:tc>
      </w:tr>
      <w:tr>
        <w:trPr>
          <w:trHeight w:val="203"/>
        </w:trPr>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Plus: other cost of revenue</w:t>
            </w:r>
          </w:p>
        </w:tc>
        <w:tc>
          <w:tcPr>
            <w:tcW w:w="2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w w:val="98"/>
              </w:rPr>
              <w:t>23,417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67,086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53,711</w:t>
            </w:r>
          </w:p>
        </w:tc>
        <w:tc>
          <w:tcPr>
            <w:tcW w:w="100" w:type="dxa"/>
            <w:vAlign w:val="bottom"/>
          </w:tcPr>
          <w:p>
            <w:pPr>
              <w:spacing w:after="0"/>
              <w:rPr>
                <w:sz w:val="17"/>
                <w:szCs w:val="17"/>
                <w:color w:val="auto"/>
              </w:rPr>
            </w:pPr>
          </w:p>
        </w:tc>
      </w:tr>
      <w:tr>
        <w:trPr>
          <w:trHeight w:val="236"/>
        </w:trPr>
        <w:tc>
          <w:tcPr>
            <w:tcW w:w="388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Contribution profit</w:t>
            </w:r>
          </w:p>
        </w:tc>
        <w:tc>
          <w:tcPr>
            <w:tcW w:w="28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ind w:left="340"/>
              <w:spacing w:after="0" w:line="182" w:lineRule="exact"/>
              <w:rPr>
                <w:sz w:val="20"/>
                <w:szCs w:val="20"/>
                <w:color w:val="auto"/>
              </w:rPr>
            </w:pPr>
            <w:r>
              <w:rPr>
                <w:rFonts w:ascii="Arial" w:cs="Arial" w:eastAsia="Arial" w:hAnsi="Arial"/>
                <w:sz w:val="18"/>
                <w:szCs w:val="18"/>
                <w:b w:val="1"/>
                <w:bCs w:val="1"/>
                <w:color w:val="auto"/>
                <w:w w:val="98"/>
              </w:rPr>
              <w:t>98,266</w:t>
            </w:r>
          </w:p>
        </w:tc>
        <w:tc>
          <w:tcPr>
            <w:tcW w:w="32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80,004</w:t>
            </w:r>
          </w:p>
        </w:tc>
        <w:tc>
          <w:tcPr>
            <w:tcW w:w="28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279,436</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225,852</w:t>
            </w:r>
          </w:p>
        </w:tc>
        <w:tc>
          <w:tcPr>
            <w:tcW w:w="100" w:type="dxa"/>
            <w:vAlign w:val="bottom"/>
            <w:shd w:val="clear" w:color="auto" w:fill="CFF0FC"/>
          </w:tcPr>
          <w:p>
            <w:pPr>
              <w:spacing w:after="0"/>
              <w:rPr>
                <w:sz w:val="20"/>
                <w:szCs w:val="20"/>
                <w:color w:val="auto"/>
              </w:rPr>
            </w:pPr>
          </w:p>
        </w:tc>
      </w:tr>
      <w:tr>
        <w:trPr>
          <w:trHeight w:val="524"/>
        </w:trPr>
        <w:tc>
          <w:tcPr>
            <w:tcW w:w="3880" w:type="dxa"/>
            <w:vAlign w:val="bottom"/>
            <w:tcBorders>
              <w:top w:val="single" w:sz="8" w:color="CFF0FC"/>
            </w:tcBorders>
          </w:tcPr>
          <w:p>
            <w:pPr>
              <w:spacing w:after="0"/>
              <w:rPr>
                <w:sz w:val="24"/>
                <w:szCs w:val="24"/>
                <w:color w:val="auto"/>
              </w:rPr>
            </w:pPr>
          </w:p>
        </w:tc>
        <w:tc>
          <w:tcPr>
            <w:tcW w:w="2760" w:type="dxa"/>
            <w:vAlign w:val="bottom"/>
            <w:tcBorders>
              <w:top w:val="single" w:sz="8" w:color="CFF0FC"/>
            </w:tcBorders>
          </w:tcPr>
          <w:p>
            <w:pPr>
              <w:jc w:val="right"/>
              <w:ind w:right="83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38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-856615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-839470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-856615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-839470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-856615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-839470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1" w:name="page22"/>
    <w:bookmarkEnd w:id="21"/>
    <w:p>
      <w:pPr>
        <w:jc w:val="both"/>
        <w:ind w:firstLine="494"/>
        <w:spacing w:after="0" w:line="242"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nine months ended September 30, 2025 increased approximately 22.8% and 23.7%, respectively, as compared to the same periods in 2024. The increase was driven by growth in transaction count and volume driven from both new and existing billers and financial institutions.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0" w:type="dxa"/>
            <w:vAlign w:val="bottom"/>
          </w:tcPr>
          <w:p>
            <w:pPr>
              <w:spacing w:after="0"/>
              <w:rPr>
                <w:sz w:val="20"/>
                <w:szCs w:val="20"/>
                <w:color w:val="auto"/>
              </w:rPr>
            </w:pPr>
            <w:r>
              <w:rPr>
                <w:rFonts w:ascii="Arial" w:cs="Arial" w:eastAsia="Arial" w:hAnsi="Arial"/>
                <w:sz w:val="18"/>
                <w:szCs w:val="18"/>
                <w:i w:val="1"/>
                <w:iCs w:val="1"/>
                <w:color w:val="auto"/>
              </w:rPr>
              <w:t>Adjusted Gross Profit</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66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74,849</w:t>
            </w:r>
          </w:p>
        </w:tc>
        <w:tc>
          <w:tcPr>
            <w:tcW w:w="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60,665</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212,350</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172,141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16,797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13,022</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2,486</w:t>
            </w: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gross profit</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81,108</w:t>
            </w:r>
          </w:p>
        </w:tc>
        <w:tc>
          <w:tcPr>
            <w:tcW w:w="32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66,188</w:t>
            </w:r>
          </w:p>
        </w:tc>
        <w:tc>
          <w:tcPr>
            <w:tcW w:w="2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231,569</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187,833</w:t>
            </w:r>
          </w:p>
        </w:tc>
        <w:tc>
          <w:tcPr>
            <w:tcW w:w="10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Adjusted gross profit for the three and nine months ended September 30, 2025 increased 22.5% and 23.3%, respectively, as compared to the same periods in 2024. Adjusted gross profit improved in line with contribution profit. Adjusted gross profit as a percentage of contribution profit decreased slightly, as a result of changes in customer mix resulting primarily from the addition of large, high-volume enterprise billers with lower margins in our biller mix. This decline was partially offset by the realization of economies of scale. Adjusted gross profit is driven primarily by the same factors that impact gross profit with the exception of excluding the amortization and stock-based compensation recorded in cost of revenue. The increase in amortization was driven by additional capitalization of software development costs.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r>
              <w:rPr>
                <w:rFonts w:ascii="Arial" w:cs="Arial" w:eastAsia="Arial" w:hAnsi="Arial"/>
                <w:sz w:val="18"/>
                <w:szCs w:val="18"/>
                <w:i w:val="1"/>
                <w:iCs w:val="1"/>
                <w:color w:val="auto"/>
              </w:rPr>
              <w:t>Adjusted EBITDA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3"/>
                <w:szCs w:val="23"/>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right"/>
              <w:ind w:right="600"/>
              <w:spacing w:after="0" w:line="196"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 GAAP</w:t>
            </w: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17,744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14,430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46,264</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31,020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(2,578)</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(2,342)</w:t>
            </w:r>
          </w:p>
        </w:tc>
        <w:tc>
          <w:tcPr>
            <w:tcW w:w="1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(6,722)</w:t>
            </w:r>
          </w:p>
        </w:tc>
      </w:tr>
      <w:tr>
        <w:trPr>
          <w:trHeight w:val="203"/>
        </w:trPr>
        <w:tc>
          <w:tcPr>
            <w:tcW w:w="664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Other income</w:t>
            </w:r>
            <w:r>
              <w:rPr>
                <w:rFonts w:ascii="Arial" w:cs="Arial" w:eastAsia="Arial" w:hAnsi="Arial"/>
                <w:sz w:val="23"/>
                <w:szCs w:val="23"/>
                <w:color w:val="auto"/>
                <w:vertAlign w:val="superscript"/>
              </w:rPr>
              <w:t>(1)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4,858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12,508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6,644</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7,097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24,950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20,147</w:t>
            </w:r>
          </w:p>
        </w:tc>
        <w:tc>
          <w:tcPr>
            <w:tcW w:w="100" w:type="dxa"/>
            <w:vAlign w:val="bottom"/>
            <w:shd w:val="clear" w:color="auto" w:fill="CFF0FC"/>
          </w:tcPr>
          <w:p>
            <w:pPr>
              <w:spacing w:after="0"/>
              <w:rPr>
                <w:sz w:val="17"/>
                <w:szCs w:val="17"/>
                <w:color w:val="auto"/>
              </w:rPr>
            </w:pPr>
          </w:p>
        </w:tc>
      </w:tr>
      <w:tr>
        <w:trPr>
          <w:trHeight w:val="202"/>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6,037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6,061</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EBITDA</w:t>
            </w:r>
          </w:p>
        </w:tc>
        <w:tc>
          <w:tcPr>
            <w:tcW w:w="14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30,291</w:t>
            </w:r>
          </w:p>
        </w:tc>
        <w:tc>
          <w:tcPr>
            <w:tcW w:w="10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21,414</w:t>
            </w:r>
          </w:p>
        </w:tc>
        <w:tc>
          <w:tcPr>
            <w:tcW w:w="1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83,287</w:t>
            </w:r>
          </w:p>
        </w:tc>
        <w:tc>
          <w:tcPr>
            <w:tcW w:w="80" w:type="dxa"/>
            <w:vAlign w:val="bottom"/>
          </w:tcPr>
          <w:p>
            <w:pPr>
              <w:spacing w:after="0"/>
              <w:rPr>
                <w:sz w:val="17"/>
                <w:szCs w:val="17"/>
                <w:color w:val="auto"/>
              </w:rPr>
            </w:pPr>
          </w:p>
        </w:tc>
        <w:tc>
          <w:tcPr>
            <w:tcW w:w="220" w:type="dxa"/>
            <w:vAlign w:val="bottom"/>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57,556</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Adjustments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Foreign exchange gain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w:t>
            </w:r>
          </w:p>
        </w:tc>
      </w:tr>
      <w:tr>
        <w:trPr>
          <w:trHeight w:val="202"/>
        </w:trPr>
        <w:tc>
          <w:tcPr>
            <w:tcW w:w="66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5,724</w:t>
            </w:r>
          </w:p>
        </w:tc>
        <w:tc>
          <w:tcPr>
            <w:tcW w:w="1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14,557</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9,424</w:t>
            </w:r>
          </w:p>
        </w:tc>
        <w:tc>
          <w:tcPr>
            <w:tcW w:w="100" w:type="dxa"/>
            <w:vAlign w:val="bottom"/>
            <w:shd w:val="clear" w:color="auto" w:fill="CFF0FC"/>
          </w:tcPr>
          <w:p>
            <w:pPr>
              <w:spacing w:after="0"/>
              <w:rPr>
                <w:sz w:val="17"/>
                <w:szCs w:val="17"/>
                <w:color w:val="auto"/>
              </w:rPr>
            </w:pPr>
          </w:p>
        </w:tc>
      </w:tr>
      <w:tr>
        <w:trPr>
          <w:trHeight w:val="196"/>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35,852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24,578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97,520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66,919</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-831215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-831215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-831215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ind w:right="480" w:firstLine="8"/>
        <w:spacing w:after="0" w:line="233" w:lineRule="auto"/>
        <w:tabs>
          <w:tab w:leader="none" w:pos="187"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Other income for the nine months ended September 30, 2024 includes a remeasurement adjustment relating to the purchase price of a prior acquisition.</w:t>
      </w:r>
    </w:p>
    <w:p>
      <w:pPr>
        <w:spacing w:after="0" w:line="7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Adjusted EBITDA is a measure of profitability and generally is expected to move in line with revenue, contribution profit, gross profit and adjusted gross profit. Adjusted EBITDA increased 45.9% and 45.7% in the three and nine months ended September 30, 2025, respectively, as compared to the same periods in 2024. The increase was primarily attributable to higher revenues generated from growth in transaction volumes from both new and existing billers and financial institutions. The rate of growth in Adjusted EBITDA exceeded the rate of growth in both contribution profit and adjusted gross profit, reflecting the operating leverage inherent in our business, as certain operating expenses are largely fixed and did not increase in proportion to the growth in revenue.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7"/>
        </w:trPr>
        <w:tc>
          <w:tcPr>
            <w:tcW w:w="6600" w:type="dxa"/>
            <w:vAlign w:val="bottom"/>
          </w:tcPr>
          <w:p>
            <w:pPr>
              <w:spacing w:after="0"/>
              <w:rPr>
                <w:sz w:val="20"/>
                <w:szCs w:val="20"/>
                <w:color w:val="auto"/>
              </w:rPr>
            </w:pPr>
            <w:r>
              <w:rPr>
                <w:rFonts w:ascii="Arial" w:cs="Arial" w:eastAsia="Arial" w:hAnsi="Arial"/>
                <w:sz w:val="18"/>
                <w:szCs w:val="18"/>
                <w:i w:val="1"/>
                <w:iCs w:val="1"/>
                <w:color w:val="auto"/>
              </w:rPr>
              <w:t>Free Cash Flow</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3"/>
                <w:szCs w:val="23"/>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6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right"/>
              <w:ind w:right="62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35,076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6,737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116,996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35,721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(279)</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(376)</w:t>
            </w:r>
          </w:p>
        </w:tc>
      </w:tr>
      <w:tr>
        <w:trPr>
          <w:trHeight w:val="203"/>
        </w:trPr>
        <w:tc>
          <w:tcPr>
            <w:tcW w:w="6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Capitalized internal-use software development costs</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(9,248)</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(8,876)</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(27,414)</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(27,238)</w:t>
            </w:r>
          </w:p>
        </w:tc>
      </w:tr>
      <w:tr>
        <w:trPr>
          <w:trHeight w:val="20"/>
        </w:trPr>
        <w:tc>
          <w:tcPr>
            <w:tcW w:w="6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spacing w:after="0" w:line="182" w:lineRule="exact"/>
              <w:rPr>
                <w:sz w:val="20"/>
                <w:szCs w:val="20"/>
                <w:color w:val="auto"/>
              </w:rPr>
            </w:pPr>
            <w:r>
              <w:rPr>
                <w:rFonts w:ascii="Arial" w:cs="Arial" w:eastAsia="Arial" w:hAnsi="Arial"/>
                <w:sz w:val="18"/>
                <w:szCs w:val="18"/>
                <w:b w:val="1"/>
                <w:bCs w:val="1"/>
                <w:color w:val="auto"/>
              </w:rPr>
              <w:t>Free cash flow</w:t>
            </w:r>
          </w:p>
        </w:tc>
        <w:tc>
          <w:tcPr>
            <w:tcW w:w="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25,725</w:t>
            </w:r>
          </w:p>
        </w:tc>
        <w:tc>
          <w:tcPr>
            <w:tcW w:w="10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40"/>
              <w:spacing w:after="0" w:line="182" w:lineRule="exact"/>
              <w:rPr>
                <w:sz w:val="20"/>
                <w:szCs w:val="20"/>
                <w:color w:val="auto"/>
              </w:rPr>
            </w:pPr>
            <w:r>
              <w:rPr>
                <w:rFonts w:ascii="Arial" w:cs="Arial" w:eastAsia="Arial" w:hAnsi="Arial"/>
                <w:sz w:val="18"/>
                <w:szCs w:val="18"/>
                <w:b w:val="1"/>
                <w:bCs w:val="1"/>
                <w:color w:val="auto"/>
              </w:rPr>
              <w:t>(2,211)</w:t>
            </w:r>
          </w:p>
        </w:tc>
        <w:tc>
          <w:tcPr>
            <w:tcW w:w="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89,303</w:t>
            </w:r>
          </w:p>
        </w:tc>
        <w:tc>
          <w:tcPr>
            <w:tcW w:w="10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8,107</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-161925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increase in free cash flow for the three and nine months ended September 30, 2025, as compared to the same periods in 2024, was primarily driven by higher cash generated from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7"/>
                <w:szCs w:val="17"/>
                <w:b w:val="1"/>
                <w:bCs w:val="1"/>
                <w:color w:val="auto"/>
              </w:rPr>
              <w:t>Three Months Ended</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7"/>
                <w:szCs w:val="17"/>
                <w:b w:val="1"/>
                <w:bCs w:val="1"/>
                <w:color w:val="auto"/>
              </w:rPr>
              <w:t>Nine Months Ended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8"/>
                <w:szCs w:val="18"/>
                <w:color w:val="auto"/>
              </w:rPr>
            </w:pPr>
          </w:p>
        </w:tc>
        <w:tc>
          <w:tcPr>
            <w:tcW w:w="1040" w:type="dxa"/>
            <w:vAlign w:val="bottom"/>
            <w:gridSpan w:val="3"/>
          </w:tcPr>
          <w:p>
            <w:pPr>
              <w:ind w:left="400"/>
              <w:spacing w:after="0"/>
              <w:rPr>
                <w:sz w:val="20"/>
                <w:szCs w:val="20"/>
                <w:color w:val="auto"/>
              </w:rPr>
            </w:pPr>
            <w:r>
              <w:rPr>
                <w:rFonts w:ascii="Arial" w:cs="Arial" w:eastAsia="Arial" w:hAnsi="Arial"/>
                <w:sz w:val="17"/>
                <w:szCs w:val="17"/>
                <w:b w:val="1"/>
                <w:bCs w:val="1"/>
                <w:color w:val="auto"/>
                <w:w w:val="99"/>
              </w:rPr>
              <w:t>Change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8"/>
                <w:szCs w:val="18"/>
                <w:color w:val="auto"/>
              </w:rPr>
            </w:pPr>
          </w:p>
        </w:tc>
        <w:tc>
          <w:tcPr>
            <w:tcW w:w="1000" w:type="dxa"/>
            <w:vAlign w:val="bottom"/>
            <w:gridSpan w:val="3"/>
          </w:tcPr>
          <w:p>
            <w:pPr>
              <w:ind w:left="340"/>
              <w:spacing w:after="0"/>
              <w:rPr>
                <w:sz w:val="20"/>
                <w:szCs w:val="20"/>
                <w:color w:val="auto"/>
              </w:rPr>
            </w:pPr>
            <w:r>
              <w:rPr>
                <w:rFonts w:ascii="Arial" w:cs="Arial" w:eastAsia="Arial" w:hAnsi="Arial"/>
                <w:sz w:val="17"/>
                <w:szCs w:val="17"/>
                <w:b w:val="1"/>
                <w:bCs w:val="1"/>
                <w:color w:val="auto"/>
              </w:rPr>
              <w:t>Change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5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2024</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35"/>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2024</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95"/>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5"/>
          </w:tcPr>
          <w:p>
            <w:pPr>
              <w:jc w:val="right"/>
              <w:ind w:right="700"/>
              <w:spacing w:after="0" w:line="183" w:lineRule="exact"/>
              <w:rPr>
                <w:sz w:val="20"/>
                <w:szCs w:val="20"/>
                <w:color w:val="auto"/>
              </w:rPr>
            </w:pPr>
            <w:r>
              <w:rPr>
                <w:rFonts w:ascii="Arial" w:cs="Arial" w:eastAsia="Arial" w:hAnsi="Arial"/>
                <w:sz w:val="17"/>
                <w:szCs w:val="17"/>
                <w:b w:val="1"/>
                <w:bCs w:val="1"/>
                <w:color w:val="auto"/>
              </w:rPr>
              <w:t>(in thousands)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Revenue</w:t>
            </w: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310,737</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231,571</w:t>
            </w: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79,166</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w w:val="98"/>
              </w:rPr>
              <w:t>34.2 % $</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866,049</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613,868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252,181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41.1 %</w:t>
            </w: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235,888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170,906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64,982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38.0 %</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653,699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441,727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211,972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48.0 %</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80"/>
              <w:spacing w:after="0" w:line="162" w:lineRule="exact"/>
              <w:rPr>
                <w:sz w:val="20"/>
                <w:szCs w:val="20"/>
                <w:color w:val="auto"/>
              </w:rPr>
            </w:pPr>
            <w:r>
              <w:rPr>
                <w:rFonts w:ascii="Arial" w:cs="Arial" w:eastAsia="Arial" w:hAnsi="Arial"/>
                <w:sz w:val="17"/>
                <w:szCs w:val="17"/>
                <w:color w:val="auto"/>
              </w:rPr>
              <w:t>Gross profit</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6"/>
                <w:szCs w:val="16"/>
                <w:color w:val="auto"/>
              </w:rPr>
              <w:t>74,849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6"/>
                <w:szCs w:val="16"/>
                <w:color w:val="auto"/>
              </w:rPr>
              <w:t>60,665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6"/>
                <w:szCs w:val="16"/>
                <w:color w:val="auto"/>
              </w:rPr>
              <w:t>14,184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rPr>
              <w:t>23.4 %</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212,350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6"/>
                <w:szCs w:val="16"/>
                <w:color w:val="auto"/>
              </w:rPr>
              <w:t>172,141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6"/>
                <w:szCs w:val="16"/>
                <w:color w:val="auto"/>
              </w:rPr>
              <w:t>40,209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29"/>
        </w:trPr>
        <w:tc>
          <w:tcPr>
            <w:tcW w:w="2760" w:type="dxa"/>
            <w:vAlign w:val="bottom"/>
          </w:tcPr>
          <w:p>
            <w:pPr>
              <w:ind w:left="120"/>
              <w:spacing w:after="0" w:line="229" w:lineRule="exact"/>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22"/>
                <w:szCs w:val="22"/>
                <w:i w:val="1"/>
                <w:iCs w:val="1"/>
                <w:color w:val="auto"/>
                <w:vertAlign w:val="superscript"/>
              </w:rPr>
              <w:t>(1)</w:t>
            </w: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24.1%</w:t>
            </w: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i w:val="1"/>
                <w:iCs w:val="1"/>
                <w:color w:val="auto"/>
              </w:rPr>
              <w:t>26.2%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24.5%</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28.0%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40"/>
              <w:spacing w:after="0" w:line="189" w:lineRule="exact"/>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15,219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13,187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2,032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15.4 %</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45,551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37,773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7,778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20.6 %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25,478</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26,451</w:t>
            </w: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(973)</w:t>
            </w: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(3.7)%</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81,139</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76,456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4,683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189"/>
        </w:trPr>
        <w:tc>
          <w:tcPr>
            <w:tcW w:w="2760" w:type="dxa"/>
            <w:vAlign w:val="bottom"/>
          </w:tcPr>
          <w:p>
            <w:pPr>
              <w:ind w:left="40"/>
              <w:spacing w:after="0" w:line="189" w:lineRule="exact"/>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14,291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8,939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5,352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59.9 %</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34,188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27,245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6,943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25.5 %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shd w:val="clear" w:color="auto" w:fill="CFF0FC"/>
          </w:tcPr>
          <w:p>
            <w:pPr>
              <w:ind w:left="80"/>
              <w:spacing w:after="0" w:line="183" w:lineRule="exact"/>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54,988</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48,577</w:t>
            </w: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6,411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13.2 %</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160,878</w:t>
            </w: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141,474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19,404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Pr>
          <w:p>
            <w:pPr>
              <w:ind w:left="80"/>
              <w:spacing w:after="0" w:line="183" w:lineRule="exact"/>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19,861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12,088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7,773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64.3 %</w:t>
            </w:r>
          </w:p>
        </w:tc>
        <w:tc>
          <w:tcPr>
            <w:tcW w:w="18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51,472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30,667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7"/>
                <w:szCs w:val="17"/>
                <w:color w:val="auto"/>
              </w:rPr>
              <w:t>20,805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67.8 %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Interest income, net</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2,578</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2,342</w:t>
            </w: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236</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10.1 %</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6,976</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6,722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189"/>
        </w:trPr>
        <w:tc>
          <w:tcPr>
            <w:tcW w:w="2760" w:type="dxa"/>
            <w:vAlign w:val="bottom"/>
          </w:tcPr>
          <w:p>
            <w:pPr>
              <w:ind w:left="40"/>
              <w:spacing w:after="0" w:line="189" w:lineRule="exact"/>
              <w:rPr>
                <w:sz w:val="20"/>
                <w:szCs w:val="20"/>
                <w:color w:val="auto"/>
              </w:rPr>
            </w:pPr>
            <w:r>
              <w:rPr>
                <w:rFonts w:ascii="Arial" w:cs="Arial" w:eastAsia="Arial" w:hAnsi="Arial"/>
                <w:sz w:val="16"/>
                <w:szCs w:val="16"/>
                <w:color w:val="auto"/>
              </w:rPr>
              <w:t xml:space="preserve">Other income </w:t>
            </w:r>
            <w:r>
              <w:rPr>
                <w:rFonts w:ascii="Arial" w:cs="Arial" w:eastAsia="Arial" w:hAnsi="Arial"/>
                <w:sz w:val="21"/>
                <w:szCs w:val="21"/>
                <w:i w:val="1"/>
                <w:iCs w:val="1"/>
                <w:color w:val="auto"/>
                <w:vertAlign w:val="superscript"/>
              </w:rPr>
              <w:t>(2)</w:t>
            </w: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163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w w:val="98"/>
              </w:rPr>
              <w:t>n/m</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324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17.8 %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shd w:val="clear" w:color="auto" w:fill="CFF0FC"/>
          </w:tcPr>
          <w:p>
            <w:pPr>
              <w:ind w:left="80"/>
              <w:spacing w:after="0" w:line="183" w:lineRule="exact"/>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22,602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14,435</w:t>
            </w: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8,167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56.6 %</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58,772</w:t>
            </w: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37,664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21,108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56.0 %</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Pr>
          <w:p>
            <w:pPr>
              <w:ind w:left="40"/>
              <w:spacing w:after="0" w:line="183" w:lineRule="exact"/>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(4,858)</w:t>
            </w:r>
          </w:p>
        </w:tc>
        <w:tc>
          <w:tcPr>
            <w:tcW w:w="20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(5)</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(4,853)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ind w:left="60"/>
              <w:spacing w:after="0" w:line="183" w:lineRule="exact"/>
              <w:rPr>
                <w:sz w:val="20"/>
                <w:szCs w:val="20"/>
                <w:color w:val="auto"/>
              </w:rPr>
            </w:pPr>
            <w:r>
              <w:rPr>
                <w:rFonts w:ascii="Arial" w:cs="Arial" w:eastAsia="Arial" w:hAnsi="Arial"/>
                <w:sz w:val="17"/>
                <w:szCs w:val="17"/>
                <w:color w:val="auto"/>
              </w:rPr>
              <w:t>n/m</w:t>
            </w:r>
          </w:p>
        </w:tc>
        <w:tc>
          <w:tcPr>
            <w:tcW w:w="9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(12,508)</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(6,644)</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(5,864)</w:t>
            </w:r>
          </w:p>
        </w:tc>
        <w:tc>
          <w:tcPr>
            <w:tcW w:w="180" w:type="dxa"/>
            <w:vAlign w:val="bottom"/>
          </w:tcPr>
          <w:p>
            <w:pPr>
              <w:spacing w:after="0"/>
              <w:rPr>
                <w:sz w:val="15"/>
                <w:szCs w:val="15"/>
                <w:color w:val="auto"/>
              </w:rPr>
            </w:pPr>
          </w:p>
        </w:tc>
        <w:tc>
          <w:tcPr>
            <w:tcW w:w="6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88.3 %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shd w:val="clear" w:color="auto" w:fill="CFF0FC"/>
          </w:tcPr>
          <w:p>
            <w:pPr>
              <w:spacing w:after="0" w:line="169" w:lineRule="exact"/>
              <w:rPr>
                <w:sz w:val="20"/>
                <w:szCs w:val="20"/>
                <w:color w:val="auto"/>
              </w:rPr>
            </w:pPr>
            <w:r>
              <w:rPr>
                <w:rFonts w:ascii="Arial" w:cs="Arial" w:eastAsia="Arial" w:hAnsi="Arial"/>
                <w:sz w:val="17"/>
                <w:szCs w:val="17"/>
                <w:color w:val="auto"/>
              </w:rPr>
              <w:t>Net income</w:t>
            </w: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17,744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line="16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14,430</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3,314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ind w:right="80"/>
              <w:spacing w:after="0" w:line="169" w:lineRule="exact"/>
              <w:rPr>
                <w:sz w:val="20"/>
                <w:szCs w:val="20"/>
                <w:color w:val="auto"/>
              </w:rPr>
            </w:pPr>
            <w:r>
              <w:rPr>
                <w:rFonts w:ascii="Arial" w:cs="Arial" w:eastAsia="Arial" w:hAnsi="Arial"/>
                <w:sz w:val="17"/>
                <w:szCs w:val="17"/>
                <w:color w:val="auto"/>
                <w:w w:val="98"/>
              </w:rPr>
              <w:t>23.0 % $</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46,264</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31,020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15,244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7"/>
                <w:szCs w:val="17"/>
                <w:color w:val="auto"/>
              </w:rPr>
              <w:t>49.1 %</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-779145</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-779145</wp:posOffset>
            </wp:positionV>
            <wp:extent cx="1117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-779145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-779145</wp:posOffset>
            </wp:positionV>
            <wp:extent cx="1460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-779145</wp:posOffset>
            </wp:positionV>
            <wp:extent cx="111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-779145</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-779145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-779145</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-281940</wp:posOffset>
            </wp:positionV>
            <wp:extent cx="1117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-281940</wp:posOffset>
            </wp:positionV>
            <wp:extent cx="1117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-281940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-281940</wp:posOffset>
            </wp:positionV>
            <wp:extent cx="1460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-281940</wp:posOffset>
            </wp:positionV>
            <wp:extent cx="111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-281940</wp:posOffset>
            </wp:positionV>
            <wp:extent cx="1111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-281940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-281940</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1117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111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1117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1117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1460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1460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1111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111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111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1"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Gross margin is calculated as gross profit divided by revenue.</w:t>
      </w:r>
    </w:p>
    <w:p>
      <w:pPr>
        <w:spacing w:after="0" w:line="3" w:lineRule="exact"/>
        <w:rPr>
          <w:rFonts w:ascii="Arial" w:cs="Arial" w:eastAsia="Arial" w:hAnsi="Arial"/>
          <w:sz w:val="23"/>
          <w:szCs w:val="23"/>
          <w:color w:val="auto"/>
          <w:vertAlign w:val="superscript"/>
        </w:rPr>
      </w:pPr>
    </w:p>
    <w:p>
      <w:pPr>
        <w:ind w:left="180" w:hanging="172"/>
        <w:spacing w:after="0" w:line="197"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Other income for the nine months ended September 30, 2024 includes a remeasurement adjustment relating to the purchase price of a prior acquisition.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3" w:name="page24"/>
    <w:bookmarkEnd w:id="23"/>
    <w:p>
      <w:pPr>
        <w:ind w:right="200" w:firstLine="494"/>
        <w:spacing w:after="0" w:line="27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Three Months Ended September</w:t>
            </w:r>
          </w:p>
        </w:tc>
        <w:tc>
          <w:tcPr>
            <w:tcW w:w="30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Nine Months Ended September</w:t>
            </w:r>
          </w:p>
        </w:tc>
      </w:tr>
      <w:tr>
        <w:trPr>
          <w:trHeight w:val="221"/>
        </w:trPr>
        <w:tc>
          <w:tcPr>
            <w:tcW w:w="516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12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5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75.9%</w:t>
            </w:r>
          </w:p>
        </w:tc>
        <w:tc>
          <w:tcPr>
            <w:tcW w:w="2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73.8%</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75.5%</w:t>
            </w: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72.0%</w:t>
            </w:r>
          </w:p>
        </w:tc>
      </w:tr>
      <w:tr>
        <w:trPr>
          <w:trHeight w:val="20"/>
        </w:trPr>
        <w:tc>
          <w:tcPr>
            <w:tcW w:w="5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15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24.5%</w:t>
            </w: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28.0%</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5.3%</w:t>
            </w:r>
          </w:p>
        </w:tc>
        <w:tc>
          <w:tcPr>
            <w:tcW w:w="1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6.2%</w:t>
            </w:r>
          </w:p>
        </w:tc>
      </w:tr>
      <w:tr>
        <w:trPr>
          <w:trHeight w:val="203"/>
        </w:trPr>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2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w:t>
            </w: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1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4.4%</w:t>
            </w:r>
          </w:p>
        </w:tc>
      </w:tr>
      <w:tr>
        <w:trPr>
          <w:trHeight w:val="20"/>
        </w:trPr>
        <w:tc>
          <w:tcPr>
            <w:tcW w:w="5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21.0%</w:t>
            </w: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18.6%</w:t>
            </w:r>
          </w:p>
        </w:tc>
        <w:tc>
          <w:tcPr>
            <w:tcW w:w="15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23.1%</w:t>
            </w:r>
          </w:p>
        </w:tc>
      </w:tr>
      <w:tr>
        <w:trPr>
          <w:trHeight w:val="20"/>
        </w:trPr>
        <w:tc>
          <w:tcPr>
            <w:tcW w:w="5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from operations</w:t>
            </w:r>
          </w:p>
        </w:tc>
        <w:tc>
          <w:tcPr>
            <w:tcW w:w="15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5.2%</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5.9%</w:t>
            </w: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5.0%</w:t>
            </w:r>
          </w:p>
        </w:tc>
      </w:tr>
      <w:tr>
        <w:trPr>
          <w:trHeight w:val="203"/>
        </w:trPr>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Interest income, net</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2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w:t>
            </w: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Other income</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c>
          <w:tcPr>
            <w:tcW w:w="1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w:t>
            </w:r>
          </w:p>
        </w:tc>
      </w:tr>
      <w:tr>
        <w:trPr>
          <w:trHeight w:val="20"/>
        </w:trPr>
        <w:tc>
          <w:tcPr>
            <w:tcW w:w="5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ind w:left="140"/>
              <w:spacing w:after="0" w:line="196" w:lineRule="exact"/>
              <w:rPr>
                <w:sz w:val="20"/>
                <w:szCs w:val="20"/>
                <w:color w:val="auto"/>
              </w:rPr>
            </w:pPr>
            <w:r>
              <w:rPr>
                <w:rFonts w:ascii="Arial" w:cs="Arial" w:eastAsia="Arial" w:hAnsi="Arial"/>
                <w:sz w:val="18"/>
                <w:szCs w:val="18"/>
                <w:color w:val="auto"/>
              </w:rPr>
              <w:t>Income before income taxes</w:t>
            </w:r>
          </w:p>
        </w:tc>
        <w:tc>
          <w:tcPr>
            <w:tcW w:w="1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7.3%</w:t>
            </w:r>
          </w:p>
        </w:tc>
        <w:tc>
          <w:tcPr>
            <w:tcW w:w="24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6.8%</w:t>
            </w:r>
          </w:p>
        </w:tc>
        <w:tc>
          <w:tcPr>
            <w:tcW w:w="15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6.1%</w:t>
            </w:r>
          </w:p>
        </w:tc>
      </w:tr>
      <w:tr>
        <w:trPr>
          <w:trHeight w:val="20"/>
        </w:trPr>
        <w:tc>
          <w:tcPr>
            <w:tcW w:w="5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Provision for income taxes</w:t>
            </w:r>
          </w:p>
        </w:tc>
        <w:tc>
          <w:tcPr>
            <w:tcW w:w="15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w:t>
            </w:r>
          </w:p>
        </w:tc>
      </w:tr>
      <w:tr>
        <w:trPr>
          <w:trHeight w:val="20"/>
        </w:trPr>
        <w:tc>
          <w:tcPr>
            <w:tcW w:w="5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6.2%</w:t>
            </w:r>
          </w:p>
        </w:tc>
        <w:tc>
          <w:tcPr>
            <w:tcW w:w="15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5.3%</w:t>
            </w:r>
          </w:p>
        </w:tc>
        <w:tc>
          <w:tcPr>
            <w:tcW w:w="15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5.0%</w:t>
            </w:r>
          </w:p>
        </w:tc>
      </w:tr>
      <w:tr>
        <w:trPr>
          <w:trHeight w:val="20"/>
        </w:trPr>
        <w:tc>
          <w:tcPr>
            <w:tcW w:w="5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-967740</wp:posOffset>
            </wp:positionV>
            <wp:extent cx="154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-967740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-967740</wp:posOffset>
            </wp:positionV>
            <wp:extent cx="1543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-967740</wp:posOffset>
            </wp:positionV>
            <wp:extent cx="1543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-436245</wp:posOffset>
            </wp:positionV>
            <wp:extent cx="1543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-436245</wp:posOffset>
            </wp:positionV>
            <wp:extent cx="1111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-436245</wp:posOffset>
            </wp:positionV>
            <wp:extent cx="1543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1543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-161925</wp:posOffset>
            </wp:positionV>
            <wp:extent cx="1543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-161925</wp:posOffset>
            </wp:positionV>
            <wp:extent cx="111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1543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-161925</wp:posOffset>
            </wp:positionV>
            <wp:extent cx="1543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both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cost of revenue corresponds with higher revenue and transaction volumes, as it consists primarily of interchange fees and processor costs.</w:t>
      </w:r>
    </w:p>
    <w:p>
      <w:pPr>
        <w:spacing w:after="0" w:line="46"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Gross margin decreased due to a shift in customer mix towards new, high-volume enterprise billers with lower margins. This impact was partially offset by improved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Research and development expenses increased primarily due to an increase in employee-related costs, including benefits, driven by increased headcount and increases in annual compensation, a rise in cloud computing services expenses, reflecting higher utilization of our cloud-based infrastructure and increased data processing demands, and an increase in the amortization of capitalized internal-use software development costs.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decrease in sales and marketing expenses was primarily due to a decrease in employee-related costs offset by reseller commissions, including amortization of warrants.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general and administrative expenses was primarily due to increased employee-related costs, including stock-based compensation, professional and legal fees and insurance premiums of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interest income, net was mainly due to higher cash balances held with banks, offset by lower interest rates.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The provision for income taxes and the effective tax rate increased to 21.5% for three months ended September 30, 2025, from 0.03% in the prior year period. The 21.5% effective tax rate was in line with the U.S. federal statutory rate of 21%. The primary factors driving both the change from the prior year and the difference from the federal statutory rate in the current period were: (1) permanent differences relating to disallowed compensation under Internal Revenue Code ("IRC") Section 162(m), (2) the impact of state taxes, (3) discrete tax benefits from excess tax deductions on stock-based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compensation, and (4) the finalization of prior year Canadian and U.S. research and development (R&amp;D) credit claims during the period.</w:t>
      </w:r>
    </w:p>
    <w:p>
      <w:pPr>
        <w:spacing w:after="0" w:line="104"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The effective tax rate of 0.03% in the three months ended September 30, 2024, was primarily attributable to a single, non-recurring event: the determination to release a valuation allowance previously recorded against deferred tax assets in the U.S., which was due to the positive change in available evidence regarding the realizability of those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cost of revenue was directly attributable to higher revenue and transaction volumes, as these costs are predominantly variable and consist mainly of interchange and processor fees.</w:t>
      </w:r>
    </w:p>
    <w:p>
      <w:pPr>
        <w:spacing w:after="0" w:line="46"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Gross margin compression resulted from a customer mix shift toward high-volume enterprise billers with lower margins. This effect was partially mitigated by benefits from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Research and development expenses increased primarily due to an increase in employee-related costs, including benefits, driven by increased headcount, higher stock based compensation and increases in annual compensation, a rise in cloud computing services expenses, reflecting higher utilization of our cloud-based infrastructure and increased data processing demands, an increase in the amortization of capitalized internal-use software development costs and an increase in expenses related to third-party software and technology licenses.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increase in sales and marketing expenses was primarily due to increases in reseller commissions, including amortization of warrants, and marketing and advertising expenses, which were offset by lower employee-related costs.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general and administrative expenses was primarily due to increases in employee-related costs, including higher stock-based compensation, professional and legal fees and insurance premiums of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was stable as higher cash balances held with banks were offset by lower interest rates.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For the nine months ended September 30, 2025, the effective tax rate increased to 21.3% compared to 17.6% in the prior year period. The 21.3% rate for the current period was in line with the U.S. federal statutory rate of 21%. The change in the provision for income taxes and the variance from the federal statutory rate were primarily driven by a combination of factors, including (1) permanent differences for disallowed compensation pursuant to IRC Section 162(m), (2) the impact of state taxes, (3) discrete benefits recognized for excess tax deductions on stock-based compensation, and (4) the finalization of prior year Canadian and U.S. R&amp;D credit claims during the period.</w:t>
      </w:r>
    </w:p>
    <w:p>
      <w:pPr>
        <w:spacing w:after="0" w:line="68"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The lower effective tax rate of 17.6% recorded in the comparative 2024 period was principally attributable to a significant, non-recurring tax event related to the determination to release a valuation allowance previously established against certain deferred tax assets in the U.S., which was due to the positive change in available evidence regarding the realizability of those assets.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jc w:val="both"/>
        <w:ind w:right="20" w:firstLine="494"/>
        <w:spacing w:after="0" w:line="247" w:lineRule="auto"/>
        <w:rPr>
          <w:sz w:val="20"/>
          <w:szCs w:val="20"/>
          <w:color w:val="auto"/>
        </w:rPr>
      </w:pPr>
      <w:r>
        <w:rPr>
          <w:rFonts w:ascii="Arial" w:cs="Arial" w:eastAsia="Arial" w:hAnsi="Arial"/>
          <w:sz w:val="18"/>
          <w:szCs w:val="18"/>
          <w:color w:val="auto"/>
        </w:rPr>
        <w:t>As of September 30, 2025, we had $287.9 million of unrestricted cash and cash equivalents. We believe that existing unrestricted cash and cash equivalents will be sufficient to support our working capital, capital expenditure requirements, and other commitments described in Note 8,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5" w:name="page26"/>
    <w:bookmarkEnd w:id="25"/>
    <w:p>
      <w:pPr>
        <w:jc w:val="both"/>
        <w:ind w:firstLine="494"/>
        <w:spacing w:after="0"/>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ectPr>
          <w:pgSz w:w="11900" w:h="16838" w:orient="portrait"/>
          <w:cols w:equalWidth="0" w:num="1">
            <w:col w:w="11240"/>
          </w:cols>
          <w:pgMar w:left="320" w:top="1079"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condensed consolidated cash flows.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2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Operating activities</w:t>
      </w:r>
    </w:p>
    <w:p>
      <w:pPr>
        <w:ind w:left="100"/>
        <w:spacing w:after="0" w:line="234" w:lineRule="auto"/>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Effects of foreign exchange on cash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Nine Months Ended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7"/>
                <w:szCs w:val="17"/>
                <w:color w:val="auto"/>
              </w:rPr>
            </w:pPr>
          </w:p>
        </w:tc>
      </w:tr>
      <w:tr>
        <w:trPr>
          <w:trHeight w:val="240"/>
        </w:trPr>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116,996</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35,721</w:t>
            </w:r>
          </w:p>
        </w:tc>
        <w:tc>
          <w:tcPr>
            <w:tcW w:w="6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(27,779)</w:t>
            </w:r>
          </w:p>
        </w:tc>
        <w:tc>
          <w:tcPr>
            <w:tcW w:w="5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(27,617)</w:t>
            </w:r>
          </w:p>
        </w:tc>
      </w:tr>
      <w:tr>
        <w:trPr>
          <w:trHeight w:val="203"/>
        </w:trPr>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(7,078)</w:t>
            </w:r>
          </w:p>
        </w:tc>
        <w:tc>
          <w:tcPr>
            <w:tcW w:w="5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(389)</w:t>
            </w:r>
          </w:p>
        </w:tc>
      </w:tr>
      <w:tr>
        <w:trPr>
          <w:trHeight w:val="221"/>
        </w:trPr>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196"/>
        </w:trPr>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82,063</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7,590</w:t>
            </w:r>
          </w:p>
        </w:tc>
        <w:tc>
          <w:tcPr>
            <w:tcW w:w="60" w:type="dxa"/>
            <w:vAlign w:val="bottom"/>
          </w:tcPr>
          <w:p>
            <w:pPr>
              <w:spacing w:after="0"/>
              <w:rPr>
                <w:sz w:val="17"/>
                <w:szCs w:val="1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0" w:lineRule="exact"/>
        <w:rPr>
          <w:sz w:val="20"/>
          <w:szCs w:val="20"/>
          <w:color w:val="auto"/>
        </w:rPr>
      </w:pPr>
    </w:p>
    <w:p>
      <w:pPr>
        <w:sectPr>
          <w:pgSz w:w="11900" w:h="16838" w:orient="portrait"/>
          <w:cols w:equalWidth="0" w:num="2">
            <w:col w:w="7140" w:space="720"/>
            <w:col w:w="3380"/>
          </w:cols>
          <w:pgMar w:left="320" w:top="1079" w:right="339" w:bottom="1440" w:gutter="0" w:footer="0" w:header="0"/>
          <w:type w:val="continuous"/>
        </w:sectPr>
      </w:pPr>
    </w:p>
    <w:p>
      <w:pPr>
        <w:jc w:val="both"/>
        <w:ind w:firstLine="494"/>
        <w:spacing w:after="0"/>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nine months ended September 30, 2025 was $117.0 million. Net income was $46.3 million, adjusted for non-cash charges of $52.4 million, consisting primarily of depreciation and amortization, stock-based compensation, amortization of capitalized contract acquisition costs and warrant cost, non-cash lease expense and provision for expected credit losses, which contributed positively to cash provided from operating activities. This was additionally supported by net cash inflows of $18.4 million provided by changes in our operating assets and liabilities.</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Net cash provided by operating activities for the nine months ended September 30, 2024 was $35.7 million. Net income was $31.0 million, adjusted for non-cash charges of $38.0 million consisting primarily of depreciation and amortization, stock-based compensation, amortization of capitalized contract acquisition costs and warrant cost, non-cash lease expense and provision for expected credit losses and credit adjustments, which contributed positively to cash provided from operating activities. This was offset by net cash outflows of $33.3 million due to changes in our operating assets and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nine months ended September 30, 2025 consisted of $27.4 million of capitalized internal-use software development costs, $0.3 million of purchases of property and equipment and $0.1 million cash outflow from net change in interest-bearing deposits.</w:t>
      </w:r>
    </w:p>
    <w:p>
      <w:pPr>
        <w:spacing w:after="0" w:line="6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investing activities for the nine months ended September 30, 2024 consisted of $27.2 million of capitalized internal-use software development costs and $0.4 million of purchases of property and equipment.</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financing activities for the nine months ended September 30, 2025 consisted of $7.2 million of payments of taxes withheld on net settled vesting of restricted stock units, which was offset by $0.1 million of proceeds from the exercise of stock-based awards by employees.</w:t>
      </w:r>
    </w:p>
    <w:p>
      <w:pPr>
        <w:spacing w:after="0" w:line="6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nine months ended September 30, 2024 consisted of $0.6 million of settlement of holdback liability relating to a prior acquisition, which was offset by $0.2 million of proceeds from the exercise of stock-based awards by employees.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2024 Form 10-K. Except for those disclosed in Note 2 "Summary of Significant Accounting Policies" of this Quarterly Report on Form 10-Q, there have been no material changes in our critical accounting policies and estimates since December 31,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have been no material changes in our exposures to market risk since December 31, 2024. For details on the Company’s interest rate, foreign currency exchange, and inflation risks, see Part I, Item 7A. “Quantitative and Qualitative Information About Market Risk” in our 2024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7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September 30, 2025, the end of the period covered by this Quarterly Report on Form 10-Q. Based on such evaluation, our Chief Executive Officer and Chief Financial Officer have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From time to time as appropriate, we accrue liabilities related to legal claims in its financial statements.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in the risk factors previously disclosed in Item 1A. of our 2024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jc w:val="both"/>
        <w:ind w:firstLine="494"/>
        <w:spacing w:after="0" w:line="232" w:lineRule="exact"/>
        <w:rPr>
          <w:sz w:val="20"/>
          <w:szCs w:val="20"/>
          <w:color w:val="auto"/>
        </w:rPr>
      </w:pPr>
      <w:r>
        <w:rPr>
          <w:rFonts w:ascii="Arial" w:cs="Arial" w:eastAsia="Arial" w:hAnsi="Arial"/>
          <w:sz w:val="18"/>
          <w:szCs w:val="18"/>
          <w:color w:val="auto"/>
        </w:rPr>
        <w:t>During the quarter ended September 30, 2025,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8" w:name="page29"/>
    <w:bookmarkEnd w:id="28"/>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40" w:type="dxa"/>
            <w:vAlign w:val="bottom"/>
            <w:gridSpan w:val="18"/>
            <w:vMerge w:val="restart"/>
          </w:tcPr>
          <w:p>
            <w:pPr>
              <w:ind w:left="480"/>
              <w:spacing w:after="0"/>
              <w:rPr>
                <w:sz w:val="20"/>
                <w:szCs w:val="20"/>
                <w:color w:val="auto"/>
              </w:rPr>
            </w:pPr>
            <w:r>
              <w:rPr>
                <w:rFonts w:ascii="Arial" w:cs="Arial" w:eastAsia="Arial" w:hAnsi="Arial"/>
                <w:sz w:val="17"/>
                <w:szCs w:val="17"/>
                <w:b w:val="1"/>
                <w:bCs w:val="1"/>
                <w:color w:val="auto"/>
              </w:rPr>
              <w:t>Description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340" w:type="dxa"/>
            <w:vAlign w:val="bottom"/>
            <w:gridSpan w:val="18"/>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Form</w:t>
            </w:r>
          </w:p>
        </w:tc>
        <w:tc>
          <w:tcPr>
            <w:tcW w:w="1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3"/>
                <w:szCs w:val="13"/>
                <w:color w:val="auto"/>
              </w:rPr>
            </w:pPr>
          </w:p>
        </w:tc>
        <w:tc>
          <w:tcPr>
            <w:tcW w:w="780" w:type="dxa"/>
            <w:vAlign w:val="bottom"/>
          </w:tcPr>
          <w:p>
            <w:pPr>
              <w:ind w:left="80"/>
              <w:spacing w:after="0" w:line="160" w:lineRule="exact"/>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Filing Date</w:t>
            </w:r>
          </w:p>
        </w:tc>
        <w:tc>
          <w:tcPr>
            <w:tcW w:w="11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Furnished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line="155" w:lineRule="exact"/>
              <w:rPr>
                <w:sz w:val="20"/>
                <w:szCs w:val="20"/>
                <w:color w:val="auto"/>
              </w:rPr>
            </w:pPr>
            <w:r>
              <w:rPr>
                <w:rFonts w:ascii="Arial" w:cs="Arial" w:eastAsia="Arial" w:hAnsi="Arial"/>
                <w:sz w:val="17"/>
                <w:szCs w:val="17"/>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19"/>
          </w:tcPr>
          <w:p>
            <w:pPr>
              <w:spacing w:after="0" w:line="155" w:lineRule="exact"/>
              <w:rPr>
                <w:rFonts w:ascii="Arial" w:cs="Arial" w:eastAsia="Arial" w:hAnsi="Arial"/>
                <w:sz w:val="17"/>
                <w:szCs w:val="17"/>
                <w:color w:val="0000FF"/>
              </w:rPr>
            </w:pPr>
            <w:hyperlink r:id="rId309">
              <w:r>
                <w:rPr>
                  <w:rFonts w:ascii="Arial" w:cs="Arial" w:eastAsia="Arial" w:hAnsi="Arial"/>
                  <w:sz w:val="17"/>
                  <w:szCs w:val="17"/>
                  <w:color w:val="0000FF"/>
                </w:rPr>
                <w:t>Amended and Restated Certificate of Incorporation of</w:t>
              </w:r>
            </w:hyperlink>
          </w:p>
        </w:tc>
        <w:tc>
          <w:tcPr>
            <w:tcW w:w="100" w:type="dxa"/>
            <w:vAlign w:val="bottom"/>
          </w:tcPr>
          <w:p>
            <w:pPr>
              <w:spacing w:after="0"/>
              <w:rPr>
                <w:sz w:val="13"/>
                <w:szCs w:val="13"/>
                <w:color w:val="auto"/>
              </w:rPr>
            </w:pPr>
          </w:p>
        </w:tc>
        <w:tc>
          <w:tcPr>
            <w:tcW w:w="560" w:type="dxa"/>
            <w:vAlign w:val="bottom"/>
          </w:tcPr>
          <w:p>
            <w:pPr>
              <w:jc w:val="center"/>
              <w:spacing w:after="0" w:line="155" w:lineRule="exact"/>
              <w:rPr>
                <w:sz w:val="20"/>
                <w:szCs w:val="20"/>
                <w:color w:val="auto"/>
              </w:rPr>
            </w:pPr>
            <w:r>
              <w:rPr>
                <w:rFonts w:ascii="Arial" w:cs="Arial" w:eastAsia="Arial" w:hAnsi="Arial"/>
                <w:sz w:val="17"/>
                <w:szCs w:val="17"/>
                <w:color w:val="auto"/>
                <w:w w:val="98"/>
              </w:rPr>
              <w:t>8-K</w:t>
            </w:r>
          </w:p>
        </w:tc>
        <w:tc>
          <w:tcPr>
            <w:tcW w:w="1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7"/>
                <w:szCs w:val="17"/>
                <w:color w:val="auto"/>
              </w:rPr>
              <w:t>001-40429</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7"/>
                <w:szCs w:val="17"/>
                <w:color w:val="auto"/>
              </w:rPr>
              <w:t>May 28, 2021</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w w:val="98"/>
              </w:rPr>
            </w:pPr>
            <w:hyperlink r:id="rId309">
              <w:r>
                <w:rPr>
                  <w:rFonts w:ascii="Arial" w:cs="Arial" w:eastAsia="Arial" w:hAnsi="Arial"/>
                  <w:sz w:val="17"/>
                  <w:szCs w:val="17"/>
                  <w:color w:val="0000FF"/>
                  <w:w w:val="98"/>
                </w:rPr>
                <w:t>Paymentus Holdings, Inc.</w:t>
              </w:r>
            </w:hyperlink>
          </w:p>
        </w:tc>
        <w:tc>
          <w:tcPr>
            <w:tcW w:w="2140" w:type="dxa"/>
            <w:vAlign w:val="bottom"/>
            <w:tcBorders>
              <w:top w:val="single" w:sz="8" w:color="0000FF"/>
            </w:tcBorders>
            <w:gridSpan w:val="7"/>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rPr>
              <w:t>August 7, 2023</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spacing w:after="0" w:line="169" w:lineRule="exact"/>
              <w:rPr>
                <w:rFonts w:ascii="Arial" w:cs="Arial" w:eastAsia="Arial" w:hAnsi="Arial"/>
                <w:sz w:val="17"/>
                <w:szCs w:val="17"/>
                <w:color w:val="0000FF"/>
              </w:rPr>
            </w:pPr>
            <w:hyperlink r:id="rId310">
              <w:r>
                <w:rPr>
                  <w:rFonts w:ascii="Arial" w:cs="Arial" w:eastAsia="Arial" w:hAnsi="Arial"/>
                  <w:sz w:val="17"/>
                  <w:szCs w:val="17"/>
                  <w:color w:val="0000FF"/>
                </w:rPr>
                <w:t>Amendment to Amended</w:t>
              </w:r>
            </w:hyperlink>
          </w:p>
        </w:tc>
        <w:tc>
          <w:tcPr>
            <w:tcW w:w="2820" w:type="dxa"/>
            <w:vAlign w:val="bottom"/>
            <w:gridSpan w:val="17"/>
          </w:tcPr>
          <w:p>
            <w:pPr>
              <w:spacing w:after="0" w:line="169" w:lineRule="exact"/>
              <w:rPr>
                <w:rFonts w:ascii="Arial" w:cs="Arial" w:eastAsia="Arial" w:hAnsi="Arial"/>
                <w:sz w:val="17"/>
                <w:szCs w:val="17"/>
                <w:color w:val="0000FF"/>
              </w:rPr>
            </w:pPr>
            <w:hyperlink r:id="rId310">
              <w:r>
                <w:rPr>
                  <w:rFonts w:ascii="Arial" w:cs="Arial" w:eastAsia="Arial" w:hAnsi="Arial"/>
                  <w:sz w:val="17"/>
                  <w:szCs w:val="17"/>
                  <w:color w:val="0000FF"/>
                </w:rPr>
                <w:t>and Restated Certificate of</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4"/>
                <w:szCs w:val="14"/>
                <w:color w:val="auto"/>
              </w:rPr>
            </w:pPr>
          </w:p>
        </w:tc>
        <w:tc>
          <w:tcPr>
            <w:tcW w:w="3980" w:type="dxa"/>
            <w:vAlign w:val="bottom"/>
            <w:gridSpan w:val="9"/>
          </w:tcPr>
          <w:p>
            <w:pPr>
              <w:spacing w:after="0" w:line="169" w:lineRule="exact"/>
              <w:rPr>
                <w:rFonts w:ascii="Arial" w:cs="Arial" w:eastAsia="Arial" w:hAnsi="Arial"/>
                <w:sz w:val="17"/>
                <w:szCs w:val="17"/>
                <w:color w:val="0000FF"/>
              </w:rPr>
            </w:pPr>
            <w:hyperlink r:id="rId310">
              <w:r>
                <w:rPr>
                  <w:rFonts w:ascii="Arial" w:cs="Arial" w:eastAsia="Arial" w:hAnsi="Arial"/>
                  <w:sz w:val="17"/>
                  <w:szCs w:val="17"/>
                  <w:color w:val="0000FF"/>
                </w:rPr>
                <w:t>Incorporation of Paymentus Holdings, Inc.</w:t>
              </w:r>
            </w:hyperlink>
          </w:p>
        </w:tc>
        <w:tc>
          <w:tcPr>
            <w:tcW w:w="2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4"/>
                <w:szCs w:val="14"/>
                <w:color w:val="auto"/>
              </w:rPr>
            </w:pPr>
          </w:p>
        </w:tc>
        <w:tc>
          <w:tcPr>
            <w:tcW w:w="1380" w:type="dxa"/>
            <w:vAlign w:val="bottom"/>
            <w:vMerge w:val="restart"/>
          </w:tcPr>
          <w:p>
            <w:pPr>
              <w:jc w:val="center"/>
              <w:ind w:right="15"/>
              <w:spacing w:after="0"/>
              <w:rPr>
                <w:sz w:val="20"/>
                <w:szCs w:val="20"/>
                <w:color w:val="auto"/>
              </w:rPr>
            </w:pPr>
            <w:r>
              <w:rPr>
                <w:rFonts w:ascii="Arial" w:cs="Arial" w:eastAsia="Arial" w:hAnsi="Arial"/>
                <w:sz w:val="17"/>
                <w:szCs w:val="17"/>
                <w:color w:val="auto"/>
              </w:rPr>
              <w:t>November 14,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0"/>
          </w:tcPr>
          <w:p>
            <w:pPr>
              <w:spacing w:after="0" w:line="169" w:lineRule="exact"/>
              <w:rPr>
                <w:rFonts w:ascii="Arial" w:cs="Arial" w:eastAsia="Arial" w:hAnsi="Arial"/>
                <w:sz w:val="17"/>
                <w:szCs w:val="17"/>
                <w:color w:val="0000FF"/>
              </w:rPr>
            </w:pPr>
            <w:hyperlink r:id="rId311">
              <w:r>
                <w:rPr>
                  <w:rFonts w:ascii="Arial" w:cs="Arial" w:eastAsia="Arial" w:hAnsi="Arial"/>
                  <w:sz w:val="17"/>
                  <w:szCs w:val="17"/>
                  <w:color w:val="0000FF"/>
                </w:rPr>
                <w:t>Amended and Restated Bylaws of Paymentus Holdings, Inc.</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gridSpan w:val="2"/>
          </w:tcPr>
          <w:p>
            <w:pPr>
              <w:jc w:val="center"/>
              <w:spacing w:after="0" w:line="174" w:lineRule="exact"/>
              <w:rPr>
                <w:sz w:val="20"/>
                <w:szCs w:val="20"/>
                <w:color w:val="auto"/>
              </w:rPr>
            </w:pPr>
            <w:r>
              <w:rPr>
                <w:rFonts w:ascii="Arial" w:cs="Arial" w:eastAsia="Arial" w:hAnsi="Arial"/>
                <w:sz w:val="17"/>
                <w:szCs w:val="17"/>
                <w:color w:val="auto"/>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gridSpan w:val="2"/>
          </w:tcPr>
          <w:p>
            <w:pPr>
              <w:spacing w:after="0" w:line="185"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6"/>
                <w:szCs w:val="16"/>
                <w:color w:val="auto"/>
              </w:rPr>
            </w:pPr>
          </w:p>
        </w:tc>
        <w:tc>
          <w:tcPr>
            <w:tcW w:w="4740" w:type="dxa"/>
            <w:vAlign w:val="bottom"/>
            <w:gridSpan w:val="20"/>
          </w:tcPr>
          <w:p>
            <w:pPr>
              <w:spacing w:after="0" w:line="185" w:lineRule="exact"/>
              <w:rPr>
                <w:rFonts w:ascii="Arial" w:cs="Arial" w:eastAsia="Arial" w:hAnsi="Arial"/>
                <w:sz w:val="17"/>
                <w:szCs w:val="17"/>
                <w:color w:val="0000FF"/>
              </w:rPr>
            </w:pPr>
            <w:hyperlink r:id="rId312">
              <w:r>
                <w:rPr>
                  <w:rFonts w:ascii="Arial" w:cs="Arial" w:eastAsia="Arial" w:hAnsi="Arial"/>
                  <w:sz w:val="17"/>
                  <w:szCs w:val="17"/>
                  <w:color w:val="0000FF"/>
                </w:rPr>
                <w:t>Form of Restricted Stock Unit Agreement under the 2021</w:t>
              </w:r>
            </w:hyperlink>
          </w:p>
        </w:tc>
        <w:tc>
          <w:tcPr>
            <w:tcW w:w="100" w:type="dxa"/>
            <w:vAlign w:val="bottom"/>
          </w:tcPr>
          <w:p>
            <w:pPr>
              <w:spacing w:after="0"/>
              <w:rPr>
                <w:sz w:val="16"/>
                <w:szCs w:val="16"/>
                <w:color w:val="auto"/>
              </w:rPr>
            </w:pPr>
          </w:p>
        </w:tc>
        <w:tc>
          <w:tcPr>
            <w:tcW w:w="560" w:type="dxa"/>
            <w:vAlign w:val="bottom"/>
          </w:tcPr>
          <w:p>
            <w:pPr>
              <w:jc w:val="center"/>
              <w:spacing w:after="0" w:line="185" w:lineRule="exact"/>
              <w:rPr>
                <w:sz w:val="20"/>
                <w:szCs w:val="20"/>
                <w:color w:val="auto"/>
              </w:rPr>
            </w:pPr>
            <w:r>
              <w:rPr>
                <w:rFonts w:ascii="Arial" w:cs="Arial" w:eastAsia="Arial" w:hAnsi="Arial"/>
                <w:sz w:val="17"/>
                <w:szCs w:val="17"/>
                <w:color w:val="auto"/>
                <w:w w:val="98"/>
              </w:rPr>
              <w:t>8-K</w:t>
            </w:r>
          </w:p>
        </w:tc>
        <w:tc>
          <w:tcPr>
            <w:tcW w:w="1100" w:type="dxa"/>
            <w:vAlign w:val="bottom"/>
            <w:gridSpan w:val="2"/>
          </w:tcPr>
          <w:p>
            <w:pPr>
              <w:jc w:val="right"/>
              <w:ind w:right="95"/>
              <w:spacing w:after="0" w:line="185" w:lineRule="exact"/>
              <w:rPr>
                <w:sz w:val="20"/>
                <w:szCs w:val="20"/>
                <w:color w:val="auto"/>
              </w:rPr>
            </w:pPr>
            <w:r>
              <w:rPr>
                <w:rFonts w:ascii="Arial" w:cs="Arial" w:eastAsia="Arial" w:hAnsi="Arial"/>
                <w:sz w:val="17"/>
                <w:szCs w:val="17"/>
                <w:color w:val="auto"/>
              </w:rPr>
              <w:t>001-40429</w:t>
            </w:r>
          </w:p>
        </w:tc>
        <w:tc>
          <w:tcPr>
            <w:tcW w:w="900" w:type="dxa"/>
            <w:vAlign w:val="bottom"/>
            <w:gridSpan w:val="2"/>
          </w:tcPr>
          <w:p>
            <w:pPr>
              <w:jc w:val="center"/>
              <w:spacing w:after="0" w:line="185"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6"/>
                <w:szCs w:val="16"/>
                <w:color w:val="auto"/>
              </w:rPr>
            </w:pPr>
          </w:p>
        </w:tc>
        <w:tc>
          <w:tcPr>
            <w:tcW w:w="1380" w:type="dxa"/>
            <w:vAlign w:val="bottom"/>
          </w:tcPr>
          <w:p>
            <w:pPr>
              <w:jc w:val="center"/>
              <w:spacing w:after="0" w:line="185" w:lineRule="exact"/>
              <w:rPr>
                <w:sz w:val="20"/>
                <w:szCs w:val="20"/>
                <w:color w:val="auto"/>
              </w:rPr>
            </w:pPr>
            <w:r>
              <w:rPr>
                <w:rFonts w:ascii="Arial" w:cs="Arial" w:eastAsia="Arial" w:hAnsi="Arial"/>
                <w:sz w:val="17"/>
                <w:szCs w:val="17"/>
                <w:color w:val="auto"/>
              </w:rPr>
              <w:t>July 2, 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w w:val="99"/>
              </w:rPr>
            </w:pPr>
            <w:hyperlink r:id="rId312">
              <w:r>
                <w:rPr>
                  <w:rFonts w:ascii="Arial" w:cs="Arial" w:eastAsia="Arial" w:hAnsi="Arial"/>
                  <w:sz w:val="17"/>
                  <w:szCs w:val="17"/>
                  <w:color w:val="0000FF"/>
                  <w:w w:val="99"/>
                </w:rPr>
                <w:t>Equity Incentive Plan for Dushyant Sharma</w:t>
              </w:r>
            </w:hyperlink>
          </w:p>
        </w:tc>
        <w:tc>
          <w:tcPr>
            <w:tcW w:w="20" w:type="dxa"/>
            <w:vAlign w:val="bottom"/>
            <w:tcBorders>
              <w:top w:val="single" w:sz="8" w:color="0000FF"/>
              <w:bottom w:val="single" w:sz="8" w:color="0000EE"/>
            </w:tcBorders>
          </w:tcPr>
          <w:p>
            <w:pPr>
              <w:spacing w:after="0"/>
              <w:rPr>
                <w:sz w:val="14"/>
                <w:szCs w:val="14"/>
                <w:color w:val="auto"/>
              </w:rPr>
            </w:pPr>
          </w:p>
        </w:tc>
        <w:tc>
          <w:tcPr>
            <w:tcW w:w="1080" w:type="dxa"/>
            <w:vAlign w:val="bottom"/>
            <w:tcBorders>
              <w:top w:val="single" w:sz="8" w:color="0000FF"/>
            </w:tcBorders>
            <w:gridSpan w:val="5"/>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8"/>
          </w:tcPr>
          <w:p>
            <w:pPr>
              <w:spacing w:after="0" w:line="169" w:lineRule="exact"/>
              <w:rPr>
                <w:sz w:val="20"/>
                <w:szCs w:val="20"/>
                <w:color w:val="auto"/>
              </w:rPr>
            </w:pPr>
            <w:r>
              <w:rPr>
                <w:rFonts w:ascii="Arial" w:cs="Arial" w:eastAsia="Arial" w:hAnsi="Arial"/>
                <w:sz w:val="17"/>
                <w:szCs w:val="17"/>
                <w:color w:val="0000FF"/>
              </w:rPr>
              <w:t>Certification of Principal Executive Officer</w:t>
            </w:r>
          </w:p>
        </w:tc>
        <w:tc>
          <w:tcPr>
            <w:tcW w:w="1480" w:type="dxa"/>
            <w:vAlign w:val="bottom"/>
            <w:gridSpan w:val="12"/>
          </w:tcPr>
          <w:p>
            <w:pPr>
              <w:spacing w:after="0" w:line="169" w:lineRule="exact"/>
              <w:rPr>
                <w:sz w:val="20"/>
                <w:szCs w:val="20"/>
                <w:color w:val="auto"/>
              </w:rPr>
            </w:pPr>
            <w:r>
              <w:rPr>
                <w:rFonts w:ascii="Arial" w:cs="Arial" w:eastAsia="Arial" w:hAnsi="Arial"/>
                <w:sz w:val="17"/>
                <w:szCs w:val="17"/>
                <w:color w:val="0000FF"/>
              </w:rPr>
              <w:t>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7"/>
                <w:szCs w:val="17"/>
                <w:color w:val="0000FF"/>
              </w:rPr>
              <w:t>13a-14(a) and 15d-14(a) under the Securities Exchange Act</w:t>
            </w:r>
          </w:p>
        </w:tc>
        <w:tc>
          <w:tcPr>
            <w:tcW w:w="180" w:type="dxa"/>
            <w:vAlign w:val="bottom"/>
            <w:gridSpan w:val="3"/>
          </w:tcPr>
          <w:p>
            <w:pPr>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4"/>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4500" w:type="dxa"/>
            <w:vAlign w:val="bottom"/>
            <w:gridSpan w:val="14"/>
          </w:tcPr>
          <w:p>
            <w:pPr>
              <w:spacing w:after="0" w:line="169" w:lineRule="exact"/>
              <w:rPr>
                <w:sz w:val="20"/>
                <w:szCs w:val="20"/>
                <w:color w:val="auto"/>
              </w:rPr>
            </w:pPr>
            <w:r>
              <w:rPr>
                <w:rFonts w:ascii="Arial" w:cs="Arial" w:eastAsia="Arial" w:hAnsi="Arial"/>
                <w:sz w:val="17"/>
                <w:szCs w:val="17"/>
                <w:color w:val="0000FF"/>
              </w:rPr>
              <w:t>Oxley Act of 2002.</w:t>
            </w: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0"/>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7"/>
                <w:szCs w:val="17"/>
                <w:color w:val="0000FF"/>
                <w:w w:val="99"/>
              </w:rPr>
              <w:t>13a-14(a) and 15d-14(a) under the Securities Exchange Act</w:t>
            </w:r>
          </w:p>
        </w:tc>
        <w:tc>
          <w:tcPr>
            <w:tcW w:w="220" w:type="dxa"/>
            <w:vAlign w:val="bottom"/>
            <w:gridSpan w:val="5"/>
          </w:tcPr>
          <w:p>
            <w:pPr>
              <w:ind w:left="4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4"/>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14"/>
                <w:szCs w:val="14"/>
                <w:color w:val="auto"/>
              </w:rPr>
            </w:pPr>
          </w:p>
        </w:tc>
        <w:tc>
          <w:tcPr>
            <w:tcW w:w="4500" w:type="dxa"/>
            <w:vAlign w:val="bottom"/>
            <w:gridSpan w:val="14"/>
          </w:tcPr>
          <w:p>
            <w:pPr>
              <w:spacing w:after="0" w:line="169" w:lineRule="exact"/>
              <w:rPr>
                <w:sz w:val="20"/>
                <w:szCs w:val="20"/>
                <w:color w:val="auto"/>
              </w:rPr>
            </w:pPr>
            <w:r>
              <w:rPr>
                <w:rFonts w:ascii="Arial" w:cs="Arial" w:eastAsia="Arial" w:hAnsi="Arial"/>
                <w:sz w:val="17"/>
                <w:szCs w:val="17"/>
                <w:color w:val="0000FF"/>
              </w:rPr>
              <w:t>Oxley Act of 2002.</w:t>
            </w:r>
          </w:p>
        </w:tc>
        <w:tc>
          <w:tcPr>
            <w:tcW w:w="10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0"/>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7"/>
                <w:szCs w:val="17"/>
                <w:color w:val="0000FF"/>
                <w:w w:val="98"/>
              </w:rPr>
              <w:t>U.S.C. Section 1350, as Adopted Pursuant to Section 906</w:t>
            </w:r>
          </w:p>
        </w:tc>
        <w:tc>
          <w:tcPr>
            <w:tcW w:w="420" w:type="dxa"/>
            <w:vAlign w:val="bottom"/>
            <w:gridSpan w:val="8"/>
          </w:tcPr>
          <w:p>
            <w:pPr>
              <w:ind w:left="8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32.2*</w:t>
            </w:r>
          </w:p>
        </w:tc>
        <w:tc>
          <w:tcPr>
            <w:tcW w:w="12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40" w:type="dxa"/>
            <w:vAlign w:val="bottom"/>
            <w:gridSpan w:val="15"/>
            <w:vMerge w:val="restart"/>
          </w:tcPr>
          <w:p>
            <w:pPr>
              <w:jc w:val="center"/>
              <w:ind w:right="480"/>
              <w:spacing w:after="0" w:line="189" w:lineRule="exact"/>
              <w:rPr>
                <w:sz w:val="20"/>
                <w:szCs w:val="20"/>
                <w:color w:val="auto"/>
              </w:rPr>
            </w:pPr>
            <w:r>
              <w:rPr>
                <w:rFonts w:ascii="Arial" w:cs="Arial" w:eastAsia="Arial" w:hAnsi="Arial"/>
                <w:sz w:val="17"/>
                <w:szCs w:val="17"/>
                <w:color w:val="0000FF"/>
              </w:rPr>
              <w:t>Officer Pursuant to 18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spacing w:after="0" w:line="169" w:lineRule="exact"/>
              <w:rPr>
                <w:sz w:val="20"/>
                <w:szCs w:val="20"/>
                <w:color w:val="auto"/>
              </w:rPr>
            </w:pPr>
            <w:r>
              <w:rPr>
                <w:rFonts w:ascii="Arial" w:cs="Arial" w:eastAsia="Arial" w:hAnsi="Arial"/>
                <w:sz w:val="17"/>
                <w:szCs w:val="17"/>
                <w:color w:val="0000FF"/>
                <w:w w:val="96"/>
              </w:rPr>
              <w:t>Certification of Principal Financial</w:t>
            </w:r>
          </w:p>
        </w:tc>
        <w:tc>
          <w:tcPr>
            <w:tcW w:w="40" w:type="dxa"/>
            <w:vAlign w:val="bottom"/>
            <w:vMerge w:val="continue"/>
          </w:tcPr>
          <w:p>
            <w:pPr>
              <w:spacing w:after="0"/>
              <w:rPr>
                <w:sz w:val="14"/>
                <w:szCs w:val="14"/>
                <w:color w:val="auto"/>
              </w:rPr>
            </w:pPr>
          </w:p>
        </w:tc>
        <w:tc>
          <w:tcPr>
            <w:tcW w:w="2240" w:type="dxa"/>
            <w:vAlign w:val="bottom"/>
            <w:gridSpan w:val="15"/>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0"/>
          </w:tcPr>
          <w:p>
            <w:pPr>
              <w:spacing w:after="0" w:line="169" w:lineRule="exact"/>
              <w:rPr>
                <w:sz w:val="20"/>
                <w:szCs w:val="20"/>
                <w:color w:val="auto"/>
              </w:rPr>
            </w:pPr>
            <w:r>
              <w:rPr>
                <w:rFonts w:ascii="Arial" w:cs="Arial" w:eastAsia="Arial" w:hAnsi="Arial"/>
                <w:sz w:val="17"/>
                <w:szCs w:val="17"/>
                <w:color w:val="0000FF"/>
              </w:rPr>
              <w:t>U.S.C. Section 1350, as Adopted Pursuant to Section 906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4"/>
                <w:szCs w:val="14"/>
                <w:color w:val="auto"/>
              </w:rPr>
            </w:pPr>
          </w:p>
        </w:tc>
        <w:tc>
          <w:tcPr>
            <w:tcW w:w="2500" w:type="dxa"/>
            <w:vAlign w:val="bottom"/>
            <w:tcBorders>
              <w:top w:val="single" w:sz="8" w:color="0000FF"/>
              <w:bottom w:val="single" w:sz="8" w:color="0000EE"/>
            </w:tcBorders>
            <w:gridSpan w:val="5"/>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2100" w:type="dxa"/>
            <w:vAlign w:val="bottom"/>
            <w:tcBorders>
              <w:top w:val="single" w:sz="8" w:color="0000FF"/>
            </w:tcBorders>
            <w:gridSpan w:val="1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4"/>
          </w:tcPr>
          <w:p>
            <w:pPr>
              <w:spacing w:after="0" w:line="174" w:lineRule="exact"/>
              <w:rPr>
                <w:sz w:val="20"/>
                <w:szCs w:val="20"/>
                <w:color w:val="auto"/>
              </w:rPr>
            </w:pPr>
            <w:r>
              <w:rPr>
                <w:rFonts w:ascii="Arial" w:cs="Arial" w:eastAsia="Arial" w:hAnsi="Arial"/>
                <w:sz w:val="17"/>
                <w:szCs w:val="17"/>
                <w:color w:val="auto"/>
              </w:rPr>
              <w:t>Inline XBRL Instance Document</w:t>
            </w:r>
          </w:p>
        </w:tc>
        <w:tc>
          <w:tcPr>
            <w:tcW w:w="2280" w:type="dxa"/>
            <w:vAlign w:val="bottom"/>
            <w:gridSpan w:val="16"/>
          </w:tcPr>
          <w:p>
            <w:pPr>
              <w:jc w:val="center"/>
              <w:ind w:right="440"/>
              <w:spacing w:after="0" w:line="174" w:lineRule="exact"/>
              <w:rPr>
                <w:sz w:val="20"/>
                <w:szCs w:val="20"/>
                <w:color w:val="auto"/>
              </w:rPr>
            </w:pPr>
            <w:r>
              <w:rPr>
                <w:rFonts w:ascii="Arial" w:cs="Arial" w:eastAsia="Arial" w:hAnsi="Arial"/>
                <w:sz w:val="17"/>
                <w:szCs w:val="17"/>
                <w:color w:val="auto"/>
                <w:w w:val="99"/>
              </w:rPr>
              <w:t>– the instance document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does not appear in the Interactive Data File because XBRL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tags are embedded within the Inline XBRL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Schema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101.CAL</w:t>
            </w: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Calculation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Definition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Label Linkbase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Presentation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20"/>
          </w:tcPr>
          <w:p>
            <w:pPr>
              <w:spacing w:after="0"/>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right="5540" w:hanging="1017"/>
        <w:spacing w:after="0" w:line="248" w:lineRule="auto"/>
        <w:tabs>
          <w:tab w:leader="none" w:pos="11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69" w:lineRule="exact"/>
        <w:rPr>
          <w:rFonts w:ascii="Arial" w:cs="Arial" w:eastAsia="Arial" w:hAnsi="Arial"/>
          <w:sz w:val="17"/>
          <w:szCs w:val="17"/>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03" w:lineRule="exact"/>
        <w:rPr>
          <w:rFonts w:ascii="Arial" w:cs="Arial" w:eastAsia="Arial" w:hAnsi="Arial"/>
          <w:sz w:val="18"/>
          <w:szCs w:val="18"/>
          <w:color w:val="auto"/>
        </w:rPr>
      </w:pPr>
    </w:p>
    <w:p>
      <w:pPr>
        <w:ind w:right="20" w:firstLine="40"/>
        <w:spacing w:after="0" w:line="247" w:lineRule="auto"/>
        <w:rPr>
          <w:rFonts w:ascii="Arial" w:cs="Arial" w:eastAsia="Arial" w:hAnsi="Arial"/>
          <w:sz w:val="18"/>
          <w:szCs w:val="18"/>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9" w:name="page30"/>
    <w:bookmarkEnd w:id="29"/>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PAYMENTUS HOLDINGS, INC.</w:t>
      </w:r>
    </w:p>
    <w:p>
      <w:pPr>
        <w:spacing w:after="0" w:line="198"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November 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Dushyant Sharma</w:t>
      </w:r>
    </w:p>
    <w:p>
      <w:pPr>
        <w:ind w:left="6100"/>
        <w:spacing w:after="0" w:line="234" w:lineRule="auto"/>
        <w:rPr>
          <w:sz w:val="20"/>
          <w:szCs w:val="20"/>
          <w:color w:val="auto"/>
        </w:rPr>
      </w:pPr>
      <w:r>
        <w:rPr>
          <w:rFonts w:ascii="Arial" w:cs="Arial" w:eastAsia="Arial" w:hAnsi="Arial"/>
          <w:sz w:val="18"/>
          <w:szCs w:val="18"/>
          <w:b w:val="1"/>
          <w:bCs w:val="1"/>
          <w:color w:val="auto"/>
        </w:rPr>
        <w:t>Chairman, President and 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180"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November 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8890</wp:posOffset>
            </wp:positionV>
            <wp:extent cx="3540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Sanjay Kalra</w:t>
      </w:r>
    </w:p>
    <w:p>
      <w:pPr>
        <w:ind w:left="6100"/>
        <w:spacing w:after="0" w:line="234" w:lineRule="auto"/>
        <w:rPr>
          <w:sz w:val="20"/>
          <w:szCs w:val="20"/>
          <w:color w:val="auto"/>
        </w:rPr>
      </w:pPr>
      <w:r>
        <w:rPr>
          <w:rFonts w:ascii="Arial" w:cs="Arial" w:eastAsia="Arial" w:hAnsi="Arial"/>
          <w:sz w:val="18"/>
          <w:szCs w:val="18"/>
          <w:b w:val="1"/>
          <w:bCs w:val="1"/>
          <w:color w:val="auto"/>
        </w:rPr>
        <w:t>Senior Vice President and Chief Financial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30" w:name="page31"/>
    <w:bookmarkEnd w:id="30"/>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6"/>
          <w:szCs w:val="16"/>
          <w:color w:val="auto"/>
        </w:rPr>
        <w:t>Date: November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1412240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ind w:left="10300"/>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 Sanjay Kalra, certify that:</w:t>
      </w:r>
    </w:p>
    <w:p>
      <w:pPr>
        <w:spacing w:after="0" w:line="22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November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1292225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20"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and nine months ended September 30, 2025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900" w:right="820" w:hanging="892"/>
        <w:spacing w:after="0" w:line="28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61"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6"/>
          <w:szCs w:val="16"/>
          <w:color w:val="auto"/>
        </w:rPr>
        <w:t>Date: November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20"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and nine months ended September 30, 2025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020" w:right="700" w:hanging="1012"/>
        <w:spacing w:after="0" w:line="286"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29"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November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09" Type="http://schemas.openxmlformats.org/officeDocument/2006/relationships/hyperlink" Target="https://www.sec.gov/Archives/edgar/data/1841156/000156459021030840/ck7045120534-ex31_9.htm" TargetMode="External"/><Relationship Id="rId310" Type="http://schemas.openxmlformats.org/officeDocument/2006/relationships/hyperlink" Target="https://www.sec.gov/Archives/edgar/data/1841156/000095017023039173/pay-ex3_1.htm" TargetMode="External"/><Relationship Id="rId311" Type="http://schemas.openxmlformats.org/officeDocument/2006/relationships/hyperlink" Target="https://www.sec.gov/Archives/edgar/data/1841156/000095017022025091/pay-ex3_2.htm" TargetMode="External"/><Relationship Id="rId312" Type="http://schemas.openxmlformats.org/officeDocument/2006/relationships/hyperlink" Target="https://www.sec.gov/Archives/edgar/data/1841156/000095017025092988/pay-202507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2025-11-04T05:22:29Z</dcterms:created>
  <dcterms:modified xsi:type="dcterms:W3CDTF">2025-11-04T05:22:29Z</dcterms:modified>
</cp:coreProperties>
</file>