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Sharma Dushyant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36" w:lineRule="auto"/>
        <w:rPr>
          <w:sz w:val="20"/>
          <w:szCs w:val="20"/>
          <w:color w:val="auto"/>
        </w:rPr>
      </w:pPr>
      <w:r>
        <w:rPr>
          <w:rFonts w:ascii="Times New Roman" w:cs="Times New Roman" w:eastAsia="Times New Roman" w:hAnsi="Times New Roman"/>
          <w:sz w:val="17"/>
          <w:szCs w:val="17"/>
          <w:color w:val="0000FF"/>
        </w:rPr>
        <w:t>11605 N. COMMUNITY HOUSE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Paymentus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11/15/2025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27,054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1,045,892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Explanation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of</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Responses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the withholding of shares by the issuer to cover tax withholding obligations in connection with the vesting of restricted stock units under the issuer's 2021 Equity Incentive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directly by Ashigrace LLC. Dushyant Sharma is the sole manager of Ashigrace LLC and has sole voting and dispositive power with respect to the securities held by Ashigrace LLC.</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A. Gerber,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63304"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2025-11-17T16:08:39Z</dcterms:created>
  <dcterms:modified xsi:type="dcterms:W3CDTF">2025-11-17T16:08:39Z</dcterms:modified>
</cp:coreProperties>
</file>