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833755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885190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660" w:right="1540" w:hanging="3639"/>
        <w:spacing w:after="0" w:line="280" w:lineRule="auto"/>
        <w:tabs>
          <w:tab w:leader="none" w:pos="48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2024</w:t>
      </w:r>
    </w:p>
    <w:p>
      <w:pPr>
        <w:spacing w:after="0" w:line="12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 w:lineRule="exact"/>
        <w:rPr>
          <w:sz w:val="24"/>
          <w:szCs w:val="24"/>
          <w:color w:val="auto"/>
        </w:rPr>
      </w:pPr>
    </w:p>
    <w:p>
      <w:pPr>
        <w:ind w:left="3500"/>
        <w:spacing w:after="0"/>
        <w:tabs>
          <w:tab w:leader="none" w:pos="6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Commission File Number: 001-40429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4280" w:type="dxa"/>
            <w:vAlign w:val="bottom"/>
          </w:tcPr>
          <w:p>
            <w:pPr>
              <w:jc w:val="right"/>
              <w:ind w:right="190"/>
              <w:spacing w:after="0"/>
              <w:rPr>
                <w:sz w:val="20"/>
                <w:szCs w:val="20"/>
                <w:color w:val="auto"/>
              </w:rPr>
            </w:pPr>
            <w:r>
              <w:rPr>
                <w:rFonts w:ascii="Arial" w:cs="Arial" w:eastAsia="Arial" w:hAnsi="Arial"/>
                <w:sz w:val="18"/>
                <w:szCs w:val="18"/>
                <w:b w:val="1"/>
                <w:bCs w:val="1"/>
                <w:color w:val="auto"/>
              </w:rPr>
              <w:t>45-3188251</w:t>
            </w:r>
          </w:p>
        </w:tc>
      </w:tr>
      <w:tr>
        <w:trPr>
          <w:trHeight w:val="202"/>
        </w:trPr>
        <w:tc>
          <w:tcPr>
            <w:tcW w:w="4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(State or other jurisdiction of</w:t>
            </w:r>
          </w:p>
        </w:tc>
        <w:tc>
          <w:tcPr>
            <w:tcW w:w="4280" w:type="dxa"/>
            <w:vAlign w:val="bottom"/>
          </w:tcPr>
          <w:p>
            <w:pPr>
              <w:jc w:val="center"/>
              <w:ind w:left="2650"/>
              <w:spacing w:after="0" w:line="202" w:lineRule="exact"/>
              <w:rPr>
                <w:sz w:val="20"/>
                <w:szCs w:val="20"/>
                <w:color w:val="auto"/>
              </w:rPr>
            </w:pPr>
            <w:r>
              <w:rPr>
                <w:rFonts w:ascii="Arial" w:cs="Arial" w:eastAsia="Arial" w:hAnsi="Arial"/>
                <w:sz w:val="18"/>
                <w:szCs w:val="18"/>
                <w:b w:val="1"/>
                <w:bCs w:val="1"/>
                <w:color w:val="auto"/>
                <w:w w:val="99"/>
              </w:rPr>
              <w:t>(I.R.S. Employer</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9"/>
              </w:rPr>
              <w:t>incorporation or organization)</w:t>
            </w:r>
          </w:p>
        </w:tc>
        <w:tc>
          <w:tcPr>
            <w:tcW w:w="4280" w:type="dxa"/>
            <w:vAlign w:val="bottom"/>
          </w:tcPr>
          <w:p>
            <w:pPr>
              <w:jc w:val="center"/>
              <w:ind w:left="2670"/>
              <w:spacing w:after="0"/>
              <w:rPr>
                <w:sz w:val="20"/>
                <w:szCs w:val="20"/>
                <w:color w:val="auto"/>
              </w:rPr>
            </w:pPr>
            <w:r>
              <w:rPr>
                <w:rFonts w:ascii="Arial" w:cs="Arial" w:eastAsia="Arial" w:hAnsi="Arial"/>
                <w:sz w:val="18"/>
                <w:szCs w:val="18"/>
                <w:b w:val="1"/>
                <w:bCs w:val="1"/>
                <w:color w:val="auto"/>
                <w:w w:val="99"/>
              </w:rPr>
              <w:t>Identification No.)</w:t>
            </w:r>
          </w:p>
        </w:tc>
      </w:tr>
      <w:tr>
        <w:trPr>
          <w:trHeight w:val="202"/>
        </w:trPr>
        <w:tc>
          <w:tcPr>
            <w:tcW w:w="4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11605 North Community House Road, Suite 300</w:t>
            </w:r>
          </w:p>
        </w:tc>
        <w:tc>
          <w:tcPr>
            <w:tcW w:w="4280" w:type="dxa"/>
            <w:vAlign w:val="bottom"/>
          </w:tcPr>
          <w:p>
            <w:pPr>
              <w:spacing w:after="0"/>
              <w:rPr>
                <w:sz w:val="17"/>
                <w:szCs w:val="17"/>
                <w:color w:val="auto"/>
              </w:rPr>
            </w:pP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rPr>
              <w:t>Charlotte, NC</w:t>
            </w:r>
          </w:p>
        </w:tc>
        <w:tc>
          <w:tcPr>
            <w:tcW w:w="4280" w:type="dxa"/>
            <w:vAlign w:val="bottom"/>
          </w:tcPr>
          <w:p>
            <w:pPr>
              <w:jc w:val="right"/>
              <w:ind w:right="430"/>
              <w:spacing w:after="0"/>
              <w:rPr>
                <w:sz w:val="20"/>
                <w:szCs w:val="20"/>
                <w:color w:val="auto"/>
              </w:rPr>
            </w:pPr>
            <w:r>
              <w:rPr>
                <w:rFonts w:ascii="Arial" w:cs="Arial" w:eastAsia="Arial" w:hAnsi="Arial"/>
                <w:sz w:val="18"/>
                <w:szCs w:val="18"/>
                <w:b w:val="1"/>
                <w:bCs w:val="1"/>
                <w:color w:val="auto"/>
              </w:rPr>
              <w:t>28277</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9"/>
              </w:rPr>
              <w:t>(Address of principal executive offices)</w:t>
            </w:r>
          </w:p>
        </w:tc>
        <w:tc>
          <w:tcPr>
            <w:tcW w:w="4280" w:type="dxa"/>
            <w:vAlign w:val="bottom"/>
          </w:tcPr>
          <w:p>
            <w:pPr>
              <w:jc w:val="center"/>
              <w:ind w:left="2670"/>
              <w:spacing w:after="0"/>
              <w:rPr>
                <w:sz w:val="20"/>
                <w:szCs w:val="20"/>
                <w:color w:val="auto"/>
              </w:rPr>
            </w:pPr>
            <w:r>
              <w:rPr>
                <w:rFonts w:ascii="Arial" w:cs="Arial" w:eastAsia="Arial" w:hAnsi="Arial"/>
                <w:sz w:val="18"/>
                <w:szCs w:val="18"/>
                <w:b w:val="1"/>
                <w:bCs w:val="1"/>
                <w:color w:val="auto"/>
                <w:w w:val="98"/>
              </w:rPr>
              <w:t>(Zip Code)</w:t>
            </w:r>
          </w:p>
        </w:tc>
      </w:tr>
      <w:tr>
        <w:trPr>
          <w:trHeight w:val="220"/>
        </w:trPr>
        <w:tc>
          <w:tcPr>
            <w:tcW w:w="4120" w:type="dxa"/>
            <w:vAlign w:val="bottom"/>
          </w:tcPr>
          <w:p>
            <w:pPr>
              <w:spacing w:after="0"/>
              <w:rPr>
                <w:sz w:val="19"/>
                <w:szCs w:val="19"/>
                <w:color w:val="auto"/>
              </w:rPr>
            </w:pPr>
          </w:p>
        </w:tc>
        <w:tc>
          <w:tcPr>
            <w:tcW w:w="4280" w:type="dxa"/>
            <w:vAlign w:val="bottom"/>
          </w:tcPr>
          <w:p>
            <w:pPr>
              <w:jc w:val="right"/>
              <w:ind w:right="2870"/>
              <w:spacing w:after="0"/>
              <w:rPr>
                <w:sz w:val="20"/>
                <w:szCs w:val="20"/>
                <w:color w:val="auto"/>
              </w:rPr>
            </w:pPr>
            <w:r>
              <w:rPr>
                <w:rFonts w:ascii="Arial" w:cs="Arial" w:eastAsia="Arial" w:hAnsi="Arial"/>
                <w:sz w:val="18"/>
                <w:szCs w:val="18"/>
                <w:b w:val="1"/>
                <w:bCs w:val="1"/>
                <w:color w:val="auto"/>
              </w:rPr>
              <w:t>(888) 440-4826</w:t>
            </w:r>
          </w:p>
        </w:tc>
      </w:tr>
    </w:tbl>
    <w:p>
      <w:pPr>
        <w:ind w:left="33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5"/>
        </w:trPr>
        <w:tc>
          <w:tcPr>
            <w:tcW w:w="4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60" w:type="dxa"/>
            <w:vAlign w:val="bottom"/>
            <w:tcBorders>
              <w:bottom w:val="single" w:sz="8" w:color="auto"/>
            </w:tcBorders>
          </w:tcPr>
          <w:p>
            <w:pPr>
              <w:spacing w:after="0"/>
              <w:rPr>
                <w:sz w:val="16"/>
                <w:szCs w:val="16"/>
                <w:color w:val="auto"/>
              </w:rPr>
            </w:pPr>
          </w:p>
        </w:tc>
      </w:tr>
      <w:tr>
        <w:trPr>
          <w:trHeight w:val="184"/>
        </w:trPr>
        <w:tc>
          <w:tcPr>
            <w:tcW w:w="4280" w:type="dxa"/>
            <w:vAlign w:val="bottom"/>
          </w:tcPr>
          <w:p>
            <w:pPr>
              <w:ind w:left="20"/>
              <w:spacing w:after="0"/>
              <w:rPr>
                <w:sz w:val="20"/>
                <w:szCs w:val="20"/>
                <w:color w:val="auto"/>
              </w:rPr>
            </w:pPr>
            <w:r>
              <w:rPr>
                <w:rFonts w:ascii="Arial" w:cs="Arial" w:eastAsia="Arial" w:hAnsi="Arial"/>
                <w:sz w:val="14"/>
                <w:szCs w:val="14"/>
                <w:color w:val="auto"/>
              </w:rPr>
              <w:t>Class A Common Stock, par value $0.0001 per share</w:t>
            </w:r>
          </w:p>
        </w:tc>
        <w:tc>
          <w:tcPr>
            <w:tcW w:w="1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PAY</w:t>
            </w:r>
          </w:p>
        </w:tc>
        <w:tc>
          <w:tcPr>
            <w:tcW w:w="12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74" w:lineRule="exact"/>
        <w:rPr>
          <w:sz w:val="24"/>
          <w:szCs w:val="24"/>
          <w:color w:val="auto"/>
        </w:rPr>
      </w:pPr>
    </w:p>
    <w:p>
      <w:pPr>
        <w:ind w:firstLine="494"/>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0" w:lineRule="exact"/>
        <w:rPr>
          <w:sz w:val="24"/>
          <w:szCs w:val="24"/>
          <w:color w:val="auto"/>
        </w:rPr>
      </w:pPr>
    </w:p>
    <w:p>
      <w:pPr>
        <w:jc w:val="both"/>
        <w:ind w:right="680" w:firstLine="494"/>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0" w:lineRule="exact"/>
        <w:rPr>
          <w:sz w:val="24"/>
          <w:szCs w:val="24"/>
          <w:color w:val="auto"/>
        </w:rPr>
      </w:pPr>
    </w:p>
    <w:p>
      <w:pPr>
        <w:ind w:right="100" w:firstLine="494"/>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7"/>
        </w:trPr>
        <w:tc>
          <w:tcPr>
            <w:tcW w:w="2020" w:type="dxa"/>
            <w:vAlign w:val="bottom"/>
          </w:tcPr>
          <w:p>
            <w:pPr>
              <w:spacing w:after="0"/>
              <w:rPr>
                <w:sz w:val="20"/>
                <w:szCs w:val="20"/>
                <w:color w:val="auto"/>
              </w:rPr>
            </w:pPr>
            <w:r>
              <w:rPr>
                <w:rFonts w:ascii="Arial" w:cs="Arial" w:eastAsia="Arial" w:hAnsi="Arial"/>
                <w:sz w:val="18"/>
                <w:szCs w:val="18"/>
                <w:color w:val="auto"/>
              </w:rPr>
              <w:t>Emerging growth</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9"/>
        </w:trPr>
        <w:tc>
          <w:tcPr>
            <w:tcW w:w="2020" w:type="dxa"/>
            <w:vAlign w:val="bottom"/>
          </w:tcPr>
          <w:p>
            <w:pPr>
              <w:spacing w:after="0"/>
              <w:rPr>
                <w:sz w:val="20"/>
                <w:szCs w:val="20"/>
                <w:color w:val="auto"/>
              </w:rPr>
            </w:pPr>
            <w:r>
              <w:rPr>
                <w:rFonts w:ascii="Arial" w:cs="Arial" w:eastAsia="Arial" w:hAnsi="Arial"/>
                <w:sz w:val="18"/>
                <w:szCs w:val="18"/>
                <w:color w:val="auto"/>
              </w:rPr>
              <w:t>company</w:t>
            </w:r>
          </w:p>
        </w:tc>
        <w:tc>
          <w:tcPr>
            <w:tcW w:w="33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85" w:lineRule="exact"/>
        <w:rPr>
          <w:sz w:val="24"/>
          <w:szCs w:val="24"/>
          <w:color w:val="auto"/>
        </w:rPr>
      </w:pPr>
    </w:p>
    <w:p>
      <w:pPr>
        <w:ind w:right="580" w:firstLine="49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left="500"/>
        <w:spacing w:after="0" w:line="207" w:lineRule="exact"/>
        <w:tabs>
          <w:tab w:leader="none" w:pos="9720" w:val="left"/>
          <w:tab w:leader="none" w:pos="104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43" w:lineRule="exact"/>
        <w:rPr>
          <w:sz w:val="24"/>
          <w:szCs w:val="24"/>
          <w:color w:val="auto"/>
        </w:rPr>
      </w:pPr>
    </w:p>
    <w:p>
      <w:pPr>
        <w:ind w:right="360" w:firstLine="494"/>
        <w:spacing w:after="0" w:line="271" w:lineRule="auto"/>
        <w:rPr>
          <w:sz w:val="20"/>
          <w:szCs w:val="20"/>
          <w:color w:val="auto"/>
        </w:rPr>
      </w:pPr>
      <w:r>
        <w:rPr>
          <w:rFonts w:ascii="Arial" w:cs="Arial" w:eastAsia="Arial" w:hAnsi="Arial"/>
          <w:sz w:val="18"/>
          <w:szCs w:val="18"/>
          <w:color w:val="auto"/>
        </w:rPr>
        <w:t>As of May 2, 2024, the registrant had 21,905,543 shares of Class A Common Stock, $0.0001 par value per share and 102,266,586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789940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980" w:type="dxa"/>
            <w:vAlign w:val="bottom"/>
            <w:gridSpan w:val="8"/>
          </w:tcPr>
          <w:p>
            <w:pPr>
              <w:ind w:left="4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00" w:type="dxa"/>
            <w:vAlign w:val="bottom"/>
            <w:gridSpan w:val="18"/>
            <w:vMerge w:val="restart"/>
          </w:tcPr>
          <w:p>
            <w:pPr>
              <w:spacing w:after="0"/>
              <w:rPr>
                <w:sz w:val="20"/>
                <w:szCs w:val="20"/>
                <w:color w:val="auto"/>
              </w:rPr>
            </w:pPr>
            <w:r>
              <w:rPr>
                <w:rFonts w:ascii="Arial" w:cs="Arial" w:eastAsia="Arial" w:hAnsi="Arial"/>
                <w:sz w:val="18"/>
                <w:szCs w:val="18"/>
                <w:color w:val="auto"/>
              </w:rPr>
              <w:t>Special Note Regarding Forward-Looking Statements</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00" w:type="dxa"/>
            <w:vAlign w:val="bottom"/>
            <w:gridSpan w:val="18"/>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Condensed Consolidated Balance Sheets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Condensed Consolidated Statements of Operations and Comprehensive Income</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Condensed Consolidated Statements of Stockholders' Equity</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Condensed Consolidated Statements of Cash Flows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62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Notes to Condensed Consolidated Financial Statements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920" w:type="dxa"/>
            <w:vAlign w:val="bottom"/>
            <w:gridSpan w:val="5"/>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160" w:type="dxa"/>
            <w:vAlign w:val="bottom"/>
            <w:gridSpan w:val="6"/>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20" w:type="dxa"/>
            <w:vAlign w:val="bottom"/>
            <w:tcBorders>
              <w:left w:val="single" w:sz="8" w:color="auto"/>
            </w:tcBorders>
            <w:gridSpan w:val="2"/>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160" w:type="dxa"/>
            <w:vAlign w:val="bottom"/>
            <w:gridSpan w:val="6"/>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Controls and Procedures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18"/>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Risk Factors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Unregistered Sales of Equity Securities and Use of Proceeds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300" w:type="dxa"/>
            <w:vAlign w:val="bottom"/>
            <w:gridSpan w:val="7"/>
            <w:shd w:val="clear" w:color="auto" w:fill="000000"/>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Defaults Upon Senior Securities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Mine Safety Disclosures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380" w:type="dxa"/>
            <w:vAlign w:val="bottom"/>
            <w:gridSpan w:val="1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Arial" w:cs="Arial" w:eastAsia="Arial" w:hAnsi="Arial"/>
                <w:sz w:val="18"/>
                <w:szCs w:val="18"/>
                <w:color w:val="auto"/>
              </w:rPr>
              <w:t>Exhibits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color w:val="auto"/>
              </w:rPr>
              <w:t>Signatures</w:t>
            </w:r>
          </w:p>
        </w:tc>
        <w:tc>
          <w:tcPr>
            <w:tcW w:w="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857"/>
        </w:trPr>
        <w:tc>
          <w:tcPr>
            <w:tcW w:w="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700" w:type="dxa"/>
            <w:vAlign w:val="bottom"/>
            <w:gridSpan w:val="14"/>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0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This quarterly report on Form 10-Q for the quarterly period ended March 31, 2024 (“Quarterly Report”) contains forward-looking statements within the meaning of the federal securities laws, such as those under the headings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3"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 and expand our operations;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timely implement and recognize revenue from new customers;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revenue, expenses and other operating results;</w:t>
      </w:r>
    </w:p>
    <w:p>
      <w:pPr>
        <w:spacing w:after="0" w:line="11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material cybersecurity incident on our reputation as a trusted brand or on our business, operating results and financial condition;</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 opportunity and anticipated trends in our business and industry;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remain competitive as we continue to scale our business;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product features and enhance our platform;</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1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including inflation, and their impact on us, consumer demand, average bill amounts and interchange fees;</w:t>
      </w:r>
    </w:p>
    <w:p>
      <w:pPr>
        <w:spacing w:after="0" w:line="45" w:lineRule="exact"/>
        <w:rPr>
          <w:rFonts w:ascii="Times New Roman" w:cs="Times New Roman" w:eastAsia="Times New Roman" w:hAnsi="Times New Roman"/>
          <w:sz w:val="18"/>
          <w:szCs w:val="18"/>
          <w:color w:val="auto"/>
        </w:rPr>
      </w:pPr>
    </w:p>
    <w:p>
      <w:pPr>
        <w:jc w:val="both"/>
        <w:ind w:left="102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spacing w:after="0" w:line="61" w:lineRule="exact"/>
        <w:rPr>
          <w:rFonts w:ascii="Times New Roman" w:cs="Times New Roman" w:eastAsia="Times New Roman" w:hAnsi="Times New Roman"/>
          <w:sz w:val="18"/>
          <w:szCs w:val="18"/>
          <w:color w:val="auto"/>
        </w:rPr>
      </w:pPr>
    </w:p>
    <w:p>
      <w:pPr>
        <w:jc w:val="both"/>
        <w:ind w:left="102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enhance our brand;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 to expand into new channels and industry verticals across different markets;</w:t>
      </w:r>
    </w:p>
    <w:p>
      <w:pPr>
        <w:spacing w:after="0" w:line="11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widespread health issues on our operating results, liquidity and financial condition and on our employees, billers, financial institutions, partners, consumers and other key stakeholders;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international expansion plans and ability to expand internationally; and</w:t>
      </w:r>
    </w:p>
    <w:p>
      <w:pPr>
        <w:spacing w:after="0" w:line="115" w:lineRule="exact"/>
        <w:rPr>
          <w:rFonts w:ascii="Times New Roman" w:cs="Times New Roman" w:eastAsia="Times New Roman" w:hAnsi="Times New Roman"/>
          <w:sz w:val="18"/>
          <w:szCs w:val="18"/>
          <w:color w:val="auto"/>
        </w:rPr>
      </w:pPr>
    </w:p>
    <w:p>
      <w:pPr>
        <w:jc w:val="both"/>
        <w:ind w:left="102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those factors described in the sections titled “Risk Factors” and “Management’s Discussion and Analysis of Financial Conditions and Results of Operations” in our Annual Report on Form 10-K for the year ended December 31, 2023, and the section titled “Management’s Discussion and Analysis of Financial Condition and Results of Operations” in this Quarterly Report.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03"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 w:name="page4"/>
    <w:bookmarkEnd w:id="3"/>
    <w:p>
      <w:pPr>
        <w:jc w:val="both"/>
        <w:spacing w:after="0" w:line="271" w:lineRule="auto"/>
        <w:rPr>
          <w:sz w:val="20"/>
          <w:szCs w:val="20"/>
          <w:color w:val="auto"/>
        </w:rPr>
      </w:pPr>
      <w:r>
        <w:rPr>
          <w:rFonts w:ascii="Arial" w:cs="Arial" w:eastAsia="Arial" w:hAnsi="Arial"/>
          <w:sz w:val="18"/>
          <w:szCs w:val="18"/>
          <w:color w:val="auto"/>
        </w:rPr>
        <w:t>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45"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68"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01"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CONDENSED CONSOLIDATED BALANCE SHEETS</w:t>
      </w:r>
    </w:p>
    <w:p>
      <w:pPr>
        <w:ind w:left="3580"/>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180,138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179,361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19"/>
                <w:szCs w:val="19"/>
                <w:color w:val="auto"/>
              </w:rPr>
            </w:pPr>
          </w:p>
        </w:tc>
      </w:tr>
      <w:tr>
        <w:trPr>
          <w:trHeight w:val="197"/>
        </w:trPr>
        <w:tc>
          <w:tcPr>
            <w:tcW w:w="774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Accounts and other receivables, net of allowance for expected credit losses of $399 and</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$435, respectively</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84,178</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76,389</w:t>
            </w:r>
          </w:p>
        </w:tc>
        <w:tc>
          <w:tcPr>
            <w:tcW w:w="100" w:type="dxa"/>
            <w:vAlign w:val="bottom"/>
            <w:shd w:val="clear" w:color="auto" w:fill="CFF0FC"/>
          </w:tcPr>
          <w:p>
            <w:pPr>
              <w:spacing w:after="0"/>
              <w:rPr>
                <w:sz w:val="20"/>
                <w:szCs w:val="20"/>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Income tax receivable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279,643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270,348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Capitalized internal-use software development costs,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61,767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58,787</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27,158</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131,850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131,860</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513,975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504,863</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41,097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35,182</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12,334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tax payable</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62,626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62,788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8,054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8,661</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Contract liabilities, less current portion</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74,591</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75,247</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774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$0.0001 par value per share, 5,000,000 shares authorized as of March 31,</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40" w:type="dxa"/>
            <w:vAlign w:val="bottom"/>
          </w:tcPr>
          <w:p>
            <w:pPr>
              <w:ind w:left="280"/>
              <w:spacing w:after="0" w:line="202" w:lineRule="exact"/>
              <w:rPr>
                <w:sz w:val="20"/>
                <w:szCs w:val="20"/>
                <w:color w:val="auto"/>
              </w:rPr>
            </w:pPr>
            <w:r>
              <w:rPr>
                <w:rFonts w:ascii="Arial" w:cs="Arial" w:eastAsia="Arial" w:hAnsi="Arial"/>
                <w:sz w:val="18"/>
                <w:szCs w:val="18"/>
                <w:color w:val="auto"/>
              </w:rPr>
              <w:t>2024 and December 31, 2023, respectively; none issued and outstanding as of March 31,</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740" w:type="dxa"/>
            <w:vAlign w:val="bottom"/>
          </w:tcPr>
          <w:p>
            <w:pPr>
              <w:ind w:left="280"/>
              <w:spacing w:after="0"/>
              <w:rPr>
                <w:sz w:val="20"/>
                <w:szCs w:val="20"/>
                <w:color w:val="auto"/>
              </w:rPr>
            </w:pPr>
            <w:r>
              <w:rPr>
                <w:rFonts w:ascii="Arial" w:cs="Arial" w:eastAsia="Arial" w:hAnsi="Arial"/>
                <w:sz w:val="18"/>
                <w:szCs w:val="18"/>
                <w:color w:val="auto"/>
              </w:rPr>
              <w:t>2024 and December 31, 2023</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74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Class A common stock, $0.0001 par value per share, 883,950,000 shares authorized as of</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March 31, 2024 and December 31, 2023, respectively; 21,744,165 and 20,758,603 shares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issued and outstanding as of March 31, 2024 and December 31, 2023, respectively</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r>
      <w:tr>
        <w:trPr>
          <w:trHeight w:val="197"/>
        </w:trPr>
        <w:tc>
          <w:tcPr>
            <w:tcW w:w="7740" w:type="dxa"/>
            <w:vAlign w:val="bottom"/>
          </w:tcPr>
          <w:p>
            <w:pPr>
              <w:ind w:left="280"/>
              <w:spacing w:after="0" w:line="197" w:lineRule="exact"/>
              <w:rPr>
                <w:sz w:val="20"/>
                <w:szCs w:val="20"/>
                <w:color w:val="auto"/>
              </w:rPr>
            </w:pPr>
            <w:r>
              <w:rPr>
                <w:rFonts w:ascii="Arial" w:cs="Arial" w:eastAsia="Arial" w:hAnsi="Arial"/>
                <w:sz w:val="18"/>
                <w:szCs w:val="18"/>
                <w:color w:val="auto"/>
              </w:rPr>
              <w:t>Class B common stock, $0.0001 par value per share, 111,050,000 shares authorized as of</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40" w:type="dxa"/>
            <w:vAlign w:val="bottom"/>
          </w:tcPr>
          <w:p>
            <w:pPr>
              <w:ind w:left="280"/>
              <w:spacing w:after="0" w:line="202" w:lineRule="exact"/>
              <w:rPr>
                <w:sz w:val="20"/>
                <w:szCs w:val="20"/>
                <w:color w:val="auto"/>
              </w:rPr>
            </w:pPr>
            <w:r>
              <w:rPr>
                <w:rFonts w:ascii="Arial" w:cs="Arial" w:eastAsia="Arial" w:hAnsi="Arial"/>
                <w:sz w:val="18"/>
                <w:szCs w:val="18"/>
                <w:color w:val="auto"/>
              </w:rPr>
              <w:t>March 31, 2024 and December 31, 2023, respectively; 102,381,811 and</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40" w:type="dxa"/>
            <w:vAlign w:val="bottom"/>
          </w:tcPr>
          <w:p>
            <w:pPr>
              <w:ind w:left="280"/>
              <w:spacing w:after="0" w:line="202" w:lineRule="exact"/>
              <w:rPr>
                <w:sz w:val="20"/>
                <w:szCs w:val="20"/>
                <w:color w:val="auto"/>
              </w:rPr>
            </w:pPr>
            <w:r>
              <w:rPr>
                <w:rFonts w:ascii="Arial" w:cs="Arial" w:eastAsia="Arial" w:hAnsi="Arial"/>
                <w:sz w:val="18"/>
                <w:szCs w:val="18"/>
                <w:color w:val="auto"/>
              </w:rPr>
              <w:t>103,062,508 shares issued and outstanding as of March 31, 2024 and December 31, 2023,</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74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380,357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377,773</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58,970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5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439,384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429,616</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513,975</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504,863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-5376545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-5376545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-4203700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-4203700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-3004820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-3004820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-2414270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-333375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92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9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19"/>
                <w:szCs w:val="19"/>
                <w:color w:val="auto"/>
              </w:rPr>
            </w:pPr>
          </w:p>
        </w:tc>
      </w:tr>
      <w:tr>
        <w:trPr>
          <w:trHeight w:val="22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184,875</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148,328</w:t>
            </w:r>
          </w:p>
        </w:tc>
        <w:tc>
          <w:tcPr>
            <w:tcW w:w="340" w:type="dxa"/>
            <w:vAlign w:val="bottom"/>
            <w:shd w:val="clear" w:color="auto" w:fill="CFF0FC"/>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132,150</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w:t>
            </w:r>
          </w:p>
        </w:tc>
        <w:tc>
          <w:tcPr>
            <w:tcW w:w="340" w:type="dxa"/>
            <w:vAlign w:val="bottom"/>
          </w:tcPr>
          <w:p>
            <w:pPr>
              <w:spacing w:after="0"/>
              <w:rPr>
                <w:sz w:val="19"/>
                <w:szCs w:val="19"/>
                <w:color w:val="auto"/>
              </w:rPr>
            </w:pPr>
          </w:p>
        </w:tc>
      </w:tr>
      <w:tr>
        <w:trPr>
          <w:trHeight w:val="223"/>
        </w:trPr>
        <w:tc>
          <w:tcPr>
            <w:tcW w:w="6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52,725</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40,078</w:t>
            </w:r>
          </w:p>
        </w:tc>
        <w:tc>
          <w:tcPr>
            <w:tcW w:w="340" w:type="dxa"/>
            <w:vAlign w:val="bottom"/>
            <w:tcBorders>
              <w:bottom w:val="single" w:sz="8" w:color="CFF0FC"/>
            </w:tcBorders>
            <w:shd w:val="clear" w:color="auto" w:fill="CFF0FC"/>
          </w:tcPr>
          <w:p>
            <w:pPr>
              <w:spacing w:after="0"/>
              <w:rPr>
                <w:sz w:val="19"/>
                <w:szCs w:val="19"/>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6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12,051</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11,653</w:t>
            </w:r>
          </w:p>
        </w:tc>
        <w:tc>
          <w:tcPr>
            <w:tcW w:w="340" w:type="dxa"/>
            <w:vAlign w:val="bottom"/>
            <w:shd w:val="clear" w:color="auto" w:fill="CFF0FC"/>
          </w:tcPr>
          <w:p>
            <w:pPr>
              <w:spacing w:after="0"/>
              <w:rPr>
                <w:sz w:val="19"/>
                <w:szCs w:val="19"/>
                <w:color w:val="auto"/>
              </w:rPr>
            </w:pPr>
          </w:p>
        </w:tc>
      </w:tr>
      <w:tr>
        <w:trPr>
          <w:trHeight w:val="229"/>
        </w:trPr>
        <w:tc>
          <w:tcPr>
            <w:tcW w:w="69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23,239</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20,264</w:t>
            </w:r>
          </w:p>
        </w:tc>
        <w:tc>
          <w:tcPr>
            <w:tcW w:w="340" w:type="dxa"/>
            <w:vAlign w:val="bottom"/>
          </w:tcPr>
          <w:p>
            <w:pPr>
              <w:spacing w:after="0"/>
              <w:rPr>
                <w:sz w:val="19"/>
                <w:szCs w:val="19"/>
                <w:color w:val="auto"/>
              </w:rPr>
            </w:pPr>
          </w:p>
        </w:tc>
      </w:tr>
      <w:tr>
        <w:trPr>
          <w:trHeight w:val="229"/>
        </w:trPr>
        <w:tc>
          <w:tcPr>
            <w:tcW w:w="69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9,092</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340" w:type="dxa"/>
            <w:vAlign w:val="bottom"/>
            <w:tcBorders>
              <w:bottom w:val="single" w:sz="8" w:color="CFF0FC"/>
            </w:tcBorders>
            <w:shd w:val="clear" w:color="auto" w:fill="CFF0FC"/>
          </w:tcPr>
          <w:p>
            <w:pPr>
              <w:spacing w:after="0"/>
              <w:rPr>
                <w:sz w:val="19"/>
                <w:szCs w:val="19"/>
                <w:color w:val="auto"/>
              </w:rPr>
            </w:pPr>
          </w:p>
        </w:tc>
      </w:tr>
      <w:tr>
        <w:trPr>
          <w:trHeight w:val="223"/>
        </w:trPr>
        <w:tc>
          <w:tcPr>
            <w:tcW w:w="694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44,382</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41,062</w:t>
            </w:r>
          </w:p>
        </w:tc>
        <w:tc>
          <w:tcPr>
            <w:tcW w:w="340" w:type="dxa"/>
            <w:vAlign w:val="bottom"/>
          </w:tcPr>
          <w:p>
            <w:pPr>
              <w:spacing w:after="0"/>
              <w:rPr>
                <w:sz w:val="19"/>
                <w:szCs w:val="19"/>
                <w:color w:val="auto"/>
              </w:rPr>
            </w:pPr>
          </w:p>
        </w:tc>
      </w:tr>
      <w:tr>
        <w:trPr>
          <w:trHeight w:val="223"/>
        </w:trPr>
        <w:tc>
          <w:tcPr>
            <w:tcW w:w="69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Income (loss) from operations</w:t>
            </w:r>
          </w:p>
        </w:tc>
        <w:tc>
          <w:tcPr>
            <w:tcW w:w="3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8,343</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(984 )</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6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net</w:t>
            </w:r>
          </w:p>
        </w:tc>
        <w:tc>
          <w:tcPr>
            <w:tcW w:w="3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340" w:type="dxa"/>
            <w:vAlign w:val="bottom"/>
            <w:shd w:val="clear" w:color="auto" w:fill="CFF0FC"/>
          </w:tcPr>
          <w:p>
            <w:pPr>
              <w:spacing w:after="0"/>
              <w:rPr>
                <w:sz w:val="19"/>
                <w:szCs w:val="19"/>
                <w:color w:val="auto"/>
              </w:rPr>
            </w:pPr>
          </w:p>
        </w:tc>
      </w:tr>
      <w:tr>
        <w:trPr>
          <w:trHeight w:val="229"/>
        </w:trPr>
        <w:tc>
          <w:tcPr>
            <w:tcW w:w="6940" w:type="dxa"/>
            <w:vAlign w:val="bottom"/>
          </w:tcPr>
          <w:p>
            <w:pPr>
              <w:ind w:left="280"/>
              <w:spacing w:after="0"/>
              <w:rPr>
                <w:sz w:val="20"/>
                <w:szCs w:val="20"/>
                <w:color w:val="auto"/>
              </w:rPr>
            </w:pPr>
            <w:r>
              <w:rPr>
                <w:rFonts w:ascii="Arial" w:cs="Arial" w:eastAsia="Arial" w:hAnsi="Arial"/>
                <w:sz w:val="18"/>
                <w:szCs w:val="18"/>
                <w:color w:val="auto"/>
              </w:rPr>
              <w:t>Other non-recurring income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r>
      <w:tr>
        <w:trPr>
          <w:trHeight w:val="229"/>
        </w:trPr>
        <w:tc>
          <w:tcPr>
            <w:tcW w:w="6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exchange gain (loss)</w:t>
            </w:r>
          </w:p>
        </w:tc>
        <w:tc>
          <w:tcPr>
            <w:tcW w:w="3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(8 )</w:t>
            </w:r>
          </w:p>
        </w:tc>
      </w:tr>
      <w:tr>
        <w:trPr>
          <w:trHeight w:val="223"/>
        </w:trPr>
        <w:tc>
          <w:tcPr>
            <w:tcW w:w="694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34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340" w:type="dxa"/>
            <w:vAlign w:val="bottom"/>
            <w:tcBorders>
              <w:top w:val="single" w:sz="8" w:color="CFF0FC"/>
            </w:tcBorders>
          </w:tcPr>
          <w:p>
            <w:pPr>
              <w:spacing w:after="0"/>
              <w:rPr>
                <w:sz w:val="19"/>
                <w:szCs w:val="19"/>
                <w:color w:val="auto"/>
              </w:rPr>
            </w:pPr>
          </w:p>
        </w:tc>
      </w:tr>
      <w:tr>
        <w:trPr>
          <w:trHeight w:val="229"/>
        </w:trPr>
        <w:tc>
          <w:tcPr>
            <w:tcW w:w="6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(Provision for) benefit from income taxes</w:t>
            </w:r>
          </w:p>
        </w:tc>
        <w:tc>
          <w:tcPr>
            <w:tcW w:w="3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(3,534 )</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CFF0FC"/>
          </w:tcPr>
          <w:p>
            <w:pPr>
              <w:spacing w:after="0"/>
              <w:rPr>
                <w:sz w:val="19"/>
                <w:szCs w:val="19"/>
                <w:color w:val="auto"/>
              </w:rPr>
            </w:pPr>
          </w:p>
        </w:tc>
      </w:tr>
      <w:tr>
        <w:trPr>
          <w:trHeight w:val="223"/>
        </w:trPr>
        <w:tc>
          <w:tcPr>
            <w:tcW w:w="694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7,226</w:t>
            </w:r>
          </w:p>
        </w:tc>
        <w:tc>
          <w:tcPr>
            <w:tcW w:w="34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340" w:type="dxa"/>
            <w:vAlign w:val="bottom"/>
            <w:tcBorders>
              <w:top w:val="single" w:sz="8" w:color="CFF0FC"/>
            </w:tcBorders>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69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income per share</w:t>
            </w: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r>
      <w:tr>
        <w:trPr>
          <w:trHeight w:val="229"/>
        </w:trPr>
        <w:tc>
          <w:tcPr>
            <w:tcW w:w="6940" w:type="dxa"/>
            <w:vAlign w:val="bottom"/>
          </w:tcPr>
          <w:p>
            <w:pPr>
              <w:ind w:left="52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0.06</w:t>
            </w:r>
          </w:p>
        </w:tc>
        <w:tc>
          <w:tcPr>
            <w:tcW w:w="3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9"/>
                <w:szCs w:val="19"/>
                <w:color w:val="auto"/>
              </w:rPr>
            </w:pPr>
          </w:p>
        </w:tc>
      </w:tr>
      <w:tr>
        <w:trPr>
          <w:trHeight w:val="229"/>
        </w:trPr>
        <w:tc>
          <w:tcPr>
            <w:tcW w:w="69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FF0FC"/>
          </w:tcPr>
          <w:p>
            <w:pPr>
              <w:spacing w:after="0"/>
              <w:rPr>
                <w:sz w:val="19"/>
                <w:szCs w:val="19"/>
                <w:color w:val="auto"/>
              </w:rPr>
            </w:pPr>
          </w:p>
        </w:tc>
      </w:tr>
      <w:tr>
        <w:trPr>
          <w:trHeight w:val="229"/>
        </w:trPr>
        <w:tc>
          <w:tcPr>
            <w:tcW w:w="6940" w:type="dxa"/>
            <w:vAlign w:val="bottom"/>
          </w:tcPr>
          <w:p>
            <w:pPr>
              <w:ind w:left="280"/>
              <w:spacing w:after="0"/>
              <w:rPr>
                <w:sz w:val="20"/>
                <w:szCs w:val="20"/>
                <w:color w:val="auto"/>
              </w:rPr>
            </w:pPr>
            <w:r>
              <w:rPr>
                <w:rFonts w:ascii="Arial" w:cs="Arial" w:eastAsia="Arial" w:hAnsi="Arial"/>
                <w:sz w:val="18"/>
                <w:szCs w:val="18"/>
                <w:color w:val="auto"/>
              </w:rPr>
              <w:t>Weighted-average number of shares used to compute net income per share</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69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123,945,778</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123,289,584</w:t>
            </w:r>
          </w:p>
        </w:tc>
        <w:tc>
          <w:tcPr>
            <w:tcW w:w="340" w:type="dxa"/>
            <w:vAlign w:val="bottom"/>
            <w:shd w:val="clear" w:color="auto" w:fill="CFF0FC"/>
          </w:tcPr>
          <w:p>
            <w:pPr>
              <w:spacing w:after="0"/>
              <w:rPr>
                <w:sz w:val="19"/>
                <w:szCs w:val="19"/>
                <w:color w:val="auto"/>
              </w:rPr>
            </w:pPr>
          </w:p>
        </w:tc>
      </w:tr>
      <w:tr>
        <w:trPr>
          <w:trHeight w:val="229"/>
        </w:trPr>
        <w:tc>
          <w:tcPr>
            <w:tcW w:w="6940" w:type="dxa"/>
            <w:vAlign w:val="bottom"/>
          </w:tcPr>
          <w:p>
            <w:pPr>
              <w:ind w:left="52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126,917,654</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123,792,741</w:t>
            </w:r>
          </w:p>
        </w:tc>
        <w:tc>
          <w:tcPr>
            <w:tcW w:w="340" w:type="dxa"/>
            <w:vAlign w:val="bottom"/>
          </w:tcPr>
          <w:p>
            <w:pPr>
              <w:spacing w:after="0"/>
              <w:rPr>
                <w:sz w:val="19"/>
                <w:szCs w:val="19"/>
                <w:color w:val="auto"/>
              </w:rPr>
            </w:pPr>
          </w:p>
        </w:tc>
      </w:tr>
      <w:tr>
        <w:trPr>
          <w:trHeight w:val="22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29"/>
        </w:trPr>
        <w:tc>
          <w:tcPr>
            <w:tcW w:w="6940" w:type="dxa"/>
            <w:vAlign w:val="bottom"/>
          </w:tcPr>
          <w:p>
            <w:pPr>
              <w:ind w:left="5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7,226</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19"/>
                <w:szCs w:val="19"/>
                <w:color w:val="auto"/>
              </w:rPr>
            </w:pPr>
          </w:p>
        </w:tc>
      </w:tr>
      <w:tr>
        <w:trPr>
          <w:trHeight w:val="229"/>
        </w:trPr>
        <w:tc>
          <w:tcPr>
            <w:tcW w:w="69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Foreign currency translation adjustments, net of tax</w:t>
            </w:r>
          </w:p>
        </w:tc>
        <w:tc>
          <w:tcPr>
            <w:tcW w:w="3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(42 )</w:t>
            </w:r>
          </w:p>
        </w:tc>
        <w:tc>
          <w:tcPr>
            <w:tcW w:w="4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(7 )</w:t>
            </w:r>
          </w:p>
        </w:tc>
      </w:tr>
      <w:tr>
        <w:trPr>
          <w:trHeight w:val="223"/>
        </w:trPr>
        <w:tc>
          <w:tcPr>
            <w:tcW w:w="694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7,184</w:t>
            </w:r>
          </w:p>
        </w:tc>
        <w:tc>
          <w:tcPr>
            <w:tcW w:w="34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340" w:type="dxa"/>
            <w:vAlign w:val="bottom"/>
            <w:tcBorders>
              <w:top w:val="single" w:sz="8" w:color="CFF0FC"/>
            </w:tcBorders>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-3449955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-3449955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-2859405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-2859405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-1968500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-1968500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-1668780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-1668780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-179070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-179070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59"/>
        <w:spacing w:after="0" w:line="234" w:lineRule="auto"/>
        <w:rPr>
          <w:sz w:val="20"/>
          <w:szCs w:val="20"/>
          <w:color w:val="auto"/>
        </w:rPr>
      </w:pPr>
      <w:r>
        <w:rPr>
          <w:rFonts w:ascii="Arial" w:cs="Arial" w:eastAsia="Arial" w:hAnsi="Arial"/>
          <w:sz w:val="18"/>
          <w:szCs w:val="18"/>
          <w:b w:val="1"/>
          <w:bCs w:val="1"/>
          <w:color w:val="auto"/>
        </w:rPr>
        <w:t>(In thousands, except share amounts)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Other</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rPr>
              <w:t>Comprehe</w:t>
            </w:r>
          </w:p>
        </w:tc>
        <w:tc>
          <w:tcPr>
            <w:tcW w:w="40" w:type="dxa"/>
            <w:vAlign w:val="bottom"/>
          </w:tcPr>
          <w:p>
            <w:pPr>
              <w:spacing w:after="0"/>
              <w:rPr>
                <w:sz w:val="17"/>
                <w:szCs w:val="17"/>
                <w:color w:val="auto"/>
              </w:rPr>
            </w:pPr>
          </w:p>
        </w:tc>
        <w:tc>
          <w:tcPr>
            <w:tcW w:w="1080" w:type="dxa"/>
            <w:vAlign w:val="bottom"/>
            <w:gridSpan w:val="4"/>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Stockhol</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Borders>
              <w:bottom w:val="single" w:sz="8" w:color="auto"/>
            </w:tcBorders>
            <w:gridSpan w:val="5"/>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Paid-In</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Retained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nsive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ders’</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360"/>
              <w:spacing w:after="0" w:line="190" w:lineRule="exact"/>
              <w:rPr>
                <w:sz w:val="20"/>
                <w:szCs w:val="20"/>
                <w:color w:val="auto"/>
              </w:rPr>
            </w:pPr>
            <w:r>
              <w:rPr>
                <w:rFonts w:ascii="Arial" w:cs="Arial" w:eastAsia="Arial" w:hAnsi="Arial"/>
                <w:sz w:val="18"/>
                <w:szCs w:val="18"/>
                <w:b w:val="1"/>
                <w:bCs w:val="1"/>
                <w:color w:val="auto"/>
                <w:w w:val="98"/>
              </w:rPr>
              <w:t>Income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4"/>
          </w:tcPr>
          <w:p>
            <w:pPr>
              <w:ind w:left="8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Capital</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(Loss)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190"/>
        </w:trPr>
        <w:tc>
          <w:tcPr>
            <w:tcW w:w="4200" w:type="dxa"/>
            <w:vAlign w:val="bottom"/>
            <w:gridSpan w:val="3"/>
            <w:shd w:val="clear" w:color="auto" w:fill="CFF0FC"/>
          </w:tcPr>
          <w:p>
            <w:pPr>
              <w:ind w:left="20"/>
              <w:spacing w:after="0" w:line="190" w:lineRule="exact"/>
              <w:rPr>
                <w:sz w:val="20"/>
                <w:szCs w:val="20"/>
                <w:color w:val="auto"/>
              </w:rPr>
            </w:pPr>
            <w:r>
              <w:rPr>
                <w:rFonts w:ascii="Arial" w:cs="Arial" w:eastAsia="Arial" w:hAnsi="Arial"/>
                <w:sz w:val="18"/>
                <w:szCs w:val="18"/>
                <w:b w:val="1"/>
                <w:bCs w:val="1"/>
                <w:color w:val="auto"/>
              </w:rPr>
              <w:t>Balances at December 31, 2023</w:t>
            </w:r>
          </w:p>
        </w:tc>
        <w:tc>
          <w:tcPr>
            <w:tcW w:w="980" w:type="dxa"/>
            <w:vAlign w:val="bottom"/>
            <w:tcBorders>
              <w:top w:val="single" w:sz="8" w:color="auto"/>
            </w:tcBorders>
            <w:gridSpan w:val="2"/>
            <w:shd w:val="clear" w:color="auto" w:fill="CFF0FC"/>
          </w:tcPr>
          <w:p>
            <w:pPr>
              <w:jc w:val="right"/>
              <w:ind w:right="20"/>
              <w:spacing w:after="0" w:line="190" w:lineRule="exact"/>
              <w:rPr>
                <w:sz w:val="20"/>
                <w:szCs w:val="20"/>
                <w:color w:val="auto"/>
              </w:rPr>
            </w:pPr>
            <w:r>
              <w:rPr>
                <w:rFonts w:ascii="Arial" w:cs="Arial" w:eastAsia="Arial" w:hAnsi="Arial"/>
                <w:sz w:val="18"/>
                <w:szCs w:val="18"/>
                <w:color w:val="auto"/>
              </w:rPr>
              <w:t>123,821,1</w:t>
            </w: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0" w:type="dxa"/>
            <w:vAlign w:val="bottom"/>
            <w:shd w:val="clear" w:color="auto" w:fill="CFF0FC"/>
          </w:tcPr>
          <w:p>
            <w:pPr>
              <w:spacing w:after="0"/>
              <w:rPr>
                <w:sz w:val="20"/>
                <w:szCs w:val="20"/>
                <w:color w:val="auto"/>
              </w:rPr>
            </w:pPr>
          </w:p>
        </w:tc>
        <w:tc>
          <w:tcPr>
            <w:tcW w:w="4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800" w:type="dxa"/>
            <w:vAlign w:val="bottom"/>
            <w:gridSpan w:val="3"/>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377,773</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51,744</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429,616</w:t>
            </w: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gridSpan w:val="3"/>
            <w:shd w:val="clear" w:color="auto" w:fill="CFF0FC"/>
          </w:tcPr>
          <w:p>
            <w:pPr>
              <w:ind w:left="20"/>
              <w:spacing w:after="0" w:line="197" w:lineRule="exact"/>
              <w:rPr>
                <w:sz w:val="20"/>
                <w:szCs w:val="20"/>
                <w:color w:val="auto"/>
              </w:rPr>
            </w:pPr>
            <w:r>
              <w:rPr>
                <w:rFonts w:ascii="Arial" w:cs="Arial" w:eastAsia="Arial" w:hAnsi="Arial"/>
                <w:sz w:val="18"/>
                <w:szCs w:val="18"/>
                <w:color w:val="auto"/>
              </w:rPr>
              <w:t>Issuance of Class A common stock for stock-</w:t>
            </w:r>
          </w:p>
        </w:tc>
        <w:tc>
          <w:tcPr>
            <w:tcW w:w="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based awards</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304,865</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5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right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 (loss)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(42 )</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7,226</w:t>
            </w: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00" w:type="dxa"/>
            <w:vAlign w:val="bottom"/>
            <w:tcBorders>
              <w:top w:val="single" w:sz="8" w:color="CFF0FC"/>
            </w:tcBorders>
            <w:gridSpan w:val="3"/>
          </w:tcPr>
          <w:p>
            <w:pPr>
              <w:ind w:left="20"/>
              <w:spacing w:after="0" w:line="190" w:lineRule="exact"/>
              <w:rPr>
                <w:sz w:val="20"/>
                <w:szCs w:val="20"/>
                <w:color w:val="auto"/>
              </w:rPr>
            </w:pPr>
            <w:r>
              <w:rPr>
                <w:rFonts w:ascii="Arial" w:cs="Arial" w:eastAsia="Arial" w:hAnsi="Arial"/>
                <w:sz w:val="18"/>
                <w:szCs w:val="18"/>
                <w:b w:val="1"/>
                <w:bCs w:val="1"/>
                <w:color w:val="auto"/>
              </w:rPr>
              <w:t>Balances at March 31, 2024</w:t>
            </w:r>
          </w:p>
        </w:tc>
        <w:tc>
          <w:tcPr>
            <w:tcW w:w="980" w:type="dxa"/>
            <w:vAlign w:val="bottom"/>
            <w:tcBorders>
              <w:top w:val="single" w:sz="8" w:color="auto"/>
            </w:tcBorders>
            <w:gridSpan w:val="2"/>
          </w:tcPr>
          <w:p>
            <w:pPr>
              <w:jc w:val="right"/>
              <w:ind w:right="20"/>
              <w:spacing w:after="0" w:line="190" w:lineRule="exact"/>
              <w:rPr>
                <w:sz w:val="20"/>
                <w:szCs w:val="20"/>
                <w:color w:val="auto"/>
              </w:rPr>
            </w:pPr>
            <w:r>
              <w:rPr>
                <w:rFonts w:ascii="Arial" w:cs="Arial" w:eastAsia="Arial" w:hAnsi="Arial"/>
                <w:sz w:val="18"/>
                <w:szCs w:val="18"/>
                <w:color w:val="auto"/>
              </w:rPr>
              <w:t>124,125,9</w:t>
            </w:r>
          </w:p>
        </w:tc>
        <w:tc>
          <w:tcPr>
            <w:tcW w:w="20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w:t>
            </w:r>
          </w:p>
        </w:tc>
        <w:tc>
          <w:tcPr>
            <w:tcW w:w="260" w:type="dxa"/>
            <w:vAlign w:val="bottom"/>
            <w:gridSpan w:val="2"/>
          </w:tcPr>
          <w:p>
            <w:pPr>
              <w:spacing w:after="0"/>
              <w:rPr>
                <w:sz w:val="20"/>
                <w:szCs w:val="20"/>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380,357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58,970</w:t>
            </w:r>
          </w:p>
        </w:tc>
        <w:tc>
          <w:tcPr>
            <w:tcW w:w="24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439,384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Other</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5"/>
            <w:vMerge w:val="restart"/>
          </w:tcPr>
          <w:p>
            <w:pPr>
              <w:jc w:val="right"/>
              <w:ind w:right="3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3"/>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Comprehe</w:t>
            </w:r>
          </w:p>
        </w:tc>
        <w:tc>
          <w:tcPr>
            <w:tcW w:w="1120" w:type="dxa"/>
            <w:vAlign w:val="bottom"/>
            <w:gridSpan w:val="5"/>
          </w:tcPr>
          <w:p>
            <w:pPr>
              <w:jc w:val="center"/>
              <w:ind w:right="100"/>
              <w:spacing w:after="0" w:line="202" w:lineRule="exact"/>
              <w:rPr>
                <w:sz w:val="20"/>
                <w:szCs w:val="20"/>
                <w:color w:val="auto"/>
              </w:rPr>
            </w:pPr>
            <w:r>
              <w:rPr>
                <w:rFonts w:ascii="Arial" w:cs="Arial" w:eastAsia="Arial" w:hAnsi="Arial"/>
                <w:sz w:val="18"/>
                <w:szCs w:val="18"/>
                <w:b w:val="1"/>
                <w:bCs w:val="1"/>
                <w:color w:val="auto"/>
              </w:rPr>
              <w:t>Stockholde</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Paid-In</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Retained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nsive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rs’</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420"/>
              <w:spacing w:after="0" w:line="190" w:lineRule="exact"/>
              <w:rPr>
                <w:sz w:val="20"/>
                <w:szCs w:val="20"/>
                <w:color w:val="auto"/>
              </w:rPr>
            </w:pPr>
            <w:r>
              <w:rPr>
                <w:rFonts w:ascii="Arial" w:cs="Arial" w:eastAsia="Arial" w:hAnsi="Arial"/>
                <w:sz w:val="18"/>
                <w:szCs w:val="18"/>
                <w:b w:val="1"/>
                <w:bCs w:val="1"/>
                <w:color w:val="auto"/>
                <w:w w:val="98"/>
              </w:rPr>
              <w:t>Income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9"/>
              </w:rPr>
              <w:t>Capital</w:t>
            </w:r>
          </w:p>
        </w:tc>
        <w:tc>
          <w:tcPr>
            <w:tcW w:w="2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Equity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120" w:type="dxa"/>
            <w:vAlign w:val="bottom"/>
            <w:gridSpan w:val="2"/>
            <w:shd w:val="clear" w:color="auto" w:fill="CFF0FC"/>
          </w:tcPr>
          <w:p>
            <w:pPr>
              <w:spacing w:after="0" w:line="190" w:lineRule="exact"/>
              <w:rPr>
                <w:sz w:val="20"/>
                <w:szCs w:val="20"/>
                <w:color w:val="auto"/>
              </w:rPr>
            </w:pPr>
            <w:r>
              <w:rPr>
                <w:rFonts w:ascii="Arial" w:cs="Arial" w:eastAsia="Arial" w:hAnsi="Arial"/>
                <w:sz w:val="18"/>
                <w:szCs w:val="18"/>
                <w:b w:val="1"/>
                <w:bCs w:val="1"/>
                <w:color w:val="auto"/>
              </w:rPr>
              <w:t>Balances at December 31, 2022</w:t>
            </w:r>
          </w:p>
        </w:tc>
        <w:tc>
          <w:tcPr>
            <w:tcW w:w="940" w:type="dxa"/>
            <w:vAlign w:val="bottom"/>
            <w:shd w:val="clear" w:color="auto" w:fill="CFF0FC"/>
          </w:tcPr>
          <w:p>
            <w:pPr>
              <w:jc w:val="right"/>
              <w:spacing w:after="0" w:line="190" w:lineRule="exact"/>
              <w:rPr>
                <w:sz w:val="20"/>
                <w:szCs w:val="20"/>
                <w:color w:val="auto"/>
              </w:rPr>
            </w:pPr>
            <w:r>
              <w:rPr>
                <w:rFonts w:ascii="Arial" w:cs="Arial" w:eastAsia="Arial" w:hAnsi="Arial"/>
                <w:sz w:val="18"/>
                <w:szCs w:val="18"/>
                <w:color w:val="auto"/>
              </w:rPr>
              <w:t>123,241,1</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4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367,767</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29,422</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397,179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2,159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4120" w:type="dxa"/>
            <w:vAlign w:val="bottom"/>
            <w:gridSpan w:val="2"/>
            <w:shd w:val="clear" w:color="auto" w:fill="CFF0FC"/>
          </w:tcPr>
          <w:p>
            <w:pPr>
              <w:spacing w:after="0" w:line="197" w:lineRule="exact"/>
              <w:rPr>
                <w:sz w:val="20"/>
                <w:szCs w:val="20"/>
                <w:color w:val="auto"/>
              </w:rPr>
            </w:pPr>
            <w:r>
              <w:rPr>
                <w:rFonts w:ascii="Arial" w:cs="Arial" w:eastAsia="Arial" w:hAnsi="Arial"/>
                <w:sz w:val="18"/>
                <w:szCs w:val="18"/>
                <w:color w:val="auto"/>
              </w:rPr>
              <w:t>Issuance of Class A common stock for stock-</w:t>
            </w:r>
          </w:p>
        </w:tc>
        <w:tc>
          <w:tcPr>
            <w:tcW w:w="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4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based awards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104,991</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5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(7 )</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12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Balances at March 31, 2023</w:t>
            </w: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123,346,1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0"/>
                <w:szCs w:val="20"/>
                <w:color w:val="auto"/>
              </w:rPr>
            </w:pPr>
          </w:p>
        </w:tc>
        <w:tc>
          <w:tcPr>
            <w:tcW w:w="80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369,931</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30,126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400,040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-2713355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-2713355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-2713355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-2713355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-2713355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-2713355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-307340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-307340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-307340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-307340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-307340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-307340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0"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80" w:type="dxa"/>
            <w:vAlign w:val="bottom"/>
          </w:tcPr>
          <w:p>
            <w:pPr>
              <w:spacing w:after="0"/>
              <w:rPr>
                <w:sz w:val="18"/>
                <w:szCs w:val="18"/>
                <w:color w:val="auto"/>
              </w:rPr>
            </w:pPr>
          </w:p>
        </w:tc>
        <w:tc>
          <w:tcPr>
            <w:tcW w:w="3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0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7,226</w:t>
            </w:r>
          </w:p>
        </w:tc>
        <w:tc>
          <w:tcPr>
            <w:tcW w:w="38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8,537</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2,933</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Non-cash lease expense</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Amortization of contract asset</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Provision for (benefit from) expected credit losses</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(239 )</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Other non-recurring income</w:t>
            </w:r>
          </w:p>
        </w:tc>
        <w:tc>
          <w:tcPr>
            <w:tcW w:w="1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(213 )</w:t>
            </w:r>
          </w:p>
        </w:tc>
        <w:tc>
          <w:tcPr>
            <w:tcW w:w="10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Change in operating assets and liabilities</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520"/>
              <w:spacing w:after="0"/>
              <w:rPr>
                <w:sz w:val="20"/>
                <w:szCs w:val="20"/>
                <w:color w:val="auto"/>
              </w:rPr>
            </w:pPr>
            <w:r>
              <w:rPr>
                <w:rFonts w:ascii="Arial" w:cs="Arial" w:eastAsia="Arial" w:hAnsi="Arial"/>
                <w:sz w:val="18"/>
                <w:szCs w:val="18"/>
                <w:color w:val="auto"/>
              </w:rPr>
              <w:t>Accounts and other receivables</w:t>
            </w:r>
          </w:p>
        </w:tc>
        <w:tc>
          <w:tcPr>
            <w:tcW w:w="1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(7,850 )</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(8,333 )</w:t>
            </w:r>
          </w:p>
        </w:tc>
      </w:tr>
      <w:tr>
        <w:trPr>
          <w:trHeight w:val="229"/>
        </w:trPr>
        <w:tc>
          <w:tcPr>
            <w:tcW w:w="70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Prepaid expenses and other current and long-term assets</w:t>
            </w:r>
          </w:p>
        </w:tc>
        <w:tc>
          <w:tcPr>
            <w:tcW w:w="1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(993 )</w:t>
            </w: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5,793</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Accrued liabilities</w:t>
            </w:r>
          </w:p>
        </w:tc>
        <w:tc>
          <w:tcPr>
            <w:tcW w:w="1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(8,166 )</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(2,749 )</w:t>
            </w:r>
          </w:p>
        </w:tc>
      </w:tr>
      <w:tr>
        <w:trPr>
          <w:trHeight w:val="229"/>
        </w:trPr>
        <w:tc>
          <w:tcPr>
            <w:tcW w:w="7080" w:type="dxa"/>
            <w:vAlign w:val="bottom"/>
          </w:tcPr>
          <w:p>
            <w:pPr>
              <w:ind w:left="520"/>
              <w:spacing w:after="0"/>
              <w:rPr>
                <w:sz w:val="20"/>
                <w:szCs w:val="20"/>
                <w:color w:val="auto"/>
              </w:rPr>
            </w:pPr>
            <w:r>
              <w:rPr>
                <w:rFonts w:ascii="Arial" w:cs="Arial" w:eastAsia="Arial" w:hAnsi="Arial"/>
                <w:sz w:val="18"/>
                <w:szCs w:val="18"/>
                <w:color w:val="auto"/>
              </w:rPr>
              <w:t>Operating lease liabilities</w:t>
            </w:r>
          </w:p>
        </w:tc>
        <w:tc>
          <w:tcPr>
            <w:tcW w:w="1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(446 )</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(469 )</w:t>
            </w:r>
          </w:p>
        </w:tc>
      </w:tr>
      <w:tr>
        <w:trPr>
          <w:trHeight w:val="229"/>
        </w:trPr>
        <w:tc>
          <w:tcPr>
            <w:tcW w:w="70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Contract liabilities</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520"/>
              <w:spacing w:after="0"/>
              <w:rPr>
                <w:sz w:val="20"/>
                <w:szCs w:val="20"/>
                <w:color w:val="auto"/>
              </w:rPr>
            </w:pPr>
            <w:r>
              <w:rPr>
                <w:rFonts w:ascii="Arial" w:cs="Arial" w:eastAsia="Arial" w:hAnsi="Arial"/>
                <w:sz w:val="18"/>
                <w:szCs w:val="18"/>
                <w:color w:val="auto"/>
              </w:rPr>
              <w:t>Income taxes receivable, net of payable</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3,008</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(1,018 )</w:t>
            </w:r>
          </w:p>
        </w:tc>
      </w:tr>
      <w:tr>
        <w:trPr>
          <w:trHeight w:val="223"/>
        </w:trPr>
        <w:tc>
          <w:tcPr>
            <w:tcW w:w="70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10,954</w:t>
            </w:r>
          </w:p>
        </w:tc>
        <w:tc>
          <w:tcPr>
            <w:tcW w:w="3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property and equipment</w:t>
            </w:r>
          </w:p>
        </w:tc>
        <w:tc>
          <w:tcPr>
            <w:tcW w:w="1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(116 )</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(67 )</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Purchase of interest-bearing deposits</w:t>
            </w:r>
          </w:p>
        </w:tc>
        <w:tc>
          <w:tcPr>
            <w:tcW w:w="1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(723 )</w:t>
            </w:r>
          </w:p>
        </w:tc>
        <w:tc>
          <w:tcPr>
            <w:tcW w:w="10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matured interest-bearing deposits</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Capitalized internal-use software development costs</w:t>
            </w:r>
          </w:p>
        </w:tc>
        <w:tc>
          <w:tcPr>
            <w:tcW w:w="1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(9,276 )</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(8,219 )</w:t>
            </w:r>
          </w:p>
        </w:tc>
      </w:tr>
      <w:tr>
        <w:trPr>
          <w:trHeight w:val="20"/>
        </w:trPr>
        <w:tc>
          <w:tcPr>
            <w:tcW w:w="7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0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(9,513 )</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(8,286 )</w:t>
            </w:r>
          </w:p>
        </w:tc>
      </w:tr>
      <w:tr>
        <w:trPr>
          <w:trHeight w:val="223"/>
        </w:trPr>
        <w:tc>
          <w:tcPr>
            <w:tcW w:w="70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80" w:type="dxa"/>
            <w:vAlign w:val="bottom"/>
            <w:tcBorders>
              <w:top w:val="single" w:sz="8" w:color="CFF0FC"/>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exercise of stock-based awards</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Settlement of holdback liability related to prior acquisitions</w:t>
            </w:r>
          </w:p>
        </w:tc>
        <w:tc>
          <w:tcPr>
            <w:tcW w:w="1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(506 )</w:t>
            </w:r>
          </w:p>
        </w:tc>
        <w:tc>
          <w:tcPr>
            <w:tcW w:w="10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on other financing obligations</w:t>
            </w:r>
          </w:p>
        </w:tc>
        <w:tc>
          <w:tcPr>
            <w:tcW w:w="1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(1,025 )</w:t>
            </w: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Payments on finance leases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(102 )</w:t>
            </w:r>
          </w:p>
        </w:tc>
      </w:tr>
      <w:tr>
        <w:trPr>
          <w:trHeight w:val="20"/>
        </w:trPr>
        <w:tc>
          <w:tcPr>
            <w:tcW w:w="7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0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(406 )</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(1,122 )</w:t>
            </w:r>
          </w:p>
        </w:tc>
      </w:tr>
      <w:tr>
        <w:trPr>
          <w:trHeight w:val="20"/>
        </w:trPr>
        <w:tc>
          <w:tcPr>
            <w:tcW w:w="70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1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(78 )</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(17 )</w:t>
            </w:r>
          </w:p>
        </w:tc>
      </w:tr>
      <w:tr>
        <w:trPr>
          <w:trHeight w:val="20"/>
        </w:trPr>
        <w:tc>
          <w:tcPr>
            <w:tcW w:w="7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(4,662 )</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the beginning of period</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183,195</w:t>
            </w:r>
          </w:p>
        </w:tc>
        <w:tc>
          <w:tcPr>
            <w:tcW w:w="3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149,685</w:t>
            </w:r>
          </w:p>
        </w:tc>
        <w:tc>
          <w:tcPr>
            <w:tcW w:w="100" w:type="dxa"/>
            <w:vAlign w:val="bottom"/>
          </w:tcPr>
          <w:p>
            <w:pPr>
              <w:spacing w:after="0"/>
              <w:rPr>
                <w:sz w:val="19"/>
                <w:szCs w:val="19"/>
                <w:color w:val="auto"/>
              </w:rPr>
            </w:pPr>
          </w:p>
        </w:tc>
      </w:tr>
      <w:tr>
        <w:trPr>
          <w:trHeight w:val="26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and Restricted cash at the end of period</w:t>
            </w:r>
          </w:p>
        </w:tc>
        <w:tc>
          <w:tcPr>
            <w:tcW w:w="122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184,152</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145,023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080" w:type="dxa"/>
            <w:vAlign w:val="bottom"/>
          </w:tcPr>
          <w:p>
            <w:pPr>
              <w:ind w:left="20"/>
              <w:spacing w:after="0"/>
              <w:rPr>
                <w:sz w:val="20"/>
                <w:szCs w:val="20"/>
                <w:color w:val="auto"/>
              </w:rPr>
            </w:pPr>
            <w:r>
              <w:rPr>
                <w:rFonts w:ascii="Arial" w:cs="Arial" w:eastAsia="Arial" w:hAnsi="Arial"/>
                <w:sz w:val="18"/>
                <w:szCs w:val="18"/>
                <w:color w:val="auto"/>
              </w:rPr>
              <w:t>Reconciliation of Cash and cash equivalents and Restricted Cash:</w:t>
            </w: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 at the beginning of period</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179,361</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147,334</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Restricted cash at the beginning of period</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w:t>
            </w:r>
          </w:p>
        </w:tc>
        <w:tc>
          <w:tcPr>
            <w:tcW w:w="3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9"/>
                <w:szCs w:val="19"/>
                <w:color w:val="auto"/>
              </w:rPr>
            </w:pPr>
          </w:p>
        </w:tc>
      </w:tr>
      <w:tr>
        <w:trPr>
          <w:trHeight w:val="26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and Restricted cash at the beginning of period</w:t>
            </w:r>
          </w:p>
        </w:tc>
        <w:tc>
          <w:tcPr>
            <w:tcW w:w="122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183,195</w:t>
            </w:r>
          </w:p>
        </w:tc>
        <w:tc>
          <w:tcPr>
            <w:tcW w:w="38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149,685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080" w:type="dxa"/>
            <w:vAlign w:val="bottom"/>
          </w:tcPr>
          <w:p>
            <w:pPr>
              <w:ind w:left="280"/>
              <w:spacing w:after="0"/>
              <w:rPr>
                <w:sz w:val="20"/>
                <w:szCs w:val="20"/>
                <w:color w:val="auto"/>
              </w:rPr>
            </w:pPr>
            <w:r>
              <w:rPr>
                <w:rFonts w:ascii="Arial" w:cs="Arial" w:eastAsia="Arial" w:hAnsi="Arial"/>
                <w:sz w:val="18"/>
                <w:szCs w:val="18"/>
                <w:color w:val="auto"/>
              </w:rPr>
              <w:t>Cash and cash equivalents at the end of period</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180,138</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143,637</w:t>
            </w:r>
          </w:p>
        </w:tc>
        <w:tc>
          <w:tcPr>
            <w:tcW w:w="100" w:type="dxa"/>
            <w:vAlign w:val="bottom"/>
          </w:tcPr>
          <w:p>
            <w:pPr>
              <w:spacing w:after="0"/>
              <w:rPr>
                <w:sz w:val="18"/>
                <w:szCs w:val="18"/>
                <w:color w:val="auto"/>
              </w:rPr>
            </w:pPr>
          </w:p>
        </w:tc>
      </w:tr>
      <w:tr>
        <w:trPr>
          <w:trHeight w:val="229"/>
        </w:trPr>
        <w:tc>
          <w:tcPr>
            <w:tcW w:w="70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Restricted cash at the end of period</w:t>
            </w:r>
          </w:p>
        </w:tc>
        <w:tc>
          <w:tcPr>
            <w:tcW w:w="1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w:t>
            </w:r>
          </w:p>
        </w:tc>
        <w:tc>
          <w:tcPr>
            <w:tcW w:w="3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the end of period</w:t>
            </w: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184,152</w:t>
            </w:r>
          </w:p>
        </w:tc>
        <w:tc>
          <w:tcPr>
            <w:tcW w:w="38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145,023</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Cash paid for income taxes, net of refunds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434</w:t>
            </w:r>
          </w:p>
        </w:tc>
        <w:tc>
          <w:tcPr>
            <w:tcW w:w="38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Property and equipment purchases in accounts payable</w:t>
            </w:r>
          </w:p>
        </w:tc>
        <w:tc>
          <w:tcPr>
            <w:tcW w:w="122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rPr>
              <w:t>Software purchases in accounts payable</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Right-of-use assets obtained in exchange of operating lease obligations</w:t>
            </w:r>
          </w:p>
        </w:tc>
        <w:tc>
          <w:tcPr>
            <w:tcW w:w="1220" w:type="dxa"/>
            <w:vAlign w:val="bottom"/>
            <w:shd w:val="clear" w:color="auto" w:fill="CFF0FC"/>
          </w:tcPr>
          <w:p>
            <w:pPr>
              <w:jc w:val="right"/>
              <w:ind w:right="10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5724525</wp:posOffset>
            </wp:positionH>
            <wp:positionV relativeFrom="paragraph">
              <wp:posOffset>-4229100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-4229100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-3338830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-3338830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-2447925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-2447925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-1840230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-1823085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-1840230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-1223645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-1206500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-906780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-906780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Dallas, Texas, Richmond Hill, Ontario (Canada), and Delhi and Bangalore (India). The Company is headquartered in Charlotte, North Carolina.</w:t>
      </w:r>
    </w:p>
    <w:p>
      <w:pPr>
        <w:spacing w:after="0" w:line="183"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Form 10-K for the year ended December 31, 2023 filed with the SEC on March 5, 2024 (the “2023 Form 10-K”).</w:t>
      </w:r>
    </w:p>
    <w:p>
      <w:pPr>
        <w:spacing w:after="0" w:line="75" w:lineRule="exact"/>
        <w:rPr>
          <w:sz w:val="20"/>
          <w:szCs w:val="20"/>
          <w:color w:val="auto"/>
        </w:rPr>
      </w:pPr>
    </w:p>
    <w:p>
      <w:pPr>
        <w:jc w:val="both"/>
        <w:ind w:firstLine="494"/>
        <w:spacing w:after="0" w:line="243" w:lineRule="auto"/>
        <w:rPr>
          <w:sz w:val="20"/>
          <w:szCs w:val="20"/>
          <w:color w:val="auto"/>
        </w:rPr>
      </w:pPr>
      <w:r>
        <w:rPr>
          <w:rFonts w:ascii="Arial" w:cs="Arial" w:eastAsia="Arial" w:hAnsi="Arial"/>
          <w:sz w:val="18"/>
          <w:szCs w:val="18"/>
          <w:color w:val="auto"/>
        </w:rPr>
        <w:t>These unaudited interim condensed consolidated financial statements have been prepared on the same basis as the annual financial statements and, in the opinion of management, reflect all adjustments, which include only normal recurring adjustments necessary for the fair statement of the Company’s financial position, results of operations and comprehensive income, changes in stockholders' equity and cash flows for the periods presented. The results of operations for the three months ended March 31, 2024 and 2023 are not necessarily indicative of the results to be expected for the full year or any other future interim or annual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1"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unaudited interim condensed consolidated financial statements include the accounts of the Company and its wholly owned subsidiaries. All intercompany accounts and balances have been eliminated upon consolidation.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in the consolidated financial statements and accompanying notes. Such estimates include revenue recognition, cost of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0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$427.7 million and $510.8 million as of March 31, 2024 and December 31, 2023, respectively.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1"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and resellers to the extent of the amounts recorded in the consolidated balance sheets. No customer accounted for more than 10% of revenue for either of the three months ended March 31, 2024 and 2023. As of December 31, 2023, one customer accounted for more than 10% of accounts receivable. As of March 31, 2024, no customer accounted for more than 10% of accounts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 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 is its chief executive 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and revenue by geographic area, see Note 4 and Note 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01"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The Company’s significant accounting policies are discussed in Note 2, “Basis of Presentation and Summary of Significant Accounting Policies,” in the Notes to Consolidated Financial Statements as of December 31, 2023 and 2022 and for the years ended December 31, 2023, 2022 and 2021 included in the 2023 Form 10-K. There have been no significant changes to these policies during the three months ended March 31,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either (1) within the same periods as those otherwise applicable to public business entities, or</w:t>
      </w:r>
    </w:p>
    <w:p>
      <w:pPr>
        <w:spacing w:after="0" w:line="2" w:lineRule="exact"/>
        <w:rPr>
          <w:sz w:val="20"/>
          <w:szCs w:val="20"/>
          <w:color w:val="auto"/>
        </w:rPr>
      </w:pPr>
    </w:p>
    <w:p>
      <w:pPr>
        <w:jc w:val="both"/>
        <w:ind w:firstLine="8"/>
        <w:spacing w:after="0" w:line="242" w:lineRule="auto"/>
        <w:tabs>
          <w:tab w:leader="none" w:pos="277"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71"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Accounting Standards Updates ("ASU") not listed below were assessed and determined to be either not applicable or are not expected to have a material impact on the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In November 2023, the Financial Accounting Standards Board ("FASB") issued ASU 2023-07, Segment Reporting (Topic 280): Improvements to Reportable Segment Disclosures. ASU 2023-07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All disclosure requirements under ASU 2023-07 are also required for public entities with a single reportable segment. The amendments in ASU 2023-07 are effective for public companies for fiscal years beginning after December 15, 2023 and interim periods within fiscal years beginning after December 15, 2024. Early adoption is permitted. We are currently evaluating the potential impact of adopting this new guidance on our condensed consolidated financial statements and related disclosures.</w:t>
      </w:r>
    </w:p>
    <w:p>
      <w:pPr>
        <w:spacing w:after="0" w:line="77"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In December 2023, the FASB issued ASU 2023-09 "Income Tax Disclosures", which makes changes to annual disclosures of income taxes paid for all entities and requires entities to disclose the amount of income taxes paid, net of refunds received, disaggregated by federal, state and foreign jurisdiction. Additionally, entities are required to disclose income taxes paid, net of refunds received, for individual jurisdictions that comprise 5% or more of total income taxes paid. The 5% threshold is evaluated using the absolute value of the net refund or net payment in each jurisdiction compared to the absolute value of the total income taxes paid (net of refunds received). ASU 2023-09 requires all entities to disclose disaggregated domestic and foreign pre-tax income (or loss) from continuing operations along with disaggregated income tax expense (or benefit) by federal, state and foreign components. Such disaggregation by jurisdiction should classify taxes by jurisdiction based on the jurisdiction imposing the taxes. The amendments in ASU 2023-09 are effective for fiscal years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0" w:name="page11"/>
    <w:bookmarkEnd w:id="10"/>
    <w:p>
      <w:pPr>
        <w:spacing w:after="0" w:line="271" w:lineRule="auto"/>
        <w:rPr>
          <w:sz w:val="20"/>
          <w:szCs w:val="20"/>
          <w:color w:val="auto"/>
        </w:rPr>
      </w:pPr>
      <w:r>
        <w:rPr>
          <w:rFonts w:ascii="Arial" w:cs="Arial" w:eastAsia="Arial" w:hAnsi="Arial"/>
          <w:sz w:val="18"/>
          <w:szCs w:val="18"/>
          <w:color w:val="auto"/>
        </w:rPr>
        <w:t>beginning after December 15, 2024 for public companies. Early adoption is permitted. We are currently evaluating the potential impact of adopting this new guidance on our condensed consolidated financial statements and related disclosures.</w:t>
      </w:r>
    </w:p>
    <w:p>
      <w:pPr>
        <w:spacing w:after="0" w:line="153" w:lineRule="exact"/>
        <w:rPr>
          <w:sz w:val="20"/>
          <w:szCs w:val="20"/>
          <w:color w:val="auto"/>
        </w:rPr>
      </w:pPr>
    </w:p>
    <w:p>
      <w:pPr>
        <w:ind w:right="5840" w:firstLine="8"/>
        <w:spacing w:after="0" w:line="359" w:lineRule="auto"/>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Performance Obligations and Contract Balances </w:t>
      </w:r>
      <w:r>
        <w:rPr>
          <w:rFonts w:ascii="Arial" w:cs="Arial" w:eastAsia="Arial" w:hAnsi="Arial"/>
          <w:sz w:val="18"/>
          <w:szCs w:val="18"/>
          <w:b w:val="1"/>
          <w:bCs w:val="1"/>
          <w:i w:val="1"/>
          <w:iCs w:val="1"/>
          <w:color w:val="auto"/>
        </w:rPr>
        <w:t>Disaggregation of Revenue</w:t>
      </w:r>
    </w:p>
    <w:p>
      <w:pPr>
        <w:spacing w:after="0" w:line="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a disaggregation of revenue from contracts with customers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transaction processing revenue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182,752</w:t>
            </w:r>
          </w:p>
        </w:tc>
        <w:tc>
          <w:tcPr>
            <w:tcW w:w="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146,388</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r>
      <w:tr>
        <w:trPr>
          <w:trHeight w:val="263"/>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184,875</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148,328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181,301</w:t>
            </w:r>
          </w:p>
        </w:tc>
        <w:tc>
          <w:tcPr>
            <w:tcW w:w="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145,557</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9"/>
                <w:szCs w:val="19"/>
                <w:color w:val="auto"/>
              </w:rPr>
            </w:pPr>
          </w:p>
        </w:tc>
      </w:tr>
      <w:tr>
        <w:trPr>
          <w:trHeight w:val="263"/>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184,875</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148,328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1"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As of March 31, 2024, the aggregate amount of transaction price allocated to performance obligations that are unsatisfied or partially unsatisfied was $6.8 million, of which the Company expects to recognize over 75% within the next two years, 19% between two to four years and the remainder thereafter. The timing of revenue recognition within the next four years is largely dependent upon the go-live dates of the Company's customers under the Company’s contracts.</w:t>
      </w:r>
    </w:p>
    <w:p>
      <w:pPr>
        <w:spacing w:after="0" w:line="68"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As of March 31, 2024, the Company has contractual rights under its commercial agreements with customers and resellers to receive $51.2 million of fixed consideration related to the future minimum guarantees through 2026.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2"/>
        </w:trPr>
        <w:tc>
          <w:tcPr>
            <w:tcW w:w="7740" w:type="dxa"/>
            <w:vAlign w:val="bottom"/>
          </w:tcPr>
          <w:p>
            <w:pPr>
              <w:ind w:left="500"/>
              <w:spacing w:after="0"/>
              <w:rPr>
                <w:sz w:val="20"/>
                <w:szCs w:val="20"/>
                <w:color w:val="auto"/>
              </w:rPr>
            </w:pPr>
            <w:r>
              <w:rPr>
                <w:rFonts w:ascii="Arial" w:cs="Arial" w:eastAsia="Arial" w:hAnsi="Arial"/>
                <w:sz w:val="18"/>
                <w:szCs w:val="18"/>
                <w:color w:val="auto"/>
              </w:rPr>
              <w:t>Contract balances consist of the following:</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4"/>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Costs to fulfill (prepaid expenses and other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2,893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Costs to fulfill (other long-term assets)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Total contract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7,082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Contract liabilities, 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4,097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Contract liabilities, Non-current</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80"/>
              <w:spacing w:after="0"/>
              <w:rPr>
                <w:sz w:val="20"/>
                <w:szCs w:val="20"/>
                <w:color w:val="auto"/>
              </w:rPr>
            </w:pPr>
            <w:r>
              <w:rPr>
                <w:rFonts w:ascii="Arial" w:cs="Arial" w:eastAsia="Arial" w:hAnsi="Arial"/>
                <w:sz w:val="18"/>
                <w:szCs w:val="18"/>
                <w:color w:val="auto"/>
              </w:rPr>
              <w:t>Total contract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6,849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6,820</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-795655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-179070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During the three months ended March 31, 2024 and 2023, the Company reduced revenue as a result of amortization of related contract assets by $0.2 million and $0.7 million, respectively.</w:t>
      </w:r>
    </w:p>
    <w:p>
      <w:pPr>
        <w:spacing w:after="0" w:line="45"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Revenue recognized during the three months ended March 31, 2024 and 2023 that was included in the contract liabilities balance at the beginning of each of the periods was $0.9 million and $0.7 million, respectively.</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7"/>
        </w:trPr>
        <w:tc>
          <w:tcPr>
            <w:tcW w:w="7740" w:type="dxa"/>
            <w:vAlign w:val="bottom"/>
          </w:tcPr>
          <w:p>
            <w:pPr>
              <w:spacing w:after="0"/>
              <w:rPr>
                <w:sz w:val="20"/>
                <w:szCs w:val="20"/>
                <w:color w:val="auto"/>
              </w:rPr>
            </w:pPr>
            <w:r>
              <w:rPr>
                <w:rFonts w:ascii="Arial" w:cs="Arial" w:eastAsia="Arial" w:hAnsi="Arial"/>
                <w:sz w:val="18"/>
                <w:szCs w:val="18"/>
                <w:b w:val="1"/>
                <w:bCs w:val="1"/>
                <w:color w:val="auto"/>
              </w:rPr>
              <w:t>4.   Property and Equipment, Net</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2"/>
        </w:trPr>
        <w:tc>
          <w:tcPr>
            <w:tcW w:w="7740" w:type="dxa"/>
            <w:vAlign w:val="bottom"/>
          </w:tcPr>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4"/>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8,170</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(6,739 )</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(6,612 )</w:t>
            </w:r>
          </w:p>
        </w:tc>
      </w:tr>
      <w:tr>
        <w:trPr>
          <w:trHeight w:val="223"/>
        </w:trPr>
        <w:tc>
          <w:tcPr>
            <w:tcW w:w="77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-478790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-179070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Depreciation expense recorded for property and equipment was $0.2 million and $0.3 million for the three months ended March 31, 2024 and 2023, respectively.</w:t>
      </w:r>
    </w:p>
    <w:p>
      <w:pPr>
        <w:spacing w:after="0" w:line="45"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Long-lived assets include property and equipment, net. The geographic locations of the Company’s long-lived assets, net, based on physical location of the assets were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tab/>
        <w:t>Goodwill, Internal-use Software Development Costs and Intangible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carrying amount of goodwill by reporting unit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United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5"/>
        </w:trPr>
        <w:tc>
          <w:tcPr>
            <w:tcW w:w="6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States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131,028</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131,860</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(10 )</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(10 )</w:t>
            </w:r>
          </w:p>
        </w:tc>
      </w:tr>
      <w:tr>
        <w:trPr>
          <w:trHeight w:val="223"/>
        </w:trPr>
        <w:tc>
          <w:tcPr>
            <w:tcW w:w="66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as of March 31, 2024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131,028</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131,850</w:t>
            </w:r>
          </w:p>
        </w:tc>
        <w:tc>
          <w:tcPr>
            <w:tcW w:w="100" w:type="dxa"/>
            <w:vAlign w:val="bottom"/>
            <w:tcBorders>
              <w:top w:val="single" w:sz="8" w:color="CFF0FC"/>
            </w:tcBorders>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-179070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-179070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During the three months ended March 31, 2024 and 2023, the Company capitalized $9.3 million and $8.1 million in software development and implementation costs, respectively.</w:t>
      </w:r>
    </w:p>
    <w:p>
      <w:pPr>
        <w:spacing w:after="0" w:line="45"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During the three months ended March 31, 2024 and 2023, the Company recorded $4.0 million and $2.7 million of amortization expense in cost of revenue, respectively, and $2.3 million and $2.0 million of amortization expense in operating expenses,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March 31, 2024</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center"/>
              <w:ind w:right="210"/>
              <w:spacing w:after="0" w:line="190" w:lineRule="exact"/>
              <w:rPr>
                <w:sz w:val="20"/>
                <w:szCs w:val="20"/>
                <w:color w:val="auto"/>
              </w:rPr>
            </w:pPr>
            <w:r>
              <w:rPr>
                <w:rFonts w:ascii="Arial" w:cs="Arial" w:eastAsia="Arial" w:hAnsi="Arial"/>
                <w:sz w:val="18"/>
                <w:szCs w:val="18"/>
                <w:b w:val="1"/>
                <w:bCs w:val="1"/>
                <w:color w:val="auto"/>
                <w:w w:val="99"/>
              </w:rPr>
              <w:t>Gross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jc w:val="center"/>
              <w:ind w:right="230"/>
              <w:spacing w:after="0" w:line="190" w:lineRule="exact"/>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6"/>
                <w:szCs w:val="16"/>
                <w:color w:val="auto"/>
              </w:rPr>
            </w:pPr>
          </w:p>
        </w:tc>
      </w:tr>
      <w:tr>
        <w:trPr>
          <w:trHeight w:val="202"/>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Carrying</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17"/>
                <w:szCs w:val="17"/>
                <w:color w:val="auto"/>
              </w:rPr>
            </w:pPr>
          </w:p>
        </w:tc>
        <w:tc>
          <w:tcPr>
            <w:tcW w:w="160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9"/>
              </w:rPr>
              <w:t>Carrying</w:t>
            </w:r>
          </w:p>
        </w:tc>
      </w:tr>
      <w:tr>
        <w:trPr>
          <w:trHeight w:val="235"/>
        </w:trPr>
        <w:tc>
          <w:tcPr>
            <w:tcW w:w="5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Amount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21,832</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(15,880 )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w:t>
            </w:r>
          </w:p>
        </w:tc>
        <w:tc>
          <w:tcPr>
            <w:tcW w:w="100" w:type="dxa"/>
            <w:vAlign w:val="bottom"/>
            <w:shd w:val="clear" w:color="auto" w:fill="CFF0FC"/>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License</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(2,509 )</w:t>
            </w:r>
          </w:p>
        </w:tc>
        <w:tc>
          <w:tcPr>
            <w:tcW w:w="3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(14,281 )</w:t>
            </w: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shd w:val="clear" w:color="auto" w:fill="CFF0FC"/>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(417 )</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(2,593 )</w:t>
            </w: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FF0FC"/>
          </w:tcPr>
          <w:p>
            <w:pPr>
              <w:spacing w:after="0"/>
              <w:rPr>
                <w:sz w:val="19"/>
                <w:szCs w:val="19"/>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60,817</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(35,680 )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25,137</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4"/>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jc w:val="right"/>
              <w:ind w:right="107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1"/>
        </w:trPr>
        <w:tc>
          <w:tcPr>
            <w:tcW w:w="5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-1001395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-1001395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b w:val="1"/>
                <w:bCs w:val="1"/>
                <w:color w:val="auto"/>
              </w:rPr>
              <w:t>December 31, 2023</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jc w:val="center"/>
              <w:ind w:right="250"/>
              <w:spacing w:after="0" w:line="190" w:lineRule="exact"/>
              <w:rPr>
                <w:sz w:val="20"/>
                <w:szCs w:val="20"/>
                <w:color w:val="auto"/>
              </w:rPr>
            </w:pPr>
            <w:r>
              <w:rPr>
                <w:rFonts w:ascii="Arial" w:cs="Arial" w:eastAsia="Arial" w:hAnsi="Arial"/>
                <w:sz w:val="18"/>
                <w:szCs w:val="18"/>
                <w:b w:val="1"/>
                <w:bCs w:val="1"/>
                <w:color w:val="auto"/>
                <w:w w:val="99"/>
              </w:rPr>
              <w:t>Gross</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jc w:val="center"/>
              <w:ind w:right="230"/>
              <w:spacing w:after="0" w:line="190" w:lineRule="exact"/>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6"/>
                <w:szCs w:val="16"/>
                <w:color w:val="auto"/>
              </w:rPr>
            </w:pPr>
          </w:p>
        </w:tc>
      </w:tr>
      <w:tr>
        <w:trPr>
          <w:trHeight w:val="202"/>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ind w:right="230"/>
              <w:spacing w:after="0" w:line="202" w:lineRule="exact"/>
              <w:rPr>
                <w:sz w:val="20"/>
                <w:szCs w:val="20"/>
                <w:color w:val="auto"/>
              </w:rPr>
            </w:pPr>
            <w:r>
              <w:rPr>
                <w:rFonts w:ascii="Arial" w:cs="Arial" w:eastAsia="Arial" w:hAnsi="Arial"/>
                <w:sz w:val="18"/>
                <w:szCs w:val="18"/>
                <w:b w:val="1"/>
                <w:bCs w:val="1"/>
                <w:color w:val="auto"/>
                <w:w w:val="99"/>
              </w:rPr>
              <w:t>Carrying</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2"/>
          </w:tcPr>
          <w:p>
            <w:pPr>
              <w:jc w:val="right"/>
              <w:ind w:right="640"/>
              <w:spacing w:after="0" w:line="202" w:lineRule="exact"/>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17"/>
                <w:szCs w:val="17"/>
                <w:color w:val="auto"/>
              </w:rPr>
            </w:pPr>
          </w:p>
        </w:tc>
        <w:tc>
          <w:tcPr>
            <w:tcW w:w="160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9"/>
              </w:rPr>
              <w:t>Carrying</w:t>
            </w:r>
          </w:p>
        </w:tc>
      </w:tr>
      <w:tr>
        <w:trPr>
          <w:trHeight w:val="235"/>
        </w:trPr>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Amount</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21,845</w:t>
            </w:r>
          </w:p>
        </w:tc>
        <w:tc>
          <w:tcPr>
            <w:tcW w:w="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(14,951 )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6,894</w:t>
            </w:r>
          </w:p>
        </w:tc>
        <w:tc>
          <w:tcPr>
            <w:tcW w:w="100" w:type="dxa"/>
            <w:vAlign w:val="bottom"/>
            <w:shd w:val="clear" w:color="auto" w:fill="CFF0FC"/>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License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2,568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(2,568 )</w:t>
            </w:r>
          </w:p>
        </w:tc>
        <w:tc>
          <w:tcPr>
            <w:tcW w:w="3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32,006</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(13,480 )</w:t>
            </w: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18,526</w:t>
            </w:r>
          </w:p>
        </w:tc>
        <w:tc>
          <w:tcPr>
            <w:tcW w:w="100" w:type="dxa"/>
            <w:vAlign w:val="bottom"/>
            <w:shd w:val="clear" w:color="auto" w:fill="CFF0FC"/>
          </w:tcPr>
          <w:p>
            <w:pPr>
              <w:spacing w:after="0"/>
              <w:rPr>
                <w:sz w:val="19"/>
                <w:szCs w:val="19"/>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(411 )</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w:t>
            </w: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(2,340 )</w:t>
            </w: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FF0FC"/>
          </w:tcPr>
          <w:p>
            <w:pPr>
              <w:spacing w:after="0"/>
              <w:rPr>
                <w:sz w:val="19"/>
                <w:szCs w:val="19"/>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60,908</w:t>
            </w:r>
          </w:p>
        </w:tc>
        <w:tc>
          <w:tcPr>
            <w:tcW w:w="3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(33,750 )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27,158</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-179070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-179070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Amortization expense of intangible assets was $2.0 million and $2.2 million for the three months ended March 31, 2024 and 2023, respectively.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60" w:type="dxa"/>
            <w:vAlign w:val="bottom"/>
          </w:tcPr>
          <w:p>
            <w:pPr>
              <w:ind w:left="500"/>
              <w:spacing w:after="0"/>
              <w:rPr>
                <w:sz w:val="20"/>
                <w:szCs w:val="20"/>
                <w:color w:val="auto"/>
              </w:rPr>
            </w:pPr>
            <w:r>
              <w:rPr>
                <w:rFonts w:ascii="Arial" w:cs="Arial" w:eastAsia="Arial" w:hAnsi="Arial"/>
                <w:sz w:val="18"/>
                <w:szCs w:val="18"/>
                <w:color w:val="auto"/>
              </w:rPr>
              <w:t>As of March 31, 2024, future expected amortization expense is as follows (in thousands):</w:t>
            </w:r>
          </w:p>
        </w:tc>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0"/>
        </w:trPr>
        <w:tc>
          <w:tcPr>
            <w:tcW w:w="9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140"/>
              <w:spacing w:after="0"/>
              <w:rPr>
                <w:sz w:val="20"/>
                <w:szCs w:val="20"/>
                <w:color w:val="auto"/>
              </w:rPr>
            </w:pPr>
            <w:r>
              <w:rPr>
                <w:rFonts w:ascii="Arial" w:cs="Arial" w:eastAsia="Arial" w:hAnsi="Arial"/>
                <w:sz w:val="18"/>
                <w:szCs w:val="18"/>
                <w:color w:val="auto"/>
              </w:rPr>
              <w:t>2024 (remaining 9 months)</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2025</w:t>
            </w: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140"/>
              <w:spacing w:after="0"/>
              <w:rPr>
                <w:sz w:val="20"/>
                <w:szCs w:val="20"/>
                <w:color w:val="auto"/>
              </w:rPr>
            </w:pPr>
            <w:r>
              <w:rPr>
                <w:rFonts w:ascii="Arial" w:cs="Arial" w:eastAsia="Arial" w:hAnsi="Arial"/>
                <w:sz w:val="18"/>
                <w:szCs w:val="18"/>
                <w:color w:val="auto"/>
              </w:rPr>
              <w:t>2026</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2027</w:t>
            </w:r>
          </w:p>
        </w:tc>
        <w:tc>
          <w:tcPr>
            <w:tcW w:w="7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140"/>
              <w:spacing w:after="0"/>
              <w:rPr>
                <w:sz w:val="20"/>
                <w:szCs w:val="20"/>
                <w:color w:val="auto"/>
              </w:rPr>
            </w:pPr>
            <w:r>
              <w:rPr>
                <w:rFonts w:ascii="Arial" w:cs="Arial" w:eastAsia="Arial" w:hAnsi="Arial"/>
                <w:sz w:val="18"/>
                <w:szCs w:val="18"/>
                <w:color w:val="auto"/>
              </w:rPr>
              <w:t>2028</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9"/>
                <w:szCs w:val="19"/>
                <w:color w:val="auto"/>
              </w:rPr>
            </w:pPr>
          </w:p>
        </w:tc>
      </w:tr>
      <w:tr>
        <w:trPr>
          <w:trHeight w:val="229"/>
        </w:trPr>
        <w:tc>
          <w:tcPr>
            <w:tcW w:w="92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Total future amortization expense</w:t>
            </w: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25,137</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There were no impairments of goodwill, internal-use software development costs or intangible assets in the three months ended March 31, 2024 and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7340" w:type="dxa"/>
            <w:vAlign w:val="bottom"/>
          </w:tcPr>
          <w:p>
            <w:pPr>
              <w:spacing w:after="0"/>
              <w:rPr>
                <w:sz w:val="20"/>
                <w:szCs w:val="20"/>
                <w:color w:val="auto"/>
              </w:rPr>
            </w:pPr>
            <w:r>
              <w:rPr>
                <w:rFonts w:ascii="Arial" w:cs="Arial" w:eastAsia="Arial" w:hAnsi="Arial"/>
                <w:sz w:val="18"/>
                <w:szCs w:val="18"/>
                <w:b w:val="1"/>
                <w:bCs w:val="1"/>
                <w:color w:val="auto"/>
              </w:rPr>
              <w:t>Accrued Liabilities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2"/>
        </w:trPr>
        <w:tc>
          <w:tcPr>
            <w:tcW w:w="400" w:type="dxa"/>
            <w:vAlign w:val="bottom"/>
          </w:tcPr>
          <w:p>
            <w:pPr>
              <w:spacing w:after="0"/>
              <w:rPr>
                <w:sz w:val="24"/>
                <w:szCs w:val="24"/>
                <w:color w:val="auto"/>
              </w:rPr>
            </w:pPr>
          </w:p>
        </w:tc>
        <w:tc>
          <w:tcPr>
            <w:tcW w:w="7340" w:type="dxa"/>
            <w:vAlign w:val="bottom"/>
          </w:tcPr>
          <w:p>
            <w:pPr>
              <w:ind w:left="100"/>
              <w:spacing w:after="0"/>
              <w:rPr>
                <w:sz w:val="20"/>
                <w:szCs w:val="20"/>
                <w:color w:val="auto"/>
              </w:rPr>
            </w:pPr>
            <w:r>
              <w:rPr>
                <w:rFonts w:ascii="Arial" w:cs="Arial" w:eastAsia="Arial" w:hAnsi="Arial"/>
                <w:sz w:val="18"/>
                <w:szCs w:val="18"/>
                <w:color w:val="auto"/>
              </w:rPr>
              <w:t>The composition of accrued liabilities is as follows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4"/>
        </w:trPr>
        <w:tc>
          <w:tcPr>
            <w:tcW w:w="4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4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Payroll and employee-related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15,455</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19"/>
                <w:szCs w:val="19"/>
                <w:color w:val="auto"/>
              </w:rPr>
            </w:pPr>
          </w:p>
        </w:tc>
      </w:tr>
      <w:tr>
        <w:trPr>
          <w:trHeight w:val="263"/>
        </w:trPr>
        <w:tc>
          <w:tcPr>
            <w:tcW w:w="4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Total</w:t>
            </w:r>
          </w:p>
        </w:tc>
        <w:tc>
          <w:tcPr>
            <w:tcW w:w="73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12,334</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shd w:val="clear" w:color="auto" w:fill="CFF0FC"/>
          </w:tcPr>
          <w:p>
            <w:pPr>
              <w:spacing w:after="0"/>
              <w:rPr>
                <w:sz w:val="22"/>
                <w:szCs w:val="22"/>
                <w:color w:val="auto"/>
              </w:rPr>
            </w:pPr>
          </w:p>
        </w:tc>
      </w:tr>
      <w:tr>
        <w:trPr>
          <w:trHeight w:val="640"/>
        </w:trPr>
        <w:tc>
          <w:tcPr>
            <w:tcW w:w="4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7.</w:t>
            </w:r>
          </w:p>
        </w:tc>
        <w:tc>
          <w:tcPr>
            <w:tcW w:w="73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-443865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-426720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-443865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-426720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01" w:lineRule="exact"/>
        <w:rPr>
          <w:sz w:val="20"/>
          <w:szCs w:val="20"/>
          <w:color w:val="auto"/>
        </w:rPr>
      </w:pPr>
    </w:p>
    <w:p>
      <w:pPr>
        <w:jc w:val="both"/>
        <w:ind w:firstLine="494"/>
        <w:spacing w:after="0" w:line="243" w:lineRule="auto"/>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 There have been no material changes to the Company's contractual obligations or commitments outside of the ordinary course of business as compared to those described in the 2023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01"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The Company is involved from time to time in various claims and legal proceedings arising in the ordinary course of business. While it is not feasible to predict or determine the ultimate outcome of these matters, the Company believes that, as of March 31, 2024, no current claims and legal proceedings will have a material adverse effect on its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1"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3" w:name="page14"/>
    <w:bookmarkEnd w:id="13"/>
    <w:p>
      <w:pPr>
        <w:jc w:val="both"/>
        <w:spacing w:after="0" w:line="252" w:lineRule="auto"/>
        <w:rPr>
          <w:sz w:val="20"/>
          <w:szCs w:val="20"/>
          <w:color w:val="auto"/>
        </w:rPr>
      </w:pPr>
      <w:r>
        <w:rPr>
          <w:rFonts w:ascii="Arial" w:cs="Arial" w:eastAsia="Arial" w:hAnsi="Arial"/>
          <w:sz w:val="18"/>
          <w:szCs w:val="18"/>
          <w:color w:val="auto"/>
        </w:rPr>
        <w:t>non-compliance with obligations or representations made by the Company. The Company seeks to limit, or cap, its indemnification exposure in its commercial and other contracts.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w:t>
      </w:r>
    </w:p>
    <w:p>
      <w:pPr>
        <w:spacing w:after="0" w:line="101"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On May 13, 2021, the Company entered into a warrant agreement with JPMC Strategic Investments I Corporation (“JPMC”), an affiliate of J.P. Morgan Securities LLC, an underwriter in our 2021 initial public offering ("IPO"), pursuant to which the Company agreed to issue a warrant to JPMC for up to 509,370 shares of Class A common stock upon completion of the IPO at an exercise price of $18.38 per share (the “May 2021 warrant agreement”). Upon completion of the IPO, 382,027 of the warrant shares vested and were exercisable. The vesting of the remaining 127,343 shares of Class A common stock underlying the warrant will be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 certain commercial milestones was extended through December 31, 2026 and minimum revenue commitments were set for each of the calendar years through 2026. As of March 31, 2024, 448,880 warrant shares were vested and exercisable under the May 2021 warrant agreement.</w:t>
      </w:r>
    </w:p>
    <w:p>
      <w:pPr>
        <w:spacing w:after="0" w:line="78"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On August 29, 2022, the Company entered into a second warrant agreement with JPMC, in connection with an amendment to the Company's existing commercial agreement with JPM Chase discussed above, pursuant to which the Company issued a warrant to JPMC for up to 684,510 shares of Class A common stock at an exercise price of $10.10 per share (the “August 2022 warrant agreement”). Upon signing the August 2022 warrant agreement, 171,128 of the warrant shares vested and were exercisable. The vesting of the remaining 513,382 shares of Class A common stock underlying the warrant will be subject to the achievement of certain commercial milestones through December 31, 2026 pursuant to the commercial agreement, as amended. As of March 31, 2024 there were no additional warrant shares vested under the August 2022 warrant agreement.</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2024, an aggregate of 620,008 warrants had vested and were exercisable under the outstanding warrant agreements.</w:t>
      </w:r>
    </w:p>
    <w:p>
      <w:pPr>
        <w:spacing w:after="0" w:line="103"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 xml:space="preserve">The Company accounts for the consideration payable in the form of warrants to its vendor as share based compensation expense. The warrant fair value was determined using the Black-Scholes pricing model in accordance with ASC 718, </w:t>
      </w:r>
      <w:r>
        <w:rPr>
          <w:rFonts w:ascii="Arial" w:cs="Arial" w:eastAsia="Arial" w:hAnsi="Arial"/>
          <w:sz w:val="18"/>
          <w:szCs w:val="18"/>
          <w:i w:val="1"/>
          <w:iCs w:val="1"/>
          <w:color w:val="auto"/>
        </w:rPr>
        <w:t>Compensation-Stock Compensation.</w:t>
      </w:r>
    </w:p>
    <w:p>
      <w:pPr>
        <w:spacing w:after="0" w:line="153"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03"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In May 2021, the Company’s board of directors (the "Board") adopted, and its stockholders approved, the 2021 Equity Incentive Plan (the “2021 Plan”), which became effective in connection with the IPO. The 2021 Plan provides for the grant of incentive stock options, within the meaning of Section 422 of the Internal Revenue Code ("IRC"),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2024, pursuant to the Evergreen Addition, approximately 5.0 million shares of Class A common stock were added to the 2021 Plan issuance reserve. At March 31, 2024, there were approximately 21.7 million remaining shares available for the Company to grant under the 2021 Plan.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1"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 summary of the Company’s option activity during the three months ended March 31, 2024 was as follows (in thousands, except share and per share amounts):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Weighted-</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Average</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Aggregate</w:t>
            </w:r>
          </w:p>
        </w:tc>
      </w:tr>
      <w:tr>
        <w:trPr>
          <w:trHeight w:val="229"/>
        </w:trPr>
        <w:tc>
          <w:tcPr>
            <w:tcW w:w="4900" w:type="dxa"/>
            <w:vAlign w:val="bottom"/>
          </w:tcPr>
          <w:p>
            <w:pPr>
              <w:spacing w:after="0"/>
              <w:rPr>
                <w:sz w:val="19"/>
                <w:szCs w:val="19"/>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9"/>
                <w:szCs w:val="19"/>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Exercise Price</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Contractual</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Intrinsic</w:t>
            </w:r>
          </w:p>
        </w:tc>
      </w:tr>
      <w:tr>
        <w:trPr>
          <w:trHeight w:val="235"/>
        </w:trPr>
        <w:tc>
          <w:tcPr>
            <w:tcW w:w="4900" w:type="dxa"/>
            <w:vAlign w:val="bottom"/>
          </w:tcPr>
          <w:p>
            <w:pPr>
              <w:spacing w:after="0"/>
              <w:rPr>
                <w:sz w:val="20"/>
                <w:szCs w:val="20"/>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per Share</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Life </w:t>
            </w:r>
            <w:r>
              <w:rPr>
                <w:rFonts w:ascii="Arial" w:cs="Arial" w:eastAsia="Arial" w:hAnsi="Arial"/>
                <w:sz w:val="18"/>
                <w:szCs w:val="18"/>
                <w:b w:val="1"/>
                <w:bCs w:val="1"/>
                <w:i w:val="1"/>
                <w:iCs w:val="1"/>
                <w:color w:val="auto"/>
                <w:w w:val="99"/>
              </w:rPr>
              <w:t>(years)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Pr>
          <w:p>
            <w:pPr>
              <w:spacing w:after="0"/>
              <w:rPr>
                <w:sz w:val="20"/>
                <w:szCs w:val="20"/>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2023</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3,849,350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38,505</w:t>
            </w:r>
          </w:p>
        </w:tc>
        <w:tc>
          <w:tcPr>
            <w:tcW w:w="100" w:type="dxa"/>
            <w:vAlign w:val="bottom"/>
            <w:shd w:val="clear" w:color="auto" w:fill="CFF0FC"/>
          </w:tcPr>
          <w:p>
            <w:pPr>
              <w:spacing w:after="0"/>
              <w:rPr>
                <w:sz w:val="19"/>
                <w:szCs w:val="19"/>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Options exercised</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(67,746 )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Options forfeited</w:t>
            </w: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(1,333 )</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at March 31, 2024</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3,780,271</w:t>
            </w:r>
          </w:p>
        </w:tc>
        <w:tc>
          <w:tcPr>
            <w:tcW w:w="3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7.98</w:t>
            </w:r>
          </w:p>
        </w:tc>
        <w:tc>
          <w:tcPr>
            <w:tcW w:w="14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4.85</w:t>
            </w:r>
          </w:p>
        </w:tc>
        <w:tc>
          <w:tcPr>
            <w:tcW w:w="38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55,817</w:t>
            </w:r>
          </w:p>
        </w:tc>
        <w:tc>
          <w:tcPr>
            <w:tcW w:w="100" w:type="dxa"/>
            <w:vAlign w:val="bottom"/>
            <w:tcBorders>
              <w:top w:val="single" w:sz="8" w:color="CFF0FC"/>
            </w:tcBorders>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Exercisable at March 31, 2024</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3,732,980</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3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55,161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-350520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-7620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No options were granted or expired during the three months ended March 31, 2024. Aggregate intrinsic value represents the difference between the exercise price of the options and the fair value of the Company’s common stock.</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RSU activity during the three months ended March 31, 2024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Weighted-</w:t>
            </w:r>
          </w:p>
        </w:tc>
      </w:tr>
      <w:tr>
        <w:trPr>
          <w:trHeight w:val="229"/>
        </w:trPr>
        <w:tc>
          <w:tcPr>
            <w:tcW w:w="6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Average</w:t>
            </w:r>
          </w:p>
        </w:tc>
      </w:tr>
      <w:tr>
        <w:trPr>
          <w:trHeight w:val="229"/>
        </w:trPr>
        <w:tc>
          <w:tcPr>
            <w:tcW w:w="6680" w:type="dxa"/>
            <w:vAlign w:val="bottom"/>
          </w:tcPr>
          <w:p>
            <w:pPr>
              <w:spacing w:after="0"/>
              <w:rPr>
                <w:sz w:val="19"/>
                <w:szCs w:val="19"/>
                <w:color w:val="auto"/>
              </w:rPr>
            </w:pPr>
          </w:p>
        </w:tc>
        <w:tc>
          <w:tcPr>
            <w:tcW w:w="244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9"/>
                <w:szCs w:val="19"/>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Grant Date</w:t>
            </w:r>
          </w:p>
        </w:tc>
      </w:tr>
      <w:tr>
        <w:trPr>
          <w:trHeight w:val="235"/>
        </w:trPr>
        <w:tc>
          <w:tcPr>
            <w:tcW w:w="6680" w:type="dxa"/>
            <w:vAlign w:val="bottom"/>
          </w:tcPr>
          <w:p>
            <w:pPr>
              <w:spacing w:after="0"/>
              <w:rPr>
                <w:sz w:val="20"/>
                <w:szCs w:val="20"/>
                <w:color w:val="auto"/>
              </w:rPr>
            </w:pPr>
          </w:p>
        </w:tc>
        <w:tc>
          <w:tcPr>
            <w:tcW w:w="2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RSUs Outstanding</w:t>
            </w:r>
          </w:p>
        </w:tc>
        <w:tc>
          <w:tcPr>
            <w:tcW w:w="340" w:type="dxa"/>
            <w:vAlign w:val="bottom"/>
          </w:tcPr>
          <w:p>
            <w:pPr>
              <w:spacing w:after="0"/>
              <w:rPr>
                <w:sz w:val="20"/>
                <w:szCs w:val="20"/>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Fair Value</w:t>
            </w:r>
          </w:p>
        </w:tc>
      </w:tr>
      <w:tr>
        <w:trPr>
          <w:trHeight w:val="22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Awarded and unvested at December 31, 2023</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1,946,006</w:t>
            </w:r>
          </w:p>
        </w:tc>
        <w:tc>
          <w:tcPr>
            <w:tcW w:w="36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ind w:left="280"/>
              <w:spacing w:after="0"/>
              <w:rPr>
                <w:sz w:val="20"/>
                <w:szCs w:val="20"/>
                <w:color w:val="auto"/>
              </w:rPr>
            </w:pPr>
            <w:r>
              <w:rPr>
                <w:rFonts w:ascii="Arial" w:cs="Arial" w:eastAsia="Arial" w:hAnsi="Arial"/>
                <w:sz w:val="18"/>
                <w:szCs w:val="18"/>
                <w:color w:val="auto"/>
              </w:rPr>
              <w:t>Awards granted</w:t>
            </w:r>
          </w:p>
        </w:tc>
        <w:tc>
          <w:tcPr>
            <w:tcW w:w="2080" w:type="dxa"/>
            <w:vAlign w:val="bottom"/>
          </w:tcPr>
          <w:p>
            <w:pPr>
              <w:jc w:val="right"/>
              <w:spacing w:after="0"/>
              <w:rPr>
                <w:sz w:val="20"/>
                <w:szCs w:val="20"/>
                <w:color w:val="auto"/>
              </w:rPr>
            </w:pPr>
            <w:r>
              <w:rPr>
                <w:rFonts w:ascii="Arial" w:cs="Arial" w:eastAsia="Arial" w:hAnsi="Arial"/>
                <w:sz w:val="18"/>
                <w:szCs w:val="18"/>
                <w:color w:val="auto"/>
              </w:rPr>
              <w:t>995,548</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Awards vested</w:t>
            </w:r>
          </w:p>
        </w:tc>
        <w:tc>
          <w:tcPr>
            <w:tcW w:w="2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(235,619 )</w:t>
            </w:r>
          </w:p>
        </w:tc>
        <w:tc>
          <w:tcPr>
            <w:tcW w:w="3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ind w:left="280"/>
              <w:spacing w:after="0"/>
              <w:rPr>
                <w:sz w:val="20"/>
                <w:szCs w:val="20"/>
                <w:color w:val="auto"/>
              </w:rPr>
            </w:pPr>
            <w:r>
              <w:rPr>
                <w:rFonts w:ascii="Arial" w:cs="Arial" w:eastAsia="Arial" w:hAnsi="Arial"/>
                <w:sz w:val="18"/>
                <w:szCs w:val="18"/>
                <w:color w:val="auto"/>
              </w:rPr>
              <w:t>Awards forfeited</w:t>
            </w:r>
          </w:p>
        </w:tc>
        <w:tc>
          <w:tcPr>
            <w:tcW w:w="2440" w:type="dxa"/>
            <w:vAlign w:val="bottom"/>
            <w:gridSpan w:val="2"/>
          </w:tcPr>
          <w:p>
            <w:pPr>
              <w:jc w:val="right"/>
              <w:ind w:right="280"/>
              <w:spacing w:after="0"/>
              <w:rPr>
                <w:sz w:val="20"/>
                <w:szCs w:val="20"/>
                <w:color w:val="auto"/>
              </w:rPr>
            </w:pPr>
            <w:r>
              <w:rPr>
                <w:rFonts w:ascii="Arial" w:cs="Arial" w:eastAsia="Arial" w:hAnsi="Arial"/>
                <w:sz w:val="18"/>
                <w:szCs w:val="18"/>
                <w:color w:val="auto"/>
              </w:rPr>
              <w:t>(25,580 )</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r>
      <w:tr>
        <w:trPr>
          <w:trHeight w:val="263"/>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Awarded and unvested at March 31, 2024</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2,680,355</w:t>
            </w:r>
          </w:p>
        </w:tc>
        <w:tc>
          <w:tcPr>
            <w:tcW w:w="3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RSUs vest over the requisite service period, which generally ranges between four years and five years from the date of grant for employees and one to three years for directors, subject to continued employment for employees and provision of services for nonemployees.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included in the condensed consolidated statements of operations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40" w:type="dxa"/>
            <w:vAlign w:val="bottom"/>
          </w:tcPr>
          <w:p>
            <w:pPr>
              <w:spacing w:after="0"/>
              <w:rPr>
                <w:sz w:val="20"/>
                <w:szCs w:val="20"/>
                <w:color w:val="auto"/>
              </w:rPr>
            </w:pPr>
          </w:p>
        </w:tc>
        <w:tc>
          <w:tcPr>
            <w:tcW w:w="44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40" w:type="dxa"/>
            <w:vAlign w:val="bottom"/>
          </w:tcPr>
          <w:p>
            <w:pPr>
              <w:spacing w:after="0"/>
              <w:rPr>
                <w:sz w:val="19"/>
                <w:szCs w:val="19"/>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720" w:type="dxa"/>
            <w:vAlign w:val="bottom"/>
            <w:gridSpan w:val="3"/>
          </w:tcPr>
          <w:p>
            <w:pPr>
              <w:jc w:val="right"/>
              <w:ind w:right="119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720" w:type="dxa"/>
            <w:vAlign w:val="bottom"/>
            <w:shd w:val="clear" w:color="auto" w:fill="CFF0FC"/>
          </w:tcPr>
          <w:p>
            <w:pPr>
              <w:jc w:val="right"/>
              <w:ind w:right="15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0" w:type="dxa"/>
            <w:vAlign w:val="bottom"/>
            <w:gridSpan w:val="2"/>
            <w:shd w:val="clear" w:color="auto" w:fill="CFF0FC"/>
          </w:tcPr>
          <w:p>
            <w:pPr>
              <w:jc w:val="right"/>
              <w:ind w:right="12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w:t>
            </w: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r>
      <w:tr>
        <w:trPr>
          <w:trHeight w:val="22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7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FF0FC"/>
          </w:tcPr>
          <w:p>
            <w:pPr>
              <w:spacing w:after="0"/>
              <w:rPr>
                <w:sz w:val="19"/>
                <w:szCs w:val="19"/>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3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r>
      <w:tr>
        <w:trPr>
          <w:trHeight w:val="263"/>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w:t>
            </w:r>
          </w:p>
        </w:tc>
        <w:tc>
          <w:tcPr>
            <w:tcW w:w="1720" w:type="dxa"/>
            <w:vAlign w:val="bottom"/>
            <w:tcBorders>
              <w:bottom w:val="single" w:sz="8" w:color="auto"/>
            </w:tcBorders>
            <w:shd w:val="clear" w:color="auto" w:fill="CFF0FC"/>
          </w:tcPr>
          <w:p>
            <w:pPr>
              <w:jc w:val="right"/>
              <w:ind w:right="15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38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At March 31, 2024, there was $0.1 million of total unrecognized compensation cost related to unvested stock options granted under the 2012 Equity Incentive Plan, which is expected to be recognized over a remaining weighted-average period of 1.4 years.</w:t>
      </w:r>
    </w:p>
    <w:p>
      <w:pPr>
        <w:spacing w:after="0" w:line="45"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At March 31, 2024, there was $38.5 million of total unrecognized compensation cost related to unvested RSUs granted under the 2021 Plan, which is expected to be recognized over a remaining weighted-average period of 3.8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03"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The Company computes its tax provision for the three months ended March 31, 2024 by applying the estimated annual effective tax rate to year-to-date income from recurring operations and adjusting for discrete items arising in that quarter. The Company continues to record a valuation allowance against its net deferred tax assets (“DTA”) in the U.S. as it is not more likely than not to be realized given the significant tax deductions for stock-based compensation recognized in previous years that have created cumulative losses in recent years.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5" w:name="page16"/>
    <w:bookmarkEnd w:id="15"/>
    <w:p>
      <w:pPr>
        <w:jc w:val="both"/>
        <w:ind w:firstLine="374"/>
        <w:spacing w:after="0" w:line="241" w:lineRule="auto"/>
        <w:rPr>
          <w:sz w:val="20"/>
          <w:szCs w:val="20"/>
          <w:color w:val="auto"/>
        </w:rPr>
      </w:pPr>
      <w:r>
        <w:rPr>
          <w:rFonts w:ascii="Arial" w:cs="Arial" w:eastAsia="Arial" w:hAnsi="Arial"/>
          <w:sz w:val="18"/>
          <w:szCs w:val="18"/>
          <w:color w:val="auto"/>
        </w:rPr>
        <w:t>The Company’s effective tax rate for the three months ended March 31, 2024 and 2023 was 32.8% and (57.9)% respectively. The difference between the Company’s effective tax rate and the U.S. federal statutory rate of 21% in 2024 was primarily the result of permanent differences for disallowed stock-based compensation pursuant to IRC Section 162(m), state taxes and the impact of the full valuation allowance. In 2023, it was primarily the result of near break-even pre-tax income from operations, state taxes and the impact of the full valuation allowance and other permanent adjustments in addition to a return to provision benefit recorded in connection with a change in estimate of costs required to be capitalized under IRC Section 174.</w:t>
      </w:r>
    </w:p>
    <w:p>
      <w:pPr>
        <w:spacing w:after="0" w:line="1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Net Income per Share Attributable to Common Stock</w:t>
      </w:r>
    </w:p>
    <w:p>
      <w:pPr>
        <w:spacing w:after="0" w:line="103"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Basic net income per share attributable to common stock is computed by dividing net income for the period by the weighted average number of common shares outstanding during the period.</w:t>
      </w:r>
    </w:p>
    <w:p>
      <w:pPr>
        <w:spacing w:after="0" w:line="45"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Diluted net income per share attributable to common stock is computed by giving effect to all potentially dilutive common stock equivalents to the extent they are dilutive. The dilutive effect of outstanding options, RSUs and warrants is reflected in diluted net income per share attributable to common stock by application of the treasury stock method. The calculation of diluted net income per share attributable to common stock excludes all anti-dilutive common shares.</w:t>
      </w:r>
    </w:p>
    <w:p>
      <w:pPr>
        <w:spacing w:after="0" w:line="68"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spacing w:after="0" w:line="68"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share and per share data):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4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7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7,226</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ind w:left="280"/>
              <w:spacing w:after="0"/>
              <w:rPr>
                <w:sz w:val="20"/>
                <w:szCs w:val="20"/>
                <w:color w:val="auto"/>
              </w:rPr>
            </w:pPr>
            <w:r>
              <w:rPr>
                <w:rFonts w:ascii="Arial" w:cs="Arial" w:eastAsia="Arial" w:hAnsi="Arial"/>
                <w:sz w:val="18"/>
                <w:szCs w:val="18"/>
                <w:b w:val="1"/>
                <w:bCs w:val="1"/>
                <w:color w:val="auto"/>
              </w:rPr>
              <w:t>Weighted-average shares of common stock — basic</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123,945,778</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123,289,584</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Dilutive effect of stock options to purchase common stock</w:t>
            </w: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2,141,741</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486,286</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ind w:left="400"/>
              <w:spacing w:after="0"/>
              <w:rPr>
                <w:sz w:val="20"/>
                <w:szCs w:val="20"/>
                <w:color w:val="auto"/>
              </w:rPr>
            </w:pPr>
            <w:r>
              <w:rPr>
                <w:rFonts w:ascii="Arial" w:cs="Arial" w:eastAsia="Arial" w:hAnsi="Arial"/>
                <w:sz w:val="18"/>
                <w:szCs w:val="18"/>
                <w:color w:val="auto"/>
              </w:rPr>
              <w:t>Dilutive effect of RSUs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754,844</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16,871</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Dilutive effect of warrants</w:t>
            </w: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75,291</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720" w:type="dxa"/>
            <w:vAlign w:val="bottom"/>
            <w:tcBorders>
              <w:top w:val="single" w:sz="8" w:color="CFF0FC"/>
            </w:tcBorders>
          </w:tcPr>
          <w:p>
            <w:pPr>
              <w:ind w:left="280"/>
              <w:spacing w:after="0"/>
              <w:rPr>
                <w:sz w:val="20"/>
                <w:szCs w:val="20"/>
                <w:color w:val="auto"/>
              </w:rPr>
            </w:pPr>
            <w:r>
              <w:rPr>
                <w:rFonts w:ascii="Arial" w:cs="Arial" w:eastAsia="Arial" w:hAnsi="Arial"/>
                <w:sz w:val="18"/>
                <w:szCs w:val="18"/>
                <w:b w:val="1"/>
                <w:bCs w:val="1"/>
                <w:color w:val="auto"/>
              </w:rPr>
              <w:t>Weighted-average shares of common stock — diluted</w:t>
            </w:r>
          </w:p>
        </w:tc>
        <w:tc>
          <w:tcPr>
            <w:tcW w:w="4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126,917,654</w:t>
            </w:r>
          </w:p>
        </w:tc>
        <w:tc>
          <w:tcPr>
            <w:tcW w:w="320" w:type="dxa"/>
            <w:vAlign w:val="bottom"/>
            <w:tcBorders>
              <w:top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123,792,741</w:t>
            </w:r>
          </w:p>
        </w:tc>
        <w:tc>
          <w:tcPr>
            <w:tcW w:w="100" w:type="dxa"/>
            <w:vAlign w:val="bottom"/>
            <w:tcBorders>
              <w:top w:val="single" w:sz="8" w:color="CFF0FC"/>
            </w:tcBorders>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w:t>
            </w:r>
          </w:p>
        </w:tc>
        <w:tc>
          <w:tcPr>
            <w:tcW w:w="4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720" w:type="dxa"/>
            <w:vAlign w:val="bottom"/>
          </w:tcPr>
          <w:p>
            <w:pPr>
              <w:ind w:left="280"/>
              <w:spacing w:after="0"/>
              <w:rPr>
                <w:sz w:val="20"/>
                <w:szCs w:val="20"/>
                <w:color w:val="auto"/>
              </w:rPr>
            </w:pPr>
            <w:r>
              <w:rPr>
                <w:rFonts w:ascii="Arial" w:cs="Arial" w:eastAsia="Arial" w:hAnsi="Arial"/>
                <w:sz w:val="18"/>
                <w:szCs w:val="18"/>
                <w:color w:val="auto"/>
              </w:rPr>
              <w:t>Basic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0.06</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-615950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-615950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following table summarizes the weighted average securities that were excluded from the computation of diluted net income per share attributable to common stock as their inclusion would have been antidilutive:</w:t>
      </w:r>
    </w:p>
    <w:p>
      <w:pPr>
        <w:spacing w:after="0" w:line="58"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8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3,594,345</w:t>
            </w:r>
          </w:p>
        </w:tc>
        <w:tc>
          <w:tcPr>
            <w:tcW w:w="100" w:type="dxa"/>
            <w:vAlign w:val="bottom"/>
            <w:shd w:val="clear" w:color="auto" w:fill="CFF0FC"/>
          </w:tcPr>
          <w:p>
            <w:pPr>
              <w:spacing w:after="0"/>
              <w:rPr>
                <w:sz w:val="19"/>
                <w:szCs w:val="19"/>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RSUs</w:t>
            </w:r>
          </w:p>
        </w:tc>
        <w:tc>
          <w:tcPr>
            <w:tcW w:w="760" w:type="dxa"/>
            <w:vAlign w:val="bottom"/>
          </w:tcPr>
          <w:p>
            <w:pPr>
              <w:jc w:val="right"/>
              <w:spacing w:after="0"/>
              <w:rPr>
                <w:sz w:val="20"/>
                <w:szCs w:val="20"/>
                <w:color w:val="auto"/>
              </w:rPr>
            </w:pPr>
            <w:r>
              <w:rPr>
                <w:rFonts w:ascii="Arial" w:cs="Arial" w:eastAsia="Arial" w:hAnsi="Arial"/>
                <w:sz w:val="18"/>
                <w:szCs w:val="18"/>
                <w:color w:val="auto"/>
              </w:rPr>
              <w:t>457,373</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1,319,253</w:t>
            </w:r>
          </w:p>
        </w:tc>
        <w:tc>
          <w:tcPr>
            <w:tcW w:w="100" w:type="dxa"/>
            <w:vAlign w:val="bottom"/>
          </w:tcPr>
          <w:p>
            <w:pPr>
              <w:spacing w:after="0"/>
              <w:rPr>
                <w:sz w:val="19"/>
                <w:szCs w:val="19"/>
                <w:color w:val="auto"/>
              </w:rPr>
            </w:pPr>
          </w:p>
        </w:tc>
      </w:tr>
      <w:tr>
        <w:trPr>
          <w:trHeight w:val="229"/>
        </w:trPr>
        <w:tc>
          <w:tcPr>
            <w:tcW w:w="8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448,881</w:t>
            </w:r>
          </w:p>
        </w:tc>
        <w:tc>
          <w:tcPr>
            <w:tcW w:w="2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588,173</w:t>
            </w:r>
          </w:p>
        </w:tc>
        <w:tc>
          <w:tcPr>
            <w:tcW w:w="100" w:type="dxa"/>
            <w:vAlign w:val="bottom"/>
            <w:shd w:val="clear" w:color="auto" w:fill="CFF0FC"/>
          </w:tcPr>
          <w:p>
            <w:pPr>
              <w:spacing w:after="0"/>
              <w:rPr>
                <w:sz w:val="19"/>
                <w:szCs w:val="19"/>
                <w:color w:val="auto"/>
              </w:rPr>
            </w:pPr>
          </w:p>
        </w:tc>
      </w:tr>
      <w:tr>
        <w:trPr>
          <w:trHeight w:val="759"/>
        </w:trPr>
        <w:tc>
          <w:tcPr>
            <w:tcW w:w="6660" w:type="dxa"/>
            <w:vAlign w:val="bottom"/>
          </w:tcPr>
          <w:p>
            <w:pPr>
              <w:jc w:val="right"/>
              <w:ind w:right="850"/>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66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3" w:lineRule="exact"/>
        <w:rPr>
          <w:sz w:val="20"/>
          <w:szCs w:val="20"/>
          <w:color w:val="auto"/>
        </w:rPr>
      </w:pPr>
    </w:p>
    <w:p>
      <w:pPr>
        <w:jc w:val="both"/>
        <w:ind w:right="60" w:firstLine="494"/>
        <w:spacing w:after="0" w:line="239"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2,200 biller business and financial institution clients. Our platform was used by approximately 34 million consumers and businesses in North America in December 2023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and healthcare.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73" w:lineRule="exact"/>
        <w:rPr>
          <w:sz w:val="20"/>
          <w:szCs w:val="20"/>
          <w:color w:val="auto"/>
        </w:rPr>
      </w:pPr>
    </w:p>
    <w:p>
      <w:pPr>
        <w:jc w:val="both"/>
        <w:ind w:right="60" w:firstLine="494"/>
        <w:spacing w:after="0" w:line="241"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Processed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6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2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9"/>
                <w:szCs w:val="19"/>
                <w:color w:val="auto"/>
              </w:rPr>
            </w:pP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 Growth</w:t>
            </w:r>
          </w:p>
        </w:tc>
        <w:tc>
          <w:tcPr>
            <w:tcW w:w="160" w:type="dxa"/>
            <w:vAlign w:val="bottom"/>
          </w:tcPr>
          <w:p>
            <w:pPr>
              <w:spacing w:after="0"/>
              <w:rPr>
                <w:sz w:val="19"/>
                <w:szCs w:val="19"/>
                <w:color w:val="auto"/>
              </w:rPr>
            </w:pPr>
          </w:p>
        </w:tc>
      </w:tr>
      <w:tr>
        <w:trPr>
          <w:trHeight w:val="223"/>
        </w:trPr>
        <w:tc>
          <w:tcPr>
            <w:tcW w:w="4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(in</w:t>
            </w:r>
          </w:p>
        </w:tc>
        <w:tc>
          <w:tcPr>
            <w:tcW w:w="2420" w:type="dxa"/>
            <w:vAlign w:val="bottom"/>
            <w:gridSpan w:val="2"/>
          </w:tcPr>
          <w:p>
            <w:pPr>
              <w:jc w:val="right"/>
              <w:ind w:right="1650"/>
              <w:spacing w:after="0"/>
              <w:rPr>
                <w:sz w:val="20"/>
                <w:szCs w:val="20"/>
                <w:color w:val="auto"/>
              </w:rPr>
            </w:pPr>
            <w:r>
              <w:rPr>
                <w:rFonts w:ascii="Arial" w:cs="Arial" w:eastAsia="Arial" w:hAnsi="Arial"/>
                <w:sz w:val="18"/>
                <w:szCs w:val="18"/>
                <w:b w:val="1"/>
                <w:bCs w:val="1"/>
                <w:color w:val="auto"/>
                <w:w w:val="89"/>
              </w:rPr>
              <w:t>millions)</w:t>
            </w:r>
          </w:p>
        </w:tc>
        <w:tc>
          <w:tcPr>
            <w:tcW w:w="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5700" w:type="dxa"/>
            <w:vAlign w:val="bottom"/>
            <w:gridSpan w:val="2"/>
          </w:tcPr>
          <w:p>
            <w:pPr>
              <w:jc w:val="right"/>
              <w:ind w:right="3690"/>
              <w:spacing w:after="0"/>
              <w:rPr>
                <w:sz w:val="20"/>
                <w:szCs w:val="20"/>
                <w:color w:val="auto"/>
              </w:rPr>
            </w:pPr>
            <w:r>
              <w:rPr>
                <w:rFonts w:ascii="Arial" w:cs="Arial" w:eastAsia="Arial" w:hAnsi="Arial"/>
                <w:sz w:val="18"/>
                <w:szCs w:val="18"/>
                <w:color w:val="auto"/>
                <w:w w:val="99"/>
              </w:rPr>
              <w:t>Transactions processed</w:t>
            </w:r>
          </w:p>
        </w:tc>
        <w:tc>
          <w:tcPr>
            <w:tcW w:w="640" w:type="dxa"/>
            <w:vAlign w:val="bottom"/>
          </w:tcPr>
          <w:p>
            <w:pPr>
              <w:jc w:val="right"/>
              <w:spacing w:after="0"/>
              <w:rPr>
                <w:sz w:val="20"/>
                <w:szCs w:val="20"/>
                <w:color w:val="auto"/>
              </w:rPr>
            </w:pPr>
            <w:r>
              <w:rPr>
                <w:rFonts w:ascii="Arial" w:cs="Arial" w:eastAsia="Arial" w:hAnsi="Arial"/>
                <w:sz w:val="18"/>
                <w:szCs w:val="18"/>
                <w:color w:val="auto"/>
              </w:rPr>
              <w:t>135.3</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108.5</w:t>
            </w:r>
          </w:p>
        </w:tc>
        <w:tc>
          <w:tcPr>
            <w:tcW w:w="32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9" w:lineRule="exact"/>
        <w:rPr>
          <w:sz w:val="20"/>
          <w:szCs w:val="20"/>
          <w:color w:val="auto"/>
        </w:rPr>
      </w:pPr>
    </w:p>
    <w:p>
      <w:pPr>
        <w:jc w:val="both"/>
        <w:ind w:right="60" w:firstLine="494"/>
        <w:spacing w:after="0" w:line="241" w:lineRule="auto"/>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number of transactions processed during the three months ended March 31, 2024 increased approximately 24.7% as compared to the same period in 2023. The increase was primarily driven by the addition of new billers and financial institutions and increased transactions from our existing billers and financial institutions.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103" w:lineRule="exact"/>
        <w:rPr>
          <w:sz w:val="20"/>
          <w:szCs w:val="20"/>
          <w:color w:val="auto"/>
        </w:rPr>
      </w:pPr>
    </w:p>
    <w:p>
      <w:pPr>
        <w:jc w:val="both"/>
        <w:ind w:right="60" w:firstLine="494"/>
        <w:spacing w:after="0" w:line="246" w:lineRule="auto"/>
        <w:rPr>
          <w:sz w:val="20"/>
          <w:szCs w:val="20"/>
          <w:color w:val="auto"/>
        </w:rPr>
      </w:pPr>
      <w:r>
        <w:rPr>
          <w:rFonts w:ascii="Arial" w:cs="Arial" w:eastAsia="Arial" w:hAnsi="Arial"/>
          <w:sz w:val="18"/>
          <w:szCs w:val="18"/>
          <w:color w:val="auto"/>
        </w:rPr>
        <w:t>The discussion below includes a number of forward-looking statements regarding our future performance. For a discussion of important factors, including the continuing development of our business and other factors which could cause actual results to differ materially from matters referred to below, see the discussions under “Risk Factors” and “Special Note Regarding Forward-Looking Statements” herein and in our Form 10-K for the year ended December 31, 2023 or the “2023 Form 10-K”.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Economic and Inflationary Trends</w:t>
      </w:r>
    </w:p>
    <w:p>
      <w:pPr>
        <w:spacing w:after="0" w:line="101" w:lineRule="exact"/>
        <w:rPr>
          <w:sz w:val="20"/>
          <w:szCs w:val="20"/>
          <w:color w:val="auto"/>
        </w:rPr>
      </w:pPr>
    </w:p>
    <w:p>
      <w:pPr>
        <w:jc w:val="both"/>
        <w:ind w:right="60" w:firstLine="494"/>
        <w:spacing w:after="0"/>
        <w:rPr>
          <w:sz w:val="20"/>
          <w:szCs w:val="20"/>
          <w:color w:val="auto"/>
        </w:rPr>
      </w:pPr>
      <w:r>
        <w:rPr>
          <w:rFonts w:ascii="Arial" w:cs="Arial" w:eastAsia="Arial" w:hAnsi="Arial"/>
          <w:sz w:val="18"/>
          <w:szCs w:val="18"/>
          <w:color w:val="auto"/>
        </w:rPr>
        <w:t>Although inflationary pressures lessened to some extent in the second half of 2023, we did experience more normalized inflationary increases during the quarter ended March 31, 2024. However, the economic uncertainty and inflationary conditions continue to remain high and could have an adverse impact on our performance during the remainder of 2024. Inflationary pressure is resulting in higher average bills, particularly in the utility sector, and increased interchange fees. Where appropriate, we seek to adjust our prices to address the inflationary pressures, however our ability to do so typically lags behind the impact of inflation on our clients. While we made several price adjustments in 2023 as a result of the inflationary impacts on our business, we will continue to monitor and manage the economic environment in 2024 by working closely with clients on implementations and further price adjustments as necessary.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03" w:lineRule="exact"/>
        <w:rPr>
          <w:sz w:val="20"/>
          <w:szCs w:val="20"/>
          <w:color w:val="auto"/>
        </w:rPr>
      </w:pPr>
    </w:p>
    <w:p>
      <w:pPr>
        <w:jc w:val="both"/>
        <w:ind w:right="60" w:firstLine="494"/>
        <w:spacing w:after="0" w:line="252"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w:t>
      </w:r>
    </w:p>
    <w:p>
      <w:pPr>
        <w:spacing w:after="0" w:line="10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86" w:right="279" w:bottom="1440" w:gutter="0" w:footer="0" w:header="0"/>
        </w:sectPr>
      </w:pPr>
    </w:p>
    <w:bookmarkStart w:id="17" w:name="page18"/>
    <w:bookmarkEnd w:id="17"/>
    <w:p>
      <w:pPr>
        <w:jc w:val="both"/>
        <w:ind w:firstLine="494"/>
        <w:spacing w:after="0" w:line="271"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and assessment fees paid by us to our payment processors.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10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 of acquisition-related intangible assets and capitalized software development costs.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01"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We calculate adjusted EBITDA as net income before other income (expense) (which consists of interest income (expense), net, other non-recurring income), depreciation and amortization of acquisition-related intangible assets and capitalized software development costs, and income taxes, adjusted to exclude the effects of net and foreign exchange gain (loss), stock-based compensation expense and certain nonrecurring expenses that management believes are not indicative of ongoing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01"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other intangible assets acquired, and capitalized internal-use software development costs.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use Non-GAAP Measures</w:t>
      </w:r>
    </w:p>
    <w:p>
      <w:pPr>
        <w:spacing w:after="0" w:line="101"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product or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78"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 evaluate our business, we encourage you to review the condensed consolidated financial statements and related notes included elsewhere in this report and to not rely on any single financial measure to evaluate our business.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20" w:type="dxa"/>
            <w:vAlign w:val="bottom"/>
          </w:tcPr>
          <w:p>
            <w:pPr>
              <w:spacing w:after="0"/>
              <w:rPr>
                <w:sz w:val="20"/>
                <w:szCs w:val="20"/>
                <w:color w:val="auto"/>
              </w:rPr>
            </w:pPr>
            <w:r>
              <w:rPr>
                <w:rFonts w:ascii="Arial" w:cs="Arial" w:eastAsia="Arial" w:hAnsi="Arial"/>
                <w:sz w:val="18"/>
                <w:szCs w:val="18"/>
                <w:i w:val="1"/>
                <w:iCs w:val="1"/>
                <w:color w:val="auto"/>
              </w:rPr>
              <w:t>Contribution Profit</w:t>
            </w: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0"/>
        </w:trPr>
        <w:tc>
          <w:tcPr>
            <w:tcW w:w="6620" w:type="dxa"/>
            <w:vAlign w:val="bottom"/>
          </w:tcPr>
          <w:p>
            <w:pPr>
              <w:spacing w:after="0"/>
              <w:rPr>
                <w:sz w:val="24"/>
                <w:szCs w:val="24"/>
                <w:color w:val="auto"/>
              </w:rPr>
            </w:pPr>
          </w:p>
        </w:tc>
        <w:tc>
          <w:tcPr>
            <w:tcW w:w="38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20" w:type="dxa"/>
            <w:vAlign w:val="bottom"/>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2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80"/>
              </w:rPr>
              <w:t>thousands)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8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52,725</w:t>
            </w:r>
          </w:p>
        </w:tc>
        <w:tc>
          <w:tcPr>
            <w:tcW w:w="1720" w:type="dxa"/>
            <w:vAlign w:val="bottom"/>
            <w:gridSpan w:val="2"/>
            <w:shd w:val="clear" w:color="auto" w:fill="CFF0FC"/>
          </w:tcPr>
          <w:p>
            <w:pPr>
              <w:jc w:val="center"/>
              <w:ind w:right="8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40,078</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120"/>
              <w:spacing w:after="0"/>
              <w:rPr>
                <w:sz w:val="20"/>
                <w:szCs w:val="20"/>
                <w:color w:val="auto"/>
              </w:rPr>
            </w:pPr>
            <w:r>
              <w:rPr>
                <w:rFonts w:ascii="Arial" w:cs="Arial" w:eastAsia="Arial" w:hAnsi="Arial"/>
                <w:sz w:val="18"/>
                <w:szCs w:val="18"/>
                <w:color w:val="auto"/>
              </w:rPr>
              <w:t>Plus: other cost of revenue</w:t>
            </w:r>
          </w:p>
        </w:tc>
        <w:tc>
          <w:tcPr>
            <w:tcW w:w="1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16,642</w:t>
            </w:r>
          </w:p>
        </w:tc>
        <w:tc>
          <w:tcPr>
            <w:tcW w:w="3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13,453</w:t>
            </w:r>
          </w:p>
        </w:tc>
        <w:tc>
          <w:tcPr>
            <w:tcW w:w="100" w:type="dxa"/>
            <w:vAlign w:val="bottom"/>
          </w:tcPr>
          <w:p>
            <w:pPr>
              <w:spacing w:after="0"/>
              <w:rPr>
                <w:sz w:val="19"/>
                <w:szCs w:val="19"/>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Contribution profit</w:t>
            </w:r>
          </w:p>
        </w:tc>
        <w:tc>
          <w:tcPr>
            <w:tcW w:w="1400" w:type="dxa"/>
            <w:vAlign w:val="bottom"/>
            <w:tcBorders>
              <w:bottom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69,367</w:t>
            </w:r>
          </w:p>
        </w:tc>
        <w:tc>
          <w:tcPr>
            <w:tcW w:w="34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center"/>
              <w:ind w:right="11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53,531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-24765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three months ended March 31, 2024 increased approximately 29.6%, as compared to the same period in 2023. The increase was primarily driven by growth in transaction count and volume driven by the addition of new billers and financial institutions and increased transactions from our existing billers and financial institutions, together with pricing improvements from customers related to our inflation management and the implementation of certain cost improvement measures.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7"/>
        </w:trPr>
        <w:tc>
          <w:tcPr>
            <w:tcW w:w="6620" w:type="dxa"/>
            <w:vAlign w:val="bottom"/>
          </w:tcPr>
          <w:p>
            <w:pPr>
              <w:spacing w:after="0"/>
              <w:rPr>
                <w:sz w:val="20"/>
                <w:szCs w:val="20"/>
                <w:color w:val="auto"/>
              </w:rPr>
            </w:pPr>
            <w:r>
              <w:rPr>
                <w:rFonts w:ascii="Arial" w:cs="Arial" w:eastAsia="Arial" w:hAnsi="Arial"/>
                <w:sz w:val="18"/>
                <w:szCs w:val="18"/>
                <w:i w:val="1"/>
                <w:iCs w:val="1"/>
                <w:color w:val="auto"/>
              </w:rPr>
              <w:t>Adjusted Gross Profit</w:t>
            </w: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0"/>
        </w:trPr>
        <w:tc>
          <w:tcPr>
            <w:tcW w:w="6620" w:type="dxa"/>
            <w:vAlign w:val="bottom"/>
          </w:tcPr>
          <w:p>
            <w:pPr>
              <w:spacing w:after="0"/>
              <w:rPr>
                <w:sz w:val="24"/>
                <w:szCs w:val="24"/>
                <w:color w:val="auto"/>
              </w:rPr>
            </w:pPr>
          </w:p>
        </w:tc>
        <w:tc>
          <w:tcPr>
            <w:tcW w:w="38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20" w:type="dxa"/>
            <w:vAlign w:val="bottom"/>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2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80"/>
              </w:rPr>
              <w:t>thousands)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140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52,725</w:t>
            </w:r>
          </w:p>
        </w:tc>
        <w:tc>
          <w:tcPr>
            <w:tcW w:w="1720" w:type="dxa"/>
            <w:vAlign w:val="bottom"/>
            <w:gridSpan w:val="2"/>
            <w:shd w:val="clear" w:color="auto" w:fill="CFF0FC"/>
          </w:tcPr>
          <w:p>
            <w:pPr>
              <w:jc w:val="center"/>
              <w:ind w:right="8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40,078</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capitalized software development costs</w:t>
            </w:r>
          </w:p>
        </w:tc>
        <w:tc>
          <w:tcPr>
            <w:tcW w:w="14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4,029</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120"/>
              <w:spacing w:after="0"/>
              <w:rPr>
                <w:sz w:val="20"/>
                <w:szCs w:val="20"/>
                <w:color w:val="auto"/>
              </w:rPr>
            </w:pPr>
            <w:r>
              <w:rPr>
                <w:rFonts w:ascii="Arial" w:cs="Arial" w:eastAsia="Arial" w:hAnsi="Arial"/>
                <w:sz w:val="18"/>
                <w:szCs w:val="18"/>
                <w:color w:val="auto"/>
              </w:rPr>
              <w:t>Amortization of acquisition-related intangibles</w:t>
            </w:r>
          </w:p>
        </w:tc>
        <w:tc>
          <w:tcPr>
            <w:tcW w:w="1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1400" w:type="dxa"/>
            <w:vAlign w:val="bottom"/>
            <w:tcBorders>
              <w:bottom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57,634</w:t>
            </w:r>
          </w:p>
        </w:tc>
        <w:tc>
          <w:tcPr>
            <w:tcW w:w="34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center"/>
              <w:ind w:right="11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43,690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-24765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66" w:lineRule="auto"/>
        <w:rPr>
          <w:sz w:val="20"/>
          <w:szCs w:val="20"/>
          <w:color w:val="auto"/>
        </w:rPr>
      </w:pPr>
      <w:r>
        <w:rPr>
          <w:rFonts w:ascii="Arial" w:cs="Arial" w:eastAsia="Arial" w:hAnsi="Arial"/>
          <w:sz w:val="17"/>
          <w:szCs w:val="17"/>
          <w:color w:val="auto"/>
        </w:rPr>
        <w:t>Adjusted gross profit for the three months ended March 31, 2024 increased 31.9%, as compared to the same period in 2023. Adjusted gross profit improved in line with contribution profit. Adjusted gross profit as a percentage improved as a result of economies of scale. Adjusted gross profit is driven primarily by the same factors that impact gross profit with the exception of excluding the amortization and stock-based compensation recorded in cost of revenue. The increase in amortization was driven by additional capitalization of software costs.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20" w:type="dxa"/>
            <w:vAlign w:val="bottom"/>
          </w:tcPr>
          <w:p>
            <w:pPr>
              <w:spacing w:after="0"/>
              <w:rPr>
                <w:sz w:val="20"/>
                <w:szCs w:val="20"/>
                <w:color w:val="auto"/>
              </w:rPr>
            </w:pPr>
            <w:r>
              <w:rPr>
                <w:rFonts w:ascii="Arial" w:cs="Arial" w:eastAsia="Arial" w:hAnsi="Arial"/>
                <w:sz w:val="18"/>
                <w:szCs w:val="18"/>
                <w:i w:val="1"/>
                <w:iCs w:val="1"/>
                <w:color w:val="auto"/>
              </w:rPr>
              <w:t>Adjusted EBITDA</w:t>
            </w: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0"/>
        </w:trPr>
        <w:tc>
          <w:tcPr>
            <w:tcW w:w="6620" w:type="dxa"/>
            <w:vAlign w:val="bottom"/>
          </w:tcPr>
          <w:p>
            <w:pPr>
              <w:spacing w:after="0"/>
              <w:rPr>
                <w:sz w:val="24"/>
                <w:szCs w:val="24"/>
                <w:color w:val="auto"/>
              </w:rPr>
            </w:pPr>
          </w:p>
        </w:tc>
        <w:tc>
          <w:tcPr>
            <w:tcW w:w="3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20" w:type="dxa"/>
            <w:vAlign w:val="bottom"/>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80"/>
              </w:rPr>
              <w:t>thousands)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 GAAP</w:t>
            </w:r>
          </w:p>
        </w:tc>
        <w:tc>
          <w:tcPr>
            <w:tcW w:w="140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7,226</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center"/>
              <w:ind w:right="11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Interest income, net</w:t>
            </w:r>
          </w:p>
        </w:tc>
        <w:tc>
          <w:tcPr>
            <w:tcW w:w="1400" w:type="dxa"/>
            <w:vAlign w:val="bottom"/>
          </w:tcPr>
          <w:p>
            <w:pPr>
              <w:spacing w:after="0"/>
              <w:rPr>
                <w:sz w:val="19"/>
                <w:szCs w:val="19"/>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(2,186 )</w:t>
            </w:r>
          </w:p>
        </w:tc>
        <w:tc>
          <w:tcPr>
            <w:tcW w:w="14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(1,440 )</w:t>
            </w:r>
          </w:p>
        </w:tc>
      </w:tr>
      <w:tr>
        <w:trPr>
          <w:trHeight w:val="229"/>
        </w:trPr>
        <w:tc>
          <w:tcPr>
            <w:tcW w:w="6620" w:type="dxa"/>
            <w:vAlign w:val="bottom"/>
            <w:shd w:val="clear" w:color="auto" w:fill="CFF0FC"/>
          </w:tcPr>
          <w:p>
            <w:pPr>
              <w:ind w:left="140"/>
              <w:spacing w:after="0" w:line="229" w:lineRule="exact"/>
              <w:rPr>
                <w:sz w:val="20"/>
                <w:szCs w:val="20"/>
                <w:color w:val="auto"/>
              </w:rPr>
            </w:pPr>
            <w:r>
              <w:rPr>
                <w:rFonts w:ascii="Arial" w:cs="Arial" w:eastAsia="Arial" w:hAnsi="Arial"/>
                <w:sz w:val="18"/>
                <w:szCs w:val="18"/>
                <w:color w:val="auto"/>
              </w:rPr>
              <w:t xml:space="preserve">Other non-recurring income </w:t>
            </w:r>
            <w:r>
              <w:rPr>
                <w:rFonts w:ascii="Arial" w:cs="Arial" w:eastAsia="Arial" w:hAnsi="Arial"/>
                <w:sz w:val="24"/>
                <w:szCs w:val="24"/>
                <w:color w:val="auto"/>
                <w:vertAlign w:val="superscript"/>
              </w:rPr>
              <w:t>(1)</w:t>
            </w:r>
          </w:p>
        </w:tc>
        <w:tc>
          <w:tcPr>
            <w:tcW w:w="1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(213 )</w:t>
            </w:r>
          </w:p>
        </w:tc>
        <w:tc>
          <w:tcPr>
            <w:tcW w:w="14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1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3,534</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(256 )</w:t>
            </w:r>
          </w:p>
        </w:tc>
      </w:tr>
      <w:tr>
        <w:trPr>
          <w:trHeight w:val="229"/>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of capitalized software development costs</w:t>
            </w:r>
          </w:p>
        </w:tc>
        <w:tc>
          <w:tcPr>
            <w:tcW w:w="14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6,311</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4,693</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Amortization of acquisition-related intangibles</w:t>
            </w:r>
          </w:p>
        </w:tc>
        <w:tc>
          <w:tcPr>
            <w:tcW w:w="1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19"/>
                <w:szCs w:val="19"/>
                <w:color w:val="auto"/>
              </w:rPr>
            </w:pPr>
          </w:p>
        </w:tc>
      </w:tr>
      <w:tr>
        <w:trPr>
          <w:trHeight w:val="229"/>
        </w:trPr>
        <w:tc>
          <w:tcPr>
            <w:tcW w:w="6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Depreciation</w:t>
            </w:r>
          </w:p>
        </w:tc>
        <w:tc>
          <w:tcPr>
            <w:tcW w:w="14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16,898</w:t>
            </w:r>
          </w:p>
        </w:tc>
        <w:tc>
          <w:tcPr>
            <w:tcW w:w="340" w:type="dxa"/>
            <w:vAlign w:val="bottom"/>
          </w:tcPr>
          <w:p>
            <w:pPr>
              <w:spacing w:after="0"/>
              <w:rPr>
                <w:sz w:val="19"/>
                <w:szCs w:val="19"/>
                <w:color w:val="auto"/>
              </w:rPr>
            </w:pPr>
          </w:p>
        </w:tc>
        <w:tc>
          <w:tcPr>
            <w:tcW w:w="140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6,247</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i w:val="1"/>
                <w:iCs w:val="1"/>
                <w:color w:val="auto"/>
              </w:rPr>
              <w:t>Adjustments</w:t>
            </w: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 exchange (gain) loss</w:t>
            </w:r>
          </w:p>
        </w:tc>
        <w:tc>
          <w:tcPr>
            <w:tcW w:w="1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(18 )</w:t>
            </w:r>
          </w:p>
        </w:tc>
        <w:tc>
          <w:tcPr>
            <w:tcW w:w="14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34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1400" w:type="dxa"/>
            <w:vAlign w:val="bottom"/>
            <w:tcBorders>
              <w:bottom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19,813</w:t>
            </w:r>
          </w:p>
        </w:tc>
        <w:tc>
          <w:tcPr>
            <w:tcW w:w="34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center"/>
              <w:ind w:right="117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8,414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-941070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4"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Other non-recurring income consists of a remeasurement adjustment relating to the purchase price of a prior acquisition.</w:t>
      </w:r>
    </w:p>
    <w:p>
      <w:pPr>
        <w:spacing w:after="0" w:line="75"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Adjusted EBITDA is a measure of profitability and generally is expected to move in line with revenue, contribution profit, gross profit and adjusted gross profit. Adjusted EBITDA increased 135.5% in the three months ended March 31, 2024, as compared to the same period in 2023. The increase was primarily driven by growth in transaction count and volume driven by the addition of new billers and financial institutions and increased transactions from our existing billers and financial institutions, together with pricing improvements from customers related to our inflation management, the implementation of certain cost improvement measures and lower general and administrative expenditures primarily driven by lower insurance premiums.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20" w:type="dxa"/>
            <w:vAlign w:val="bottom"/>
          </w:tcPr>
          <w:p>
            <w:pPr>
              <w:spacing w:after="0"/>
              <w:rPr>
                <w:sz w:val="20"/>
                <w:szCs w:val="20"/>
                <w:color w:val="auto"/>
              </w:rPr>
            </w:pPr>
            <w:r>
              <w:rPr>
                <w:rFonts w:ascii="Arial" w:cs="Arial" w:eastAsia="Arial" w:hAnsi="Arial"/>
                <w:sz w:val="18"/>
                <w:szCs w:val="18"/>
                <w:i w:val="1"/>
                <w:iCs w:val="1"/>
                <w:color w:val="auto"/>
              </w:rPr>
              <w:t>Free Cash Flow</w:t>
            </w: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0"/>
        </w:trPr>
        <w:tc>
          <w:tcPr>
            <w:tcW w:w="6620" w:type="dxa"/>
            <w:vAlign w:val="bottom"/>
          </w:tcPr>
          <w:p>
            <w:pPr>
              <w:spacing w:after="0"/>
              <w:rPr>
                <w:sz w:val="24"/>
                <w:szCs w:val="24"/>
                <w:color w:val="auto"/>
              </w:rPr>
            </w:pPr>
          </w:p>
        </w:tc>
        <w:tc>
          <w:tcPr>
            <w:tcW w:w="3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20" w:type="dxa"/>
            <w:vAlign w:val="bottom"/>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80"/>
              </w:rPr>
              <w:t>thousands)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10,954</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center"/>
              <w:ind w:right="11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4,763</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120"/>
              <w:spacing w:after="0"/>
              <w:rPr>
                <w:sz w:val="20"/>
                <w:szCs w:val="20"/>
                <w:color w:val="auto"/>
              </w:rPr>
            </w:pPr>
            <w:r>
              <w:rPr>
                <w:rFonts w:ascii="Arial" w:cs="Arial" w:eastAsia="Arial" w:hAnsi="Arial"/>
                <w:sz w:val="18"/>
                <w:szCs w:val="18"/>
                <w:color w:val="auto"/>
              </w:rPr>
              <w:t>Purchases of property and equipment and software</w:t>
            </w:r>
          </w:p>
        </w:tc>
        <w:tc>
          <w:tcPr>
            <w:tcW w:w="1400" w:type="dxa"/>
            <w:vAlign w:val="bottom"/>
          </w:tcPr>
          <w:p>
            <w:pPr>
              <w:spacing w:after="0"/>
              <w:rPr>
                <w:sz w:val="19"/>
                <w:szCs w:val="19"/>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(116 )</w:t>
            </w:r>
          </w:p>
        </w:tc>
        <w:tc>
          <w:tcPr>
            <w:tcW w:w="14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r>
      <w:tr>
        <w:trPr>
          <w:trHeight w:val="229"/>
        </w:trPr>
        <w:tc>
          <w:tcPr>
            <w:tcW w:w="6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Capitalized software development costs</w:t>
            </w:r>
          </w:p>
        </w:tc>
        <w:tc>
          <w:tcPr>
            <w:tcW w:w="1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(9,276 )</w:t>
            </w:r>
          </w:p>
        </w:tc>
        <w:tc>
          <w:tcPr>
            <w:tcW w:w="14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(8,219 )</w:t>
            </w:r>
          </w:p>
        </w:tc>
      </w:tr>
      <w:tr>
        <w:trPr>
          <w:trHeight w:val="20"/>
        </w:trPr>
        <w:tc>
          <w:tcPr>
            <w:tcW w:w="66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Free cash flow</w:t>
            </w:r>
          </w:p>
        </w:tc>
        <w:tc>
          <w:tcPr>
            <w:tcW w:w="1400" w:type="dxa"/>
            <w:vAlign w:val="bottom"/>
          </w:tcPr>
          <w:p>
            <w:pPr>
              <w:jc w:val="right"/>
              <w:ind w:right="119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1,562</w:t>
            </w:r>
          </w:p>
        </w:tc>
        <w:tc>
          <w:tcPr>
            <w:tcW w:w="340" w:type="dxa"/>
            <w:vAlign w:val="bottom"/>
          </w:tcPr>
          <w:p>
            <w:pPr>
              <w:spacing w:after="0"/>
              <w:rPr>
                <w:sz w:val="19"/>
                <w:szCs w:val="19"/>
                <w:color w:val="auto"/>
              </w:rPr>
            </w:pPr>
          </w:p>
        </w:tc>
        <w:tc>
          <w:tcPr>
            <w:tcW w:w="1400" w:type="dxa"/>
            <w:vAlign w:val="bottom"/>
          </w:tcPr>
          <w:p>
            <w:pPr>
              <w:jc w:val="center"/>
              <w:ind w:right="117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(3,523 )</w:t>
            </w:r>
          </w:p>
        </w:tc>
      </w:tr>
      <w:tr>
        <w:trPr>
          <w:trHeight w:val="20"/>
        </w:trPr>
        <w:tc>
          <w:tcPr>
            <w:tcW w:w="66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shd w:val="clear" w:color="auto" w:fill="CFF0FC"/>
          </w:tcPr>
          <w:p>
            <w:pPr>
              <w:jc w:val="right"/>
              <w:ind w:right="11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(9,513 )</w:t>
            </w:r>
          </w:p>
        </w:tc>
        <w:tc>
          <w:tcPr>
            <w:tcW w:w="1400" w:type="dxa"/>
            <w:vAlign w:val="bottom"/>
            <w:shd w:val="clear" w:color="auto" w:fill="CFF0FC"/>
          </w:tcPr>
          <w:p>
            <w:pPr>
              <w:jc w:val="center"/>
              <w:ind w:right="117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(8,286 )</w:t>
            </w:r>
          </w:p>
        </w:tc>
      </w:tr>
      <w:tr>
        <w:trPr>
          <w:trHeight w:val="239"/>
        </w:trPr>
        <w:tc>
          <w:tcPr>
            <w:tcW w:w="662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400" w:type="dxa"/>
            <w:vAlign w:val="bottom"/>
          </w:tcPr>
          <w:p>
            <w:pPr>
              <w:jc w:val="right"/>
              <w:ind w:right="11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rPr>
              <w:t>(406 )</w:t>
            </w:r>
          </w:p>
        </w:tc>
        <w:tc>
          <w:tcPr>
            <w:tcW w:w="1400" w:type="dxa"/>
            <w:vAlign w:val="bottom"/>
          </w:tcPr>
          <w:p>
            <w:pPr>
              <w:jc w:val="center"/>
              <w:ind w:right="117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-476250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-476250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0"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increase in free cash flow for the three months ended March 31, 2024 was primarily as a result of increases in cash generated from operations.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condensed consolidated statements of operations for the periods presented:</w:t>
      </w:r>
    </w:p>
    <w:p>
      <w:pPr>
        <w:spacing w:after="0" w:line="117" w:lineRule="exact"/>
        <w:rPr>
          <w:sz w:val="20"/>
          <w:szCs w:val="20"/>
          <w:color w:val="auto"/>
        </w:rPr>
      </w:pPr>
    </w:p>
    <w:tbl>
      <w:tblPr>
        <w:tblLayout w:type="fixed"/>
        <w:tblInd w:w="4940" w:type="dxa"/>
        <w:tblCellMar>
          <w:top w:w="0" w:type="dxa"/>
          <w:left w:w="0" w:type="dxa"/>
          <w:bottom w:w="0" w:type="dxa"/>
          <w:right w:w="0" w:type="dxa"/>
        </w:tblCellMar>
      </w:tblPr>
      <w:tr>
        <w:trPr>
          <w:trHeight w:val="235"/>
        </w:trPr>
        <w:tc>
          <w:tcPr>
            <w:tcW w:w="3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Three Months Ended March 31,</w:t>
            </w:r>
          </w:p>
        </w:tc>
        <w:tc>
          <w:tcPr>
            <w:tcW w:w="3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360" w:type="dxa"/>
            <w:vAlign w:val="bottom"/>
          </w:tcPr>
          <w:p>
            <w:pPr>
              <w:spacing w:after="0"/>
              <w:rPr>
                <w:sz w:val="19"/>
                <w:szCs w:val="19"/>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35"/>
        </w:trPr>
        <w:tc>
          <w:tcPr>
            <w:tcW w:w="3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(Dollars in thousands)</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340"/>
          </w:cols>
          <w:pgMar w:left="320" w:top="1078" w:right="239" w:bottom="1440" w:gutter="0" w:footer="0" w:header="0"/>
        </w:sectPr>
      </w:pPr>
    </w:p>
    <w:tbl>
      <w:tblPr>
        <w:tblLayout w:type="fixed"/>
        <w:tblInd w:w="0" w:type="dxa"/>
        <w:tblCellMar>
          <w:top w:w="0" w:type="dxa"/>
          <w:left w:w="0" w:type="dxa"/>
          <w:bottom w:w="0" w:type="dxa"/>
          <w:right w:w="0" w:type="dxa"/>
        </w:tblCellMar>
      </w:tblPr>
      <w:tr>
        <w:trPr>
          <w:trHeight w:val="211"/>
        </w:trPr>
        <w:tc>
          <w:tcPr>
            <w:tcW w:w="494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184,875</w:t>
            </w:r>
          </w:p>
        </w:tc>
        <w:tc>
          <w:tcPr>
            <w:tcW w:w="3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148,328</w:t>
            </w:r>
          </w:p>
        </w:tc>
        <w:tc>
          <w:tcPr>
            <w:tcW w:w="34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9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132,150</w:t>
            </w:r>
          </w:p>
        </w:tc>
        <w:tc>
          <w:tcPr>
            <w:tcW w:w="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40" w:type="dxa"/>
            <w:vAlign w:val="bottom"/>
          </w:tcPr>
          <w:p>
            <w:pPr>
              <w:ind w:left="280"/>
              <w:spacing w:after="0" w:line="198" w:lineRule="exact"/>
              <w:rPr>
                <w:sz w:val="20"/>
                <w:szCs w:val="20"/>
                <w:color w:val="auto"/>
              </w:rPr>
            </w:pPr>
            <w:r>
              <w:rPr>
                <w:rFonts w:ascii="Arial" w:cs="Arial" w:eastAsia="Arial" w:hAnsi="Arial"/>
                <w:sz w:val="18"/>
                <w:szCs w:val="18"/>
                <w:color w:val="auto"/>
              </w:rPr>
              <w:t>Gross profit</w:t>
            </w:r>
          </w:p>
        </w:tc>
        <w:tc>
          <w:tcPr>
            <w:tcW w:w="44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Arial" w:cs="Arial" w:eastAsia="Arial" w:hAnsi="Arial"/>
                <w:sz w:val="18"/>
                <w:szCs w:val="18"/>
                <w:color w:val="auto"/>
              </w:rPr>
              <w:t>52,725</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40,078</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line="198" w:lineRule="exact"/>
              <w:rPr>
                <w:sz w:val="20"/>
                <w:szCs w:val="20"/>
                <w:color w:val="auto"/>
              </w:rPr>
            </w:pPr>
            <w:r>
              <w:rPr>
                <w:rFonts w:ascii="Arial" w:cs="Arial" w:eastAsia="Arial" w:hAnsi="Arial"/>
                <w:sz w:val="18"/>
                <w:szCs w:val="18"/>
                <w:color w:val="auto"/>
              </w:rPr>
              <w:t>12,647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40" w:type="dxa"/>
            <w:vAlign w:val="bottom"/>
          </w:tcPr>
          <w:p>
            <w:pPr>
              <w:ind w:left="400"/>
              <w:spacing w:after="0" w:line="249" w:lineRule="exact"/>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24"/>
                <w:szCs w:val="24"/>
                <w:i w:val="1"/>
                <w:iCs w:val="1"/>
                <w:color w:val="auto"/>
                <w:vertAlign w:val="superscript"/>
              </w:rPr>
              <w:t>(1)</w:t>
            </w:r>
          </w:p>
        </w:tc>
        <w:tc>
          <w:tcPr>
            <w:tcW w:w="440" w:type="dxa"/>
            <w:vAlign w:val="bottom"/>
          </w:tcPr>
          <w:p>
            <w:pPr>
              <w:spacing w:after="0"/>
              <w:rPr>
                <w:sz w:val="21"/>
                <w:szCs w:val="21"/>
                <w:color w:val="auto"/>
              </w:rPr>
            </w:pPr>
          </w:p>
        </w:tc>
        <w:tc>
          <w:tcPr>
            <w:tcW w:w="1360" w:type="dxa"/>
            <w:vAlign w:val="bottom"/>
            <w:gridSpan w:val="2"/>
          </w:tcPr>
          <w:p>
            <w:pPr>
              <w:jc w:val="right"/>
              <w:ind w:right="121"/>
              <w:spacing w:after="0"/>
              <w:rPr>
                <w:sz w:val="20"/>
                <w:szCs w:val="20"/>
                <w:color w:val="auto"/>
              </w:rPr>
            </w:pPr>
            <w:r>
              <w:rPr>
                <w:rFonts w:ascii="Arial" w:cs="Arial" w:eastAsia="Arial" w:hAnsi="Arial"/>
                <w:sz w:val="18"/>
                <w:szCs w:val="18"/>
                <w:i w:val="1"/>
                <w:iCs w:val="1"/>
                <w:color w:val="auto"/>
              </w:rPr>
              <w:t>28.5 %</w:t>
            </w:r>
          </w:p>
        </w:tc>
        <w:tc>
          <w:tcPr>
            <w:tcW w:w="420" w:type="dxa"/>
            <w:vAlign w:val="bottom"/>
          </w:tcPr>
          <w:p>
            <w:pPr>
              <w:spacing w:after="0"/>
              <w:rPr>
                <w:sz w:val="21"/>
                <w:szCs w:val="21"/>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i w:val="1"/>
                <w:iCs w:val="1"/>
                <w:color w:val="auto"/>
              </w:rPr>
              <w:t>27.0 %</w:t>
            </w: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12,051</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11,653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23,239</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20,264</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9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9,092</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9,145</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3"/>
        </w:trPr>
        <w:tc>
          <w:tcPr>
            <w:tcW w:w="49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44,382</w:t>
            </w:r>
          </w:p>
        </w:tc>
        <w:tc>
          <w:tcPr>
            <w:tcW w:w="3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41,062</w:t>
            </w:r>
          </w:p>
        </w:tc>
        <w:tc>
          <w:tcPr>
            <w:tcW w:w="3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tcPr>
          <w:p>
            <w:pPr>
              <w:ind w:left="280"/>
              <w:spacing w:after="0"/>
              <w:rPr>
                <w:sz w:val="20"/>
                <w:szCs w:val="20"/>
                <w:color w:val="auto"/>
              </w:rPr>
            </w:pPr>
            <w:r>
              <w:rPr>
                <w:rFonts w:ascii="Arial" w:cs="Arial" w:eastAsia="Arial" w:hAnsi="Arial"/>
                <w:sz w:val="18"/>
                <w:szCs w:val="18"/>
                <w:color w:val="auto"/>
              </w:rPr>
              <w:t>Income (loss) from operations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8,343</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(984</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40" w:type="dxa"/>
            <w:vAlign w:val="bottom"/>
          </w:tcPr>
          <w:p>
            <w:pPr>
              <w:ind w:left="140"/>
              <w:spacing w:after="0"/>
              <w:rPr>
                <w:sz w:val="20"/>
                <w:szCs w:val="20"/>
                <w:color w:val="auto"/>
              </w:rPr>
            </w:pPr>
            <w:r>
              <w:rPr>
                <w:rFonts w:ascii="Arial" w:cs="Arial" w:eastAsia="Arial" w:hAnsi="Arial"/>
                <w:sz w:val="18"/>
                <w:szCs w:val="18"/>
                <w:color w:val="auto"/>
              </w:rPr>
              <w:t>Interest income, net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2,186</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tcPr>
          <w:p>
            <w:pPr>
              <w:ind w:left="140"/>
              <w:spacing w:after="0" w:line="250" w:lineRule="exact"/>
              <w:rPr>
                <w:sz w:val="20"/>
                <w:szCs w:val="20"/>
                <w:color w:val="auto"/>
              </w:rPr>
            </w:pPr>
            <w:r>
              <w:rPr>
                <w:rFonts w:ascii="Arial" w:cs="Arial" w:eastAsia="Arial" w:hAnsi="Arial"/>
                <w:sz w:val="18"/>
                <w:szCs w:val="18"/>
                <w:color w:val="auto"/>
              </w:rPr>
              <w:t xml:space="preserve">Other non-recurring income </w:t>
            </w:r>
            <w:r>
              <w:rPr>
                <w:rFonts w:ascii="Arial" w:cs="Arial" w:eastAsia="Arial" w:hAnsi="Arial"/>
                <w:sz w:val="24"/>
                <w:szCs w:val="24"/>
                <w:color w:val="auto"/>
                <w:vertAlign w:val="superscript"/>
              </w:rPr>
              <w:t>(2)</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40" w:type="dxa"/>
            <w:vAlign w:val="bottom"/>
          </w:tcPr>
          <w:p>
            <w:pPr>
              <w:ind w:left="140"/>
              <w:spacing w:after="0"/>
              <w:rPr>
                <w:sz w:val="20"/>
                <w:szCs w:val="20"/>
                <w:color w:val="auto"/>
              </w:rPr>
            </w:pPr>
            <w:r>
              <w:rPr>
                <w:rFonts w:ascii="Arial" w:cs="Arial" w:eastAsia="Arial" w:hAnsi="Arial"/>
                <w:sz w:val="18"/>
                <w:szCs w:val="18"/>
                <w:color w:val="auto"/>
              </w:rPr>
              <w:t>Foreign exchange gain (loss)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Arial" w:cs="Arial" w:eastAsia="Arial" w:hAnsi="Arial"/>
                <w:sz w:val="18"/>
                <w:szCs w:val="18"/>
                <w:color w:val="auto"/>
              </w:rPr>
              <w:t>(8 )</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3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3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w:t>
            </w:r>
          </w:p>
        </w:tc>
        <w:tc>
          <w:tcPr>
            <w:tcW w:w="3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-2384425</wp:posOffset>
            </wp:positionV>
            <wp:extent cx="713232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-2092960</wp:posOffset>
            </wp:positionV>
            <wp:extent cx="713232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-1802130</wp:posOffset>
            </wp:positionV>
            <wp:extent cx="71323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-1202690</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-911860</wp:posOffset>
            </wp:positionV>
            <wp:extent cx="71323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-1502410</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n/m - not meaningful</w:t>
      </w:r>
    </w:p>
    <w:p>
      <w:pPr>
        <w:ind w:left="200" w:hanging="192"/>
        <w:spacing w:after="0" w:line="207"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Gross margin is calculated as gross profit divided by revenue.</w:t>
      </w:r>
    </w:p>
    <w:p>
      <w:pPr>
        <w:spacing w:after="0" w:line="7" w:lineRule="exact"/>
        <w:rPr>
          <w:rFonts w:ascii="Arial" w:cs="Arial" w:eastAsia="Arial" w:hAnsi="Arial"/>
          <w:sz w:val="23"/>
          <w:szCs w:val="23"/>
          <w:color w:val="auto"/>
          <w:vertAlign w:val="superscript"/>
        </w:rPr>
      </w:pPr>
    </w:p>
    <w:p>
      <w:pPr>
        <w:ind w:left="200" w:hanging="192"/>
        <w:spacing w:after="0" w:line="189"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Other non-recurring income consists of a remeasurement adjustment relating to the purchase price of a prior acquisition.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24.6 %</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22.1 %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31.6 %</w:t>
      </w: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3.4 %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14.7 %</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(0.6 )%</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8.1 %</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51.8 %</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w:t>
      </w:r>
    </w:p>
    <w:p>
      <w:pPr>
        <w:spacing w:after="0" w:line="952" w:lineRule="exact"/>
        <w:rPr>
          <w:sz w:val="20"/>
          <w:szCs w:val="20"/>
          <w:color w:val="auto"/>
        </w:rPr>
      </w:pPr>
    </w:p>
    <w:p>
      <w:pPr>
        <w:sectPr>
          <w:pgSz w:w="11900" w:h="16838" w:orient="portrait"/>
          <w:cols w:equalWidth="0" w:num="2">
            <w:col w:w="10040" w:space="720"/>
            <w:col w:w="580"/>
          </w:cols>
          <w:pgMar w:left="320" w:top="1078" w:right="239" w:bottom="1440" w:gutter="0" w:footer="0" w:header="0"/>
          <w:type w:val="continuous"/>
        </w:sectPr>
      </w:pPr>
    </w:p>
    <w:p>
      <w:pPr>
        <w:ind w:right="320" w:firstLine="494"/>
        <w:spacing w:after="0" w:line="271" w:lineRule="auto"/>
        <w:rPr>
          <w:sz w:val="20"/>
          <w:szCs w:val="20"/>
          <w:color w:val="auto"/>
        </w:rPr>
      </w:pPr>
      <w:r>
        <w:rPr>
          <w:rFonts w:ascii="Arial" w:cs="Arial" w:eastAsia="Arial" w:hAnsi="Arial"/>
          <w:sz w:val="18"/>
          <w:szCs w:val="18"/>
          <w:color w:val="auto"/>
        </w:rPr>
        <w:t>The following table presents the components of our condensed consolidated statements of operations for the periods presented as a percentage of revenue:</w:t>
      </w:r>
    </w:p>
    <w:p>
      <w:pPr>
        <w:sectPr>
          <w:pgSz w:w="11900" w:h="16838" w:orient="portrait"/>
          <w:cols w:equalWidth="0" w:num="1">
            <w:col w:w="11340"/>
          </w:cols>
          <w:pgMar w:left="320" w:top="107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Gross profit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Research and development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(loss) from operations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income, net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non-recurring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exchange gain (loss)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 for) benefit from income taxes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2024 and 2023</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17780</wp:posOffset>
            </wp:positionV>
            <wp:extent cx="32880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0"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15240</wp:posOffset>
            </wp:positionV>
            <wp:extent cx="32880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41" w:lineRule="exact"/>
        <w:rPr>
          <w:sz w:val="20"/>
          <w:szCs w:val="20"/>
          <w:color w:val="auto"/>
        </w:rPr>
      </w:pPr>
    </w:p>
    <w:p>
      <w:pPr>
        <w:ind w:left="1080"/>
        <w:spacing w:after="0"/>
        <w:tabs>
          <w:tab w:leader="none" w:pos="3540" w:val="left"/>
        </w:tabs>
        <w:rPr>
          <w:sz w:val="20"/>
          <w:szCs w:val="20"/>
          <w:color w:val="auto"/>
        </w:rPr>
      </w:pPr>
      <w:r>
        <w:rPr>
          <w:rFonts w:ascii="Arial" w:cs="Arial" w:eastAsia="Arial" w:hAnsi="Arial"/>
          <w:sz w:val="18"/>
          <w:szCs w:val="18"/>
          <w:color w:val="auto"/>
        </w:rPr>
        <w:t>100.0 %</w:t>
      </w:r>
      <w:r>
        <w:rPr>
          <w:sz w:val="20"/>
          <w:szCs w:val="20"/>
          <w:color w:val="auto"/>
        </w:rPr>
        <w:tab/>
      </w:r>
      <w:r>
        <w:rPr>
          <w:rFonts w:ascii="Arial" w:cs="Arial" w:eastAsia="Arial" w:hAnsi="Arial"/>
          <w:sz w:val="17"/>
          <w:szCs w:val="17"/>
          <w:color w:val="auto"/>
        </w:rPr>
        <w:t>100.0 %</w:t>
      </w:r>
    </w:p>
    <w:p>
      <w:pPr>
        <w:spacing w:after="0" w:line="32" w:lineRule="exact"/>
        <w:rPr>
          <w:sz w:val="20"/>
          <w:szCs w:val="20"/>
          <w:color w:val="auto"/>
        </w:rPr>
      </w:pPr>
    </w:p>
    <w:p>
      <w:pPr>
        <w:ind w:left="1180"/>
        <w:spacing w:after="0"/>
        <w:tabs>
          <w:tab w:leader="none" w:pos="3640" w:val="left"/>
        </w:tabs>
        <w:rPr>
          <w:sz w:val="20"/>
          <w:szCs w:val="20"/>
          <w:color w:val="auto"/>
        </w:rPr>
      </w:pPr>
      <w:r>
        <w:rPr>
          <w:rFonts w:ascii="Arial" w:cs="Arial" w:eastAsia="Arial" w:hAnsi="Arial"/>
          <w:sz w:val="18"/>
          <w:szCs w:val="18"/>
          <w:color w:val="auto"/>
        </w:rPr>
        <w:t>71.5 %</w:t>
      </w:r>
      <w:r>
        <w:rPr>
          <w:sz w:val="20"/>
          <w:szCs w:val="20"/>
          <w:color w:val="auto"/>
        </w:rPr>
        <w:tab/>
      </w:r>
      <w:r>
        <w:rPr>
          <w:rFonts w:ascii="Arial" w:cs="Arial" w:eastAsia="Arial" w:hAnsi="Arial"/>
          <w:sz w:val="17"/>
          <w:szCs w:val="17"/>
          <w:color w:val="auto"/>
        </w:rPr>
        <w:t>73.0 %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11430</wp:posOffset>
            </wp:positionV>
            <wp:extent cx="32880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6" w:lineRule="exact"/>
        <w:rPr>
          <w:sz w:val="20"/>
          <w:szCs w:val="20"/>
          <w:color w:val="auto"/>
        </w:rPr>
      </w:pPr>
    </w:p>
    <w:p>
      <w:pPr>
        <w:ind w:left="1180"/>
        <w:spacing w:after="0"/>
        <w:tabs>
          <w:tab w:leader="none" w:pos="3640" w:val="left"/>
        </w:tabs>
        <w:rPr>
          <w:sz w:val="20"/>
          <w:szCs w:val="20"/>
          <w:color w:val="auto"/>
        </w:rPr>
      </w:pPr>
      <w:r>
        <w:rPr>
          <w:rFonts w:ascii="Arial" w:cs="Arial" w:eastAsia="Arial" w:hAnsi="Arial"/>
          <w:sz w:val="18"/>
          <w:szCs w:val="18"/>
          <w:color w:val="auto"/>
        </w:rPr>
        <w:t>28.5 %</w:t>
      </w:r>
      <w:r>
        <w:rPr>
          <w:sz w:val="20"/>
          <w:szCs w:val="20"/>
          <w:color w:val="auto"/>
        </w:rPr>
        <w:tab/>
      </w:r>
      <w:r>
        <w:rPr>
          <w:rFonts w:ascii="Arial" w:cs="Arial" w:eastAsia="Arial" w:hAnsi="Arial"/>
          <w:sz w:val="17"/>
          <w:szCs w:val="17"/>
          <w:color w:val="auto"/>
        </w:rPr>
        <w:t>27.0 %</w:t>
      </w:r>
    </w:p>
    <w:p>
      <w:pPr>
        <w:spacing w:after="0" w:line="251" w:lineRule="exact"/>
        <w:rPr>
          <w:sz w:val="20"/>
          <w:szCs w:val="20"/>
          <w:color w:val="auto"/>
        </w:rPr>
      </w:pPr>
    </w:p>
    <w:p>
      <w:pPr>
        <w:ind w:left="1280"/>
        <w:spacing w:after="0"/>
        <w:tabs>
          <w:tab w:leader="none" w:pos="3740" w:val="left"/>
        </w:tabs>
        <w:rPr>
          <w:sz w:val="20"/>
          <w:szCs w:val="20"/>
          <w:color w:val="auto"/>
        </w:rPr>
      </w:pPr>
      <w:r>
        <w:rPr>
          <w:rFonts w:ascii="Arial" w:cs="Arial" w:eastAsia="Arial" w:hAnsi="Arial"/>
          <w:sz w:val="18"/>
          <w:szCs w:val="18"/>
          <w:color w:val="auto"/>
        </w:rPr>
        <w:t>6.5 %</w:t>
      </w:r>
      <w:r>
        <w:rPr>
          <w:sz w:val="20"/>
          <w:szCs w:val="20"/>
          <w:color w:val="auto"/>
        </w:rPr>
        <w:tab/>
      </w:r>
      <w:r>
        <w:rPr>
          <w:rFonts w:ascii="Arial" w:cs="Arial" w:eastAsia="Arial" w:hAnsi="Arial"/>
          <w:sz w:val="17"/>
          <w:szCs w:val="17"/>
          <w:color w:val="auto"/>
        </w:rPr>
        <w:t>7.9 %</w:t>
      </w:r>
    </w:p>
    <w:p>
      <w:pPr>
        <w:spacing w:after="0" w:line="32" w:lineRule="exact"/>
        <w:rPr>
          <w:sz w:val="20"/>
          <w:szCs w:val="20"/>
          <w:color w:val="auto"/>
        </w:rPr>
      </w:pPr>
    </w:p>
    <w:p>
      <w:pPr>
        <w:ind w:left="1180"/>
        <w:spacing w:after="0"/>
        <w:tabs>
          <w:tab w:leader="none" w:pos="3640" w:val="left"/>
        </w:tabs>
        <w:rPr>
          <w:sz w:val="20"/>
          <w:szCs w:val="20"/>
          <w:color w:val="auto"/>
        </w:rPr>
      </w:pPr>
      <w:r>
        <w:rPr>
          <w:rFonts w:ascii="Arial" w:cs="Arial" w:eastAsia="Arial" w:hAnsi="Arial"/>
          <w:sz w:val="18"/>
          <w:szCs w:val="18"/>
          <w:color w:val="auto"/>
        </w:rPr>
        <w:t>12.6 %</w:t>
      </w:r>
      <w:r>
        <w:rPr>
          <w:sz w:val="20"/>
          <w:szCs w:val="20"/>
          <w:color w:val="auto"/>
        </w:rPr>
        <w:tab/>
      </w:r>
      <w:r>
        <w:rPr>
          <w:rFonts w:ascii="Arial" w:cs="Arial" w:eastAsia="Arial" w:hAnsi="Arial"/>
          <w:sz w:val="17"/>
          <w:szCs w:val="17"/>
          <w:color w:val="auto"/>
        </w:rPr>
        <w:t>13.7 %</w:t>
      </w:r>
    </w:p>
    <w:p>
      <w:pPr>
        <w:spacing w:after="0" w:line="22" w:lineRule="exact"/>
        <w:rPr>
          <w:sz w:val="20"/>
          <w:szCs w:val="20"/>
          <w:color w:val="auto"/>
        </w:rPr>
      </w:pPr>
    </w:p>
    <w:p>
      <w:pPr>
        <w:ind w:left="1280"/>
        <w:spacing w:after="0"/>
        <w:tabs>
          <w:tab w:leader="none" w:pos="3740" w:val="left"/>
        </w:tabs>
        <w:rPr>
          <w:sz w:val="20"/>
          <w:szCs w:val="20"/>
          <w:color w:val="auto"/>
        </w:rPr>
      </w:pPr>
      <w:r>
        <w:rPr>
          <w:rFonts w:ascii="Arial" w:cs="Arial" w:eastAsia="Arial" w:hAnsi="Arial"/>
          <w:sz w:val="18"/>
          <w:szCs w:val="18"/>
          <w:color w:val="auto"/>
        </w:rPr>
        <w:t>4.9 %</w:t>
      </w:r>
      <w:r>
        <w:rPr>
          <w:sz w:val="20"/>
          <w:szCs w:val="20"/>
          <w:color w:val="auto"/>
        </w:rPr>
        <w:tab/>
      </w:r>
      <w:r>
        <w:rPr>
          <w:rFonts w:ascii="Arial" w:cs="Arial" w:eastAsia="Arial" w:hAnsi="Arial"/>
          <w:sz w:val="17"/>
          <w:szCs w:val="17"/>
          <w:color w:val="auto"/>
        </w:rPr>
        <w:t>6.1 %</w:t>
      </w:r>
    </w:p>
    <w:p>
      <w:pPr>
        <w:spacing w:after="0" w:line="26" w:lineRule="exact"/>
        <w:rPr>
          <w:sz w:val="20"/>
          <w:szCs w:val="20"/>
          <w:color w:val="auto"/>
        </w:rPr>
      </w:pPr>
    </w:p>
    <w:p>
      <w:pPr>
        <w:ind w:left="1180"/>
        <w:spacing w:after="0"/>
        <w:tabs>
          <w:tab w:leader="none" w:pos="3640" w:val="left"/>
        </w:tabs>
        <w:rPr>
          <w:sz w:val="20"/>
          <w:szCs w:val="20"/>
          <w:color w:val="auto"/>
        </w:rPr>
      </w:pPr>
      <w:r>
        <w:rPr>
          <w:rFonts w:ascii="Arial" w:cs="Arial" w:eastAsia="Arial" w:hAnsi="Arial"/>
          <w:sz w:val="18"/>
          <w:szCs w:val="18"/>
          <w:color w:val="auto"/>
        </w:rPr>
        <w:t>24.0 %</w:t>
      </w:r>
      <w:r>
        <w:rPr>
          <w:sz w:val="20"/>
          <w:szCs w:val="20"/>
          <w:color w:val="auto"/>
        </w:rPr>
        <w:tab/>
      </w:r>
      <w:r>
        <w:rPr>
          <w:rFonts w:ascii="Arial" w:cs="Arial" w:eastAsia="Arial" w:hAnsi="Arial"/>
          <w:sz w:val="17"/>
          <w:szCs w:val="17"/>
          <w:color w:val="auto"/>
        </w:rPr>
        <w:t>27.7 %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17780</wp:posOffset>
            </wp:positionV>
            <wp:extent cx="32880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6" w:lineRule="exact"/>
        <w:rPr>
          <w:sz w:val="20"/>
          <w:szCs w:val="20"/>
          <w:color w:val="auto"/>
        </w:rPr>
      </w:pPr>
    </w:p>
    <w:p>
      <w:pPr>
        <w:jc w:val="right"/>
        <w:spacing w:after="0"/>
        <w:tabs>
          <w:tab w:leader="none" w:pos="520" w:val="left"/>
        </w:tabs>
        <w:rPr>
          <w:sz w:val="20"/>
          <w:szCs w:val="20"/>
          <w:color w:val="auto"/>
        </w:rPr>
      </w:pPr>
      <w:r>
        <w:rPr>
          <w:rFonts w:ascii="Arial" w:cs="Arial" w:eastAsia="Arial" w:hAnsi="Arial"/>
          <w:sz w:val="18"/>
          <w:szCs w:val="18"/>
          <w:color w:val="auto"/>
        </w:rPr>
        <w:t>4.5 %</w:t>
      </w:r>
      <w:r>
        <w:rPr>
          <w:sz w:val="20"/>
          <w:szCs w:val="20"/>
          <w:color w:val="auto"/>
        </w:rPr>
        <w:tab/>
      </w:r>
      <w:r>
        <w:rPr>
          <w:rFonts w:ascii="Arial" w:cs="Arial" w:eastAsia="Arial" w:hAnsi="Arial"/>
          <w:sz w:val="16"/>
          <w:szCs w:val="16"/>
          <w:color w:val="auto"/>
        </w:rPr>
        <w:t>(0.7 )%</w:t>
      </w:r>
    </w:p>
    <w:p>
      <w:pPr>
        <w:spacing w:after="0" w:line="251" w:lineRule="exact"/>
        <w:rPr>
          <w:sz w:val="20"/>
          <w:szCs w:val="20"/>
          <w:color w:val="auto"/>
        </w:rPr>
      </w:pPr>
    </w:p>
    <w:p>
      <w:pPr>
        <w:ind w:left="1280"/>
        <w:spacing w:after="0"/>
        <w:tabs>
          <w:tab w:leader="none" w:pos="3740" w:val="left"/>
        </w:tabs>
        <w:rPr>
          <w:sz w:val="20"/>
          <w:szCs w:val="20"/>
          <w:color w:val="auto"/>
        </w:rPr>
      </w:pPr>
      <w:r>
        <w:rPr>
          <w:rFonts w:ascii="Arial" w:cs="Arial" w:eastAsia="Arial" w:hAnsi="Arial"/>
          <w:sz w:val="18"/>
          <w:szCs w:val="18"/>
          <w:color w:val="auto"/>
        </w:rPr>
        <w:t>1.2 %</w:t>
      </w:r>
      <w:r>
        <w:rPr>
          <w:sz w:val="20"/>
          <w:szCs w:val="20"/>
          <w:color w:val="auto"/>
        </w:rPr>
        <w:tab/>
      </w:r>
      <w:r>
        <w:rPr>
          <w:rFonts w:ascii="Arial" w:cs="Arial" w:eastAsia="Arial" w:hAnsi="Arial"/>
          <w:sz w:val="17"/>
          <w:szCs w:val="17"/>
          <w:color w:val="auto"/>
        </w:rPr>
        <w:t>1.0 %</w:t>
      </w:r>
    </w:p>
    <w:p>
      <w:pPr>
        <w:spacing w:after="0" w:line="32" w:lineRule="exact"/>
        <w:rPr>
          <w:sz w:val="20"/>
          <w:szCs w:val="20"/>
          <w:color w:val="auto"/>
        </w:rPr>
      </w:pPr>
    </w:p>
    <w:p>
      <w:pPr>
        <w:ind w:left="1280"/>
        <w:spacing w:after="0"/>
        <w:tabs>
          <w:tab w:leader="none" w:pos="3740" w:val="left"/>
        </w:tabs>
        <w:rPr>
          <w:sz w:val="20"/>
          <w:szCs w:val="20"/>
          <w:color w:val="auto"/>
        </w:rPr>
      </w:pPr>
      <w:r>
        <w:rPr>
          <w:rFonts w:ascii="Arial" w:cs="Arial" w:eastAsia="Arial" w:hAnsi="Arial"/>
          <w:sz w:val="18"/>
          <w:szCs w:val="18"/>
          <w:color w:val="auto"/>
        </w:rPr>
        <w:t>0.1 %</w:t>
      </w:r>
      <w:r>
        <w:rPr>
          <w:sz w:val="20"/>
          <w:szCs w:val="20"/>
          <w:color w:val="auto"/>
        </w:rPr>
        <w:tab/>
      </w:r>
      <w:r>
        <w:rPr>
          <w:rFonts w:ascii="Arial" w:cs="Arial" w:eastAsia="Arial" w:hAnsi="Arial"/>
          <w:sz w:val="17"/>
          <w:szCs w:val="17"/>
          <w:color w:val="auto"/>
        </w:rPr>
        <w:t>0.0 %</w:t>
      </w:r>
    </w:p>
    <w:p>
      <w:pPr>
        <w:spacing w:after="0" w:line="22" w:lineRule="exact"/>
        <w:rPr>
          <w:sz w:val="20"/>
          <w:szCs w:val="20"/>
          <w:color w:val="auto"/>
        </w:rPr>
      </w:pPr>
    </w:p>
    <w:p>
      <w:pPr>
        <w:ind w:left="1280"/>
        <w:spacing w:after="0"/>
        <w:tabs>
          <w:tab w:leader="none" w:pos="3740" w:val="left"/>
        </w:tabs>
        <w:rPr>
          <w:sz w:val="20"/>
          <w:szCs w:val="20"/>
          <w:color w:val="auto"/>
        </w:rPr>
      </w:pPr>
      <w:r>
        <w:rPr>
          <w:rFonts w:ascii="Arial" w:cs="Arial" w:eastAsia="Arial" w:hAnsi="Arial"/>
          <w:sz w:val="18"/>
          <w:szCs w:val="18"/>
          <w:color w:val="auto"/>
        </w:rPr>
        <w:t>0.0 %</w:t>
      </w:r>
      <w:r>
        <w:rPr>
          <w:sz w:val="20"/>
          <w:szCs w:val="20"/>
          <w:color w:val="auto"/>
        </w:rPr>
        <w:tab/>
      </w:r>
      <w:r>
        <w:rPr>
          <w:rFonts w:ascii="Arial" w:cs="Arial" w:eastAsia="Arial" w:hAnsi="Arial"/>
          <w:sz w:val="17"/>
          <w:szCs w:val="17"/>
          <w:color w:val="auto"/>
        </w:rPr>
        <w:t>0.0 %</w:t>
      </w:r>
    </w:p>
    <w:p>
      <w:pPr>
        <w:spacing w:after="0" w:line="26" w:lineRule="exact"/>
        <w:rPr>
          <w:sz w:val="20"/>
          <w:szCs w:val="20"/>
          <w:color w:val="auto"/>
        </w:rPr>
      </w:pPr>
    </w:p>
    <w:p>
      <w:pPr>
        <w:ind w:left="1280"/>
        <w:spacing w:after="0"/>
        <w:tabs>
          <w:tab w:leader="none" w:pos="3740" w:val="left"/>
        </w:tabs>
        <w:rPr>
          <w:sz w:val="20"/>
          <w:szCs w:val="20"/>
          <w:color w:val="auto"/>
        </w:rPr>
      </w:pPr>
      <w:r>
        <w:rPr>
          <w:rFonts w:ascii="Arial" w:cs="Arial" w:eastAsia="Arial" w:hAnsi="Arial"/>
          <w:sz w:val="18"/>
          <w:szCs w:val="18"/>
          <w:color w:val="auto"/>
        </w:rPr>
        <w:t>5.8 %</w:t>
      </w:r>
      <w:r>
        <w:rPr>
          <w:sz w:val="20"/>
          <w:szCs w:val="20"/>
          <w:color w:val="auto"/>
        </w:rPr>
        <w:tab/>
      </w:r>
      <w:r>
        <w:rPr>
          <w:rFonts w:ascii="Arial" w:cs="Arial" w:eastAsia="Arial" w:hAnsi="Arial"/>
          <w:sz w:val="17"/>
          <w:szCs w:val="17"/>
          <w:color w:val="auto"/>
        </w:rPr>
        <w:t>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17780</wp:posOffset>
            </wp:positionV>
            <wp:extent cx="32880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6" w:lineRule="exact"/>
        <w:rPr>
          <w:sz w:val="20"/>
          <w:szCs w:val="20"/>
          <w:color w:val="auto"/>
        </w:rPr>
      </w:pPr>
    </w:p>
    <w:p>
      <w:pPr>
        <w:ind w:left="1220"/>
        <w:spacing w:after="0"/>
        <w:tabs>
          <w:tab w:leader="none" w:pos="3740" w:val="left"/>
        </w:tabs>
        <w:rPr>
          <w:sz w:val="20"/>
          <w:szCs w:val="20"/>
          <w:color w:val="auto"/>
        </w:rPr>
      </w:pPr>
      <w:r>
        <w:rPr>
          <w:rFonts w:ascii="Arial" w:cs="Arial" w:eastAsia="Arial" w:hAnsi="Arial"/>
          <w:sz w:val="18"/>
          <w:szCs w:val="18"/>
          <w:color w:val="auto"/>
        </w:rPr>
        <w:t>(1.9 )%</w:t>
      </w:r>
      <w:r>
        <w:rPr>
          <w:sz w:val="20"/>
          <w:szCs w:val="20"/>
          <w:color w:val="auto"/>
        </w:rPr>
        <w:tab/>
      </w:r>
      <w:r>
        <w:rPr>
          <w:rFonts w:ascii="Arial" w:cs="Arial" w:eastAsia="Arial" w:hAnsi="Arial"/>
          <w:sz w:val="17"/>
          <w:szCs w:val="17"/>
          <w:color w:val="auto"/>
        </w:rPr>
        <w:t>0.2 %</w:t>
      </w:r>
    </w:p>
    <w:p>
      <w:pPr>
        <w:spacing w:after="0" w:line="36" w:lineRule="exact"/>
        <w:rPr>
          <w:sz w:val="20"/>
          <w:szCs w:val="20"/>
          <w:color w:val="auto"/>
        </w:rPr>
      </w:pPr>
    </w:p>
    <w:p>
      <w:pPr>
        <w:ind w:left="1280"/>
        <w:spacing w:after="0"/>
        <w:tabs>
          <w:tab w:leader="none" w:pos="3740" w:val="left"/>
        </w:tabs>
        <w:rPr>
          <w:sz w:val="20"/>
          <w:szCs w:val="20"/>
          <w:color w:val="auto"/>
        </w:rPr>
      </w:pPr>
      <w:r>
        <w:rPr>
          <w:rFonts w:ascii="Arial" w:cs="Arial" w:eastAsia="Arial" w:hAnsi="Arial"/>
          <w:sz w:val="18"/>
          <w:szCs w:val="18"/>
          <w:color w:val="auto"/>
        </w:rPr>
        <w:t>3.9 %</w:t>
      </w:r>
      <w:r>
        <w:rPr>
          <w:sz w:val="20"/>
          <w:szCs w:val="20"/>
          <w:color w:val="auto"/>
        </w:rPr>
        <w:tab/>
      </w:r>
      <w:r>
        <w:rPr>
          <w:rFonts w:ascii="Arial" w:cs="Arial" w:eastAsia="Arial" w:hAnsi="Arial"/>
          <w:sz w:val="17"/>
          <w:szCs w:val="17"/>
          <w:color w:val="auto"/>
        </w:rPr>
        <w:t>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17780</wp:posOffset>
            </wp:positionV>
            <wp:extent cx="328803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88030" cy="25400"/>
                    </a:xfrm>
                    <a:prstGeom prst="rect">
                      <a:avLst/>
                    </a:prstGeom>
                    <a:noFill/>
                  </pic:spPr>
                </pic:pic>
              </a:graphicData>
            </a:graphic>
          </wp:anchor>
        </w:drawing>
      </w:r>
    </w:p>
    <w:p>
      <w:pPr>
        <w:spacing w:after="0" w:line="1100" w:lineRule="exact"/>
        <w:rPr>
          <w:sz w:val="20"/>
          <w:szCs w:val="20"/>
          <w:color w:val="auto"/>
        </w:rPr>
      </w:pPr>
    </w:p>
    <w:p>
      <w:pPr>
        <w:sectPr>
          <w:pgSz w:w="11900" w:h="16838" w:orient="portrait"/>
          <w:cols w:equalWidth="0" w:num="2">
            <w:col w:w="6380" w:space="720"/>
            <w:col w:w="4240"/>
          </w:cols>
          <w:pgMar w:left="320" w:top="1078" w:right="239" w:bottom="1440" w:gutter="0" w:footer="0" w:header="0"/>
          <w:type w:val="continuous"/>
        </w:sectPr>
      </w:pPr>
    </w:p>
    <w:p>
      <w:pPr>
        <w:jc w:val="both"/>
        <w:ind w:right="100" w:firstLine="499"/>
        <w:spacing w:after="0" w:line="252" w:lineRule="auto"/>
        <w:rPr>
          <w:sz w:val="20"/>
          <w:szCs w:val="20"/>
          <w:color w:val="auto"/>
        </w:rPr>
      </w:pPr>
      <w:r>
        <w:rPr>
          <w:rFonts w:ascii="Arial" w:cs="Arial" w:eastAsia="Arial" w:hAnsi="Arial"/>
          <w:sz w:val="18"/>
          <w:szCs w:val="18"/>
          <w:color w:val="auto"/>
        </w:rPr>
        <w:t>The increase in revenue was primarily driven by an increase in the number of transactions processed, which was driven by the implementation of new billers and increased transactions from our existing billers. Revenue increase was also driven by pricing improvements related to inflation management.</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78" w:right="239" w:bottom="1440" w:gutter="0" w:footer="0" w:header="0"/>
          <w:type w:val="continuous"/>
        </w:sectPr>
      </w:pPr>
    </w:p>
    <w:bookmarkStart w:id="20" w:name="page21"/>
    <w:bookmarkEnd w:id="20"/>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01"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as well as other direct costs associated with making our platform available to our billers. These higher costs were partially offset by certain cost improvement initiatives.</w:t>
      </w:r>
    </w:p>
    <w:p>
      <w:pPr>
        <w:spacing w:after="0" w:line="63"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Gross margin increased due to lower cost of revenues for other direct costs associated with making our platform available to our billers by certain cost improvement initiatives and economies of scale.</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01"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8"/>
          <w:szCs w:val="18"/>
          <w:color w:val="auto"/>
        </w:rPr>
        <w:t>The increase in research and development expenses was primarily due to increased amortization of capitalized internal-use software development costs and an increase in employee-related costs, including benefits due to increased headcount and merit increases in annual compensation.</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01" w:lineRule="exact"/>
        <w:rPr>
          <w:sz w:val="20"/>
          <w:szCs w:val="20"/>
          <w:color w:val="auto"/>
        </w:rPr>
      </w:pPr>
    </w:p>
    <w:p>
      <w:pPr>
        <w:jc w:val="both"/>
        <w:ind w:firstLine="499"/>
        <w:spacing w:after="0" w:line="271" w:lineRule="auto"/>
        <w:rPr>
          <w:sz w:val="20"/>
          <w:szCs w:val="20"/>
          <w:color w:val="auto"/>
        </w:rPr>
      </w:pPr>
      <w:r>
        <w:rPr>
          <w:rFonts w:ascii="Arial" w:cs="Arial" w:eastAsia="Arial" w:hAnsi="Arial"/>
          <w:sz w:val="18"/>
          <w:szCs w:val="18"/>
          <w:color w:val="auto"/>
        </w:rPr>
        <w:t>The increase in sales and marketing expenses was primarily due to increased activities in sales and marketing and increase in reseller commissions including amortization of warrants.</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1"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8"/>
          <w:szCs w:val="18"/>
          <w:color w:val="auto"/>
        </w:rPr>
        <w:t>The marginal decrease in general and administrative expenses was primarily due to lower cost of insurance premiums for our directors and officers and commercial and general liability insurance premiums, which were offset by increased stock-based compensation expense associated with employee equity grants and professional fees.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(Expense)</w:t>
      </w:r>
    </w:p>
    <w:p>
      <w:pPr>
        <w:spacing w:after="0" w:line="101"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8"/>
          <w:szCs w:val="18"/>
          <w:color w:val="auto"/>
        </w:rPr>
        <w:t>The changes in other income (expense) were primarily due to the increase in interest income, net as a result of higher cash balances held with banks for the three months ended March 31, 2024 compared to the same period in 2023 together with increases in the Federal Reserve rates.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01" w:lineRule="exact"/>
        <w:rPr>
          <w:sz w:val="20"/>
          <w:szCs w:val="20"/>
          <w:color w:val="auto"/>
        </w:rPr>
      </w:pPr>
    </w:p>
    <w:p>
      <w:pPr>
        <w:jc w:val="both"/>
        <w:ind w:firstLine="499"/>
        <w:spacing w:after="0" w:line="241" w:lineRule="auto"/>
        <w:rPr>
          <w:sz w:val="20"/>
          <w:szCs w:val="20"/>
          <w:color w:val="auto"/>
        </w:rPr>
      </w:pPr>
      <w:r>
        <w:rPr>
          <w:rFonts w:ascii="Arial" w:cs="Arial" w:eastAsia="Arial" w:hAnsi="Arial"/>
          <w:sz w:val="18"/>
          <w:szCs w:val="18"/>
          <w:color w:val="auto"/>
        </w:rPr>
        <w:t>The change in provision for income taxes as well as the increase in the Company's effective tax rate, which was 32.8% for the three months ended March 31, 2024 as compared to (57.9)% for the same period in the prior year, was primarily the result of permanent differences for disallowed stock-based compensation pursuant to IRC Section 162(m), state taxes and the impact of the full valuation allowance. In 2023, it was primarily the result of near break-even pre-tax income from operations, state taxes and the impact of the full valuation allowance and other permanent adjustments in addition to a return to provision benefit recorded in connection with a change in estimate of costs required to be capitalized under IRC Section 174.</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01"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As of March 31, 2024, we had $180.1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and capital expenditures.</w:t>
      </w:r>
    </w:p>
    <w:p>
      <w:pPr>
        <w:spacing w:after="0" w:line="68"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5"/>
        </w:trPr>
        <w:tc>
          <w:tcPr>
            <w:tcW w:w="6880" w:type="dxa"/>
            <w:vAlign w:val="bottom"/>
          </w:tcPr>
          <w:p>
            <w:pPr>
              <w:spacing w:after="0"/>
              <w:rPr>
                <w:sz w:val="20"/>
                <w:szCs w:val="20"/>
                <w:color w:val="auto"/>
              </w:rPr>
            </w:pPr>
            <w:r>
              <w:rPr>
                <w:rFonts w:ascii="Arial" w:cs="Arial" w:eastAsia="Arial" w:hAnsi="Arial"/>
                <w:sz w:val="18"/>
                <w:szCs w:val="18"/>
                <w:b w:val="1"/>
                <w:bCs w:val="1"/>
                <w:i w:val="1"/>
                <w:iCs w:val="1"/>
                <w:color w:val="auto"/>
              </w:rPr>
              <w:t>Historical Cash Flows</w:t>
            </w:r>
          </w:p>
        </w:tc>
        <w:tc>
          <w:tcPr>
            <w:tcW w:w="1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2"/>
        </w:trPr>
        <w:tc>
          <w:tcPr>
            <w:tcW w:w="6880" w:type="dxa"/>
            <w:vAlign w:val="bottom"/>
          </w:tcPr>
          <w:p>
            <w:pPr>
              <w:ind w:left="500"/>
              <w:spacing w:after="0"/>
              <w:rPr>
                <w:sz w:val="20"/>
                <w:szCs w:val="20"/>
                <w:color w:val="auto"/>
              </w:rPr>
            </w:pPr>
            <w:r>
              <w:rPr>
                <w:rFonts w:ascii="Arial" w:cs="Arial" w:eastAsia="Arial" w:hAnsi="Arial"/>
                <w:sz w:val="18"/>
                <w:szCs w:val="18"/>
                <w:color w:val="auto"/>
              </w:rPr>
              <w:t>The following table summarizes our condensed consolidated cash flows.</w:t>
            </w: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0"/>
        </w:trPr>
        <w:tc>
          <w:tcPr>
            <w:tcW w:w="6880" w:type="dxa"/>
            <w:vAlign w:val="bottom"/>
          </w:tcPr>
          <w:p>
            <w:pPr>
              <w:spacing w:after="0"/>
              <w:rPr>
                <w:sz w:val="24"/>
                <w:szCs w:val="24"/>
                <w:color w:val="auto"/>
              </w:rPr>
            </w:pPr>
          </w:p>
        </w:tc>
        <w:tc>
          <w:tcPr>
            <w:tcW w:w="36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80" w:type="dxa"/>
            <w:vAlign w:val="bottom"/>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20" w:type="dxa"/>
            <w:vAlign w:val="bottom"/>
            <w:gridSpan w:val="2"/>
          </w:tcPr>
          <w:p>
            <w:pPr>
              <w:jc w:val="center"/>
              <w:ind w:right="770"/>
              <w:spacing w:after="0"/>
              <w:rPr>
                <w:sz w:val="20"/>
                <w:szCs w:val="20"/>
                <w:color w:val="auto"/>
              </w:rPr>
            </w:pPr>
            <w:r>
              <w:rPr>
                <w:rFonts w:ascii="Arial" w:cs="Arial" w:eastAsia="Arial" w:hAnsi="Arial"/>
                <w:sz w:val="18"/>
                <w:szCs w:val="18"/>
                <w:b w:val="1"/>
                <w:bCs w:val="1"/>
                <w:color w:val="auto"/>
                <w:w w:val="78"/>
              </w:rPr>
              <w:t>thousands)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8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cash provided by (used in)</w:t>
            </w:r>
          </w:p>
        </w:tc>
        <w:tc>
          <w:tcPr>
            <w:tcW w:w="1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8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10,954</w:t>
            </w:r>
          </w:p>
        </w:tc>
        <w:tc>
          <w:tcPr>
            <w:tcW w:w="320" w:type="dxa"/>
            <w:vAlign w:val="bottom"/>
          </w:tcPr>
          <w:p>
            <w:pPr>
              <w:spacing w:after="0"/>
              <w:rPr>
                <w:sz w:val="19"/>
                <w:szCs w:val="19"/>
                <w:color w:val="auto"/>
              </w:rPr>
            </w:pPr>
          </w:p>
        </w:tc>
        <w:tc>
          <w:tcPr>
            <w:tcW w:w="1300" w:type="dxa"/>
            <w:vAlign w:val="bottom"/>
          </w:tcPr>
          <w:p>
            <w:pPr>
              <w:jc w:val="center"/>
              <w:ind w:right="10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4,763</w:t>
            </w:r>
          </w:p>
        </w:tc>
        <w:tc>
          <w:tcPr>
            <w:tcW w:w="100" w:type="dxa"/>
            <w:vAlign w:val="bottom"/>
          </w:tcPr>
          <w:p>
            <w:pPr>
              <w:spacing w:after="0"/>
              <w:rPr>
                <w:sz w:val="19"/>
                <w:szCs w:val="19"/>
                <w:color w:val="auto"/>
              </w:rPr>
            </w:pPr>
          </w:p>
        </w:tc>
      </w:tr>
      <w:tr>
        <w:trPr>
          <w:trHeight w:val="229"/>
        </w:trPr>
        <w:tc>
          <w:tcPr>
            <w:tcW w:w="6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(9,513 )</w:t>
            </w:r>
          </w:p>
        </w:tc>
        <w:tc>
          <w:tcPr>
            <w:tcW w:w="1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(8,286 )</w:t>
            </w:r>
          </w:p>
        </w:tc>
      </w:tr>
      <w:tr>
        <w:trPr>
          <w:trHeight w:val="229"/>
        </w:trPr>
        <w:tc>
          <w:tcPr>
            <w:tcW w:w="688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1300" w:type="dxa"/>
            <w:vAlign w:val="bottom"/>
          </w:tcPr>
          <w:p>
            <w:pPr>
              <w:spacing w:after="0"/>
              <w:rPr>
                <w:sz w:val="19"/>
                <w:szCs w:val="19"/>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(406 )</w:t>
            </w:r>
          </w:p>
        </w:tc>
        <w:tc>
          <w:tcPr>
            <w:tcW w:w="13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(1,122 )</w:t>
            </w:r>
          </w:p>
        </w:tc>
      </w:tr>
      <w:tr>
        <w:trPr>
          <w:trHeight w:val="229"/>
        </w:trPr>
        <w:tc>
          <w:tcPr>
            <w:tcW w:w="6880" w:type="dxa"/>
            <w:vAlign w:val="bottom"/>
            <w:shd w:val="clear" w:color="auto" w:fill="CFF0FC"/>
          </w:tcPr>
          <w:p>
            <w:pPr>
              <w:ind w:left="80"/>
              <w:spacing w:after="0"/>
              <w:rPr>
                <w:sz w:val="20"/>
                <w:szCs w:val="20"/>
                <w:color w:val="auto"/>
              </w:rPr>
            </w:pPr>
            <w:r>
              <w:rPr>
                <w:rFonts w:ascii="Arial" w:cs="Arial" w:eastAsia="Arial" w:hAnsi="Arial"/>
                <w:sz w:val="18"/>
                <w:szCs w:val="18"/>
                <w:color w:val="auto"/>
              </w:rPr>
              <w:t>Effects of foreign exchange on cash</w:t>
            </w:r>
          </w:p>
        </w:tc>
        <w:tc>
          <w:tcPr>
            <w:tcW w:w="1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(78 )</w:t>
            </w:r>
          </w:p>
        </w:tc>
        <w:tc>
          <w:tcPr>
            <w:tcW w:w="1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(17 )</w:t>
            </w:r>
          </w:p>
        </w:tc>
      </w:tr>
      <w:tr>
        <w:trPr>
          <w:trHeight w:val="20"/>
        </w:trPr>
        <w:tc>
          <w:tcPr>
            <w:tcW w:w="68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880" w:type="dxa"/>
            <w:vAlign w:val="bottom"/>
          </w:tcPr>
          <w:p>
            <w:pPr>
              <w:ind w:left="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957</w:t>
            </w:r>
          </w:p>
        </w:tc>
        <w:tc>
          <w:tcPr>
            <w:tcW w:w="320" w:type="dxa"/>
            <w:vAlign w:val="bottom"/>
          </w:tcPr>
          <w:p>
            <w:pPr>
              <w:spacing w:after="0"/>
              <w:rPr>
                <w:sz w:val="19"/>
                <w:szCs w:val="19"/>
                <w:color w:val="auto"/>
              </w:rPr>
            </w:pPr>
          </w:p>
        </w:tc>
        <w:tc>
          <w:tcPr>
            <w:tcW w:w="1300" w:type="dxa"/>
            <w:vAlign w:val="bottom"/>
          </w:tcPr>
          <w:p>
            <w:pPr>
              <w:jc w:val="center"/>
              <w:ind w:right="107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(4,662 )</w:t>
            </w:r>
          </w:p>
        </w:tc>
      </w:tr>
      <w:tr>
        <w:trPr>
          <w:trHeight w:val="20"/>
        </w:trPr>
        <w:tc>
          <w:tcPr>
            <w:tcW w:w="68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5621655</wp:posOffset>
            </wp:positionH>
            <wp:positionV relativeFrom="paragraph">
              <wp:posOffset>-179070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01"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for the three months ended March 31, 2024 was $11.0 million. Net income was $7.2 million, adjusted for non-cash charges of $12.4 million consisting primarily of depreciation and amortization, stock-based compensation, amortization of contract assets and non-cash lease expense, which contributed positively to cash provided from operating activities. This was decreased by net cash outflows of $8.6 million used by changes in our operating assets and liabilities.</w:t>
      </w:r>
    </w:p>
    <w:p>
      <w:pPr>
        <w:spacing w:after="0" w:line="74"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Net cash provided by operating activities for the three months ended March 31, 2023 was $4.8 million. Net income was $0.7 million, adjusted for non-cash charges of $10.4 million consisting primarily of depreciation and amortization, stock-based compensation, amortization of contract assets and non-cash lease expense, which contributed positively to cash provided from operating activities. This was offset by net cash outflows of $6.4 million provided by changes in our operating assets and liabilities.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investing activities for the three months ended March 31, 2024 consisted of $9.3 million of capitalized software development costs, $0.1 million of purchases of property and equipment and $(0.1) million of net change in interest-bearing deposits.</w:t>
      </w:r>
    </w:p>
    <w:p>
      <w:pPr>
        <w:spacing w:after="0" w:line="45"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investing activities for the three months ended March 31, 2023 consisted of $8.2 million of capitalized internal-use software development costs and $0.1 million of purchases of property and equipment.</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0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financing activities for the three months ended March 31, 2024 consisted of $0.5 million of settlement of holdback liability relating to a prior acquisition, which was offset by $0.1 million of proceeds from exercise of stock-based awards by employees.</w:t>
      </w:r>
    </w:p>
    <w:p>
      <w:pPr>
        <w:spacing w:after="0" w:line="45"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financing activities for the three months ended March 31, 2023 consisted of $1.0 million of payments on other financing obligations and $0.1 million of payments on finance leases.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Warning of Possible Valuation Allowance Reversal in Future Periods</w:t>
      </w:r>
    </w:p>
    <w:p>
      <w:pPr>
        <w:spacing w:after="0" w:line="103"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We recorded a valuation allowance against all of our US deferred tax assets as of March 31, 2024, and December 31, 2023. We intend to continue maintaining a full valuation allowance on our deferred tax assets until there is sufficient evidence to support the reversal of all or some portion of these allowances. However, given our current earnings and anticipated future earnings, we believe that there is a reasonable possibility that within the next 12 months, sufficient positive evidence may become available to allow us to reach a conclusion that a significant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3"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disclosures of contingencies at the date of the financial statements and the reported amounts of revenues and expenses during the reporting period. Our significant accounting policies are described in Note 2, “Basis of Presentation and Summary of Significant Accounting Policies” to our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8"/>
          <w:szCs w:val="18"/>
          <w:color w:val="auto"/>
        </w:rPr>
        <w:t>consolidated financial statements included in our 2023 Form 10-K. There have been no material changes in our critical accounting policies and estimates since December 31,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3" w:lineRule="exact"/>
        <w:rPr>
          <w:sz w:val="20"/>
          <w:szCs w:val="20"/>
          <w:color w:val="auto"/>
        </w:rPr>
      </w:pPr>
    </w:p>
    <w:p>
      <w:pPr>
        <w:jc w:val="both"/>
        <w:ind w:firstLine="494"/>
        <w:spacing w:after="0" w:line="246" w:lineRule="auto"/>
        <w:rPr>
          <w:sz w:val="20"/>
          <w:szCs w:val="20"/>
          <w:color w:val="auto"/>
        </w:rPr>
      </w:pPr>
      <w:r>
        <w:rPr>
          <w:rFonts w:ascii="Arial" w:cs="Arial" w:eastAsia="Arial" w:hAnsi="Arial"/>
          <w:sz w:val="18"/>
          <w:szCs w:val="18"/>
          <w:color w:val="auto"/>
        </w:rPr>
        <w:t>See Note 2 “Basis of Presentation and Summary of Significant Accounting Policies” in the unaudited condensed consolidated financial statements included elsewhere in this Quarterly Report for a full description of recent accounting pronouncements, including the respective dates of adoption or expected adoption and effects on our condensed consolidated financial statements contained in Item 1 of this Quarterly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3"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There have been no material changes in our exposures to market risk since December 31, 2023. For details on the Company’s interest rate, foreign currency exchange, and inflation risks, see Part I, Item 7A. “Quantitative and Qualitative Information About Market Risk” in our 2023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1" w:lineRule="exact"/>
        <w:rPr>
          <w:sz w:val="20"/>
          <w:szCs w:val="20"/>
          <w:color w:val="auto"/>
        </w:rPr>
      </w:pPr>
    </w:p>
    <w:p>
      <w:pPr>
        <w:jc w:val="both"/>
        <w:ind w:firstLine="567"/>
        <w:spacing w:after="0" w:line="23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or the Exchange Act). Based on that evaluation, and as a result of the material weaknesses in internal control over financial reporting described below, our Chief Executive Officer and Chief Financial Officer concluded that, as of March 31, 2024,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unaudited condensed consolidated financial statements for the periods covered by and included in this Quarterly Report on Form 10-Q fairly state, in all material respects, our financial position, results of operations and cash flows for the periods presented in conformity with GAAP.</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101"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March 31, 2024, our material weaknesses were as follows:</w:t>
      </w:r>
    </w:p>
    <w:p>
      <w:pPr>
        <w:spacing w:after="0" w:line="63" w:lineRule="exact"/>
        <w:rPr>
          <w:sz w:val="20"/>
          <w:szCs w:val="20"/>
          <w:color w:val="auto"/>
        </w:rPr>
      </w:pPr>
    </w:p>
    <w:p>
      <w:pPr>
        <w:jc w:val="both"/>
        <w:ind w:left="1020" w:hanging="504"/>
        <w:spacing w:after="0" w:line="243"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70" w:lineRule="exact"/>
        <w:rPr>
          <w:rFonts w:ascii="Times New Roman" w:cs="Times New Roman" w:eastAsia="Times New Roman" w:hAnsi="Times New Roman"/>
          <w:sz w:val="18"/>
          <w:szCs w:val="18"/>
          <w:color w:val="auto"/>
        </w:rPr>
      </w:pPr>
    </w:p>
    <w:p>
      <w:pPr>
        <w:jc w:val="both"/>
        <w:ind w:left="1020" w:hanging="504"/>
        <w:spacing w:after="0" w:line="241"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relevant to the preparation of our financial statements with respect to certain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01"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We believe we have made significant progress towards remediation of the material weaknesses described above. We have completed the following remediation measures:</w:t>
      </w:r>
    </w:p>
    <w:p>
      <w:pPr>
        <w:spacing w:after="0" w:line="45"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onboarded experienced finance and accounting professionals at various senior roles;</w:t>
      </w:r>
    </w:p>
    <w:p>
      <w:pPr>
        <w:spacing w:after="0" w:line="11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updated the design of our general ledger accounting system to allow for effective restricted access and segregation of duties to govern the preparation and review of journal entries;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implemented management review controls over journal entries and the identification and review of complex transactions;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secured the general ledger accounting system by implementing single sign-on (SSO);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23" w:name="page24"/>
    <w:bookmarkEnd w:id="23"/>
    <w:p>
      <w:pPr>
        <w:jc w:val="both"/>
        <w:ind w:left="1020" w:hanging="504"/>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implemented additional change management and access controls for our relevant IT applications to further restrict privileged access and implemented controls to review activities, which may materially affect our financial statements, for those users who have privileged access.</w:t>
      </w:r>
    </w:p>
    <w:p>
      <w:pPr>
        <w:spacing w:after="0" w:line="62" w:lineRule="exact"/>
        <w:rPr>
          <w:sz w:val="20"/>
          <w:szCs w:val="20"/>
          <w:color w:val="auto"/>
        </w:rPr>
      </w:pPr>
    </w:p>
    <w:p>
      <w:pPr>
        <w:jc w:val="both"/>
        <w:ind w:firstLine="494"/>
        <w:spacing w:after="0" w:line="243" w:lineRule="auto"/>
        <w:rPr>
          <w:sz w:val="20"/>
          <w:szCs w:val="20"/>
          <w:color w:val="auto"/>
        </w:rPr>
      </w:pPr>
      <w:r>
        <w:rPr>
          <w:rFonts w:ascii="Arial" w:cs="Arial" w:eastAsia="Arial" w:hAnsi="Arial"/>
          <w:sz w:val="18"/>
          <w:szCs w:val="18"/>
          <w:color w:val="auto"/>
        </w:rPr>
        <w:t>We are currently in the process of assessing the effectiveness of design and implementation of controls to address all material weaknesses. Upon completing this assessment, thorough operating effectiveness testing will be performed to ensure that the implemented controls operated effectively for a sufficient period of time. While we believe these efforts will remediate the material weaknesses, these material weaknesses cannot be considered fully remediated until the applicable remedial controls operate for a sufficient period of time and management has concluded, through testing, that these controls are operating effectively.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1" w:lineRule="exact"/>
        <w:rPr>
          <w:sz w:val="20"/>
          <w:szCs w:val="20"/>
          <w:color w:val="auto"/>
        </w:rPr>
      </w:pPr>
    </w:p>
    <w:p>
      <w:pPr>
        <w:jc w:val="both"/>
        <w:ind w:firstLine="494"/>
        <w:spacing w:after="0" w:line="252" w:lineRule="auto"/>
        <w:rPr>
          <w:sz w:val="20"/>
          <w:szCs w:val="20"/>
          <w:color w:val="auto"/>
        </w:rPr>
      </w:pPr>
      <w:r>
        <w:rPr>
          <w:rFonts w:ascii="Arial" w:cs="Arial" w:eastAsia="Arial" w:hAnsi="Arial"/>
          <w:sz w:val="18"/>
          <w:szCs w:val="18"/>
          <w:color w:val="auto"/>
        </w:rPr>
        <w:t>Other than continuing to make progress on the ongoing remediation efforts described above, there were no changes in our internal control over financial reporting (as defined in Rules 13a-15(f) and 15d-15(f) under the Exchange Act) during the three months ended March 31, 2024 that have materially affected, or are reasonably likely to materially affect, our internal control over financial reporting.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3"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From time to time, we may be involved in claims, regulatory examinations or investigations and legal proceedings arising in the ordinary course of our business. The outcome of any such claims or proceedings, regardless of the merits, and the Company’s ultimate liability, if any, is inherently uncertain. Furthermore, we may become subject to stockholder inspection demands under Delaware law and derivative or other similar litigation. We are not currently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changes in the risk factors previously disclosed in Item 1A. of our 2023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3" w:lineRule="exact"/>
        <w:rPr>
          <w:sz w:val="20"/>
          <w:szCs w:val="20"/>
          <w:color w:val="auto"/>
        </w:rPr>
      </w:pPr>
    </w:p>
    <w:p>
      <w:pPr>
        <w:ind w:right="280" w:firstLine="494"/>
        <w:spacing w:after="0" w:line="232" w:lineRule="exact"/>
        <w:rPr>
          <w:sz w:val="20"/>
          <w:szCs w:val="20"/>
          <w:color w:val="auto"/>
        </w:rPr>
      </w:pPr>
      <w:r>
        <w:rPr>
          <w:rFonts w:ascii="Arial" w:cs="Arial" w:eastAsia="Arial" w:hAnsi="Arial"/>
          <w:sz w:val="18"/>
          <w:szCs w:val="18"/>
          <w:color w:val="auto"/>
        </w:rPr>
        <w:t>During the quarter ended March 31, 2024, none of the Company’s directors or officers adopted or terminated a “Rule 10b5-1 trading arrangement” or “non-Rule 10b5-1 trading arrangement,” as such terms are defined in Item 408(a)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25" w:name="page26"/>
    <w:bookmarkEnd w:id="25"/>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920" w:type="dxa"/>
            <w:vAlign w:val="bottom"/>
            <w:vMerge w:val="restart"/>
          </w:tcPr>
          <w:p>
            <w:pPr>
              <w:ind w:left="180"/>
              <w:spacing w:after="0"/>
              <w:rPr>
                <w:sz w:val="20"/>
                <w:szCs w:val="20"/>
                <w:color w:val="auto"/>
              </w:rPr>
            </w:pPr>
            <w:r>
              <w:rPr>
                <w:rFonts w:ascii="Arial" w:cs="Arial" w:eastAsia="Arial" w:hAnsi="Arial"/>
                <w:sz w:val="17"/>
                <w:szCs w:val="17"/>
                <w:b w:val="1"/>
                <w:bCs w:val="1"/>
                <w:color w:val="auto"/>
              </w:rPr>
              <w:t>Exhibit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gridSpan w:val="15"/>
            <w:vMerge w:val="restart"/>
          </w:tcPr>
          <w:p>
            <w:pPr>
              <w:ind w:left="1360"/>
              <w:spacing w:after="0"/>
              <w:rPr>
                <w:sz w:val="20"/>
                <w:szCs w:val="20"/>
                <w:color w:val="auto"/>
              </w:rPr>
            </w:pPr>
            <w:r>
              <w:rPr>
                <w:rFonts w:ascii="Arial" w:cs="Arial" w:eastAsia="Arial" w:hAnsi="Arial"/>
                <w:sz w:val="17"/>
                <w:szCs w:val="17"/>
                <w:b w:val="1"/>
                <w:bCs w:val="1"/>
                <w:color w:val="auto"/>
              </w:rPr>
              <w:t>Description</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rPr>
              <w:t>Incorporated by Reference</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gridSpan w:val="15"/>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w w:val="98"/>
              </w:rPr>
              <w:t>Form</w:t>
            </w:r>
          </w:p>
        </w:tc>
        <w:tc>
          <w:tcPr>
            <w:tcW w:w="12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File No.</w:t>
            </w:r>
          </w:p>
        </w:tc>
        <w:tc>
          <w:tcPr>
            <w:tcW w:w="120" w:type="dxa"/>
            <w:vAlign w:val="bottom"/>
          </w:tcPr>
          <w:p>
            <w:pPr>
              <w:spacing w:after="0"/>
              <w:rPr>
                <w:sz w:val="13"/>
                <w:szCs w:val="13"/>
                <w:color w:val="auto"/>
              </w:rPr>
            </w:pPr>
          </w:p>
        </w:tc>
        <w:tc>
          <w:tcPr>
            <w:tcW w:w="1000" w:type="dxa"/>
            <w:vAlign w:val="bottom"/>
            <w:gridSpan w:val="2"/>
          </w:tcPr>
          <w:p>
            <w:pPr>
              <w:jc w:val="center"/>
              <w:ind w:right="140"/>
              <w:spacing w:after="0" w:line="160" w:lineRule="exact"/>
              <w:rPr>
                <w:sz w:val="20"/>
                <w:szCs w:val="20"/>
                <w:color w:val="auto"/>
              </w:rPr>
            </w:pPr>
            <w:r>
              <w:rPr>
                <w:rFonts w:ascii="Arial" w:cs="Arial" w:eastAsia="Arial" w:hAnsi="Arial"/>
                <w:sz w:val="17"/>
                <w:szCs w:val="17"/>
                <w:b w:val="1"/>
                <w:bCs w:val="1"/>
                <w:color w:val="auto"/>
              </w:rPr>
              <w:t>Exhibit</w:t>
            </w:r>
          </w:p>
        </w:tc>
        <w:tc>
          <w:tcPr>
            <w:tcW w:w="126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w w:val="98"/>
              </w:rPr>
              <w:t>Filing Date</w:t>
            </w:r>
          </w:p>
        </w:tc>
        <w:tc>
          <w:tcPr>
            <w:tcW w:w="106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w w:val="98"/>
              </w:rPr>
              <w:t>Filed/</w:t>
            </w:r>
          </w:p>
        </w:tc>
        <w:tc>
          <w:tcPr>
            <w:tcW w:w="0" w:type="dxa"/>
            <w:vAlign w:val="bottom"/>
          </w:tcPr>
          <w:p>
            <w:pPr>
              <w:spacing w:after="0"/>
              <w:rPr>
                <w:sz w:val="1"/>
                <w:szCs w:val="1"/>
                <w:color w:val="auto"/>
              </w:rPr>
            </w:pPr>
          </w:p>
        </w:tc>
      </w:tr>
      <w:tr>
        <w:trPr>
          <w:trHeight w:val="189"/>
        </w:trPr>
        <w:tc>
          <w:tcPr>
            <w:tcW w:w="920" w:type="dxa"/>
            <w:vAlign w:val="bottom"/>
          </w:tcPr>
          <w:p>
            <w:pPr>
              <w:ind w:left="140"/>
              <w:spacing w:after="0" w:line="189" w:lineRule="exact"/>
              <w:rPr>
                <w:sz w:val="20"/>
                <w:szCs w:val="20"/>
                <w:color w:val="auto"/>
              </w:rPr>
            </w:pPr>
            <w:r>
              <w:rPr>
                <w:rFonts w:ascii="Arial" w:cs="Arial" w:eastAsia="Arial" w:hAnsi="Arial"/>
                <w:sz w:val="17"/>
                <w:szCs w:val="17"/>
                <w:b w:val="1"/>
                <w:bCs w:val="1"/>
                <w:color w:val="auto"/>
              </w:rPr>
              <w:t>Number</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Furnished</w:t>
            </w:r>
          </w:p>
        </w:tc>
        <w:tc>
          <w:tcPr>
            <w:tcW w:w="0" w:type="dxa"/>
            <w:vAlign w:val="bottom"/>
          </w:tcPr>
          <w:p>
            <w:pPr>
              <w:spacing w:after="0"/>
              <w:rPr>
                <w:sz w:val="1"/>
                <w:szCs w:val="1"/>
                <w:color w:val="auto"/>
              </w:rPr>
            </w:pPr>
          </w:p>
        </w:tc>
      </w:tr>
      <w:tr>
        <w:trPr>
          <w:trHeight w:val="224"/>
        </w:trPr>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Herewith</w:t>
            </w:r>
          </w:p>
        </w:tc>
        <w:tc>
          <w:tcPr>
            <w:tcW w:w="0" w:type="dxa"/>
            <w:vAlign w:val="bottom"/>
          </w:tcPr>
          <w:p>
            <w:pPr>
              <w:spacing w:after="0"/>
              <w:rPr>
                <w:sz w:val="1"/>
                <w:szCs w:val="1"/>
                <w:color w:val="auto"/>
              </w:rPr>
            </w:pPr>
          </w:p>
        </w:tc>
      </w:tr>
      <w:tr>
        <w:trPr>
          <w:trHeight w:val="155"/>
        </w:trPr>
        <w:tc>
          <w:tcPr>
            <w:tcW w:w="920" w:type="dxa"/>
            <w:vAlign w:val="bottom"/>
          </w:tcPr>
          <w:p>
            <w:pPr>
              <w:ind w:left="20"/>
              <w:spacing w:after="0" w:line="155" w:lineRule="exact"/>
              <w:rPr>
                <w:sz w:val="20"/>
                <w:szCs w:val="20"/>
                <w:color w:val="auto"/>
              </w:rPr>
            </w:pPr>
            <w:r>
              <w:rPr>
                <w:rFonts w:ascii="Arial" w:cs="Arial" w:eastAsia="Arial" w:hAnsi="Arial"/>
                <w:sz w:val="17"/>
                <w:szCs w:val="17"/>
                <w:color w:val="auto"/>
              </w:rPr>
              <w:t>3.1.1</w:t>
            </w:r>
          </w:p>
        </w:tc>
        <w:tc>
          <w:tcPr>
            <w:tcW w:w="120" w:type="dxa"/>
            <w:vAlign w:val="bottom"/>
          </w:tcPr>
          <w:p>
            <w:pPr>
              <w:spacing w:after="0"/>
              <w:rPr>
                <w:sz w:val="13"/>
                <w:szCs w:val="13"/>
                <w:color w:val="auto"/>
              </w:rPr>
            </w:pPr>
          </w:p>
        </w:tc>
        <w:tc>
          <w:tcPr>
            <w:tcW w:w="4260" w:type="dxa"/>
            <w:vAlign w:val="bottom"/>
            <w:gridSpan w:val="17"/>
          </w:tcPr>
          <w:p>
            <w:pPr>
              <w:spacing w:after="0" w:line="155" w:lineRule="exact"/>
              <w:rPr>
                <w:rFonts w:ascii="Arial" w:cs="Arial" w:eastAsia="Arial" w:hAnsi="Arial"/>
                <w:sz w:val="17"/>
                <w:szCs w:val="17"/>
                <w:color w:val="0000FF"/>
              </w:rPr>
            </w:pPr>
            <w:hyperlink r:id="rId185">
              <w:r>
                <w:rPr>
                  <w:rFonts w:ascii="Arial" w:cs="Arial" w:eastAsia="Arial" w:hAnsi="Arial"/>
                  <w:sz w:val="17"/>
                  <w:szCs w:val="17"/>
                  <w:color w:val="0000FF"/>
                </w:rPr>
                <w:t>Amended and Restated Certificate of Incorporation of</w:t>
              </w:r>
            </w:hyperlink>
          </w:p>
        </w:tc>
        <w:tc>
          <w:tcPr>
            <w:tcW w:w="120" w:type="dxa"/>
            <w:vAlign w:val="bottom"/>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Arial" w:cs="Arial" w:eastAsia="Arial" w:hAnsi="Arial"/>
                <w:sz w:val="17"/>
                <w:szCs w:val="17"/>
                <w:color w:val="auto"/>
                <w:w w:val="98"/>
              </w:rPr>
              <w:t>8-K</w:t>
            </w:r>
          </w:p>
        </w:tc>
        <w:tc>
          <w:tcPr>
            <w:tcW w:w="120" w:type="dxa"/>
            <w:vAlign w:val="bottom"/>
          </w:tcPr>
          <w:p>
            <w:pPr>
              <w:spacing w:after="0"/>
              <w:rPr>
                <w:sz w:val="13"/>
                <w:szCs w:val="13"/>
                <w:color w:val="auto"/>
              </w:rPr>
            </w:pPr>
          </w:p>
        </w:tc>
        <w:tc>
          <w:tcPr>
            <w:tcW w:w="1120" w:type="dxa"/>
            <w:vAlign w:val="bottom"/>
          </w:tcPr>
          <w:p>
            <w:pPr>
              <w:jc w:val="center"/>
              <w:spacing w:after="0" w:line="155" w:lineRule="exact"/>
              <w:rPr>
                <w:sz w:val="20"/>
                <w:szCs w:val="20"/>
                <w:color w:val="auto"/>
              </w:rPr>
            </w:pPr>
            <w:r>
              <w:rPr>
                <w:rFonts w:ascii="Arial" w:cs="Arial" w:eastAsia="Arial" w:hAnsi="Arial"/>
                <w:sz w:val="17"/>
                <w:szCs w:val="17"/>
                <w:color w:val="auto"/>
              </w:rPr>
              <w:t>001-40429</w:t>
            </w:r>
          </w:p>
        </w:tc>
        <w:tc>
          <w:tcPr>
            <w:tcW w:w="12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7"/>
                <w:szCs w:val="17"/>
                <w:color w:val="auto"/>
              </w:rPr>
              <w:t>3.1</w:t>
            </w:r>
          </w:p>
        </w:tc>
        <w:tc>
          <w:tcPr>
            <w:tcW w:w="120" w:type="dxa"/>
            <w:vAlign w:val="bottom"/>
          </w:tcPr>
          <w:p>
            <w:pPr>
              <w:spacing w:after="0"/>
              <w:rPr>
                <w:sz w:val="13"/>
                <w:szCs w:val="13"/>
                <w:color w:val="auto"/>
              </w:rPr>
            </w:pPr>
          </w:p>
        </w:tc>
        <w:tc>
          <w:tcPr>
            <w:tcW w:w="1260" w:type="dxa"/>
            <w:vAlign w:val="bottom"/>
          </w:tcPr>
          <w:p>
            <w:pPr>
              <w:jc w:val="center"/>
              <w:ind w:right="15"/>
              <w:spacing w:after="0" w:line="155" w:lineRule="exact"/>
              <w:rPr>
                <w:sz w:val="20"/>
                <w:szCs w:val="20"/>
                <w:color w:val="auto"/>
              </w:rPr>
            </w:pPr>
            <w:r>
              <w:rPr>
                <w:rFonts w:ascii="Arial" w:cs="Arial" w:eastAsia="Arial" w:hAnsi="Arial"/>
                <w:sz w:val="17"/>
                <w:szCs w:val="17"/>
                <w:color w:val="auto"/>
              </w:rPr>
              <w:t>May 28, 2021</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w w:val="99"/>
              </w:rPr>
            </w:pPr>
            <w:hyperlink r:id="rId185">
              <w:r>
                <w:rPr>
                  <w:rFonts w:ascii="Arial" w:cs="Arial" w:eastAsia="Arial" w:hAnsi="Arial"/>
                  <w:sz w:val="17"/>
                  <w:szCs w:val="17"/>
                  <w:color w:val="0000FF"/>
                  <w:w w:val="99"/>
                </w:rPr>
                <w:t>Paymentus Holdings, Inc.</w:t>
              </w:r>
            </w:hyperlink>
          </w:p>
        </w:tc>
        <w:tc>
          <w:tcPr>
            <w:tcW w:w="214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rPr>
              <w:t>10-Q</w:t>
            </w:r>
          </w:p>
        </w:tc>
        <w:tc>
          <w:tcPr>
            <w:tcW w:w="1240" w:type="dxa"/>
            <w:vAlign w:val="bottom"/>
            <w:gridSpan w:val="2"/>
            <w:vMerge w:val="restart"/>
          </w:tcPr>
          <w:p>
            <w:pPr>
              <w:jc w:val="center"/>
              <w:ind w:left="15"/>
              <w:spacing w:after="0"/>
              <w:rPr>
                <w:sz w:val="20"/>
                <w:szCs w:val="20"/>
                <w:color w:val="auto"/>
              </w:rPr>
            </w:pPr>
            <w:r>
              <w:rPr>
                <w:rFonts w:ascii="Arial" w:cs="Arial" w:eastAsia="Arial" w:hAnsi="Arial"/>
                <w:sz w:val="17"/>
                <w:szCs w:val="17"/>
                <w:color w:val="auto"/>
              </w:rPr>
              <w:t>001-40429</w:t>
            </w:r>
          </w:p>
        </w:tc>
        <w:tc>
          <w:tcPr>
            <w:tcW w:w="1000" w:type="dxa"/>
            <w:vAlign w:val="bottom"/>
            <w:gridSpan w:val="2"/>
            <w:vMerge w:val="restart"/>
          </w:tcPr>
          <w:p>
            <w:pPr>
              <w:jc w:val="center"/>
              <w:ind w:left="35"/>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7"/>
                <w:szCs w:val="17"/>
                <w:color w:val="auto"/>
                <w:w w:val="99"/>
              </w:rPr>
              <w:t>August 7, 2023</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gridSpan w:val="17"/>
          </w:tcPr>
          <w:p>
            <w:pPr>
              <w:spacing w:after="0" w:line="182" w:lineRule="exact"/>
              <w:rPr>
                <w:rFonts w:ascii="Arial" w:cs="Arial" w:eastAsia="Arial" w:hAnsi="Arial"/>
                <w:sz w:val="17"/>
                <w:szCs w:val="17"/>
                <w:color w:val="0000FF"/>
              </w:rPr>
            </w:pPr>
            <w:hyperlink r:id="rId186">
              <w:r>
                <w:rPr>
                  <w:rFonts w:ascii="Arial" w:cs="Arial" w:eastAsia="Arial" w:hAnsi="Arial"/>
                  <w:sz w:val="17"/>
                  <w:szCs w:val="17"/>
                  <w:color w:val="0000FF"/>
                </w:rPr>
                <w:t>Amendment to Amended and Restated Certificate of</w:t>
              </w:r>
            </w:hyperlink>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4"/>
                <w:szCs w:val="14"/>
                <w:color w:val="auto"/>
              </w:rPr>
            </w:pPr>
          </w:p>
        </w:tc>
        <w:tc>
          <w:tcPr>
            <w:tcW w:w="4000" w:type="dxa"/>
            <w:vAlign w:val="bottom"/>
            <w:tcBorders>
              <w:top w:val="single" w:sz="8" w:color="0000FF"/>
            </w:tcBorders>
            <w:gridSpan w:val="10"/>
          </w:tcPr>
          <w:p>
            <w:pPr>
              <w:spacing w:after="0" w:line="169" w:lineRule="exact"/>
              <w:rPr>
                <w:rFonts w:ascii="Arial" w:cs="Arial" w:eastAsia="Arial" w:hAnsi="Arial"/>
                <w:sz w:val="17"/>
                <w:szCs w:val="17"/>
                <w:color w:val="0000FF"/>
              </w:rPr>
            </w:pPr>
            <w:hyperlink r:id="rId186">
              <w:r>
                <w:rPr>
                  <w:rFonts w:ascii="Arial" w:cs="Arial" w:eastAsia="Arial" w:hAnsi="Arial"/>
                  <w:sz w:val="17"/>
                  <w:szCs w:val="17"/>
                  <w:color w:val="0000FF"/>
                </w:rPr>
                <w:t>Incorporation of Paymentus Holdings, Inc.</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8"/>
              </w:rPr>
              <w:t>8-K</w:t>
            </w:r>
          </w:p>
        </w:tc>
        <w:tc>
          <w:tcPr>
            <w:tcW w:w="1240" w:type="dxa"/>
            <w:vAlign w:val="bottom"/>
            <w:gridSpan w:val="2"/>
            <w:vMerge w:val="restart"/>
          </w:tcPr>
          <w:p>
            <w:pPr>
              <w:jc w:val="center"/>
              <w:ind w:left="15"/>
              <w:spacing w:after="0"/>
              <w:rPr>
                <w:sz w:val="20"/>
                <w:szCs w:val="20"/>
                <w:color w:val="auto"/>
              </w:rPr>
            </w:pPr>
            <w:r>
              <w:rPr>
                <w:rFonts w:ascii="Arial" w:cs="Arial" w:eastAsia="Arial" w:hAnsi="Arial"/>
                <w:sz w:val="17"/>
                <w:szCs w:val="17"/>
                <w:color w:val="auto"/>
              </w:rPr>
              <w:t>001-40429</w:t>
            </w:r>
          </w:p>
        </w:tc>
        <w:tc>
          <w:tcPr>
            <w:tcW w:w="1000" w:type="dxa"/>
            <w:vAlign w:val="bottom"/>
            <w:gridSpan w:val="2"/>
            <w:vMerge w:val="restart"/>
          </w:tcPr>
          <w:p>
            <w:pPr>
              <w:jc w:val="center"/>
              <w:ind w:left="35"/>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4"/>
                <w:szCs w:val="14"/>
                <w:color w:val="auto"/>
              </w:rPr>
            </w:pPr>
          </w:p>
        </w:tc>
        <w:tc>
          <w:tcPr>
            <w:tcW w:w="1260" w:type="dxa"/>
            <w:vAlign w:val="bottom"/>
            <w:vMerge w:val="restart"/>
          </w:tcPr>
          <w:p>
            <w:pPr>
              <w:jc w:val="center"/>
              <w:ind w:right="55"/>
              <w:spacing w:after="0"/>
              <w:rPr>
                <w:sz w:val="20"/>
                <w:szCs w:val="20"/>
                <w:color w:val="auto"/>
              </w:rPr>
            </w:pPr>
            <w:r>
              <w:rPr>
                <w:rFonts w:ascii="Arial" w:cs="Arial" w:eastAsia="Arial" w:hAnsi="Arial"/>
                <w:sz w:val="17"/>
                <w:szCs w:val="17"/>
                <w:color w:val="auto"/>
              </w:rPr>
              <w:t>November 14,</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gridSpan w:val="17"/>
          </w:tcPr>
          <w:p>
            <w:pPr>
              <w:spacing w:after="0" w:line="182" w:lineRule="exact"/>
              <w:rPr>
                <w:rFonts w:ascii="Arial" w:cs="Arial" w:eastAsia="Arial" w:hAnsi="Arial"/>
                <w:sz w:val="17"/>
                <w:szCs w:val="17"/>
                <w:color w:val="0000FF"/>
              </w:rPr>
            </w:pPr>
            <w:hyperlink r:id="rId187">
              <w:r>
                <w:rPr>
                  <w:rFonts w:ascii="Arial" w:cs="Arial" w:eastAsia="Arial" w:hAnsi="Arial"/>
                  <w:sz w:val="17"/>
                  <w:szCs w:val="17"/>
                  <w:color w:val="0000FF"/>
                </w:rPr>
                <w:t>Amended and Restated Bylaws of Paymentus Holdings,</w:t>
              </w:r>
            </w:hyperlink>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14"/>
                <w:szCs w:val="14"/>
                <w:color w:val="auto"/>
              </w:rPr>
            </w:pPr>
          </w:p>
        </w:tc>
        <w:tc>
          <w:tcPr>
            <w:tcW w:w="280" w:type="dxa"/>
            <w:vAlign w:val="bottom"/>
            <w:tcBorders>
              <w:top w:val="single" w:sz="8" w:color="0000FF"/>
              <w:bottom w:val="single" w:sz="8" w:color="0000FF"/>
            </w:tcBorders>
          </w:tcPr>
          <w:p>
            <w:pPr>
              <w:spacing w:after="0" w:line="169" w:lineRule="exact"/>
              <w:rPr>
                <w:rFonts w:ascii="Arial" w:cs="Arial" w:eastAsia="Arial" w:hAnsi="Arial"/>
                <w:sz w:val="17"/>
                <w:szCs w:val="17"/>
                <w:color w:val="0000FF"/>
                <w:w w:val="94"/>
              </w:rPr>
            </w:pPr>
            <w:hyperlink r:id="rId187">
              <w:r>
                <w:rPr>
                  <w:rFonts w:ascii="Arial" w:cs="Arial" w:eastAsia="Arial" w:hAnsi="Arial"/>
                  <w:sz w:val="17"/>
                  <w:szCs w:val="17"/>
                  <w:color w:val="0000FF"/>
                  <w:w w:val="94"/>
                </w:rPr>
                <w:t>Inc.</w:t>
              </w:r>
            </w:hyperlink>
          </w:p>
        </w:tc>
        <w:tc>
          <w:tcPr>
            <w:tcW w:w="20" w:type="dxa"/>
            <w:vAlign w:val="bottom"/>
            <w:tcBorders>
              <w:top w:val="single" w:sz="8" w:color="0000FF"/>
              <w:bottom w:val="single" w:sz="8" w:color="0000EE"/>
            </w:tcBorders>
          </w:tcPr>
          <w:p>
            <w:pPr>
              <w:spacing w:after="0"/>
              <w:rPr>
                <w:sz w:val="14"/>
                <w:szCs w:val="14"/>
                <w:color w:val="auto"/>
              </w:rPr>
            </w:pPr>
          </w:p>
        </w:tc>
        <w:tc>
          <w:tcPr>
            <w:tcW w:w="39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Arial" w:cs="Arial" w:eastAsia="Arial" w:hAnsi="Arial"/>
                <w:sz w:val="17"/>
                <w:szCs w:val="17"/>
                <w:color w:val="auto"/>
              </w:rPr>
              <w:t>2022</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2"/>
        </w:trPr>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gridSpan w:val="17"/>
          </w:tcPr>
          <w:p>
            <w:pPr>
              <w:spacing w:after="0" w:line="182" w:lineRule="exact"/>
              <w:rPr>
                <w:sz w:val="20"/>
                <w:szCs w:val="20"/>
                <w:color w:val="auto"/>
              </w:rPr>
            </w:pPr>
            <w:r>
              <w:rPr>
                <w:rFonts w:ascii="Arial" w:cs="Arial" w:eastAsia="Arial" w:hAnsi="Arial"/>
                <w:sz w:val="17"/>
                <w:szCs w:val="17"/>
                <w:color w:val="0000FF"/>
              </w:rPr>
              <w:t>Certification of Principal Executive Officer Pursuant to</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7"/>
                <w:szCs w:val="17"/>
                <w:color w:val="0000FF"/>
              </w:rPr>
              <w:t>Rules 13a-14(a) and 15d-14(a) under the Securities</w:t>
            </w:r>
          </w:p>
        </w:tc>
        <w:tc>
          <w:tcPr>
            <w:tcW w:w="160" w:type="dxa"/>
            <w:vAlign w:val="bottom"/>
            <w:tcBorders>
              <w:top w:val="single" w:sz="8" w:color="0000FF"/>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gridSpan w:val="17"/>
          </w:tcPr>
          <w:p>
            <w:pPr>
              <w:spacing w:after="0" w:line="169" w:lineRule="exact"/>
              <w:rPr>
                <w:sz w:val="20"/>
                <w:szCs w:val="20"/>
                <w:color w:val="auto"/>
              </w:rPr>
            </w:pPr>
            <w:r>
              <w:rPr>
                <w:rFonts w:ascii="Arial" w:cs="Arial" w:eastAsia="Arial" w:hAnsi="Arial"/>
                <w:sz w:val="17"/>
                <w:szCs w:val="17"/>
                <w:color w:val="0000FF"/>
              </w:rPr>
              <w:t>Exchange Act of 1934, as Adopted Pursuant to Section</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4"/>
                <w:szCs w:val="14"/>
                <w:color w:val="auto"/>
              </w:rPr>
            </w:pPr>
          </w:p>
        </w:tc>
        <w:tc>
          <w:tcPr>
            <w:tcW w:w="422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7"/>
                <w:szCs w:val="17"/>
                <w:color w:val="0000FF"/>
              </w:rPr>
              <w:t>302 of the Sarbanes-Oxley Act of 2002.</w:t>
            </w: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gridSpan w:val="17"/>
          </w:tcPr>
          <w:p>
            <w:pPr>
              <w:spacing w:after="0" w:line="182" w:lineRule="exact"/>
              <w:rPr>
                <w:sz w:val="20"/>
                <w:szCs w:val="20"/>
                <w:color w:val="auto"/>
              </w:rPr>
            </w:pPr>
            <w:r>
              <w:rPr>
                <w:rFonts w:ascii="Arial" w:cs="Arial" w:eastAsia="Arial" w:hAnsi="Arial"/>
                <w:sz w:val="17"/>
                <w:szCs w:val="17"/>
                <w:color w:val="0000FF"/>
              </w:rPr>
              <w:t>Certification of Principal Financial Officer Pursuant to</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7"/>
                <w:szCs w:val="17"/>
                <w:color w:val="0000FF"/>
              </w:rPr>
              <w:t>Rules 13a-14(a) and 15d-14(a) under the Securities</w:t>
            </w:r>
          </w:p>
        </w:tc>
        <w:tc>
          <w:tcPr>
            <w:tcW w:w="80" w:type="dxa"/>
            <w:vAlign w:val="bottom"/>
            <w:tcBorders>
              <w:top w:val="single" w:sz="8" w:color="0000FF"/>
            </w:tcBorders>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gridSpan w:val="17"/>
          </w:tcPr>
          <w:p>
            <w:pPr>
              <w:spacing w:after="0" w:line="169" w:lineRule="exact"/>
              <w:rPr>
                <w:sz w:val="20"/>
                <w:szCs w:val="20"/>
                <w:color w:val="auto"/>
              </w:rPr>
            </w:pPr>
            <w:r>
              <w:rPr>
                <w:rFonts w:ascii="Arial" w:cs="Arial" w:eastAsia="Arial" w:hAnsi="Arial"/>
                <w:sz w:val="17"/>
                <w:szCs w:val="17"/>
                <w:color w:val="0000FF"/>
              </w:rPr>
              <w:t>Exchange Act of 1934, as Adopted Pursuant to Section</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32.1*</w:t>
            </w:r>
          </w:p>
        </w:tc>
        <w:tc>
          <w:tcPr>
            <w:tcW w:w="120" w:type="dxa"/>
            <w:vAlign w:val="bottom"/>
          </w:tcPr>
          <w:p>
            <w:pPr>
              <w:spacing w:after="0"/>
              <w:rPr>
                <w:sz w:val="14"/>
                <w:szCs w:val="14"/>
                <w:color w:val="auto"/>
              </w:rPr>
            </w:pPr>
          </w:p>
        </w:tc>
        <w:tc>
          <w:tcPr>
            <w:tcW w:w="422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7"/>
                <w:szCs w:val="17"/>
                <w:color w:val="0000FF"/>
              </w:rPr>
              <w:t>302 of the Sarbanes-Oxley Act of 2002.</w:t>
            </w: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gridSpan w:val="17"/>
          </w:tcPr>
          <w:p>
            <w:pPr>
              <w:spacing w:after="0" w:line="182" w:lineRule="exact"/>
              <w:rPr>
                <w:sz w:val="20"/>
                <w:szCs w:val="20"/>
                <w:color w:val="auto"/>
              </w:rPr>
            </w:pPr>
            <w:r>
              <w:rPr>
                <w:rFonts w:ascii="Arial" w:cs="Arial" w:eastAsia="Arial" w:hAnsi="Arial"/>
                <w:sz w:val="17"/>
                <w:szCs w:val="17"/>
                <w:color w:val="0000FF"/>
              </w:rPr>
              <w:t>Certification of Principal Executive Officer Pursuant to</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2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7"/>
                <w:szCs w:val="17"/>
                <w:color w:val="0000FF"/>
              </w:rPr>
              <w:t>18 U.S.C. Section 1350, as Adopted Pursuant to</w:t>
            </w:r>
          </w:p>
        </w:tc>
        <w:tc>
          <w:tcPr>
            <w:tcW w:w="14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32.2*</w:t>
            </w:r>
          </w:p>
        </w:tc>
        <w:tc>
          <w:tcPr>
            <w:tcW w:w="120" w:type="dxa"/>
            <w:vAlign w:val="bottom"/>
          </w:tcPr>
          <w:p>
            <w:pPr>
              <w:spacing w:after="0"/>
              <w:rPr>
                <w:sz w:val="14"/>
                <w:szCs w:val="14"/>
                <w:color w:val="auto"/>
              </w:rPr>
            </w:pPr>
          </w:p>
        </w:tc>
        <w:tc>
          <w:tcPr>
            <w:tcW w:w="370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7"/>
                <w:szCs w:val="17"/>
                <w:color w:val="0000FF"/>
              </w:rPr>
              <w:t>Section 906 of the Sarbanes-Oxley Act of 2002.</w:t>
            </w:r>
          </w:p>
        </w:tc>
        <w:tc>
          <w:tcPr>
            <w:tcW w:w="400" w:type="dxa"/>
            <w:vAlign w:val="bottom"/>
            <w:gridSpan w:val="5"/>
          </w:tcPr>
          <w:p>
            <w:pPr>
              <w:spacing w:after="0"/>
              <w:rPr>
                <w:sz w:val="14"/>
                <w:szCs w:val="14"/>
                <w:color w:val="auto"/>
              </w:rPr>
            </w:pPr>
          </w:p>
        </w:tc>
        <w:tc>
          <w:tcPr>
            <w:tcW w:w="16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5"/>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gridSpan w:val="17"/>
          </w:tcPr>
          <w:p>
            <w:pPr>
              <w:spacing w:after="0" w:line="182" w:lineRule="exact"/>
              <w:rPr>
                <w:sz w:val="20"/>
                <w:szCs w:val="20"/>
                <w:color w:val="auto"/>
              </w:rPr>
            </w:pPr>
            <w:r>
              <w:rPr>
                <w:rFonts w:ascii="Arial" w:cs="Arial" w:eastAsia="Arial" w:hAnsi="Arial"/>
                <w:sz w:val="17"/>
                <w:szCs w:val="17"/>
                <w:color w:val="0000FF"/>
              </w:rPr>
              <w:t>Certification of Principal Financial Officer Pursuant to 18</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7"/>
                <w:szCs w:val="17"/>
                <w:color w:val="0000FF"/>
              </w:rPr>
              <w:t>U.S.C. Section 1350, as Adopted Pursuant to Section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vMerge w:val="restart"/>
          </w:tcPr>
          <w:p>
            <w:pPr>
              <w:ind w:left="20"/>
              <w:spacing w:after="0"/>
              <w:rPr>
                <w:sz w:val="20"/>
                <w:szCs w:val="20"/>
                <w:color w:val="auto"/>
              </w:rPr>
            </w:pPr>
            <w:r>
              <w:rPr>
                <w:rFonts w:ascii="Arial" w:cs="Arial" w:eastAsia="Arial" w:hAnsi="Arial"/>
                <w:sz w:val="17"/>
                <w:szCs w:val="17"/>
                <w:color w:val="auto"/>
              </w:rPr>
              <w:t>101.INS</w:t>
            </w:r>
          </w:p>
        </w:tc>
        <w:tc>
          <w:tcPr>
            <w:tcW w:w="120" w:type="dxa"/>
            <w:vAlign w:val="bottom"/>
          </w:tcPr>
          <w:p>
            <w:pPr>
              <w:spacing w:after="0"/>
              <w:rPr>
                <w:sz w:val="14"/>
                <w:szCs w:val="14"/>
                <w:color w:val="auto"/>
              </w:rPr>
            </w:pPr>
          </w:p>
        </w:tc>
        <w:tc>
          <w:tcPr>
            <w:tcW w:w="3040" w:type="dxa"/>
            <w:vAlign w:val="bottom"/>
            <w:tcBorders>
              <w:top w:val="single" w:sz="8" w:color="0000FF"/>
              <w:bottom w:val="single" w:sz="8" w:color="0000EE"/>
            </w:tcBorders>
            <w:gridSpan w:val="5"/>
          </w:tcPr>
          <w:p>
            <w:pPr>
              <w:spacing w:after="0" w:line="169" w:lineRule="exact"/>
              <w:rPr>
                <w:sz w:val="20"/>
                <w:szCs w:val="20"/>
                <w:color w:val="auto"/>
              </w:rPr>
            </w:pPr>
            <w:r>
              <w:rPr>
                <w:rFonts w:ascii="Arial" w:cs="Arial" w:eastAsia="Arial" w:hAnsi="Arial"/>
                <w:sz w:val="17"/>
                <w:szCs w:val="17"/>
                <w:color w:val="0000FF"/>
              </w:rPr>
              <w:t>906 of the Sarbanes-Oxley Act of 2002.</w:t>
            </w:r>
          </w:p>
        </w:tc>
        <w:tc>
          <w:tcPr>
            <w:tcW w:w="1060" w:type="dxa"/>
            <w:vAlign w:val="bottom"/>
            <w:tcBorders>
              <w:top w:val="single" w:sz="8" w:color="0000FF"/>
            </w:tcBorders>
            <w:gridSpan w:val="8"/>
          </w:tcPr>
          <w:p>
            <w:pPr>
              <w:spacing w:after="0"/>
              <w:rPr>
                <w:sz w:val="14"/>
                <w:szCs w:val="14"/>
                <w:color w:val="auto"/>
              </w:rPr>
            </w:pPr>
          </w:p>
        </w:tc>
        <w:tc>
          <w:tcPr>
            <w:tcW w:w="16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gridSpan w:val="17"/>
          </w:tcPr>
          <w:p>
            <w:pPr>
              <w:spacing w:after="0" w:line="187" w:lineRule="exact"/>
              <w:rPr>
                <w:sz w:val="20"/>
                <w:szCs w:val="20"/>
                <w:color w:val="auto"/>
              </w:rPr>
            </w:pPr>
            <w:r>
              <w:rPr>
                <w:rFonts w:ascii="Arial" w:cs="Arial" w:eastAsia="Arial" w:hAnsi="Arial"/>
                <w:sz w:val="17"/>
                <w:szCs w:val="17"/>
                <w:color w:val="auto"/>
              </w:rPr>
              <w:t>Inline XBRL Instance Document – the instance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gridSpan w:val="17"/>
          </w:tcPr>
          <w:p>
            <w:pPr>
              <w:spacing w:after="0" w:line="189" w:lineRule="exact"/>
              <w:rPr>
                <w:sz w:val="20"/>
                <w:szCs w:val="20"/>
                <w:color w:val="auto"/>
              </w:rPr>
            </w:pPr>
            <w:r>
              <w:rPr>
                <w:rFonts w:ascii="Arial" w:cs="Arial" w:eastAsia="Arial" w:hAnsi="Arial"/>
                <w:sz w:val="17"/>
                <w:szCs w:val="17"/>
                <w:color w:val="auto"/>
              </w:rPr>
              <w:t>document does not appear in the Interactive Data File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gridSpan w:val="17"/>
          </w:tcPr>
          <w:p>
            <w:pPr>
              <w:spacing w:after="0" w:line="189" w:lineRule="exact"/>
              <w:rPr>
                <w:sz w:val="20"/>
                <w:szCs w:val="20"/>
                <w:color w:val="auto"/>
              </w:rPr>
            </w:pPr>
            <w:r>
              <w:rPr>
                <w:rFonts w:ascii="Arial" w:cs="Arial" w:eastAsia="Arial" w:hAnsi="Arial"/>
                <w:sz w:val="17"/>
                <w:szCs w:val="17"/>
                <w:color w:val="auto"/>
              </w:rPr>
              <w:t>because XBRL tags are embedded within the Inline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17"/>
          </w:tcPr>
          <w:p>
            <w:pPr>
              <w:spacing w:after="0"/>
              <w:rPr>
                <w:sz w:val="20"/>
                <w:szCs w:val="20"/>
                <w:color w:val="auto"/>
              </w:rPr>
            </w:pPr>
            <w:r>
              <w:rPr>
                <w:rFonts w:ascii="Arial" w:cs="Arial" w:eastAsia="Arial" w:hAnsi="Arial"/>
                <w:sz w:val="17"/>
                <w:szCs w:val="17"/>
                <w:color w:val="auto"/>
              </w:rPr>
              <w:t>XBRL document.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Pr>
          <w:p>
            <w:pPr>
              <w:ind w:left="20"/>
              <w:spacing w:after="0"/>
              <w:rPr>
                <w:sz w:val="20"/>
                <w:szCs w:val="20"/>
                <w:color w:val="auto"/>
              </w:rPr>
            </w:pPr>
            <w:r>
              <w:rPr>
                <w:rFonts w:ascii="Arial" w:cs="Arial" w:eastAsia="Arial" w:hAnsi="Arial"/>
                <w:sz w:val="17"/>
                <w:szCs w:val="17"/>
                <w:color w:val="auto"/>
              </w:rPr>
              <w:t>101.SCH</w:t>
            </w:r>
          </w:p>
        </w:tc>
        <w:tc>
          <w:tcPr>
            <w:tcW w:w="120" w:type="dxa"/>
            <w:vAlign w:val="bottom"/>
          </w:tcPr>
          <w:p>
            <w:pPr>
              <w:spacing w:after="0"/>
              <w:rPr>
                <w:sz w:val="17"/>
                <w:szCs w:val="17"/>
                <w:color w:val="auto"/>
              </w:rPr>
            </w:pPr>
          </w:p>
        </w:tc>
        <w:tc>
          <w:tcPr>
            <w:tcW w:w="4260" w:type="dxa"/>
            <w:vAlign w:val="bottom"/>
            <w:gridSpan w:val="17"/>
          </w:tcPr>
          <w:p>
            <w:pPr>
              <w:spacing w:after="0"/>
              <w:rPr>
                <w:sz w:val="20"/>
                <w:szCs w:val="20"/>
                <w:color w:val="auto"/>
              </w:rPr>
            </w:pPr>
            <w:r>
              <w:rPr>
                <w:rFonts w:ascii="Arial" w:cs="Arial" w:eastAsia="Arial" w:hAnsi="Arial"/>
                <w:sz w:val="17"/>
                <w:szCs w:val="17"/>
                <w:color w:val="auto"/>
              </w:rPr>
              <w:t>Inline XBRL Taxonomy Extension Schema Document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7"/>
                <w:szCs w:val="17"/>
                <w:color w:val="auto"/>
              </w:rPr>
              <w:t>101.CAL</w:t>
            </w:r>
          </w:p>
        </w:tc>
        <w:tc>
          <w:tcPr>
            <w:tcW w:w="120" w:type="dxa"/>
            <w:vAlign w:val="bottom"/>
          </w:tcPr>
          <w:p>
            <w:pPr>
              <w:spacing w:after="0"/>
              <w:rPr>
                <w:sz w:val="16"/>
                <w:szCs w:val="16"/>
                <w:color w:val="auto"/>
              </w:rPr>
            </w:pPr>
          </w:p>
        </w:tc>
        <w:tc>
          <w:tcPr>
            <w:tcW w:w="4260" w:type="dxa"/>
            <w:vAlign w:val="bottom"/>
            <w:gridSpan w:val="17"/>
          </w:tcPr>
          <w:p>
            <w:pPr>
              <w:spacing w:after="0" w:line="189" w:lineRule="exact"/>
              <w:rPr>
                <w:sz w:val="20"/>
                <w:szCs w:val="20"/>
                <w:color w:val="auto"/>
              </w:rPr>
            </w:pPr>
            <w:r>
              <w:rPr>
                <w:rFonts w:ascii="Arial" w:cs="Arial" w:eastAsia="Arial" w:hAnsi="Arial"/>
                <w:sz w:val="17"/>
                <w:szCs w:val="17"/>
                <w:color w:val="auto"/>
              </w:rPr>
              <w:t>Inline XBRL Taxonomy Extension Calculation Linkbase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17"/>
          </w:tcPr>
          <w:p>
            <w:pPr>
              <w:spacing w:after="0"/>
              <w:rPr>
                <w:sz w:val="20"/>
                <w:szCs w:val="20"/>
                <w:color w:val="auto"/>
              </w:rPr>
            </w:pPr>
            <w:r>
              <w:rPr>
                <w:rFonts w:ascii="Arial" w:cs="Arial" w:eastAsia="Arial" w:hAnsi="Arial"/>
                <w:sz w:val="17"/>
                <w:szCs w:val="17"/>
                <w:color w:val="auto"/>
              </w:rPr>
              <w:t>Document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7"/>
                <w:szCs w:val="17"/>
                <w:color w:val="auto"/>
              </w:rPr>
              <w:t>101.DEF</w:t>
            </w:r>
          </w:p>
        </w:tc>
        <w:tc>
          <w:tcPr>
            <w:tcW w:w="120" w:type="dxa"/>
            <w:vAlign w:val="bottom"/>
          </w:tcPr>
          <w:p>
            <w:pPr>
              <w:spacing w:after="0"/>
              <w:rPr>
                <w:sz w:val="16"/>
                <w:szCs w:val="16"/>
                <w:color w:val="auto"/>
              </w:rPr>
            </w:pPr>
          </w:p>
        </w:tc>
        <w:tc>
          <w:tcPr>
            <w:tcW w:w="4260" w:type="dxa"/>
            <w:vAlign w:val="bottom"/>
            <w:gridSpan w:val="17"/>
          </w:tcPr>
          <w:p>
            <w:pPr>
              <w:spacing w:after="0" w:line="189" w:lineRule="exact"/>
              <w:rPr>
                <w:sz w:val="20"/>
                <w:szCs w:val="20"/>
                <w:color w:val="auto"/>
              </w:rPr>
            </w:pPr>
            <w:r>
              <w:rPr>
                <w:rFonts w:ascii="Arial" w:cs="Arial" w:eastAsia="Arial" w:hAnsi="Arial"/>
                <w:sz w:val="17"/>
                <w:szCs w:val="17"/>
                <w:color w:val="auto"/>
              </w:rPr>
              <w:t>Inline XBRL Taxonomy Extension Definition Linkbase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17"/>
          </w:tcPr>
          <w:p>
            <w:pPr>
              <w:spacing w:after="0"/>
              <w:rPr>
                <w:sz w:val="20"/>
                <w:szCs w:val="20"/>
                <w:color w:val="auto"/>
              </w:rPr>
            </w:pPr>
            <w:r>
              <w:rPr>
                <w:rFonts w:ascii="Arial" w:cs="Arial" w:eastAsia="Arial" w:hAnsi="Arial"/>
                <w:sz w:val="17"/>
                <w:szCs w:val="17"/>
                <w:color w:val="auto"/>
              </w:rPr>
              <w:t>Document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7"/>
                <w:szCs w:val="17"/>
                <w:color w:val="auto"/>
              </w:rPr>
              <w:t>101.LAB</w:t>
            </w:r>
          </w:p>
        </w:tc>
        <w:tc>
          <w:tcPr>
            <w:tcW w:w="120" w:type="dxa"/>
            <w:vAlign w:val="bottom"/>
          </w:tcPr>
          <w:p>
            <w:pPr>
              <w:spacing w:after="0"/>
              <w:rPr>
                <w:sz w:val="16"/>
                <w:szCs w:val="16"/>
                <w:color w:val="auto"/>
              </w:rPr>
            </w:pPr>
          </w:p>
        </w:tc>
        <w:tc>
          <w:tcPr>
            <w:tcW w:w="4260" w:type="dxa"/>
            <w:vAlign w:val="bottom"/>
            <w:gridSpan w:val="17"/>
          </w:tcPr>
          <w:p>
            <w:pPr>
              <w:spacing w:after="0" w:line="189" w:lineRule="exact"/>
              <w:rPr>
                <w:sz w:val="20"/>
                <w:szCs w:val="20"/>
                <w:color w:val="auto"/>
              </w:rPr>
            </w:pPr>
            <w:r>
              <w:rPr>
                <w:rFonts w:ascii="Arial" w:cs="Arial" w:eastAsia="Arial" w:hAnsi="Arial"/>
                <w:sz w:val="17"/>
                <w:szCs w:val="17"/>
                <w:color w:val="auto"/>
              </w:rPr>
              <w:t>Inline XBRL Taxonomy Extension Label Linkbase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gridSpan w:val="17"/>
          </w:tcPr>
          <w:p>
            <w:pPr>
              <w:spacing w:after="0"/>
              <w:rPr>
                <w:sz w:val="20"/>
                <w:szCs w:val="20"/>
                <w:color w:val="auto"/>
              </w:rPr>
            </w:pPr>
            <w:r>
              <w:rPr>
                <w:rFonts w:ascii="Arial" w:cs="Arial" w:eastAsia="Arial" w:hAnsi="Arial"/>
                <w:sz w:val="17"/>
                <w:szCs w:val="17"/>
                <w:color w:val="auto"/>
              </w:rPr>
              <w:t>Document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7"/>
                <w:szCs w:val="17"/>
                <w:color w:val="auto"/>
              </w:rPr>
              <w:t>101.PRE</w:t>
            </w:r>
          </w:p>
        </w:tc>
        <w:tc>
          <w:tcPr>
            <w:tcW w:w="120" w:type="dxa"/>
            <w:vAlign w:val="bottom"/>
          </w:tcPr>
          <w:p>
            <w:pPr>
              <w:spacing w:after="0"/>
              <w:rPr>
                <w:sz w:val="16"/>
                <w:szCs w:val="16"/>
                <w:color w:val="auto"/>
              </w:rPr>
            </w:pPr>
          </w:p>
        </w:tc>
        <w:tc>
          <w:tcPr>
            <w:tcW w:w="4260" w:type="dxa"/>
            <w:vAlign w:val="bottom"/>
            <w:gridSpan w:val="17"/>
          </w:tcPr>
          <w:p>
            <w:pPr>
              <w:spacing w:after="0" w:line="189" w:lineRule="exact"/>
              <w:rPr>
                <w:sz w:val="20"/>
                <w:szCs w:val="20"/>
                <w:color w:val="auto"/>
              </w:rPr>
            </w:pPr>
            <w:r>
              <w:rPr>
                <w:rFonts w:ascii="Arial" w:cs="Arial" w:eastAsia="Arial" w:hAnsi="Arial"/>
                <w:sz w:val="17"/>
                <w:szCs w:val="17"/>
                <w:color w:val="auto"/>
              </w:rPr>
              <w:t>Inline XBRL Taxonomy Extension Presentation</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gridSpan w:val="17"/>
          </w:tcPr>
          <w:p>
            <w:pPr>
              <w:spacing w:after="0"/>
              <w:rPr>
                <w:sz w:val="20"/>
                <w:szCs w:val="20"/>
                <w:color w:val="auto"/>
              </w:rPr>
            </w:pPr>
            <w:r>
              <w:rPr>
                <w:rFonts w:ascii="Arial" w:cs="Arial" w:eastAsia="Arial" w:hAnsi="Arial"/>
                <w:sz w:val="17"/>
                <w:szCs w:val="17"/>
                <w:color w:val="auto"/>
              </w:rPr>
              <w:t>Linkbase Document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160" w:right="6020" w:hanging="1024"/>
        <w:spacing w:after="0" w:line="247" w:lineRule="auto"/>
        <w:tabs>
          <w:tab w:leader="none" w:pos="11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83" w:lineRule="exact"/>
        <w:rPr>
          <w:rFonts w:ascii="Arial" w:cs="Arial" w:eastAsia="Arial" w:hAnsi="Arial"/>
          <w:sz w:val="17"/>
          <w:szCs w:val="17"/>
          <w:color w:val="auto"/>
        </w:rPr>
      </w:pPr>
    </w:p>
    <w:p>
      <w:pPr>
        <w:ind w:right="40" w:firstLine="40"/>
        <w:spacing w:after="0" w:line="246" w:lineRule="auto"/>
        <w:rPr>
          <w:rFonts w:ascii="Arial" w:cs="Arial" w:eastAsia="Arial" w:hAnsi="Arial"/>
          <w:sz w:val="17"/>
          <w:szCs w:val="17"/>
          <w:color w:val="auto"/>
        </w:rPr>
      </w:pPr>
      <w:r>
        <w:rPr>
          <w:rFonts w:ascii="Arial" w:cs="Arial" w:eastAsia="Arial" w:hAnsi="Arial"/>
          <w:sz w:val="18"/>
          <w:szCs w:val="18"/>
          <w:color w:val="auto"/>
        </w:rPr>
        <w:t>* The certifications attached as Exhibit 32.1 and 32.2 that accompany this report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report, irrespective of any general incorporation language contained in such filing.</w:t>
      </w:r>
    </w:p>
    <w:p>
      <w:pPr>
        <w:spacing w:after="0" w:line="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6" w:name="page27"/>
    <w:bookmarkEnd w:id="26"/>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PAYMENTUS HOLDINGS, INC.</w:t>
      </w:r>
    </w:p>
    <w:p>
      <w:pPr>
        <w:spacing w:after="0" w:line="225"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May 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17780</wp:posOffset>
            </wp:positionV>
            <wp:extent cx="32619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Dushyant Sharma</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(Principal Executive Officer)</w:t>
      </w:r>
    </w:p>
    <w:p>
      <w:pPr>
        <w:spacing w:after="0" w:line="207"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May 6,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17780</wp:posOffset>
            </wp:positionV>
            <wp:extent cx="35363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Sanjay Kalra</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3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0" w:right="739" w:bottom="1440" w:gutter="0" w:footer="0" w:header="0"/>
        </w:sectPr>
      </w:pPr>
    </w:p>
    <w:bookmarkStart w:id="27" w:name="page28"/>
    <w:bookmarkEnd w:id="27"/>
    <w:p>
      <w:pPr>
        <w:ind w:left="8520"/>
        <w:spacing w:after="0"/>
        <w:rPr>
          <w:sz w:val="20"/>
          <w:szCs w:val="20"/>
          <w:color w:val="auto"/>
        </w:rPr>
      </w:pPr>
      <w:r>
        <w:rPr>
          <w:rFonts w:ascii="Arial" w:cs="Arial" w:eastAsia="Arial" w:hAnsi="Arial"/>
          <w:sz w:val="16"/>
          <w:szCs w:val="16"/>
          <w:b w:val="1"/>
          <w:bCs w:val="1"/>
          <w:color w:val="auto"/>
        </w:rPr>
        <w:t>Exhibit 31.1</w:t>
      </w:r>
    </w:p>
    <w:p>
      <w:pPr>
        <w:spacing w:after="0" w:line="153" w:lineRule="exact"/>
        <w:rPr>
          <w:sz w:val="20"/>
          <w:szCs w:val="20"/>
          <w:color w:val="auto"/>
        </w:rPr>
      </w:pPr>
    </w:p>
    <w:p>
      <w:pPr>
        <w:jc w:val="center"/>
        <w:ind w:left="340" w:right="2280"/>
        <w:spacing w:after="0" w:line="271"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21"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0"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6"/>
          <w:szCs w:val="16"/>
          <w:color w:val="auto"/>
        </w:rPr>
      </w:pPr>
    </w:p>
    <w:p>
      <w:pPr>
        <w:ind w:left="380" w:right="500" w:hanging="372"/>
        <w:spacing w:after="0" w:line="285"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380" w:right="120" w:hanging="372"/>
        <w:spacing w:after="0" w:line="266"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6"/>
          <w:szCs w:val="16"/>
          <w:color w:val="auto"/>
        </w:rPr>
      </w:pPr>
    </w:p>
    <w:p>
      <w:pPr>
        <w:ind w:left="1060" w:right="180" w:hanging="678"/>
        <w:spacing w:after="0" w:line="266"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6"/>
          <w:szCs w:val="16"/>
          <w:color w:val="auto"/>
        </w:rPr>
      </w:pPr>
    </w:p>
    <w:p>
      <w:pPr>
        <w:ind w:left="1060" w:right="400" w:hanging="678"/>
        <w:spacing w:after="0" w:line="266"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1060" w:right="400" w:hanging="678"/>
        <w:spacing w:after="0" w:line="285"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6"/>
          <w:szCs w:val="16"/>
          <w:color w:val="auto"/>
        </w:rPr>
      </w:pPr>
    </w:p>
    <w:p>
      <w:pPr>
        <w:ind w:left="380" w:right="440" w:hanging="372"/>
        <w:spacing w:after="0" w:line="285"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060" w:right="360" w:hanging="678"/>
        <w:spacing w:after="0" w:line="285"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6"/>
          <w:szCs w:val="16"/>
          <w:color w:val="auto"/>
        </w:rPr>
      </w:pPr>
    </w:p>
    <w:p>
      <w:pPr>
        <w:ind w:left="1060" w:right="300" w:hanging="678"/>
        <w:spacing w:after="0" w:line="285" w:lineRule="auto"/>
        <w:tabs>
          <w:tab w:leader="none" w:pos="746"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20"/>
        <w:spacing w:after="0"/>
        <w:tabs>
          <w:tab w:leader="none" w:pos="5660" w:val="left"/>
          <w:tab w:leader="none" w:pos="7820" w:val="left"/>
        </w:tabs>
        <w:rPr>
          <w:sz w:val="20"/>
          <w:szCs w:val="20"/>
          <w:color w:val="auto"/>
        </w:rPr>
      </w:pPr>
      <w:r>
        <w:rPr>
          <w:rFonts w:ascii="Arial" w:cs="Arial" w:eastAsia="Arial" w:hAnsi="Arial"/>
          <w:sz w:val="16"/>
          <w:szCs w:val="16"/>
          <w:color w:val="auto"/>
        </w:rPr>
        <w:t>Date: May 6,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20320</wp:posOffset>
            </wp:positionV>
            <wp:extent cx="332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24"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1427480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0" w:right="359" w:bottom="1440" w:gutter="0" w:footer="0" w:header="0"/>
        </w:sectPr>
      </w:pPr>
    </w:p>
    <w:bookmarkStart w:id="28" w:name="page29"/>
    <w:bookmarkEnd w:id="28"/>
    <w:p>
      <w:pPr>
        <w:ind w:left="1030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40" w:right="2300"/>
        <w:spacing w:after="0" w:line="271"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I, Sanjay Kalra, certify that:</w:t>
      </w:r>
    </w:p>
    <w:p>
      <w:pPr>
        <w:spacing w:after="0" w:line="221"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20"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6"/>
          <w:szCs w:val="16"/>
          <w:color w:val="auto"/>
        </w:rPr>
      </w:pPr>
    </w:p>
    <w:p>
      <w:pPr>
        <w:ind w:left="380" w:right="500" w:hanging="372"/>
        <w:spacing w:after="0" w:line="285"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380" w:right="120" w:hanging="372"/>
        <w:spacing w:after="0" w:line="266"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6"/>
          <w:szCs w:val="16"/>
          <w:color w:val="auto"/>
        </w:rPr>
      </w:pPr>
    </w:p>
    <w:p>
      <w:pPr>
        <w:ind w:left="1060" w:right="180" w:hanging="678"/>
        <w:spacing w:after="0" w:line="266"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ind w:left="1060" w:right="400" w:hanging="678"/>
        <w:spacing w:after="0" w:line="266"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1060" w:right="400" w:hanging="678"/>
        <w:spacing w:after="0" w:line="285"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6"/>
          <w:szCs w:val="16"/>
          <w:color w:val="auto"/>
        </w:rPr>
      </w:pPr>
    </w:p>
    <w:p>
      <w:pPr>
        <w:ind w:left="1060" w:hanging="678"/>
        <w:spacing w:after="0" w:line="266"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6"/>
          <w:szCs w:val="16"/>
          <w:color w:val="auto"/>
        </w:rPr>
      </w:pPr>
    </w:p>
    <w:p>
      <w:pPr>
        <w:ind w:left="380" w:right="440" w:hanging="372"/>
        <w:spacing w:after="0" w:line="285"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060" w:right="360" w:hanging="678"/>
        <w:spacing w:after="0" w:line="285"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6"/>
          <w:szCs w:val="16"/>
          <w:color w:val="auto"/>
        </w:rPr>
      </w:pPr>
    </w:p>
    <w:p>
      <w:pPr>
        <w:ind w:left="1060" w:right="300" w:hanging="678"/>
        <w:spacing w:after="0" w:line="285" w:lineRule="auto"/>
        <w:tabs>
          <w:tab w:leader="none" w:pos="74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20"/>
        <w:spacing w:after="0"/>
        <w:tabs>
          <w:tab w:leader="none" w:pos="5640" w:val="left"/>
          <w:tab w:leader="none" w:pos="8040" w:val="left"/>
        </w:tabs>
        <w:rPr>
          <w:sz w:val="20"/>
          <w:szCs w:val="20"/>
          <w:color w:val="auto"/>
        </w:rPr>
      </w:pPr>
      <w:r>
        <w:rPr>
          <w:rFonts w:ascii="Arial" w:cs="Arial" w:eastAsia="Arial" w:hAnsi="Arial"/>
          <w:sz w:val="16"/>
          <w:szCs w:val="16"/>
          <w:color w:val="auto"/>
        </w:rPr>
        <w:t>Date: May 6,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20320</wp:posOffset>
            </wp:positionV>
            <wp:extent cx="332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24"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Sanjay Kalra</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18"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1299210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0"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auto"/>
        </w:rPr>
        <w:t>Exhibit 32.1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40" w:firstLine="578"/>
        <w:spacing w:after="0" w:line="256" w:lineRule="auto"/>
        <w:rPr>
          <w:sz w:val="20"/>
          <w:szCs w:val="20"/>
          <w:color w:val="auto"/>
        </w:rPr>
      </w:pPr>
      <w:r>
        <w:rPr>
          <w:rFonts w:ascii="Arial" w:cs="Arial" w:eastAsia="Arial" w:hAnsi="Arial"/>
          <w:sz w:val="16"/>
          <w:szCs w:val="16"/>
          <w:color w:val="auto"/>
        </w:rPr>
        <w:t>In connection with the Quarterly Report on Form 10-Q of Paymentus Holdings, Inc. (the “Company”) for the three months period ended March 31, 2024 as filed with the Securities and Exchange Commission on the date hereof (the “Report”), I certify, pursuant to 18 U.S.C. § 1350, as adopted pursuant to</w:t>
      </w:r>
    </w:p>
    <w:p>
      <w:pPr>
        <w:spacing w:after="0" w:line="1"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906 of the Sarbanes-Oxley Act of 2002, that, to the best of my knowledge and belief:</w:t>
      </w:r>
    </w:p>
    <w:p>
      <w:pPr>
        <w:spacing w:after="0" w:line="218" w:lineRule="exact"/>
        <w:rPr>
          <w:rFonts w:ascii="Arial" w:cs="Arial" w:eastAsia="Arial" w:hAnsi="Arial"/>
          <w:sz w:val="16"/>
          <w:szCs w:val="16"/>
          <w:color w:val="auto"/>
        </w:rPr>
      </w:pPr>
    </w:p>
    <w:p>
      <w:pPr>
        <w:ind w:left="1020" w:hanging="999"/>
        <w:spacing w:after="0"/>
        <w:tabs>
          <w:tab w:leader="none" w:pos="10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920" w:right="800" w:hanging="899"/>
        <w:spacing w:after="0" w:line="285" w:lineRule="auto"/>
        <w:tabs>
          <w:tab w:leader="none" w:pos="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5660" w:val="left"/>
          <w:tab w:leader="none" w:pos="7840" w:val="left"/>
        </w:tabs>
        <w:rPr>
          <w:sz w:val="20"/>
          <w:szCs w:val="20"/>
          <w:color w:val="auto"/>
        </w:rPr>
      </w:pPr>
      <w:r>
        <w:rPr>
          <w:rFonts w:ascii="Arial" w:cs="Arial" w:eastAsia="Arial" w:hAnsi="Arial"/>
          <w:sz w:val="16"/>
          <w:szCs w:val="16"/>
          <w:color w:val="auto"/>
        </w:rPr>
        <w:t>Date: May 6,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20320</wp:posOffset>
            </wp:positionV>
            <wp:extent cx="332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24"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Dushyant Sharma</w:t>
      </w:r>
    </w:p>
    <w:p>
      <w:pPr>
        <w:spacing w:after="0" w:line="2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Chairman, President and,</w:t>
      </w:r>
    </w:p>
    <w:p>
      <w:pPr>
        <w:spacing w:after="0" w:line="1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Executive Officer</w:t>
      </w:r>
    </w:p>
    <w:p>
      <w:pPr>
        <w:spacing w:after="0" w:line="1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1119505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32.2</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ind w:right="40" w:firstLine="578"/>
        <w:spacing w:after="0" w:line="256" w:lineRule="auto"/>
        <w:rPr>
          <w:sz w:val="20"/>
          <w:szCs w:val="20"/>
          <w:color w:val="auto"/>
        </w:rPr>
      </w:pPr>
      <w:r>
        <w:rPr>
          <w:rFonts w:ascii="Arial" w:cs="Arial" w:eastAsia="Arial" w:hAnsi="Arial"/>
          <w:sz w:val="16"/>
          <w:szCs w:val="16"/>
          <w:color w:val="auto"/>
        </w:rPr>
        <w:t>In connection with the Quarterly Report on Form 10-Q of Paymentus Holdings, Inc. (the “Company”) for the three months period ended March 31, 2024 as filed with the Securities and Exchange Commission on the date hereof (the “Report”), I certify, pursuant to 18 U.S.C. § 1350, as adopted pursuant to</w:t>
      </w:r>
    </w:p>
    <w:p>
      <w:pPr>
        <w:spacing w:after="0" w:line="1"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906 of the Sarbanes-Oxley Act of 2002, that, to the best of my knowledge and belief:</w:t>
      </w:r>
    </w:p>
    <w:p>
      <w:pPr>
        <w:spacing w:after="0" w:line="218" w:lineRule="exact"/>
        <w:rPr>
          <w:rFonts w:ascii="Arial" w:cs="Arial" w:eastAsia="Arial" w:hAnsi="Arial"/>
          <w:sz w:val="16"/>
          <w:szCs w:val="16"/>
          <w:color w:val="auto"/>
        </w:rPr>
      </w:pPr>
    </w:p>
    <w:p>
      <w:pPr>
        <w:ind w:left="1020" w:hanging="999"/>
        <w:spacing w:after="0"/>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040" w:right="700" w:hanging="1019"/>
        <w:spacing w:after="0" w:line="285" w:lineRule="auto"/>
        <w:tabs>
          <w:tab w:leader="none" w:pos="10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as of and for the periods presented in the Report.</w:t>
      </w:r>
    </w:p>
    <w:p>
      <w:pPr>
        <w:spacing w:after="0" w:line="143" w:lineRule="exact"/>
        <w:rPr>
          <w:sz w:val="20"/>
          <w:szCs w:val="20"/>
          <w:color w:val="auto"/>
        </w:rPr>
      </w:pPr>
    </w:p>
    <w:p>
      <w:pPr>
        <w:ind w:left="20"/>
        <w:spacing w:after="0"/>
        <w:tabs>
          <w:tab w:leader="none" w:pos="5640" w:val="left"/>
          <w:tab w:leader="none" w:pos="8040" w:val="left"/>
        </w:tabs>
        <w:rPr>
          <w:sz w:val="20"/>
          <w:szCs w:val="20"/>
          <w:color w:val="auto"/>
        </w:rPr>
      </w:pPr>
      <w:r>
        <w:rPr>
          <w:rFonts w:ascii="Arial" w:cs="Arial" w:eastAsia="Arial" w:hAnsi="Arial"/>
          <w:sz w:val="16"/>
          <w:szCs w:val="16"/>
          <w:color w:val="auto"/>
        </w:rPr>
        <w:t>Date: May 6,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20320</wp:posOffset>
            </wp:positionV>
            <wp:extent cx="332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24"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Sanjay Kalra</w:t>
      </w:r>
    </w:p>
    <w:p>
      <w:pPr>
        <w:spacing w:after="0" w:line="2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1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2"/>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
      <w:numFmt w:val="bullet"/>
      <w:start w:val="1"/>
    </w:lvl>
    <w:lvl w:ilvl="1">
      <w:lvlJc w:val="left"/>
      <w:lvlText w:val="(%2)"/>
      <w:numFmt w:val="decimal"/>
      <w:start w:val="1"/>
    </w:lvl>
  </w:abstractNum>
  <w:abstractNum w:abstractNumId="16">
    <w:nsid w:val="25E45D32"/>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185" Type="http://schemas.openxmlformats.org/officeDocument/2006/relationships/hyperlink" Target="https://www.sec.gov/Archives/edgar/data/1841156/000156459021030840/ck7045120534-ex31_9.htm" TargetMode="External"/><Relationship Id="rId186" Type="http://schemas.openxmlformats.org/officeDocument/2006/relationships/hyperlink" Target="https://www.sec.gov/Archives/edgar/data/1841156/000095017023039173/pay-ex3_1.htm" TargetMode="External"/><Relationship Id="rId187" Type="http://schemas.openxmlformats.org/officeDocument/2006/relationships/hyperlink" Target="https://www.sec.gov/Archives/edgar/data/1841156/000095017022025091/pay-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2024-05-07T05:10:16Z</dcterms:created>
  <dcterms:modified xsi:type="dcterms:W3CDTF">2024-05-07T05:10:16Z</dcterms:modified>
</cp:coreProperties>
</file>