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Klein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Paymentus Holdings, Inc.</w:t>
              </w:r>
            </w:hyperlink>
            <w:r>
              <w:rPr/>
              <w:t xml:space="preserve"> [ </w:t>
            </w:r>
            <w:r>
              <w:rPr>
                <w:rFonts w:ascii="Times;serif" w:hAnsi="Times;serif"/>
                <w:color w:val="0000FF"/>
                <w:sz w:val="24"/>
                <w:shd w:fill="FFFFFF" w:val="clear"/>
              </w:rPr>
              <w:t>PAY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9"/>
        <w:gridCol w:w="904"/>
        <w:gridCol w:w="773"/>
        <w:gridCol w:w="575"/>
        <w:gridCol w:w="376"/>
        <w:gridCol w:w="815"/>
        <w:gridCol w:w="463"/>
        <w:gridCol w:w="625"/>
        <w:gridCol w:w="1177"/>
        <w:gridCol w:w="1008"/>
        <w:gridCol w:w="10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2434" w:type="dxa"/>
        <w:jc w:val="left"/>
        <w:tblInd w:w="-7" w:type="dxa"/>
        <w:tblLayout w:type="fixed"/>
        <w:tblCellMar>
          <w:top w:w="60" w:type="dxa"/>
          <w:left w:w="60" w:type="dxa"/>
          <w:bottom w:w="60" w:type="dxa"/>
          <w:right w:w="60" w:type="dxa"/>
        </w:tblCellMar>
      </w:tblPr>
      <w:tblGrid>
        <w:gridCol w:w="905"/>
        <w:gridCol w:w="861"/>
        <w:gridCol w:w="891"/>
        <w:gridCol w:w="771"/>
        <w:gridCol w:w="555"/>
        <w:gridCol w:w="336"/>
        <w:gridCol w:w="816"/>
        <w:gridCol w:w="276"/>
        <w:gridCol w:w="906"/>
        <w:gridCol w:w="801"/>
        <w:gridCol w:w="891"/>
        <w:gridCol w:w="921"/>
        <w:gridCol w:w="801"/>
        <w:gridCol w:w="966"/>
        <w:gridCol w:w="831"/>
        <w:gridCol w:w="906"/>
      </w:tblGrid>
      <w:tr>
        <w:trPr>
          <w:tblHeader w:val="true"/>
        </w:trPr>
        <w:tc>
          <w:tcPr>
            <w:tcW w:w="124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328,915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328,915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2,499,918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received in a pro rata distribution from funds affiliated with Accel-KKR. The acquisition of such shares was exempt pursuant to Rule 16a-9(a)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The Jason and Farah Klein Revocable Trust dtd 1/27/2011.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Class B Common Stock is convertible at any time, at the holder's election and automatically in connection with certain transfers and upon certain other events, into an equal number of shares of Class A Common Stock and has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Klein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3374" TargetMode="External"/><Relationship Id="rId5" Type="http://schemas.openxmlformats.org/officeDocument/2006/relationships/hyperlink" Target="http://www.sec.gov/cgi-bin/browse-edgar?action=getcompany&amp;CIK=00018411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3608</Characters>
  <CharactersWithSpaces>4200</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