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660" w:right="1520" w:hanging="3652"/>
        <w:spacing w:after="0" w:line="264"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13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26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incorporation or organization)</w:t>
            </w:r>
          </w:p>
        </w:tc>
        <w:tc>
          <w:tcPr>
            <w:tcW w:w="4260" w:type="dxa"/>
            <w:vAlign w:val="bottom"/>
          </w:tcPr>
          <w:p>
            <w:pPr>
              <w:jc w:val="center"/>
              <w:ind w:left="2650"/>
              <w:spacing w:after="0" w:line="202" w:lineRule="exact"/>
              <w:rPr>
                <w:sz w:val="20"/>
                <w:szCs w:val="20"/>
                <w:color w:val="auto"/>
              </w:rPr>
            </w:pPr>
            <w:r>
              <w:rPr>
                <w:rFonts w:ascii="Arial" w:cs="Arial" w:eastAsia="Arial" w:hAnsi="Arial"/>
                <w:sz w:val="18"/>
                <w:szCs w:val="18"/>
                <w:b w:val="1"/>
                <w:bCs w:val="1"/>
                <w:color w:val="auto"/>
                <w:w w:val="99"/>
              </w:rPr>
              <w:t>Identification No.)</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11605 North Community House Road, Suite 300</w:t>
            </w:r>
          </w:p>
        </w:tc>
        <w:tc>
          <w:tcPr>
            <w:tcW w:w="4260" w:type="dxa"/>
            <w:vAlign w:val="bottom"/>
          </w:tcPr>
          <w:p>
            <w:pPr>
              <w:spacing w:after="0"/>
              <w:rPr>
                <w:sz w:val="17"/>
                <w:szCs w:val="17"/>
                <w:color w:val="auto"/>
              </w:rPr>
            </w:pP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Charlotte, NC</w:t>
            </w:r>
          </w:p>
        </w:tc>
        <w:tc>
          <w:tcPr>
            <w:tcW w:w="42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28277</w:t>
            </w:r>
          </w:p>
        </w:tc>
      </w:tr>
      <w:tr>
        <w:trPr>
          <w:trHeight w:val="203"/>
        </w:trPr>
        <w:tc>
          <w:tcPr>
            <w:tcW w:w="41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(Address of principal executive offices)</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rPr>
              <w:t>(Zip Code)</w:t>
            </w:r>
          </w:p>
        </w:tc>
      </w:tr>
      <w:tr>
        <w:trPr>
          <w:trHeight w:val="220"/>
        </w:trPr>
        <w:tc>
          <w:tcPr>
            <w:tcW w:w="4140" w:type="dxa"/>
            <w:vAlign w:val="bottom"/>
          </w:tcPr>
          <w:p>
            <w:pPr>
              <w:spacing w:after="0"/>
              <w:rPr>
                <w:sz w:val="19"/>
                <w:szCs w:val="19"/>
                <w:color w:val="auto"/>
              </w:rPr>
            </w:pPr>
          </w:p>
        </w:tc>
        <w:tc>
          <w:tcPr>
            <w:tcW w:w="4260" w:type="dxa"/>
            <w:vAlign w:val="bottom"/>
          </w:tcPr>
          <w:p>
            <w:pPr>
              <w:jc w:val="right"/>
              <w:ind w:right="2850"/>
              <w:spacing w:after="0"/>
              <w:rPr>
                <w:sz w:val="20"/>
                <w:szCs w:val="20"/>
                <w:color w:val="auto"/>
              </w:rPr>
            </w:pPr>
            <w:r>
              <w:rPr>
                <w:rFonts w:ascii="Arial" w:cs="Arial" w:eastAsia="Arial" w:hAnsi="Arial"/>
                <w:sz w:val="18"/>
                <w:szCs w:val="18"/>
                <w:b w:val="1"/>
                <w:bCs w:val="1"/>
                <w:color w:val="auto"/>
              </w:rPr>
              <w:t>(888) 440-4826</w:t>
            </w: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PAY</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61" w:lineRule="exact"/>
        <w:rPr>
          <w:sz w:val="24"/>
          <w:szCs w:val="24"/>
          <w:color w:val="auto"/>
        </w:rPr>
      </w:pPr>
    </w:p>
    <w:p>
      <w:pPr>
        <w:ind w:right="260" w:firstLine="494"/>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660" w:firstLine="49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94"/>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line="202" w:lineRule="exact"/>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72" w:lineRule="exact"/>
        <w:rPr>
          <w:sz w:val="24"/>
          <w:szCs w:val="24"/>
          <w:color w:val="auto"/>
        </w:rPr>
      </w:pPr>
    </w:p>
    <w:p>
      <w:pPr>
        <w:ind w:right="560" w:firstLine="49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left="500"/>
        <w:spacing w:after="0" w:line="207" w:lineRule="exact"/>
        <w:tabs>
          <w:tab w:leader="none" w:pos="9720" w:val="left"/>
          <w:tab w:leader="none" w:pos="105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4"/>
          <w:szCs w:val="24"/>
          <w:color w:val="auto"/>
        </w:rPr>
      </w:pPr>
    </w:p>
    <w:p>
      <w:pPr>
        <w:ind w:right="320" w:firstLine="494"/>
        <w:spacing w:after="0" w:line="271" w:lineRule="auto"/>
        <w:rPr>
          <w:sz w:val="20"/>
          <w:szCs w:val="20"/>
          <w:color w:val="auto"/>
        </w:rPr>
      </w:pPr>
      <w:r>
        <w:rPr>
          <w:rFonts w:ascii="Arial" w:cs="Arial" w:eastAsia="Arial" w:hAnsi="Arial"/>
          <w:sz w:val="18"/>
          <w:szCs w:val="18"/>
          <w:color w:val="auto"/>
        </w:rPr>
        <w:t>As of April 30, 2026, the registrant had 62,936,502 shares of Class A Common Stock, $0.0001 par value per share and 62,852,835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8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19"/>
            <w:vMerge w:val="restart"/>
          </w:tcPr>
          <w:p>
            <w:pPr>
              <w:spacing w:after="0"/>
              <w:rPr>
                <w:sz w:val="20"/>
                <w:szCs w:val="20"/>
                <w:color w:val="auto"/>
              </w:rPr>
            </w:pPr>
            <w:r>
              <w:rPr>
                <w:rFonts w:ascii="Arial" w:cs="Arial" w:eastAsia="Arial" w:hAnsi="Arial"/>
                <w:sz w:val="18"/>
                <w:szCs w:val="18"/>
                <w:color w:val="auto"/>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3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9"/>
              </w:rPr>
              <w:t>FINANCIAL INFORMATION</w:t>
            </w:r>
          </w:p>
        </w:tc>
        <w:tc>
          <w:tcPr>
            <w:tcW w:w="1960" w:type="dxa"/>
            <w:vAlign w:val="bottom"/>
            <w:tcBorders>
              <w:top w:val="single" w:sz="8" w:color="auto"/>
            </w:tcBorders>
            <w:gridSpan w:val="5"/>
          </w:tcPr>
          <w:p>
            <w:pPr>
              <w:spacing w:after="0"/>
              <w:rPr>
                <w:sz w:val="24"/>
                <w:szCs w:val="24"/>
                <w:color w:val="auto"/>
              </w:rPr>
            </w:pPr>
          </w:p>
        </w:tc>
        <w:tc>
          <w:tcPr>
            <w:tcW w:w="50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auto"/>
            </w:tcBorders>
            <w:gridSpan w:val="9"/>
          </w:tcPr>
          <w:p>
            <w:pPr>
              <w:spacing w:after="0" w:line="182" w:lineRule="exact"/>
              <w:rPr>
                <w:sz w:val="20"/>
                <w:szCs w:val="20"/>
                <w:color w:val="auto"/>
              </w:rPr>
            </w:pPr>
            <w:r>
              <w:rPr>
                <w:rFonts w:ascii="Arial" w:cs="Arial" w:eastAsia="Arial" w:hAnsi="Arial"/>
                <w:sz w:val="18"/>
                <w:szCs w:val="18"/>
                <w:color w:val="auto"/>
                <w:w w:val="97"/>
              </w:rPr>
              <w:t>Condensed Consolidated Balance</w:t>
            </w:r>
          </w:p>
        </w:tc>
        <w:tc>
          <w:tcPr>
            <w:tcW w:w="6640" w:type="dxa"/>
            <w:vAlign w:val="bottom"/>
            <w:gridSpan w:val="10"/>
          </w:tcPr>
          <w:p>
            <w:pPr>
              <w:ind w:left="100"/>
              <w:spacing w:after="0" w:line="182" w:lineRule="exact"/>
              <w:rPr>
                <w:sz w:val="20"/>
                <w:szCs w:val="20"/>
                <w:color w:val="auto"/>
              </w:rPr>
            </w:pPr>
            <w:r>
              <w:rPr>
                <w:rFonts w:ascii="Arial" w:cs="Arial" w:eastAsia="Arial" w:hAnsi="Arial"/>
                <w:sz w:val="18"/>
                <w:szCs w:val="18"/>
                <w:color w:val="auto"/>
              </w:rPr>
              <w:t>Sheets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auto"/>
            </w:tcBorders>
            <w:gridSpan w:val="10"/>
          </w:tcPr>
          <w:p>
            <w:pPr>
              <w:spacing w:after="0" w:line="182" w:lineRule="exact"/>
              <w:rPr>
                <w:sz w:val="20"/>
                <w:szCs w:val="20"/>
                <w:color w:val="auto"/>
              </w:rPr>
            </w:pPr>
            <w:r>
              <w:rPr>
                <w:rFonts w:ascii="Arial" w:cs="Arial" w:eastAsia="Arial" w:hAnsi="Arial"/>
                <w:sz w:val="18"/>
                <w:szCs w:val="18"/>
                <w:color w:val="auto"/>
              </w:rPr>
              <w:t>Condensed Consolidated Statements of</w:t>
            </w:r>
          </w:p>
        </w:tc>
        <w:tc>
          <w:tcPr>
            <w:tcW w:w="5980" w:type="dxa"/>
            <w:vAlign w:val="bottom"/>
            <w:gridSpan w:val="9"/>
          </w:tcPr>
          <w:p>
            <w:pPr>
              <w:spacing w:after="0" w:line="182" w:lineRule="exact"/>
              <w:rPr>
                <w:sz w:val="20"/>
                <w:szCs w:val="20"/>
                <w:color w:val="auto"/>
              </w:rPr>
            </w:pPr>
            <w:r>
              <w:rPr>
                <w:rFonts w:ascii="Arial" w:cs="Arial" w:eastAsia="Arial" w:hAnsi="Arial"/>
                <w:sz w:val="18"/>
                <w:szCs w:val="18"/>
                <w:color w:val="auto"/>
              </w:rPr>
              <w:t>Operations and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20" w:type="dxa"/>
            <w:vAlign w:val="bottom"/>
            <w:tcBorders>
              <w:top w:val="single" w:sz="8" w:color="auto"/>
            </w:tcBorders>
            <w:gridSpan w:val="17"/>
          </w:tcPr>
          <w:p>
            <w:pPr>
              <w:spacing w:after="0" w:line="182" w:lineRule="exact"/>
              <w:rPr>
                <w:sz w:val="20"/>
                <w:szCs w:val="20"/>
                <w:color w:val="auto"/>
              </w:rPr>
            </w:pPr>
            <w:r>
              <w:rPr>
                <w:rFonts w:ascii="Arial" w:cs="Arial" w:eastAsia="Arial" w:hAnsi="Arial"/>
                <w:sz w:val="18"/>
                <w:szCs w:val="18"/>
                <w:color w:val="auto"/>
              </w:rPr>
              <w:t>Condensed Consolidated Statements of Stockholders' Equity</w:t>
            </w: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EE"/>
              <w:bottom w:val="single" w:sz="8" w:color="auto"/>
            </w:tcBorders>
            <w:gridSpan w:val="11"/>
          </w:tcPr>
          <w:p>
            <w:pPr>
              <w:spacing w:after="0" w:line="182" w:lineRule="exact"/>
              <w:rPr>
                <w:sz w:val="20"/>
                <w:szCs w:val="20"/>
                <w:color w:val="auto"/>
              </w:rPr>
            </w:pPr>
            <w:r>
              <w:rPr>
                <w:rFonts w:ascii="Arial" w:cs="Arial" w:eastAsia="Arial" w:hAnsi="Arial"/>
                <w:sz w:val="18"/>
                <w:szCs w:val="18"/>
                <w:color w:val="auto"/>
                <w:w w:val="99"/>
              </w:rPr>
              <w:t>Condensed Consolidated Statements of Cash Flows</w:t>
            </w:r>
          </w:p>
        </w:tc>
        <w:tc>
          <w:tcPr>
            <w:tcW w:w="680" w:type="dxa"/>
            <w:vAlign w:val="bottom"/>
            <w:tcBorders>
              <w:top w:val="single" w:sz="8" w:color="0000EE"/>
            </w:tcBorders>
            <w:gridSpan w:val="4"/>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180" w:type="dxa"/>
            <w:vAlign w:val="bottom"/>
            <w:gridSpan w:val="2"/>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auto"/>
            </w:tcBorders>
            <w:gridSpan w:val="13"/>
          </w:tcPr>
          <w:p>
            <w:pPr>
              <w:spacing w:after="0" w:line="182" w:lineRule="exact"/>
              <w:rPr>
                <w:sz w:val="20"/>
                <w:szCs w:val="20"/>
                <w:color w:val="auto"/>
              </w:rPr>
            </w:pPr>
            <w:r>
              <w:rPr>
                <w:rFonts w:ascii="Arial" w:cs="Arial" w:eastAsia="Arial" w:hAnsi="Arial"/>
                <w:sz w:val="18"/>
                <w:szCs w:val="18"/>
                <w:color w:val="auto"/>
                <w:w w:val="99"/>
              </w:rPr>
              <w:t>Notes to Condensed Consolidated Financial Statements</w:t>
            </w:r>
          </w:p>
        </w:tc>
        <w:tc>
          <w:tcPr>
            <w:tcW w:w="48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20" w:type="dxa"/>
            <w:vAlign w:val="bottom"/>
            <w:gridSpan w:val="19"/>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auto"/>
            </w:tcBorders>
            <w:gridSpan w:val="18"/>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auto"/>
              <w:bottom w:val="single" w:sz="8" w:color="auto"/>
            </w:tcBorders>
            <w:gridSpan w:val="6"/>
          </w:tcPr>
          <w:p>
            <w:pPr>
              <w:spacing w:after="0" w:line="182" w:lineRule="exact"/>
              <w:rPr>
                <w:sz w:val="20"/>
                <w:szCs w:val="20"/>
                <w:color w:val="auto"/>
              </w:rPr>
            </w:pPr>
            <w:r>
              <w:rPr>
                <w:rFonts w:ascii="Arial" w:cs="Arial" w:eastAsia="Arial" w:hAnsi="Arial"/>
                <w:sz w:val="18"/>
                <w:szCs w:val="18"/>
                <w:color w:val="auto"/>
                <w:w w:val="99"/>
              </w:rPr>
              <w:t>Controls and Procedures</w:t>
            </w:r>
          </w:p>
        </w:tc>
        <w:tc>
          <w:tcPr>
            <w:tcW w:w="2720" w:type="dxa"/>
            <w:vAlign w:val="bottom"/>
            <w:tcBorders>
              <w:top w:val="single" w:sz="8" w:color="auto"/>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Risk Factors</w:t>
            </w:r>
          </w:p>
        </w:tc>
        <w:tc>
          <w:tcPr>
            <w:tcW w:w="44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5"/>
              </w:rPr>
              <w:t>Unregistered</w:t>
            </w:r>
          </w:p>
        </w:tc>
        <w:tc>
          <w:tcPr>
            <w:tcW w:w="8320" w:type="dxa"/>
            <w:vAlign w:val="bottom"/>
            <w:gridSpan w:val="17"/>
          </w:tcPr>
          <w:p>
            <w:pPr>
              <w:ind w:left="80"/>
              <w:spacing w:after="0" w:line="182" w:lineRule="exact"/>
              <w:rPr>
                <w:sz w:val="20"/>
                <w:szCs w:val="20"/>
                <w:color w:val="auto"/>
              </w:rPr>
            </w:pPr>
            <w:r>
              <w:rPr>
                <w:rFonts w:ascii="Arial" w:cs="Arial" w:eastAsia="Arial" w:hAnsi="Arial"/>
                <w:sz w:val="18"/>
                <w:szCs w:val="18"/>
                <w:color w:val="auto"/>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Defaults Upon Senior Securities</w:t>
            </w: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auto"/>
            </w:tcBorders>
            <w:gridSpan w:val="8"/>
          </w:tcPr>
          <w:p>
            <w:pPr>
              <w:spacing w:after="0" w:line="182" w:lineRule="exact"/>
              <w:rPr>
                <w:sz w:val="20"/>
                <w:szCs w:val="20"/>
                <w:color w:val="auto"/>
              </w:rPr>
            </w:pPr>
            <w:r>
              <w:rPr>
                <w:rFonts w:ascii="Arial" w:cs="Arial" w:eastAsia="Arial" w:hAnsi="Arial"/>
                <w:sz w:val="18"/>
                <w:szCs w:val="18"/>
                <w:color w:val="auto"/>
              </w:rPr>
              <w:t>Mine Safety Disclosures</w:t>
            </w:r>
          </w:p>
        </w:tc>
        <w:tc>
          <w:tcPr>
            <w:tcW w:w="67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color w:val="auto"/>
              </w:rPr>
              <w:t>Other Information</w:t>
            </w:r>
          </w:p>
        </w:tc>
        <w:tc>
          <w:tcPr>
            <w:tcW w:w="738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Exhibits</w:t>
            </w:r>
          </w:p>
        </w:tc>
        <w:tc>
          <w:tcPr>
            <w:tcW w:w="760" w:type="dxa"/>
            <w:vAlign w:val="bottom"/>
            <w:tcBorders>
              <w:top w:val="single" w:sz="8" w:color="auto"/>
            </w:tcBorders>
            <w:gridSpan w:val="2"/>
          </w:tcPr>
          <w:p>
            <w:pPr>
              <w:spacing w:after="0"/>
              <w:rPr>
                <w:sz w:val="15"/>
                <w:szCs w:val="15"/>
                <w:color w:val="auto"/>
              </w:rPr>
            </w:pPr>
          </w:p>
        </w:tc>
        <w:tc>
          <w:tcPr>
            <w:tcW w:w="79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Signatures</w:t>
            </w:r>
          </w:p>
        </w:tc>
        <w:tc>
          <w:tcPr>
            <w:tcW w:w="4720" w:type="dxa"/>
            <w:vAlign w:val="bottom"/>
            <w:gridSpan w:val="14"/>
            <w:vMerge w:val="restart"/>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42"/>
        </w:trPr>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gridSpan w:val="14"/>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This report on Form 10-Q for the quarterly period ended March 31, 2026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right="88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their impact on us, consumer demand, average bill amounts and interchange fees;</w:t>
      </w:r>
    </w:p>
    <w:p>
      <w:pPr>
        <w:spacing w:after="0" w:line="46" w:lineRule="exact"/>
        <w:rPr>
          <w:rFonts w:ascii="Times New Roman" w:cs="Times New Roman" w:eastAsia="Times New Roman" w:hAnsi="Times New Roman"/>
          <w:sz w:val="18"/>
          <w:szCs w:val="18"/>
          <w:color w:val="auto"/>
        </w:rPr>
      </w:pPr>
    </w:p>
    <w:p>
      <w:pPr>
        <w:ind w:left="1020" w:right="36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2"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integrate and leverage artificial intelligence and machine learning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4"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those factors described in the sections titled “Risk Factors” and “Management’s Discussion and Analysis of Financial Conditions and Results of Operations” in our Annual Report on Form 10-K for the year ended December 31, 2025, and the section titled “Management’s Discussion and Analysis of Financial Condition and Results of Operations” in this Quarterly Report.</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 w:name="page4"/>
    <w:bookmarkEnd w:id="3"/>
    <w:p>
      <w:pPr>
        <w:jc w:val="both"/>
        <w:ind w:right="20"/>
        <w:spacing w:after="0" w:line="271" w:lineRule="auto"/>
        <w:rPr>
          <w:sz w:val="20"/>
          <w:szCs w:val="20"/>
          <w:color w:val="auto"/>
        </w:rPr>
      </w:pPr>
      <w:r>
        <w:rPr>
          <w:rFonts w:ascii="Arial" w:cs="Arial" w:eastAsia="Arial" w:hAnsi="Arial"/>
          <w:sz w:val="18"/>
          <w:szCs w:val="18"/>
          <w:color w:val="auto"/>
        </w:rPr>
        <w:t>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jc w:val="both"/>
        <w:ind w:right="20"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BALANCE SHEETS</w:t>
      </w:r>
    </w:p>
    <w:p>
      <w:pPr>
        <w:ind w:left="358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8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81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338,780</w:t>
            </w:r>
          </w:p>
        </w:tc>
        <w:tc>
          <w:tcPr>
            <w:tcW w:w="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320,908</w:t>
            </w:r>
          </w:p>
        </w:tc>
        <w:tc>
          <w:tcPr>
            <w:tcW w:w="100" w:type="dxa"/>
            <w:vAlign w:val="bottom"/>
            <w:shd w:val="clear" w:color="auto" w:fill="CFF0FC"/>
          </w:tcPr>
          <w:p>
            <w:pPr>
              <w:spacing w:after="0"/>
              <w:rPr>
                <w:sz w:val="17"/>
                <w:szCs w:val="17"/>
                <w:color w:val="auto"/>
              </w:rPr>
            </w:pPr>
          </w:p>
        </w:tc>
      </w:tr>
      <w:tr>
        <w:trPr>
          <w:trHeight w:val="202"/>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100" w:type="dxa"/>
            <w:vAlign w:val="bottom"/>
          </w:tcPr>
          <w:p>
            <w:pPr>
              <w:spacing w:after="0"/>
              <w:rPr>
                <w:sz w:val="17"/>
                <w:szCs w:val="17"/>
                <w:color w:val="auto"/>
              </w:rPr>
            </w:pPr>
          </w:p>
        </w:tc>
      </w:tr>
      <w:tr>
        <w:trPr>
          <w:trHeight w:val="184"/>
        </w:trPr>
        <w:tc>
          <w:tcPr>
            <w:tcW w:w="814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Accounts and other receivables, net of allowance for expected credit losses of $602 and $452,</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8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117,213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102,338</w:t>
            </w:r>
          </w:p>
        </w:tc>
        <w:tc>
          <w:tcPr>
            <w:tcW w:w="100" w:type="dxa"/>
            <w:vAlign w:val="bottom"/>
            <w:shd w:val="clear" w:color="auto" w:fill="CFF0FC"/>
          </w:tcPr>
          <w:p>
            <w:pPr>
              <w:spacing w:after="0"/>
              <w:rPr>
                <w:sz w:val="19"/>
                <w:szCs w:val="19"/>
                <w:color w:val="auto"/>
              </w:rPr>
            </w:pP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1,207</w:t>
            </w:r>
          </w:p>
        </w:tc>
        <w:tc>
          <w:tcPr>
            <w:tcW w:w="100" w:type="dxa"/>
            <w:vAlign w:val="bottom"/>
          </w:tcPr>
          <w:p>
            <w:pPr>
              <w:spacing w:after="0"/>
              <w:rPr>
                <w:sz w:val="17"/>
                <w:szCs w:val="17"/>
                <w:color w:val="auto"/>
              </w:rPr>
            </w:pPr>
          </w:p>
        </w:tc>
      </w:tr>
      <w:tr>
        <w:trPr>
          <w:trHeight w:val="203"/>
        </w:trPr>
        <w:tc>
          <w:tcPr>
            <w:tcW w:w="814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12,077</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472,503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441,331</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 development costs, net</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71,518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70,920</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11,170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11,987</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131,790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00" w:type="dxa"/>
            <w:vAlign w:val="bottom"/>
          </w:tcPr>
          <w:p>
            <w:pPr>
              <w:spacing w:after="0"/>
              <w:rPr>
                <w:sz w:val="17"/>
                <w:szCs w:val="17"/>
                <w:color w:val="auto"/>
              </w:rPr>
            </w:pPr>
          </w:p>
        </w:tc>
      </w:tr>
      <w:tr>
        <w:trPr>
          <w:trHeight w:val="202"/>
        </w:trPr>
        <w:tc>
          <w:tcPr>
            <w:tcW w:w="8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6,380</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r>
      <w:tr>
        <w:trPr>
          <w:trHeight w:val="203"/>
        </w:trPr>
        <w:tc>
          <w:tcPr>
            <w:tcW w:w="8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assets, less current portion</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3,868</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40" w:type="dxa"/>
            <w:vAlign w:val="bottom"/>
          </w:tcPr>
          <w:p>
            <w:pPr>
              <w:ind w:left="42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698,604</w:t>
            </w:r>
          </w:p>
        </w:tc>
        <w:tc>
          <w:tcPr>
            <w:tcW w:w="80" w:type="dxa"/>
            <w:vAlign w:val="bottom"/>
          </w:tcPr>
          <w:p>
            <w:pPr>
              <w:spacing w:after="0"/>
              <w:rPr>
                <w:sz w:val="17"/>
                <w:szCs w:val="17"/>
                <w:color w:val="auto"/>
              </w:rPr>
            </w:pPr>
          </w:p>
        </w:tc>
        <w:tc>
          <w:tcPr>
            <w:tcW w:w="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667,885</w:t>
            </w:r>
          </w:p>
        </w:tc>
        <w:tc>
          <w:tcPr>
            <w:tcW w:w="100" w:type="dxa"/>
            <w:vAlign w:val="bottom"/>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4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73,468</w:t>
            </w:r>
          </w:p>
        </w:tc>
        <w:tc>
          <w:tcPr>
            <w:tcW w:w="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63,972</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16,375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27,671</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2,294</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3,496</w:t>
            </w:r>
          </w:p>
        </w:tc>
        <w:tc>
          <w:tcPr>
            <w:tcW w:w="100" w:type="dxa"/>
            <w:vAlign w:val="bottom"/>
          </w:tcPr>
          <w:p>
            <w:pPr>
              <w:spacing w:after="0"/>
              <w:rPr>
                <w:sz w:val="17"/>
                <w:szCs w:val="17"/>
                <w:color w:val="auto"/>
              </w:rPr>
            </w:pPr>
          </w:p>
        </w:tc>
      </w:tr>
      <w:tr>
        <w:trPr>
          <w:trHeight w:val="203"/>
        </w:trPr>
        <w:tc>
          <w:tcPr>
            <w:tcW w:w="814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Income tax payable</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9,814</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107,079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98,849</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4,246</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4,560</w:t>
            </w:r>
          </w:p>
        </w:tc>
        <w:tc>
          <w:tcPr>
            <w:tcW w:w="100" w:type="dxa"/>
            <w:vAlign w:val="bottom"/>
            <w:shd w:val="clear" w:color="auto" w:fill="CFF0FC"/>
          </w:tcPr>
          <w:p>
            <w:pPr>
              <w:spacing w:after="0"/>
              <w:rPr>
                <w:sz w:val="17"/>
                <w:szCs w:val="17"/>
                <w:color w:val="auto"/>
              </w:rPr>
            </w:pPr>
          </w:p>
        </w:tc>
      </w:tr>
      <w:tr>
        <w:trPr>
          <w:trHeight w:val="202"/>
        </w:trPr>
        <w:tc>
          <w:tcPr>
            <w:tcW w:w="8140" w:type="dxa"/>
            <w:vAlign w:val="bottom"/>
          </w:tcPr>
          <w:p>
            <w:pPr>
              <w:spacing w:after="0" w:line="202" w:lineRule="exact"/>
              <w:rPr>
                <w:sz w:val="20"/>
                <w:szCs w:val="20"/>
                <w:color w:val="auto"/>
              </w:rPr>
            </w:pPr>
            <w:r>
              <w:rPr>
                <w:rFonts w:ascii="Arial" w:cs="Arial" w:eastAsia="Arial" w:hAnsi="Arial"/>
                <w:sz w:val="18"/>
                <w:szCs w:val="18"/>
                <w:color w:val="auto"/>
              </w:rPr>
              <w:t>Contract liabilities, less current portion</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3,404</w:t>
            </w:r>
          </w:p>
        </w:tc>
        <w:tc>
          <w:tcPr>
            <w:tcW w:w="100" w:type="dxa"/>
            <w:vAlign w:val="bottom"/>
          </w:tcPr>
          <w:p>
            <w:pPr>
              <w:spacing w:after="0"/>
              <w:rPr>
                <w:sz w:val="17"/>
                <w:szCs w:val="17"/>
                <w:color w:val="auto"/>
              </w:rPr>
            </w:pPr>
          </w:p>
        </w:tc>
      </w:tr>
      <w:tr>
        <w:trPr>
          <w:trHeight w:val="203"/>
        </w:trPr>
        <w:tc>
          <w:tcPr>
            <w:tcW w:w="8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and other liabilities, less current portion</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590</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40" w:type="dxa"/>
            <w:vAlign w:val="bottom"/>
          </w:tcPr>
          <w:p>
            <w:pPr>
              <w:ind w:left="42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107,496</w:t>
            </w:r>
          </w:p>
        </w:tc>
        <w:tc>
          <w:tcPr>
            <w:tcW w:w="100" w:type="dxa"/>
            <w:vAlign w:val="bottom"/>
          </w:tcPr>
          <w:p>
            <w:pPr>
              <w:spacing w:after="0"/>
              <w:rPr>
                <w:sz w:val="17"/>
                <w:szCs w:val="17"/>
                <w:color w:val="auto"/>
              </w:rPr>
            </w:pPr>
          </w:p>
        </w:tc>
      </w:tr>
      <w:tr>
        <w:trPr>
          <w:trHeight w:val="196"/>
        </w:trPr>
        <w:tc>
          <w:tcPr>
            <w:tcW w:w="8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8140" w:type="dxa"/>
            <w:vAlign w:val="bottom"/>
          </w:tcPr>
          <w:p>
            <w:pPr>
              <w:ind w:left="220"/>
              <w:spacing w:after="0" w:line="183" w:lineRule="exact"/>
              <w:rPr>
                <w:sz w:val="20"/>
                <w:szCs w:val="20"/>
                <w:color w:val="auto"/>
              </w:rPr>
            </w:pPr>
            <w:r>
              <w:rPr>
                <w:rFonts w:ascii="Arial" w:cs="Arial" w:eastAsia="Arial" w:hAnsi="Arial"/>
                <w:sz w:val="18"/>
                <w:szCs w:val="18"/>
                <w:color w:val="auto"/>
              </w:rPr>
              <w:t>Class A common stock, $0.0001 par value per share, 883,950,000 shares authorized as of March</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w w:val="99"/>
              </w:rPr>
              <w:t>31, 2026 and December 31, 2025; 62,936,502 and 62,459,587 shares issued and outstanding as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140" w:type="dxa"/>
            <w:vAlign w:val="bottom"/>
          </w:tcPr>
          <w:p>
            <w:pPr>
              <w:ind w:left="220"/>
              <w:spacing w:after="0"/>
              <w:rPr>
                <w:sz w:val="20"/>
                <w:szCs w:val="20"/>
                <w:color w:val="auto"/>
              </w:rPr>
            </w:pPr>
            <w:r>
              <w:rPr>
                <w:rFonts w:ascii="Arial" w:cs="Arial" w:eastAsia="Arial" w:hAnsi="Arial"/>
                <w:sz w:val="18"/>
                <w:szCs w:val="18"/>
                <w:color w:val="auto"/>
              </w:rPr>
              <w:t>March 31, 2026 and December 31, 2025, respectively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184"/>
        </w:trPr>
        <w:tc>
          <w:tcPr>
            <w:tcW w:w="814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Class B common stock, $0.0001 par value per share, 111,050,000 shares authorized as of March</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99"/>
              </w:rPr>
              <w:t>31, 2026 and December 31, 2025; 62,852,835 and 63,121,661 shares issued and outstanding as of</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8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March 31, 2026 and December 31, 2025, respectively</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400,365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397,954</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(615)</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(427)</w:t>
            </w: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183,731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162,850</w:t>
            </w:r>
          </w:p>
        </w:tc>
        <w:tc>
          <w:tcPr>
            <w:tcW w:w="100" w:type="dxa"/>
            <w:vAlign w:val="bottom"/>
          </w:tcPr>
          <w:p>
            <w:pPr>
              <w:spacing w:after="0"/>
              <w:rPr>
                <w:sz w:val="17"/>
                <w:szCs w:val="17"/>
                <w:color w:val="auto"/>
              </w:rPr>
            </w:pPr>
          </w:p>
        </w:tc>
      </w:tr>
      <w:tr>
        <w:trPr>
          <w:trHeight w:val="196"/>
        </w:trPr>
        <w:tc>
          <w:tcPr>
            <w:tcW w:w="81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583,493</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560,389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40" w:type="dxa"/>
            <w:vAlign w:val="bottom"/>
          </w:tcPr>
          <w:p>
            <w:pPr>
              <w:ind w:left="4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698,604</w:t>
            </w:r>
          </w:p>
        </w:tc>
        <w:tc>
          <w:tcPr>
            <w:tcW w:w="80" w:type="dxa"/>
            <w:vAlign w:val="bottom"/>
          </w:tcPr>
          <w:p>
            <w:pPr>
              <w:spacing w:after="0"/>
              <w:rPr>
                <w:sz w:val="17"/>
                <w:szCs w:val="17"/>
                <w:color w:val="auto"/>
              </w:rPr>
            </w:pPr>
          </w:p>
        </w:tc>
        <w:tc>
          <w:tcPr>
            <w:tcW w:w="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667,885</w:t>
            </w:r>
          </w:p>
        </w:tc>
        <w:tc>
          <w:tcPr>
            <w:tcW w:w="100" w:type="dxa"/>
            <w:vAlign w:val="bottom"/>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-4354195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-3317240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-3317240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-2253615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-1731010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676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358,441</w:t>
            </w:r>
          </w:p>
        </w:tc>
        <w:tc>
          <w:tcPr>
            <w:tcW w:w="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275,235</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272,209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209,211</w:t>
            </w:r>
          </w:p>
        </w:tc>
        <w:tc>
          <w:tcPr>
            <w:tcW w:w="100" w:type="dxa"/>
            <w:vAlign w:val="bottom"/>
          </w:tcPr>
          <w:p>
            <w:pPr>
              <w:spacing w:after="0"/>
              <w:rPr>
                <w:sz w:val="17"/>
                <w:szCs w:val="17"/>
                <w:color w:val="auto"/>
              </w:rPr>
            </w:pPr>
          </w:p>
        </w:tc>
      </w:tr>
      <w:tr>
        <w:trPr>
          <w:trHeight w:val="196"/>
        </w:trPr>
        <w:tc>
          <w:tcPr>
            <w:tcW w:w="67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86,232</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66,024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16,333</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15,101</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30,210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26,051</w:t>
            </w:r>
          </w:p>
        </w:tc>
        <w:tc>
          <w:tcPr>
            <w:tcW w:w="100" w:type="dxa"/>
            <w:vAlign w:val="bottom"/>
          </w:tcPr>
          <w:p>
            <w:pPr>
              <w:spacing w:after="0"/>
              <w:rPr>
                <w:sz w:val="17"/>
                <w:szCs w:val="17"/>
                <w:color w:val="auto"/>
              </w:rPr>
            </w:pPr>
          </w:p>
        </w:tc>
      </w:tr>
      <w:tr>
        <w:trPr>
          <w:trHeight w:val="203"/>
        </w:trPr>
        <w:tc>
          <w:tcPr>
            <w:tcW w:w="67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13,137</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59,680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50,335</w:t>
            </w:r>
          </w:p>
        </w:tc>
        <w:tc>
          <w:tcPr>
            <w:tcW w:w="100" w:type="dxa"/>
            <w:vAlign w:val="bottom"/>
          </w:tcPr>
          <w:p>
            <w:pPr>
              <w:spacing w:after="0"/>
              <w:rPr>
                <w:sz w:val="17"/>
                <w:szCs w:val="17"/>
                <w:color w:val="auto"/>
              </w:rPr>
            </w:pPr>
          </w:p>
        </w:tc>
      </w:tr>
      <w:tr>
        <w:trPr>
          <w:trHeight w:val="196"/>
        </w:trPr>
        <w:tc>
          <w:tcPr>
            <w:tcW w:w="676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Income from operations</w:t>
            </w:r>
          </w:p>
        </w:tc>
        <w:tc>
          <w:tcPr>
            <w:tcW w:w="4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26,552</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180"/>
              <w:spacing w:after="0" w:line="196" w:lineRule="exact"/>
              <w:rPr>
                <w:sz w:val="20"/>
                <w:szCs w:val="20"/>
                <w:color w:val="auto"/>
              </w:rPr>
            </w:pPr>
            <w:r>
              <w:rPr>
                <w:rFonts w:ascii="Arial" w:cs="Arial" w:eastAsia="Arial" w:hAnsi="Arial"/>
                <w:sz w:val="18"/>
                <w:szCs w:val="18"/>
                <w:color w:val="auto"/>
              </w:rPr>
              <w:t>Interest income, net</w:t>
            </w:r>
          </w:p>
        </w:tc>
        <w:tc>
          <w:tcPr>
            <w:tcW w:w="48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2,531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2,062</w:t>
            </w:r>
          </w:p>
        </w:tc>
        <w:tc>
          <w:tcPr>
            <w:tcW w:w="100" w:type="dxa"/>
            <w:vAlign w:val="bottom"/>
          </w:tcPr>
          <w:p>
            <w:pPr>
              <w:spacing w:after="0"/>
              <w:rPr>
                <w:sz w:val="17"/>
                <w:szCs w:val="17"/>
                <w:color w:val="auto"/>
              </w:rPr>
            </w:pPr>
          </w:p>
        </w:tc>
      </w:tr>
      <w:tr>
        <w:trPr>
          <w:trHeight w:val="203"/>
        </w:trPr>
        <w:tc>
          <w:tcPr>
            <w:tcW w:w="67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w:t>
            </w:r>
          </w:p>
        </w:tc>
        <w:tc>
          <w:tcPr>
            <w:tcW w:w="4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29,091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17,801</w:t>
            </w:r>
          </w:p>
        </w:tc>
        <w:tc>
          <w:tcPr>
            <w:tcW w:w="100" w:type="dxa"/>
            <w:vAlign w:val="bottom"/>
          </w:tcPr>
          <w:p>
            <w:pPr>
              <w:spacing w:after="0"/>
              <w:rPr>
                <w:sz w:val="17"/>
                <w:szCs w:val="17"/>
                <w:color w:val="auto"/>
              </w:rPr>
            </w:pPr>
          </w:p>
        </w:tc>
      </w:tr>
      <w:tr>
        <w:trPr>
          <w:trHeight w:val="203"/>
        </w:trPr>
        <w:tc>
          <w:tcPr>
            <w:tcW w:w="67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8,210</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20,881</w:t>
            </w:r>
          </w:p>
        </w:tc>
        <w:tc>
          <w:tcPr>
            <w:tcW w:w="80" w:type="dxa"/>
            <w:vAlign w:val="bottom"/>
          </w:tcPr>
          <w:p>
            <w:pPr>
              <w:spacing w:after="0"/>
              <w:rPr>
                <w:sz w:val="17"/>
                <w:szCs w:val="17"/>
                <w:color w:val="auto"/>
              </w:rPr>
            </w:pPr>
          </w:p>
        </w:tc>
        <w:tc>
          <w:tcPr>
            <w:tcW w:w="50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13,813</w:t>
            </w:r>
          </w:p>
        </w:tc>
        <w:tc>
          <w:tcPr>
            <w:tcW w:w="10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6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Net income per share</w:t>
            </w:r>
          </w:p>
        </w:tc>
        <w:tc>
          <w:tcPr>
            <w:tcW w:w="4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17"/>
                <w:szCs w:val="17"/>
                <w:color w:val="auto"/>
              </w:rPr>
            </w:pPr>
          </w:p>
        </w:tc>
        <w:tc>
          <w:tcPr>
            <w:tcW w:w="5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0.16</w:t>
            </w:r>
          </w:p>
        </w:tc>
        <w:tc>
          <w:tcPr>
            <w:tcW w:w="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Weighted-average number of shares used to compute net income per share</w:t>
            </w:r>
          </w:p>
        </w:tc>
        <w:tc>
          <w:tcPr>
            <w:tcW w:w="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Basic</w:t>
            </w: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125,665,214</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124,941,781</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129,314,000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128,801,974</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20,881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13,813</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4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(54)</w:t>
            </w:r>
          </w:p>
        </w:tc>
      </w:tr>
      <w:tr>
        <w:trPr>
          <w:trHeight w:val="196"/>
        </w:trPr>
        <w:tc>
          <w:tcPr>
            <w:tcW w:w="676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Comprehensive income</w:t>
            </w: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20,693</w:t>
            </w: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13,759</w:t>
            </w:r>
          </w:p>
        </w:tc>
        <w:tc>
          <w:tcPr>
            <w:tcW w:w="100" w:type="dxa"/>
            <w:vAlign w:val="bottom"/>
            <w:tcBorders>
              <w:top w:val="single" w:sz="8" w:color="CFF0FC"/>
            </w:tcBorders>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-2811145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-2287905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-2013585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-1748155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-1482090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-161925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20"/>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40" w:type="dxa"/>
            <w:vAlign w:val="bottom"/>
            <w:tcBorders>
              <w:bottom w:val="single" w:sz="8" w:color="auto"/>
            </w:tcBorders>
            <w:gridSpan w:val="4"/>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2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Capital</w:t>
            </w:r>
          </w:p>
        </w:tc>
        <w:tc>
          <w:tcPr>
            <w:tcW w:w="20" w:type="dxa"/>
            <w:vAlign w:val="bottom"/>
          </w:tcPr>
          <w:p>
            <w:pPr>
              <w:spacing w:after="0"/>
              <w:rPr>
                <w:sz w:val="17"/>
                <w:szCs w:val="17"/>
                <w:color w:val="auto"/>
              </w:rPr>
            </w:pPr>
          </w:p>
        </w:tc>
        <w:tc>
          <w:tcPr>
            <w:tcW w:w="9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9"/>
              </w:rPr>
              <w:t>Loss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2025</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125,581,2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397,954</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162,850</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346,994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(139,280)</w:t>
            </w: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20,881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b w:val="1"/>
                <w:bCs w:val="1"/>
                <w:color w:val="auto"/>
              </w:rPr>
              <w:t>Balances at March 31, 2026</w:t>
            </w: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125,789,3</w:t>
            </w: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6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400,365</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183,731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40" w:type="dxa"/>
            <w:vAlign w:val="bottom"/>
            <w:tcBorders>
              <w:bottom w:val="single" w:sz="8" w:color="auto"/>
            </w:tcBorders>
            <w:gridSpan w:val="4"/>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2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Capital</w:t>
            </w:r>
          </w:p>
        </w:tc>
        <w:tc>
          <w:tcPr>
            <w:tcW w:w="20" w:type="dxa"/>
            <w:vAlign w:val="bottom"/>
          </w:tcPr>
          <w:p>
            <w:pPr>
              <w:spacing w:after="0"/>
              <w:rPr>
                <w:sz w:val="17"/>
                <w:szCs w:val="17"/>
                <w:color w:val="auto"/>
              </w:rPr>
            </w:pPr>
          </w:p>
        </w:tc>
        <w:tc>
          <w:tcPr>
            <w:tcW w:w="9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9"/>
              </w:rPr>
              <w:t>Loss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2024</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124,836,2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389,904</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95,913</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328,201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(73,798)</w:t>
            </w: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b w:val="1"/>
                <w:bCs w:val="1"/>
                <w:color w:val="auto"/>
              </w:rPr>
              <w:t>Balances at March 31, 2025</w:t>
            </w: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125,124,4</w:t>
            </w: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6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390,944</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109,726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-2853690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-2853690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-2853690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-2853690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-2853690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-2853690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-290830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-290830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-290830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-290830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-290830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-290830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71"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jc w:val="center"/>
        <w:spacing w:after="0" w:line="238"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260"/>
              <w:spacing w:after="0" w:line="174" w:lineRule="exact"/>
              <w:rPr>
                <w:sz w:val="20"/>
                <w:szCs w:val="20"/>
                <w:color w:val="auto"/>
              </w:rPr>
            </w:pPr>
            <w:r>
              <w:rPr>
                <w:rFonts w:ascii="Arial" w:cs="Arial" w:eastAsia="Arial" w:hAnsi="Arial"/>
                <w:sz w:val="16"/>
                <w:szCs w:val="16"/>
                <w:b w:val="1"/>
                <w:bCs w:val="1"/>
                <w:color w:val="auto"/>
              </w:rPr>
              <w:t>Three Months Ended March</w:t>
            </w:r>
          </w:p>
        </w:tc>
      </w:tr>
      <w:tr>
        <w:trPr>
          <w:trHeight w:val="203"/>
        </w:trPr>
        <w:tc>
          <w:tcPr>
            <w:tcW w:w="7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6"/>
                <w:szCs w:val="16"/>
                <w:b w:val="1"/>
                <w:bCs w:val="1"/>
                <w:color w:val="auto"/>
              </w:rPr>
              <w:t>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2"/>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Net income</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20,881</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13,813</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Deferred income taxes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(452)</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(1,013)</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capitalized warrants cost</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Non-cash lease expense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capitalized contract acquisition cost</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Provision for expected credit losses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Accounts and other receivables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(15,148)</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19,948</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(377)</w:t>
            </w: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5,691</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Accrued and other liabilities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(11,262)</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(7,120)</w:t>
            </w: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(604)</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Contract liabilities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Income taxes receivable, net of payable</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w:t>
            </w:r>
          </w:p>
        </w:tc>
        <w:tc>
          <w:tcPr>
            <w:tcW w:w="100" w:type="dxa"/>
            <w:vAlign w:val="bottom"/>
          </w:tcPr>
          <w:p>
            <w:pPr>
              <w:spacing w:after="0"/>
              <w:rPr>
                <w:sz w:val="16"/>
                <w:szCs w:val="16"/>
                <w:color w:val="auto"/>
              </w:rPr>
            </w:pPr>
          </w:p>
        </w:tc>
      </w:tr>
      <w:tr>
        <w:trPr>
          <w:trHeight w:val="183"/>
        </w:trPr>
        <w:tc>
          <w:tcPr>
            <w:tcW w:w="740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30,452</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50,441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Purchases of property and equipment</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Purchases of interest-bearing deposits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matured interest-bearing deposits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Capitalized internal-use software development costs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(9,461)</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(9,278)</w:t>
            </w:r>
          </w:p>
        </w:tc>
      </w:tr>
      <w:tr>
        <w:trPr>
          <w:trHeight w:val="20"/>
        </w:trPr>
        <w:tc>
          <w:tcPr>
            <w:tcW w:w="7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00" w:type="dxa"/>
            <w:vAlign w:val="bottom"/>
            <w:shd w:val="clear" w:color="auto" w:fill="CFF0FC"/>
          </w:tcPr>
          <w:p>
            <w:pPr>
              <w:ind w:left="340"/>
              <w:spacing w:after="0" w:line="183" w:lineRule="exact"/>
              <w:rPr>
                <w:sz w:val="20"/>
                <w:szCs w:val="20"/>
                <w:color w:val="auto"/>
              </w:rPr>
            </w:pPr>
            <w:r>
              <w:rPr>
                <w:rFonts w:ascii="Arial" w:cs="Arial" w:eastAsia="Arial" w:hAnsi="Arial"/>
                <w:sz w:val="16"/>
                <w:szCs w:val="16"/>
                <w:color w:val="auto"/>
              </w:rPr>
              <w:t>Net cash used in investing activities</w:t>
            </w: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(9,443)</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(8,287)</w:t>
            </w:r>
          </w:p>
        </w:tc>
      </w:tr>
      <w:tr>
        <w:trPr>
          <w:trHeight w:val="183"/>
        </w:trPr>
        <w:tc>
          <w:tcPr>
            <w:tcW w:w="74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exercise of stock-based awards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Payments of taxes withheld on net settled vesting of restricted stock units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(3,286)</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(1,943)</w:t>
            </w:r>
          </w:p>
        </w:tc>
      </w:tr>
      <w:tr>
        <w:trPr>
          <w:trHeight w:val="183"/>
        </w:trPr>
        <w:tc>
          <w:tcPr>
            <w:tcW w:w="7400" w:type="dxa"/>
            <w:vAlign w:val="bottom"/>
            <w:tcBorders>
              <w:top w:val="single" w:sz="8" w:color="CFF0FC"/>
              <w:bottom w:val="single" w:sz="8" w:color="CFF0FC"/>
            </w:tcBorders>
            <w:shd w:val="clear" w:color="auto" w:fill="CFF0FC"/>
          </w:tcPr>
          <w:p>
            <w:pPr>
              <w:ind w:left="340"/>
              <w:spacing w:after="0" w:line="183" w:lineRule="exact"/>
              <w:rPr>
                <w:sz w:val="20"/>
                <w:szCs w:val="20"/>
                <w:color w:val="auto"/>
              </w:rPr>
            </w:pPr>
            <w:r>
              <w:rPr>
                <w:rFonts w:ascii="Arial" w:cs="Arial" w:eastAsia="Arial" w:hAnsi="Arial"/>
                <w:sz w:val="16"/>
                <w:szCs w:val="16"/>
                <w:color w:val="auto"/>
              </w:rPr>
              <w:t>Net cash used in financing activities</w:t>
            </w:r>
          </w:p>
        </w:tc>
        <w:tc>
          <w:tcPr>
            <w:tcW w:w="136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 and Restricted cash</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(136)</w:t>
            </w:r>
          </w:p>
        </w:tc>
        <w:tc>
          <w:tcPr>
            <w:tcW w:w="220" w:type="dxa"/>
            <w:vAlign w:val="bottom"/>
          </w:tcPr>
          <w:p>
            <w:pPr>
              <w:spacing w:after="0"/>
              <w:rPr>
                <w:sz w:val="15"/>
                <w:szCs w:val="15"/>
                <w:color w:val="auto"/>
              </w:rPr>
            </w:pPr>
          </w:p>
        </w:tc>
        <w:tc>
          <w:tcPr>
            <w:tcW w:w="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(25)</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increase in cash, cash equivalents and Restricted cash</w:t>
            </w:r>
          </w:p>
        </w:tc>
        <w:tc>
          <w:tcPr>
            <w:tcW w:w="13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17,590</w:t>
            </w: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40,237</w:t>
            </w: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Cash and cash equivalents and Restricted cash at the beginning of period</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324,538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209,411</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and cash equivalents and Restricted cash at the end of period</w:t>
            </w:r>
          </w:p>
        </w:tc>
        <w:tc>
          <w:tcPr>
            <w:tcW w:w="14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342,128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249,648</w:t>
            </w:r>
          </w:p>
        </w:tc>
        <w:tc>
          <w:tcPr>
            <w:tcW w:w="100" w:type="dxa"/>
            <w:vAlign w:val="bottom"/>
            <w:shd w:val="clear" w:color="auto" w:fill="CFF0FC"/>
          </w:tcPr>
          <w:p>
            <w:pPr>
              <w:spacing w:after="0"/>
              <w:rPr>
                <w:sz w:val="19"/>
                <w:szCs w:val="19"/>
                <w:color w:val="auto"/>
              </w:rPr>
            </w:pPr>
          </w:p>
        </w:tc>
      </w:tr>
      <w:tr>
        <w:trPr>
          <w:trHeight w:val="170"/>
        </w:trPr>
        <w:tc>
          <w:tcPr>
            <w:tcW w:w="74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Reconciliation of Cash and cash equivalents and Restricted Cash:</w:t>
            </w:r>
          </w:p>
        </w:tc>
        <w:tc>
          <w:tcPr>
            <w:tcW w:w="13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 at the beginning of period</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320,908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205,900</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Restricted cash at the beginning of period</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Restricted cash at the beginning of period</w:t>
            </w:r>
          </w:p>
        </w:tc>
        <w:tc>
          <w:tcPr>
            <w:tcW w:w="14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324,538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209,411</w:t>
            </w:r>
          </w:p>
        </w:tc>
        <w:tc>
          <w:tcPr>
            <w:tcW w:w="100" w:type="dxa"/>
            <w:vAlign w:val="bottom"/>
            <w:shd w:val="clear" w:color="auto" w:fill="CFF0FC"/>
          </w:tcPr>
          <w:p>
            <w:pPr>
              <w:spacing w:after="0"/>
              <w:rPr>
                <w:sz w:val="19"/>
                <w:szCs w:val="19"/>
                <w:color w:val="auto"/>
              </w:rPr>
            </w:pPr>
          </w:p>
        </w:tc>
      </w:tr>
      <w:tr>
        <w:trPr>
          <w:trHeight w:val="170"/>
        </w:trPr>
        <w:tc>
          <w:tcPr>
            <w:tcW w:w="7400" w:type="dxa"/>
            <w:vAlign w:val="bottom"/>
            <w:tcBorders>
              <w:top w:val="single" w:sz="8" w:color="CFF0FC"/>
            </w:tcBorders>
          </w:tcPr>
          <w:p>
            <w:pPr>
              <w:ind w:left="180"/>
              <w:spacing w:after="0" w:line="170" w:lineRule="exact"/>
              <w:rPr>
                <w:sz w:val="20"/>
                <w:szCs w:val="20"/>
                <w:color w:val="auto"/>
              </w:rPr>
            </w:pPr>
            <w:r>
              <w:rPr>
                <w:rFonts w:ascii="Arial" w:cs="Arial" w:eastAsia="Arial" w:hAnsi="Arial"/>
                <w:sz w:val="16"/>
                <w:szCs w:val="16"/>
                <w:color w:val="auto"/>
              </w:rPr>
              <w:t>Cash and cash equivalents at the end of period</w:t>
            </w:r>
          </w:p>
        </w:tc>
        <w:tc>
          <w:tcPr>
            <w:tcW w:w="13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338,780</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245,849</w:t>
            </w:r>
          </w:p>
        </w:tc>
        <w:tc>
          <w:tcPr>
            <w:tcW w:w="100" w:type="dxa"/>
            <w:vAlign w:val="bottom"/>
            <w:tcBorders>
              <w:top w:val="single" w:sz="8" w:color="CFF0FC"/>
            </w:tcBorders>
          </w:tcPr>
          <w:p>
            <w:pPr>
              <w:spacing w:after="0"/>
              <w:rPr>
                <w:sz w:val="14"/>
                <w:szCs w:val="14"/>
                <w:color w:val="auto"/>
              </w:rPr>
            </w:pPr>
          </w:p>
        </w:tc>
      </w:tr>
      <w:tr>
        <w:trPr>
          <w:trHeight w:val="189"/>
        </w:trPr>
        <w:tc>
          <w:tcPr>
            <w:tcW w:w="7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Restricted cash at the end of period</w:t>
            </w:r>
          </w:p>
        </w:tc>
        <w:tc>
          <w:tcPr>
            <w:tcW w:w="13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3,348</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color w:val="auto"/>
              </w:rPr>
              <w:t>Cash and cash equivalents and Restricted cash at the end of period</w:t>
            </w: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342,128</w:t>
            </w:r>
          </w:p>
        </w:tc>
        <w:tc>
          <w:tcPr>
            <w:tcW w:w="1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249,648</w:t>
            </w:r>
          </w:p>
        </w:tc>
        <w:tc>
          <w:tcPr>
            <w:tcW w:w="10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4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Cash paid for income taxes, net of refunds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activities: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740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of operating lease obligations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-3170555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-3170555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-2433320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-2433320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-2077085</wp:posOffset>
            </wp:positionV>
            <wp:extent cx="939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-2077085</wp:posOffset>
            </wp:positionV>
            <wp:extent cx="939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-1430020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-1412875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-1430020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-1412875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-915670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-898525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-650240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(In thousands,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Santa Clara, California, Richmond Hill, Ontario (Canada), and Gurugram, Mohali and Bengaluru (India). The Company is headquartered in Charlotte, North Carolina.</w:t>
      </w:r>
    </w:p>
    <w:p>
      <w:pPr>
        <w:spacing w:after="0" w:line="77" w:lineRule="exact"/>
        <w:rPr>
          <w:sz w:val="20"/>
          <w:szCs w:val="20"/>
          <w:color w:val="auto"/>
        </w:rPr>
      </w:pPr>
    </w:p>
    <w:p>
      <w:pPr>
        <w:ind w:right="4800" w:firstLine="8"/>
        <w:spacing w:after="0" w:line="360" w:lineRule="auto"/>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 and Principles of Consolidation</w:t>
      </w:r>
    </w:p>
    <w:p>
      <w:pPr>
        <w:jc w:val="both"/>
        <w:ind w:firstLine="494"/>
        <w:spacing w:after="0"/>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2025 filed with the SEC on February 24, 2026 (the “2025 Form 10-K”).</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months ended March 31, 2026 and 2025 are not necessarily indicative of the results to be expected for the full year or any other future interim or annual period.</w:t>
      </w:r>
    </w:p>
    <w:p>
      <w:pPr>
        <w:spacing w:after="0" w:line="68"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revenue recognition, cost of revenue recognition, the allowance for credit losses, the useful lives of tangible and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$198.9 million and $215.7 million as of March 31, 2026 and December 31, 2025,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accounts receivable and short-term deposits. The Company maintains its cash and cash equivalents and short-term deposits with high-quality financial institutions with investment-grade ratings. For accounts receivable, the Company is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exposed to credit risk in the event of nonpayment by customers to the extent of the amounts recorded in the condensed consolidated balance sheets. No customer accounted for more than 10% of revenue for either of the three months ended March 31, 2026 and 2025. As of March 31, 2026 and December 31, 2025, one reseller accounted for more than 10% of accounts receivable.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operates as a single operating and reportable segment. The Company’s chief operating decision maker ("CODM") is its chief executive officer, and the CODM evaluates financial performance and makes resource allocation decisions based on consolidated financial information. The measure of segment profit or loss that the CODM uses to allocate resources and assess performance is the Company’s consolidated net income, as reported on the condensed consolidated statements of operations and comprehensive income. The CODM uses consolidated net income to assess overall Company performance, monitor progress toward financial targets, and make strategic decisions regarding the allocation of resources across functions and initiatives.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accounting policies applied to the segments are the same as those described in the summary of significant accounting policies. All expense categories on the condensed consolidated statements of operations and comprehensive income are significant, and there are no other significant expenses that are reviewed or provided to the CODM that would require disclosure.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provided to the CODM are consistent with those reported on the condensed consolidated balance sheets.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Information related to the Company’s products and services is disclosed in Note 1. Information about geographical distribution of the Company’s revenue and long-lived assets is disclosed in Notes 3 and 4,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2025 and 2024 and for the years ended December 31, 2025, 2024 and 2023 included in the 2025 Form 10-K. There have been no significant changes to these policies during the three months ended March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condensed consolidated financial statements.</w:t>
      </w:r>
    </w:p>
    <w:p>
      <w:pPr>
        <w:spacing w:after="0" w:line="46" w:lineRule="exact"/>
        <w:rPr>
          <w:sz w:val="20"/>
          <w:szCs w:val="20"/>
          <w:color w:val="auto"/>
        </w:rPr>
      </w:pPr>
    </w:p>
    <w:p>
      <w:pPr>
        <w:ind w:right="1520" w:firstLine="509"/>
        <w:spacing w:after="0" w:line="245" w:lineRule="auto"/>
        <w:rPr>
          <w:sz w:val="20"/>
          <w:szCs w:val="20"/>
          <w:color w:val="auto"/>
        </w:rPr>
      </w:pPr>
      <w:r>
        <w:rPr>
          <w:rFonts w:ascii="Arial" w:cs="Arial" w:eastAsia="Arial" w:hAnsi="Arial"/>
          <w:sz w:val="18"/>
          <w:szCs w:val="18"/>
          <w:color w:val="auto"/>
        </w:rPr>
        <w:t>In July 2025, the FASB issued ASU 2025-05, Measurement of Credit Losses for Accounts Receivable and Contract Assets. ASU 2025-05 provides guidance on the measurement of credit losses for certain accounts receivable and contract</w:t>
      </w:r>
    </w:p>
    <w:p>
      <w:pPr>
        <w:jc w:val="both"/>
        <w:spacing w:after="0"/>
        <w:rPr>
          <w:sz w:val="20"/>
          <w:szCs w:val="20"/>
          <w:color w:val="auto"/>
        </w:rPr>
      </w:pPr>
      <w:r>
        <w:rPr>
          <w:rFonts w:ascii="Arial" w:cs="Arial" w:eastAsia="Arial" w:hAnsi="Arial"/>
          <w:sz w:val="18"/>
          <w:szCs w:val="18"/>
          <w:color w:val="auto"/>
        </w:rPr>
        <w:t>assets arising from revenue transactions. The guidance is effective for annual reporting periods beginning after December 15, 2025, and interim periods within those annual reporting periods. The Company adopted ASU 2025-05 effective January 1, 2026 on a prospective basis. The adoption of this new guidance did not have a material impact on the Company's condensed consolidated financial statements and related disclosures.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November 4, 2024, the FASB issued new guidance requiring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ASU 2024-03, Disaggregation of Income Statement Expenses (DISE), applies to all public business entities (PBEs) and is effective for annual reporting periods beginning after December 15, 2026 and interim reporting periods within annual reporting periods beginning after December 15, 2027. The requirements will be applied prospectively with the option for retrospective application. Early adoption is permitted. The adoption of ASU 2024-03 is not expected to have a material impact on the Company's financial position or results of operations.</w:t>
      </w:r>
    </w:p>
    <w:p>
      <w:pPr>
        <w:spacing w:after="0" w:line="72" w:lineRule="exact"/>
        <w:rPr>
          <w:sz w:val="20"/>
          <w:szCs w:val="20"/>
          <w:color w:val="auto"/>
        </w:rPr>
      </w:pPr>
    </w:p>
    <w:p>
      <w:pPr>
        <w:ind w:right="1980" w:firstLine="509"/>
        <w:spacing w:after="0" w:line="259" w:lineRule="auto"/>
        <w:rPr>
          <w:sz w:val="20"/>
          <w:szCs w:val="20"/>
          <w:color w:val="auto"/>
        </w:rPr>
      </w:pPr>
      <w:r>
        <w:rPr>
          <w:rFonts w:ascii="Arial" w:cs="Arial" w:eastAsia="Arial" w:hAnsi="Arial"/>
          <w:sz w:val="17"/>
          <w:szCs w:val="17"/>
          <w:color w:val="auto"/>
        </w:rPr>
        <w:t>In September 2025, the FASB issued ASU 2025-06, Intangibles – Goodwill and Other – Internal-Use Software (Subtopic 350-40): Targeted Improvements to the Accounting for Internal-Use Software. The amended guidance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modernizes the accounting for costs related to internal-use software to more closely align with current software development methods. The guidance removes references to project stages and clarifies when the Company is required to start capitalizing eligible costs. The new guidance is effective for fiscal years beginning after December 15, 2027, and interim periods within those fiscal years, with early adoption permitted. The guidance can be applied on a prospective basis, a modified basis for in-process projects, or a retrospective basis. The Company is currently evaluating the impact this amended guidance may have on its condensed consolidated financial statements and related disclosures.</w:t>
      </w:r>
    </w:p>
    <w:p>
      <w:pPr>
        <w:spacing w:after="0" w:line="7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December 2025, the FASB issued ASU 2025-11, Interim Reporting (Topic 270): Narrow-Scope Improvements. The amendments improve the codification guidance for interim reporting and require that entities provide specific disclosures in interim periods that were previously only required in annual financial statements. The new guidance is effective for fiscal</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years beginning after December 15, 2027, and interim periods within those fiscal years, with early adoption permitted. The Company is currently evaluating the impact of adopting this new guidance on its future interim financial disclosures.</w:t>
      </w:r>
    </w:p>
    <w:p>
      <w:pPr>
        <w:spacing w:after="0" w:line="46" w:lineRule="exact"/>
        <w:rPr>
          <w:sz w:val="20"/>
          <w:szCs w:val="20"/>
          <w:color w:val="auto"/>
        </w:rPr>
      </w:pPr>
    </w:p>
    <w:p>
      <w:pPr>
        <w:ind w:right="5840" w:firstLine="8"/>
        <w:spacing w:after="0" w:line="360" w:lineRule="auto"/>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Performance Obligations and Contract Balances </w:t>
      </w:r>
      <w:r>
        <w:rPr>
          <w:rFonts w:ascii="Arial" w:cs="Arial" w:eastAsia="Arial" w:hAnsi="Arial"/>
          <w:sz w:val="18"/>
          <w:szCs w:val="18"/>
          <w:b w:val="1"/>
          <w:bCs w:val="1"/>
          <w:i w:val="1"/>
          <w:iCs w:val="1"/>
          <w:color w:val="auto"/>
        </w:rPr>
        <w:t>Disaggregation of Revenue</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disaggregation of revenue from contracts with customers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tcPr>
          <w:p>
            <w:pPr>
              <w:spacing w:after="0"/>
              <w:rPr>
                <w:sz w:val="19"/>
                <w:szCs w:val="19"/>
                <w:color w:val="auto"/>
              </w:rPr>
            </w:pPr>
          </w:p>
        </w:tc>
        <w:tc>
          <w:tcPr>
            <w:tcW w:w="348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7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Payment transaction processing revenue</w:t>
            </w:r>
          </w:p>
        </w:tc>
        <w:tc>
          <w:tcPr>
            <w:tcW w:w="106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355,664</w:t>
            </w:r>
          </w:p>
        </w:tc>
        <w:tc>
          <w:tcPr>
            <w:tcW w:w="4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273,280</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1,955</w:t>
            </w:r>
          </w:p>
        </w:tc>
        <w:tc>
          <w:tcPr>
            <w:tcW w:w="100" w:type="dxa"/>
            <w:vAlign w:val="bottom"/>
          </w:tcPr>
          <w:p>
            <w:pPr>
              <w:spacing w:after="0"/>
              <w:rPr>
                <w:sz w:val="17"/>
                <w:szCs w:val="17"/>
                <w:color w:val="auto"/>
              </w:rPr>
            </w:pPr>
          </w:p>
        </w:tc>
      </w:tr>
      <w:tr>
        <w:trPr>
          <w:trHeight w:val="236"/>
        </w:trPr>
        <w:tc>
          <w:tcPr>
            <w:tcW w:w="77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1060" w:type="dxa"/>
            <w:vAlign w:val="bottom"/>
            <w:tcBorders>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358,441</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275,235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44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36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353,008</w:t>
            </w:r>
          </w:p>
        </w:tc>
        <w:tc>
          <w:tcPr>
            <w:tcW w:w="4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270,679</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5,433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4,556</w:t>
            </w:r>
          </w:p>
        </w:tc>
        <w:tc>
          <w:tcPr>
            <w:tcW w:w="100" w:type="dxa"/>
            <w:vAlign w:val="bottom"/>
          </w:tcPr>
          <w:p>
            <w:pPr>
              <w:spacing w:after="0"/>
              <w:rPr>
                <w:sz w:val="17"/>
                <w:szCs w:val="17"/>
                <w:color w:val="auto"/>
              </w:rPr>
            </w:pPr>
          </w:p>
        </w:tc>
      </w:tr>
      <w:tr>
        <w:trPr>
          <w:trHeight w:val="216"/>
        </w:trPr>
        <w:tc>
          <w:tcPr>
            <w:tcW w:w="44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358,441</w:t>
            </w:r>
          </w:p>
        </w:tc>
        <w:tc>
          <w:tcPr>
            <w:tcW w:w="4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275,235</w:t>
            </w:r>
          </w:p>
        </w:tc>
        <w:tc>
          <w:tcPr>
            <w:tcW w:w="100" w:type="dxa"/>
            <w:vAlign w:val="bottom"/>
            <w:shd w:val="clear" w:color="auto" w:fill="CFF0FC"/>
          </w:tcPr>
          <w:p>
            <w:pPr>
              <w:spacing w:after="0"/>
              <w:rPr>
                <w:sz w:val="18"/>
                <w:szCs w:val="18"/>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March 31, 2026, the aggregate amount of transaction price allocated to performance obligations that are unsatisfied or partially unsatisfied was $8.2 million, of which the Company expects to recognize over 73% within the next two years, 18% between two to four years and the remainder thereafter. The timing of revenue recognition within the next four years is largely dependent upon the go-live dates of the Company's customers under the Company’s contracts.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March 31, 2026, the Company has contractual rights under its commercial agreements with customers and resellers to receive $51.1 million of fixed consideration related to the future minimum guarantees through 2030.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Revenue recognized during the three months ended March 31, 2026 and 2025 that was included in the contract liabilities balance at the beginning of each of the periods was $0.5 million and $0.6 million,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8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88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8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6,598</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6,597</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1,832</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8,796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8,816</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7"/>
                <w:szCs w:val="17"/>
                <w:color w:val="auto"/>
              </w:rPr>
            </w:pPr>
          </w:p>
        </w:tc>
        <w:tc>
          <w:tcPr>
            <w:tcW w:w="15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(8,006)</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(7,939)</w:t>
            </w:r>
          </w:p>
        </w:tc>
      </w:tr>
      <w:tr>
        <w:trPr>
          <w:trHeight w:val="20"/>
        </w:trPr>
        <w:tc>
          <w:tcPr>
            <w:tcW w:w="7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80" w:type="dxa"/>
            <w:vAlign w:val="bottom"/>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790</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877</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-427990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Depreciation expense recorded for property and equipment was $0.2 million and $0.2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Company's long-lived assets primarily consist of computer equipment and furniture. The table below summarizes long-lived assets based on their geographical area (in thousands):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1"/>
        </w:trPr>
        <w:tc>
          <w:tcPr>
            <w:tcW w:w="79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9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2026</w:t>
            </w: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w:t>
            </w:r>
          </w:p>
        </w:tc>
        <w:tc>
          <w:tcPr>
            <w:tcW w:w="100" w:type="dxa"/>
            <w:vAlign w:val="bottom"/>
          </w:tcPr>
          <w:p>
            <w:pPr>
              <w:spacing w:after="0"/>
              <w:rPr>
                <w:sz w:val="17"/>
                <w:szCs w:val="17"/>
                <w:color w:val="auto"/>
              </w:rPr>
            </w:pPr>
          </w:p>
        </w:tc>
      </w:tr>
      <w:tr>
        <w:trPr>
          <w:trHeight w:val="216"/>
        </w:trPr>
        <w:tc>
          <w:tcPr>
            <w:tcW w:w="7980" w:type="dxa"/>
            <w:vAlign w:val="bottom"/>
            <w:shd w:val="clear" w:color="auto" w:fill="CFF0FC"/>
          </w:tcPr>
          <w:p>
            <w:pPr>
              <w:ind w:left="120"/>
              <w:spacing w:after="0" w:line="182" w:lineRule="exact"/>
              <w:rPr>
                <w:sz w:val="20"/>
                <w:szCs w:val="20"/>
                <w:color w:val="auto"/>
              </w:rPr>
            </w:pPr>
            <w:r>
              <w:rPr>
                <w:rFonts w:ascii="Arial" w:cs="Arial" w:eastAsia="Arial" w:hAnsi="Arial"/>
                <w:sz w:val="18"/>
                <w:szCs w:val="18"/>
                <w:color w:val="auto"/>
              </w:rPr>
              <w:t>Total</w:t>
            </w:r>
          </w:p>
        </w:tc>
        <w:tc>
          <w:tcPr>
            <w:tcW w:w="1240" w:type="dxa"/>
            <w:vAlign w:val="bottom"/>
            <w:shd w:val="clear" w:color="auto" w:fill="CFF0FC"/>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790</w:t>
            </w:r>
          </w:p>
        </w:tc>
        <w:tc>
          <w:tcPr>
            <w:tcW w:w="24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877</w:t>
            </w:r>
          </w:p>
        </w:tc>
        <w:tc>
          <w:tcPr>
            <w:tcW w:w="100" w:type="dxa"/>
            <w:vAlign w:val="bottom"/>
            <w:shd w:val="clear" w:color="auto" w:fill="CFF0FC"/>
          </w:tcPr>
          <w:p>
            <w:pPr>
              <w:spacing w:after="0"/>
              <w:rPr>
                <w:sz w:val="18"/>
                <w:szCs w:val="18"/>
                <w:color w:val="auto"/>
              </w:rPr>
            </w:pPr>
          </w:p>
        </w:tc>
      </w:tr>
      <w:tr>
        <w:trPr>
          <w:trHeight w:val="20"/>
        </w:trPr>
        <w:tc>
          <w:tcPr>
            <w:tcW w:w="79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4500" w:firstLine="8"/>
        <w:spacing w:after="0" w:line="360" w:lineRule="auto"/>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Internal-use Software Development Costs and Intangible Assets </w:t>
      </w:r>
      <w:r>
        <w:rPr>
          <w:rFonts w:ascii="Arial" w:cs="Arial" w:eastAsia="Arial" w:hAnsi="Arial"/>
          <w:sz w:val="18"/>
          <w:szCs w:val="18"/>
          <w:b w:val="1"/>
          <w:bCs w:val="1"/>
          <w:i w:val="1"/>
          <w:iCs w:val="1"/>
          <w:color w:val="auto"/>
        </w:rPr>
        <w:t>Goodwill</w:t>
      </w:r>
    </w:p>
    <w:p>
      <w:pPr>
        <w:ind w:firstLine="494"/>
        <w:spacing w:after="0" w:line="271" w:lineRule="auto"/>
        <w:rPr>
          <w:sz w:val="20"/>
          <w:szCs w:val="20"/>
          <w:color w:val="auto"/>
        </w:rPr>
      </w:pPr>
      <w:r>
        <w:rPr>
          <w:rFonts w:ascii="Arial" w:cs="Arial" w:eastAsia="Arial" w:hAnsi="Arial"/>
          <w:sz w:val="18"/>
          <w:szCs w:val="18"/>
          <w:color w:val="auto"/>
        </w:rPr>
        <w:t>The changes in the carrying amount of goodwill during the three months ended March 31, 2026 and 2025 relate to foreign currency translation adjustments.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During the three months ended March 31, 2026 and 2025, the Company capitalized $9.5 million and $9.4 million of costs related to internal-use software development,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included in the condensed consolidated statements of operations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36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50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3900" w:type="dxa"/>
            <w:vAlign w:val="bottom"/>
            <w:gridSpan w:val="2"/>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6,056</w:t>
            </w:r>
          </w:p>
        </w:tc>
        <w:tc>
          <w:tcPr>
            <w:tcW w:w="4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5,638</w:t>
            </w:r>
          </w:p>
        </w:tc>
        <w:tc>
          <w:tcPr>
            <w:tcW w:w="100" w:type="dxa"/>
            <w:vAlign w:val="bottom"/>
            <w:shd w:val="clear" w:color="auto" w:fill="CFF0FC"/>
          </w:tcPr>
          <w:p>
            <w:pPr>
              <w:spacing w:after="0"/>
              <w:rPr>
                <w:sz w:val="17"/>
                <w:szCs w:val="17"/>
                <w:color w:val="auto"/>
              </w:rPr>
            </w:pPr>
          </w:p>
        </w:tc>
      </w:tr>
      <w:tr>
        <w:trPr>
          <w:trHeight w:val="202"/>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8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2,788</w:t>
            </w:r>
          </w:p>
        </w:tc>
        <w:tc>
          <w:tcPr>
            <w:tcW w:w="100" w:type="dxa"/>
            <w:vAlign w:val="bottom"/>
          </w:tcPr>
          <w:p>
            <w:pPr>
              <w:spacing w:after="0"/>
              <w:rPr>
                <w:sz w:val="17"/>
                <w:szCs w:val="17"/>
                <w:color w:val="auto"/>
              </w:rPr>
            </w:pPr>
          </w:p>
        </w:tc>
      </w:tr>
      <w:tr>
        <w:trPr>
          <w:trHeight w:val="216"/>
        </w:trPr>
        <w:tc>
          <w:tcPr>
            <w:tcW w:w="504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FF0FC"/>
          </w:tcPr>
          <w:p>
            <w:pPr>
              <w:jc w:val="right"/>
              <w:ind w:right="870"/>
              <w:spacing w:after="0" w:line="18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8,916</w:t>
            </w:r>
          </w:p>
        </w:tc>
        <w:tc>
          <w:tcPr>
            <w:tcW w:w="44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8,426</w:t>
            </w:r>
          </w:p>
        </w:tc>
        <w:tc>
          <w:tcPr>
            <w:tcW w:w="100" w:type="dxa"/>
            <w:vAlign w:val="bottom"/>
            <w:shd w:val="clear" w:color="auto" w:fill="CFF0FC"/>
          </w:tcPr>
          <w:p>
            <w:pPr>
              <w:spacing w:after="0"/>
              <w:rPr>
                <w:sz w:val="18"/>
                <w:szCs w:val="18"/>
                <w:color w:val="auto"/>
              </w:rPr>
            </w:pP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gridSpan w:val="4"/>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3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ind w:left="6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ind w:left="80"/>
              <w:spacing w:after="0" w:line="202" w:lineRule="exact"/>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21,818</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(21,818)</w:t>
            </w:r>
          </w:p>
        </w:tc>
        <w:tc>
          <w:tcPr>
            <w:tcW w:w="32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left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31,971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(20,801)</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11,170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Software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(414)</w:t>
            </w: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left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(4,038)</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right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58,241</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(47,071)</w:t>
            </w:r>
          </w:p>
        </w:tc>
        <w:tc>
          <w:tcPr>
            <w:tcW w:w="32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11,170</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ind w:left="120"/>
              <w:spacing w:after="0" w:line="202" w:lineRule="exact"/>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21,827</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(21,827)</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left w:val="single" w:sz="8" w:color="CFF0FC"/>
            </w:tcBorders>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31,982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(19,995)</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11,987</w:t>
            </w: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2,912</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(2,912)</w:t>
            </w: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left w:val="single" w:sz="8" w:color="CFF0FC"/>
            </w:tcBorders>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(4,038)</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right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60,759</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(48,772)</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11,987</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-1628140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-1610995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-1628140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-1610995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-1628140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-1610995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Amortization expense of intangible assets was $0.8 million and $2.1 million for the three months ended March 31, 2026 and 2025, respectively.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9"/>
        </w:trPr>
        <w:tc>
          <w:tcPr>
            <w:tcW w:w="9560" w:type="dxa"/>
            <w:vAlign w:val="bottom"/>
          </w:tcPr>
          <w:p>
            <w:pPr>
              <w:jc w:val="right"/>
              <w:ind w:right="1890"/>
              <w:spacing w:after="0"/>
              <w:rPr>
                <w:sz w:val="20"/>
                <w:szCs w:val="20"/>
                <w:color w:val="auto"/>
              </w:rPr>
            </w:pPr>
            <w:r>
              <w:rPr>
                <w:rFonts w:ascii="Arial" w:cs="Arial" w:eastAsia="Arial" w:hAnsi="Arial"/>
                <w:sz w:val="18"/>
                <w:szCs w:val="18"/>
                <w:color w:val="auto"/>
              </w:rPr>
              <w:t>As of March 31, 2026, future expected amortization expense is as follows (in thousands):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0"/>
        </w:trPr>
        <w:tc>
          <w:tcPr>
            <w:tcW w:w="9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9560" w:type="dxa"/>
            <w:vAlign w:val="bottom"/>
            <w:shd w:val="clear" w:color="auto" w:fill="CFF0FC"/>
          </w:tcPr>
          <w:p>
            <w:pPr>
              <w:jc w:val="right"/>
              <w:ind w:right="7090"/>
              <w:spacing w:after="0" w:line="202" w:lineRule="exact"/>
              <w:rPr>
                <w:sz w:val="20"/>
                <w:szCs w:val="20"/>
                <w:color w:val="auto"/>
              </w:rPr>
            </w:pPr>
            <w:r>
              <w:rPr>
                <w:rFonts w:ascii="Arial" w:cs="Arial" w:eastAsia="Arial" w:hAnsi="Arial"/>
                <w:sz w:val="18"/>
                <w:szCs w:val="18"/>
                <w:b w:val="1"/>
                <w:bCs w:val="1"/>
                <w:color w:val="auto"/>
                <w:w w:val="99"/>
              </w:rPr>
              <w:t>Years Ending December 31,</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jc w:val="right"/>
              <w:ind w:right="8930"/>
              <w:spacing w:after="0" w:line="202" w:lineRule="exact"/>
              <w:rPr>
                <w:sz w:val="20"/>
                <w:szCs w:val="20"/>
                <w:color w:val="auto"/>
              </w:rPr>
            </w:pPr>
            <w:r>
              <w:rPr>
                <w:rFonts w:ascii="Arial" w:cs="Arial" w:eastAsia="Arial" w:hAnsi="Arial"/>
                <w:sz w:val="18"/>
                <w:szCs w:val="18"/>
                <w:color w:val="auto"/>
              </w:rPr>
              <w:t>2026</w:t>
            </w: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2,452</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jc w:val="right"/>
              <w:ind w:right="8930"/>
              <w:spacing w:after="0" w:line="202" w:lineRule="exact"/>
              <w:rPr>
                <w:sz w:val="20"/>
                <w:szCs w:val="20"/>
                <w:color w:val="auto"/>
              </w:rPr>
            </w:pPr>
            <w:r>
              <w:rPr>
                <w:rFonts w:ascii="Arial" w:cs="Arial" w:eastAsia="Arial" w:hAnsi="Arial"/>
                <w:sz w:val="18"/>
                <w:szCs w:val="18"/>
                <w:color w:val="auto"/>
              </w:rPr>
              <w:t>2027</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jc w:val="right"/>
              <w:ind w:right="8930"/>
              <w:spacing w:after="0" w:line="202" w:lineRule="exact"/>
              <w:rPr>
                <w:sz w:val="20"/>
                <w:szCs w:val="20"/>
                <w:color w:val="auto"/>
              </w:rPr>
            </w:pPr>
            <w:r>
              <w:rPr>
                <w:rFonts w:ascii="Arial" w:cs="Arial" w:eastAsia="Arial" w:hAnsi="Arial"/>
                <w:sz w:val="18"/>
                <w:szCs w:val="18"/>
                <w:color w:val="auto"/>
              </w:rPr>
              <w:t>2028</w:t>
            </w: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9560" w:type="dxa"/>
            <w:vAlign w:val="bottom"/>
            <w:tcBorders>
              <w:bottom w:val="single" w:sz="8" w:color="CFF0FC"/>
            </w:tcBorders>
            <w:shd w:val="clear" w:color="auto" w:fill="CFF0FC"/>
          </w:tcPr>
          <w:p>
            <w:pPr>
              <w:jc w:val="right"/>
              <w:ind w:right="8930"/>
              <w:spacing w:after="0" w:line="202" w:lineRule="exact"/>
              <w:rPr>
                <w:sz w:val="20"/>
                <w:szCs w:val="20"/>
                <w:color w:val="auto"/>
              </w:rPr>
            </w:pPr>
            <w:r>
              <w:rPr>
                <w:rFonts w:ascii="Arial" w:cs="Arial" w:eastAsia="Arial" w:hAnsi="Arial"/>
                <w:sz w:val="18"/>
                <w:szCs w:val="18"/>
                <w:color w:val="auto"/>
              </w:rPr>
              <w:t>2029</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560" w:type="dxa"/>
            <w:vAlign w:val="bottom"/>
          </w:tcPr>
          <w:p>
            <w:pPr>
              <w:jc w:val="right"/>
              <w:ind w:right="6550"/>
              <w:spacing w:after="0" w:line="196" w:lineRule="exact"/>
              <w:rPr>
                <w:sz w:val="20"/>
                <w:szCs w:val="20"/>
                <w:color w:val="auto"/>
              </w:rPr>
            </w:pPr>
            <w:r>
              <w:rPr>
                <w:rFonts w:ascii="Arial" w:cs="Arial" w:eastAsia="Arial" w:hAnsi="Arial"/>
                <w:sz w:val="18"/>
                <w:szCs w:val="18"/>
                <w:color w:val="auto"/>
              </w:rPr>
              <w:t>Total future amortization expense</w:t>
            </w: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11,170</w:t>
            </w:r>
          </w:p>
        </w:tc>
        <w:tc>
          <w:tcPr>
            <w:tcW w:w="100" w:type="dxa"/>
            <w:vAlign w:val="bottom"/>
          </w:tcPr>
          <w:p>
            <w:pPr>
              <w:spacing w:after="0"/>
              <w:rPr>
                <w:sz w:val="17"/>
                <w:szCs w:val="17"/>
                <w:color w:val="auto"/>
              </w:rPr>
            </w:pPr>
          </w:p>
        </w:tc>
      </w:tr>
      <w:tr>
        <w:trPr>
          <w:trHeight w:val="20"/>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three months ended March 31, 2026 or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860" w:type="dxa"/>
            <w:vAlign w:val="bottom"/>
          </w:tcPr>
          <w:p>
            <w:pPr>
              <w:spacing w:after="0"/>
              <w:rPr>
                <w:sz w:val="20"/>
                <w:szCs w:val="20"/>
                <w:color w:val="auto"/>
              </w:rPr>
            </w:pPr>
            <w:r>
              <w:rPr>
                <w:rFonts w:ascii="Arial" w:cs="Arial" w:eastAsia="Arial" w:hAnsi="Arial"/>
                <w:sz w:val="18"/>
                <w:szCs w:val="18"/>
                <w:b w:val="1"/>
                <w:bCs w:val="1"/>
                <w:color w:val="auto"/>
              </w:rPr>
              <w:t>6. Prepaid expenses and other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03"/>
        </w:trPr>
        <w:tc>
          <w:tcPr>
            <w:tcW w:w="7860" w:type="dxa"/>
            <w:vAlign w:val="bottom"/>
          </w:tcPr>
          <w:p>
            <w:pPr>
              <w:ind w:left="500"/>
              <w:spacing w:after="0"/>
              <w:rPr>
                <w:sz w:val="20"/>
                <w:szCs w:val="20"/>
                <w:color w:val="auto"/>
              </w:rPr>
            </w:pPr>
            <w:r>
              <w:rPr>
                <w:rFonts w:ascii="Arial" w:cs="Arial" w:eastAsia="Arial" w:hAnsi="Arial"/>
                <w:sz w:val="18"/>
                <w:szCs w:val="18"/>
                <w:color w:val="auto"/>
              </w:rPr>
              <w:t>The composition of prepaid expenses and other assets is as follows (in thousands):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8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8,111</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8,138</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Contract acquisition costs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7,402</w:t>
            </w:r>
          </w:p>
        </w:tc>
        <w:tc>
          <w:tcPr>
            <w:tcW w:w="120" w:type="dxa"/>
            <w:vAlign w:val="bottom"/>
          </w:tcPr>
          <w:p>
            <w:pPr>
              <w:spacing w:after="0"/>
              <w:rPr>
                <w:sz w:val="17"/>
                <w:szCs w:val="17"/>
                <w:color w:val="auto"/>
              </w:rPr>
            </w:pPr>
          </w:p>
        </w:tc>
      </w:tr>
      <w:tr>
        <w:trPr>
          <w:trHeight w:val="203"/>
        </w:trPr>
        <w:tc>
          <w:tcPr>
            <w:tcW w:w="7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100"/>
              <w:spacing w:after="0" w:line="182" w:lineRule="exact"/>
              <w:rPr>
                <w:sz w:val="20"/>
                <w:szCs w:val="20"/>
                <w:color w:val="auto"/>
              </w:rPr>
            </w:pPr>
            <w:r>
              <w:rPr>
                <w:rFonts w:ascii="Arial" w:cs="Arial" w:eastAsia="Arial" w:hAnsi="Arial"/>
                <w:sz w:val="18"/>
                <w:szCs w:val="18"/>
                <w:color w:val="auto"/>
              </w:rPr>
              <w:t>Total prepaid expenses and other assets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15,945</w:t>
            </w:r>
          </w:p>
        </w:tc>
        <w:tc>
          <w:tcPr>
            <w:tcW w:w="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17,509</w:t>
            </w:r>
          </w:p>
        </w:tc>
        <w:tc>
          <w:tcPr>
            <w:tcW w:w="12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-162560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ind w:right="1940" w:firstLine="499"/>
        <w:spacing w:after="0" w:line="271" w:lineRule="auto"/>
        <w:rPr>
          <w:sz w:val="20"/>
          <w:szCs w:val="20"/>
          <w:color w:val="auto"/>
        </w:rPr>
      </w:pPr>
      <w:r>
        <w:rPr>
          <w:rFonts w:ascii="Arial" w:cs="Arial" w:eastAsia="Arial" w:hAnsi="Arial"/>
          <w:sz w:val="18"/>
          <w:szCs w:val="18"/>
          <w:color w:val="auto"/>
        </w:rPr>
        <w:t>Contract acquisition costs consist of upfront customer contract discounts, unamortized warrants cost and sales commissions. Other assets consist of security deposits for leased properties and investment in term deposits.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80" w:type="dxa"/>
            <w:vAlign w:val="bottom"/>
          </w:tcPr>
          <w:p>
            <w:pPr>
              <w:spacing w:after="0"/>
              <w:rPr>
                <w:sz w:val="20"/>
                <w:szCs w:val="20"/>
                <w:color w:val="auto"/>
              </w:rPr>
            </w:pPr>
            <w:r>
              <w:rPr>
                <w:rFonts w:ascii="Arial" w:cs="Arial" w:eastAsia="Arial" w:hAnsi="Arial"/>
                <w:sz w:val="18"/>
                <w:szCs w:val="18"/>
                <w:b w:val="1"/>
                <w:bCs w:val="1"/>
                <w:color w:val="auto"/>
              </w:rPr>
              <w:t>7.   Accrued and Other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680" w:type="dxa"/>
            <w:vAlign w:val="bottom"/>
          </w:tcPr>
          <w:p>
            <w:pPr>
              <w:ind w:left="500"/>
              <w:spacing w:after="0"/>
              <w:rPr>
                <w:sz w:val="20"/>
                <w:szCs w:val="20"/>
                <w:color w:val="auto"/>
              </w:rPr>
            </w:pPr>
            <w:r>
              <w:rPr>
                <w:rFonts w:ascii="Arial" w:cs="Arial" w:eastAsia="Arial" w:hAnsi="Arial"/>
                <w:sz w:val="18"/>
                <w:szCs w:val="18"/>
                <w:color w:val="auto"/>
              </w:rPr>
              <w:t>The composition of accrued and other liabilities is as follows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employee-related expenses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11,385</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21,359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5,749</w:t>
            </w:r>
          </w:p>
        </w:tc>
        <w:tc>
          <w:tcPr>
            <w:tcW w:w="100" w:type="dxa"/>
            <w:vAlign w:val="bottom"/>
          </w:tcPr>
          <w:p>
            <w:pPr>
              <w:spacing w:after="0"/>
              <w:rPr>
                <w:sz w:val="17"/>
                <w:szCs w:val="17"/>
                <w:color w:val="auto"/>
              </w:rPr>
            </w:pPr>
          </w:p>
        </w:tc>
      </w:tr>
      <w:tr>
        <w:trPr>
          <w:trHeight w:val="202"/>
        </w:trPr>
        <w:tc>
          <w:tcPr>
            <w:tcW w:w="7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1,389</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100"/>
              <w:spacing w:after="0" w:line="182" w:lineRule="exact"/>
              <w:rPr>
                <w:sz w:val="20"/>
                <w:szCs w:val="20"/>
                <w:color w:val="auto"/>
              </w:rPr>
            </w:pPr>
            <w:r>
              <w:rPr>
                <w:rFonts w:ascii="Arial" w:cs="Arial" w:eastAsia="Arial" w:hAnsi="Arial"/>
                <w:sz w:val="18"/>
                <w:szCs w:val="18"/>
                <w:color w:val="auto"/>
              </w:rPr>
              <w:t>Total accrued and other liabilities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16,965</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28,354</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right="1560" w:firstLine="499"/>
        <w:spacing w:after="0" w:line="253" w:lineRule="auto"/>
        <w:rPr>
          <w:sz w:val="20"/>
          <w:szCs w:val="20"/>
          <w:color w:val="auto"/>
        </w:rPr>
      </w:pPr>
      <w:r>
        <w:rPr>
          <w:rFonts w:ascii="Arial" w:cs="Arial" w:eastAsia="Arial" w:hAnsi="Arial"/>
          <w:sz w:val="18"/>
          <w:szCs w:val="18"/>
          <w:color w:val="auto"/>
        </w:rPr>
        <w:t>Other accrued expenses consist of professional services, legal accruals, obligations related to agency commissions and other miscellaneous accruals. Other liabilities primarily consist of amounts payable to customers related to refunds arising from various circumstances, including dispute settlements.</w:t>
      </w:r>
    </w:p>
    <w:p>
      <w:pPr>
        <w:spacing w:after="0" w:line="61" w:lineRule="exact"/>
        <w:rPr>
          <w:sz w:val="20"/>
          <w:szCs w:val="20"/>
          <w:color w:val="auto"/>
        </w:rPr>
      </w:pPr>
    </w:p>
    <w:p>
      <w:pPr>
        <w:ind w:right="7980" w:firstLine="8"/>
        <w:spacing w:after="0" w:line="360" w:lineRule="auto"/>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Other Commitments</w:t>
      </w:r>
    </w:p>
    <w:p>
      <w:pPr>
        <w:jc w:val="both"/>
        <w:ind w:firstLine="494"/>
        <w:spacing w:after="0" w:line="244"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There have been no material changes to the Company's contractual obligations or commitments outside of the ordinary course of business as compared to those described in the 2025 Form 10-K. This disclosure excludes obligations under contracts that are cancellable or have remaining terms of 12 months or less.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From time to time, the Company is subject to or otherwise involved in various lawsuits, claims and legal proceedings that arise out of or are incidental to the conduct of our business, including those relating to employment matters, and contractual and other commercial disputes.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records an accrued liability. Accrued liabilities related to legal matters are included within other accrued liabilities in Note 7. If the loss is not probable or cannot be reasonably estimated, a liability is not recorded in the Company's condensed consolidated financial statements. While it is not feasible to predict or determine the ultimate outcome of these matters, the Company believes that, as of March 31, 2026, no current claims and legal proceedings are expected to have a material adverse effect on its financial position,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77"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was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March 31, 2026, all 509,370 warrant shares were vested and exercisable under the May 2021 warrant agreement.</w:t>
      </w:r>
    </w:p>
    <w:p>
      <w:pPr>
        <w:spacing w:after="0" w:line="270"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was subject to the achievement of certain commercial milestones through December 31, 2026 pursuant to the commercial agreement, as amended. As of March 31, 2026, all 684,510 warrant shares were vested and exercisable under the August 2022 warrant agreement.</w:t>
      </w:r>
    </w:p>
    <w:p>
      <w:pPr>
        <w:spacing w:after="0" w:line="77"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cs="Arial" w:eastAsia="Arial" w:hAnsi="Arial"/>
          <w:sz w:val="18"/>
          <w:szCs w:val="18"/>
          <w:i w:val="1"/>
          <w:iCs w:val="1"/>
          <w:color w:val="auto"/>
        </w:rPr>
        <w:t>Compensation-Stock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("IRC"),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2026, pursuant to the Evergreen Addition, approximately 5.0 million shares of Class A common stock were added to the 2021 Plan issuance reserve. At March 31, 2026, there were approximately 29.8 million remaining shares available for the Company to grant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 summary of the Company’s option activity during the three months ended March 31, 2026 was as follows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740" w:type="dxa"/>
            <w:vAlign w:val="bottom"/>
          </w:tcPr>
          <w:p>
            <w:pPr>
              <w:spacing w:after="0"/>
              <w:rPr>
                <w:sz w:val="17"/>
                <w:szCs w:val="17"/>
                <w:color w:val="auto"/>
              </w:rPr>
            </w:pPr>
          </w:p>
        </w:tc>
        <w:tc>
          <w:tcPr>
            <w:tcW w:w="17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740" w:type="dxa"/>
            <w:vAlign w:val="bottom"/>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2025</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3,443,585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8.64</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3.32</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79,016</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Options exercised</w:t>
            </w: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(375)</w:t>
            </w:r>
          </w:p>
        </w:tc>
        <w:tc>
          <w:tcPr>
            <w:tcW w:w="1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7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2026</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3,443,210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8.64</w:t>
            </w:r>
          </w:p>
        </w:tc>
        <w:tc>
          <w:tcPr>
            <w:tcW w:w="1680" w:type="dxa"/>
            <w:vAlign w:val="bottom"/>
            <w:tcBorders>
              <w:top w:val="single" w:sz="8" w:color="CFF0FC"/>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3.07</w:t>
            </w:r>
          </w:p>
        </w:tc>
        <w:tc>
          <w:tcPr>
            <w:tcW w:w="260" w:type="dxa"/>
            <w:vAlign w:val="bottom"/>
            <w:tcBorders>
              <w:top w:val="single" w:sz="8" w:color="CFF0FC"/>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57,694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183"/>
        </w:trPr>
        <w:tc>
          <w:tcPr>
            <w:tcW w:w="4740" w:type="dxa"/>
            <w:vAlign w:val="bottom"/>
          </w:tcPr>
          <w:p>
            <w:pPr>
              <w:spacing w:after="0" w:line="182" w:lineRule="exact"/>
              <w:rPr>
                <w:sz w:val="20"/>
                <w:szCs w:val="20"/>
                <w:color w:val="auto"/>
              </w:rPr>
            </w:pPr>
            <w:r>
              <w:rPr>
                <w:rFonts w:ascii="Arial" w:cs="Arial" w:eastAsia="Arial" w:hAnsi="Arial"/>
                <w:sz w:val="18"/>
                <w:szCs w:val="18"/>
                <w:color w:val="auto"/>
              </w:rPr>
              <w:t>Exercisable at March 31, 2026</w:t>
            </w:r>
          </w:p>
        </w:tc>
        <w:tc>
          <w:tcPr>
            <w:tcW w:w="1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3,443,210</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8.64</w:t>
            </w:r>
          </w:p>
        </w:tc>
        <w:tc>
          <w:tcPr>
            <w:tcW w:w="16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3.07</w:t>
            </w:r>
          </w:p>
        </w:tc>
        <w:tc>
          <w:tcPr>
            <w:tcW w:w="2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57,694</w:t>
            </w:r>
          </w:p>
        </w:tc>
        <w:tc>
          <w:tcPr>
            <w:tcW w:w="100" w:type="dxa"/>
            <w:vAlign w:val="bottom"/>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-179070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-162560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-316230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There were no options granted or expired during the three months ended March 31, 2026 and 2025, and no options were forfeited during the three months ended March 31, 2026. Aggregate intrinsic value represents the difference between the exercise price of the options and the fair value of the Company’s common stock. The aggregate intrinsic value of options exercised during the three months ended March 31, 2026 and 2025 was less than $0.1 million and $0.9 million, respectively.</w:t>
      </w:r>
    </w:p>
    <w:p>
      <w:pPr>
        <w:spacing w:after="0" w:line="6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March 31, 2026, all outstanding stock options granted under the 2012 Equity Incentive Plan were fully vested. Accordingly, there was no unrecognized compensation cost related to unvested 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three months ended March 31, 2026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788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RSUs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7880" w:type="dxa"/>
            <w:vAlign w:val="bottom"/>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Awarded and unvested at December 31, 2025</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2,766,276</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24.09</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855,348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Awards vested</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(346,994)</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22.82</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forfeited</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19.06</w:t>
            </w:r>
          </w:p>
        </w:tc>
        <w:tc>
          <w:tcPr>
            <w:tcW w:w="100" w:type="dxa"/>
            <w:vAlign w:val="bottom"/>
          </w:tcPr>
          <w:p>
            <w:pPr>
              <w:spacing w:after="0"/>
              <w:rPr>
                <w:sz w:val="17"/>
                <w:szCs w:val="17"/>
                <w:color w:val="auto"/>
              </w:rPr>
            </w:pPr>
          </w:p>
        </w:tc>
      </w:tr>
      <w:tr>
        <w:trPr>
          <w:trHeight w:val="236"/>
        </w:trPr>
        <w:tc>
          <w:tcPr>
            <w:tcW w:w="7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Awarded and unvested at March 31, 2026</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3,270,632</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24.69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The aggregate grant-date fair value of RSUs granted during the three months ended March 31, 2026 and 2025 was $22.1 and $17.1 million, respectively. RSUs vest over the requisite service period, which generally ranges between four to five years from the date of grant for employees and one year (historically ranging from one to three years for awards vested prior to 2026) for directors, subject to continued employment for employees and provision of services for non-employees. The aggregate fair value of RSUs vested during the three months ended March 31, 2026 and 2025 was $8.2 and $9.3 million, respectively.</w:t>
      </w:r>
    </w:p>
    <w:p>
      <w:pPr>
        <w:spacing w:after="0" w:line="7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March 31, 2026, there was $77.6 million of total unrecognized compensation cost related to unvested RSUs granted under the 2021 Plan, which is expected to be recognized over a remaining weighted-average period of 3.7 years.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6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4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480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4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3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881</w:t>
            </w:r>
          </w:p>
        </w:tc>
        <w:tc>
          <w:tcPr>
            <w:tcW w:w="100" w:type="dxa"/>
            <w:vAlign w:val="bottom"/>
          </w:tcPr>
          <w:p>
            <w:pPr>
              <w:spacing w:after="0"/>
              <w:rPr>
                <w:sz w:val="17"/>
                <w:szCs w:val="17"/>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3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1,494</w:t>
            </w:r>
          </w:p>
        </w:tc>
        <w:tc>
          <w:tcPr>
            <w:tcW w:w="10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1,104</w:t>
            </w:r>
          </w:p>
        </w:tc>
        <w:tc>
          <w:tcPr>
            <w:tcW w:w="100" w:type="dxa"/>
            <w:vAlign w:val="bottom"/>
          </w:tcPr>
          <w:p>
            <w:pPr>
              <w:spacing w:after="0"/>
              <w:rPr>
                <w:sz w:val="17"/>
                <w:szCs w:val="17"/>
                <w:color w:val="auto"/>
              </w:rPr>
            </w:pPr>
          </w:p>
        </w:tc>
      </w:tr>
      <w:tr>
        <w:trPr>
          <w:trHeight w:val="236"/>
        </w:trPr>
        <w:tc>
          <w:tcPr>
            <w:tcW w:w="412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stock-based compensation</w:t>
            </w:r>
          </w:p>
        </w:tc>
        <w:tc>
          <w:tcPr>
            <w:tcW w:w="4800" w:type="dxa"/>
            <w:vAlign w:val="bottom"/>
            <w:gridSpan w:val="2"/>
            <w:shd w:val="clear" w:color="auto" w:fill="CFF0FC"/>
          </w:tcPr>
          <w:p>
            <w:pPr>
              <w:jc w:val="right"/>
              <w:ind w:right="950"/>
              <w:spacing w:after="0" w:line="18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5,974</w:t>
            </w:r>
          </w:p>
        </w:tc>
        <w:tc>
          <w:tcPr>
            <w:tcW w:w="44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3,545</w:t>
            </w:r>
          </w:p>
        </w:tc>
        <w:tc>
          <w:tcPr>
            <w:tcW w:w="100" w:type="dxa"/>
            <w:vAlign w:val="bottom"/>
            <w:shd w:val="clear" w:color="auto" w:fill="CFF0FC"/>
          </w:tcPr>
          <w:p>
            <w:pPr>
              <w:spacing w:after="0"/>
              <w:rPr>
                <w:sz w:val="20"/>
                <w:szCs w:val="20"/>
                <w:color w:val="auto"/>
              </w:rPr>
            </w:pPr>
          </w:p>
        </w:tc>
      </w:tr>
      <w:tr>
        <w:trPr>
          <w:trHeight w:val="632"/>
        </w:trPr>
        <w:tc>
          <w:tcPr>
            <w:tcW w:w="4120" w:type="dxa"/>
            <w:vAlign w:val="bottom"/>
            <w:tcBorders>
              <w:top w:val="single" w:sz="8" w:color="CFF0FC"/>
            </w:tcBorders>
          </w:tcPr>
          <w:p>
            <w:pPr>
              <w:spacing w:after="0"/>
              <w:rPr>
                <w:sz w:val="24"/>
                <w:szCs w:val="24"/>
                <w:color w:val="auto"/>
              </w:rPr>
            </w:pPr>
          </w:p>
        </w:tc>
        <w:tc>
          <w:tcPr>
            <w:tcW w:w="3660" w:type="dxa"/>
            <w:vAlign w:val="bottom"/>
            <w:tcBorders>
              <w:top w:val="single" w:sz="8" w:color="CFF0FC"/>
            </w:tcBorders>
          </w:tcPr>
          <w:p>
            <w:pPr>
              <w:jc w:val="right"/>
              <w:ind w:right="1970"/>
              <w:spacing w:after="0"/>
              <w:rPr>
                <w:sz w:val="20"/>
                <w:szCs w:val="20"/>
                <w:color w:val="auto"/>
              </w:rPr>
            </w:pPr>
            <w:r>
              <w:rPr>
                <w:rFonts w:ascii="Arial" w:cs="Arial" w:eastAsia="Arial" w:hAnsi="Arial"/>
                <w:sz w:val="18"/>
                <w:szCs w:val="18"/>
                <w:color w:val="auto"/>
              </w:rPr>
              <w:t>15</w:t>
            </w: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1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-908050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computes its tax provision for the three months ended March 31, 2026 by applying the estimated annual effective tax rate to year-to-date income from recurring operations and adjusting for discrete items arising in that quarter.</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effective tax rate is as follows:</w:t>
      </w:r>
    </w:p>
    <w:p>
      <w:pPr>
        <w:spacing w:after="0" w:line="104"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60" w:type="dxa"/>
            <w:vAlign w:val="bottom"/>
            <w:tcBorders>
              <w:top w:val="single" w:sz="8" w:color="auto"/>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r>
      <w:tr>
        <w:trPr>
          <w:trHeight w:val="196"/>
        </w:trPr>
        <w:tc>
          <w:tcPr>
            <w:tcW w:w="8000" w:type="dxa"/>
            <w:vAlign w:val="bottom"/>
            <w:gridSpan w:val="2"/>
            <w:shd w:val="clear" w:color="auto" w:fill="CFF0FC"/>
          </w:tcPr>
          <w:p>
            <w:pPr>
              <w:jc w:val="right"/>
              <w:ind w:right="6570"/>
              <w:spacing w:after="0" w:line="196" w:lineRule="exact"/>
              <w:rPr>
                <w:sz w:val="20"/>
                <w:szCs w:val="20"/>
                <w:color w:val="auto"/>
              </w:rPr>
            </w:pPr>
            <w:r>
              <w:rPr>
                <w:rFonts w:ascii="Arial" w:cs="Arial" w:eastAsia="Arial" w:hAnsi="Arial"/>
                <w:sz w:val="18"/>
                <w:szCs w:val="18"/>
                <w:color w:val="auto"/>
                <w:w w:val="98"/>
              </w:rPr>
              <w:t>Effective tax rate</w:t>
            </w:r>
          </w:p>
        </w:tc>
        <w:tc>
          <w:tcPr>
            <w:tcW w:w="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2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22.4%</w:t>
            </w:r>
          </w:p>
        </w:tc>
      </w:tr>
    </w:tbl>
    <w:p>
      <w:pPr>
        <w:spacing w:after="0" w:line="8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were primarily the result of permanent differences for disallowed compensation pursuant to IRC Section 162(m), state taxes, and Canadian and US R&amp;D credit claims. For the comparable period in 2025, it was primarily the result of permanent differences for disallowed stock-based compensation pursuant to IRC Section 162(m), state taxes and discrete benefits for excess tax benefits on stock-based compensation.</w:t>
      </w:r>
    </w:p>
    <w:p>
      <w:pPr>
        <w:spacing w:after="0" w:line="6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Company forecasts an estimated effective tax rate in 2026, exclusive of discrete benefits, of 28.5%, which primarily differs from the U.S. federal statutory rate due to state taxes, permanent differences on nondeductible compensation, and Canadian and US R&amp;D credit claims.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 Attributable to Common Stock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Basic net income per share attributable to common stock is computed by dividing net income for the period by the weighted average number of common shares outstanding during the period.</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6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6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20,881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13,813</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Denominator:</w:t>
            </w: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Weighted-average shares of common stock — basic</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125,665,214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124,941,781</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Dilutive effect of stock options</w:t>
            </w: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2,311,201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2,509,281</w:t>
            </w: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300"/>
              <w:spacing w:after="0" w:line="202" w:lineRule="exact"/>
              <w:rPr>
                <w:sz w:val="20"/>
                <w:szCs w:val="20"/>
                <w:color w:val="auto"/>
              </w:rPr>
            </w:pPr>
            <w:r>
              <w:rPr>
                <w:rFonts w:ascii="Arial" w:cs="Arial" w:eastAsia="Arial" w:hAnsi="Arial"/>
                <w:sz w:val="18"/>
                <w:szCs w:val="18"/>
                <w:color w:val="auto"/>
              </w:rPr>
              <w:t>Dilutive effect of RSUs</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762,730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1,043,077</w:t>
            </w:r>
          </w:p>
        </w:tc>
        <w:tc>
          <w:tcPr>
            <w:tcW w:w="100" w:type="dxa"/>
            <w:vAlign w:val="bottom"/>
          </w:tcPr>
          <w:p>
            <w:pPr>
              <w:spacing w:after="0"/>
              <w:rPr>
                <w:sz w:val="17"/>
                <w:szCs w:val="17"/>
                <w:color w:val="auto"/>
              </w:rPr>
            </w:pPr>
          </w:p>
        </w:tc>
      </w:tr>
      <w:tr>
        <w:trPr>
          <w:trHeight w:val="203"/>
        </w:trPr>
        <w:tc>
          <w:tcPr>
            <w:tcW w:w="634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Dilutive effect of warrants</w:t>
            </w:r>
          </w:p>
        </w:tc>
        <w:tc>
          <w:tcPr>
            <w:tcW w:w="15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574,855</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307,835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4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Weighted-average shares of common stock — diluted</w:t>
            </w:r>
          </w:p>
        </w:tc>
        <w:tc>
          <w:tcPr>
            <w:tcW w:w="1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129,314,000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128,801,974</w:t>
            </w:r>
          </w:p>
        </w:tc>
        <w:tc>
          <w:tcPr>
            <w:tcW w:w="1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per share</w:t>
            </w:r>
          </w:p>
        </w:tc>
        <w:tc>
          <w:tcPr>
            <w:tcW w:w="1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-548005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summarizes the weighted-average number of securities that were excluded from the computation of diluted net income per share attributable to common stock as their inclusion would have been antidilutive: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30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6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935,826</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2,599</w:t>
            </w:r>
          </w:p>
        </w:tc>
        <w:tc>
          <w:tcPr>
            <w:tcW w:w="100" w:type="dxa"/>
            <w:vAlign w:val="bottom"/>
            <w:shd w:val="clear" w:color="auto" w:fill="CFF0FC"/>
          </w:tcPr>
          <w:p>
            <w:pPr>
              <w:spacing w:after="0"/>
              <w:rPr>
                <w:sz w:val="17"/>
                <w:szCs w:val="17"/>
                <w:color w:val="auto"/>
              </w:rPr>
            </w:pPr>
          </w:p>
        </w:tc>
      </w:tr>
      <w:tr>
        <w:trPr>
          <w:trHeight w:val="544"/>
        </w:trPr>
        <w:tc>
          <w:tcPr>
            <w:tcW w:w="3000" w:type="dxa"/>
            <w:vAlign w:val="bottom"/>
          </w:tcPr>
          <w:p>
            <w:pPr>
              <w:spacing w:after="0"/>
              <w:rPr>
                <w:sz w:val="24"/>
                <w:szCs w:val="24"/>
                <w:color w:val="auto"/>
              </w:rPr>
            </w:pPr>
          </w:p>
        </w:tc>
        <w:tc>
          <w:tcPr>
            <w:tcW w:w="4780" w:type="dxa"/>
            <w:vAlign w:val="bottom"/>
          </w:tcPr>
          <w:p>
            <w:pPr>
              <w:jc w:val="right"/>
              <w:ind w:right="1970"/>
              <w:spacing w:after="0"/>
              <w:rPr>
                <w:sz w:val="20"/>
                <w:szCs w:val="20"/>
                <w:color w:val="auto"/>
              </w:rPr>
            </w:pPr>
            <w:r>
              <w:rPr>
                <w:rFonts w:ascii="Arial" w:cs="Arial" w:eastAsia="Arial" w:hAnsi="Arial"/>
                <w:sz w:val="18"/>
                <w:szCs w:val="18"/>
                <w:color w:val="auto"/>
              </w:rPr>
              <w:t>16</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0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6" w:name="page17"/>
    <w:bookmarkEnd w:id="16"/>
    <w:p>
      <w:pPr>
        <w:ind w:right="2960"/>
        <w:spacing w:after="0" w:line="36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ind w:firstLine="494"/>
        <w:spacing w:after="0" w:line="239" w:lineRule="auto"/>
        <w:rPr>
          <w:sz w:val="20"/>
          <w:szCs w:val="20"/>
          <w:color w:val="auto"/>
        </w:rPr>
      </w:pPr>
      <w:r>
        <w:rPr>
          <w:rFonts w:ascii="Arial" w:cs="Arial" w:eastAsia="Arial" w:hAnsi="Arial"/>
          <w:sz w:val="18"/>
          <w:szCs w:val="18"/>
          <w:color w:val="auto"/>
        </w:rPr>
        <w:t>As a leading provider of cloud-based bill payment technology and solutions, we deliver our next-generation product suite through a modern technology stack to a broad and diverse base of business and financial institution clients. Our platform was used by approximately 53 million consumers and businesses globally in December 2025 to pay their bills, move money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business to business (B2B)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Transactions Processed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160" w:type="dxa"/>
            <w:vAlign w:val="bottom"/>
          </w:tcPr>
          <w:p>
            <w:pPr>
              <w:spacing w:after="0"/>
              <w:rPr>
                <w:sz w:val="24"/>
                <w:szCs w:val="24"/>
                <w:color w:val="auto"/>
              </w:rPr>
            </w:pPr>
          </w:p>
        </w:tc>
        <w:tc>
          <w:tcPr>
            <w:tcW w:w="3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Three Months Ended March 31,</w:t>
            </w:r>
          </w:p>
        </w:tc>
        <w:tc>
          <w:tcPr>
            <w:tcW w:w="100" w:type="dxa"/>
            <w:vAlign w:val="bottom"/>
          </w:tcPr>
          <w:p>
            <w:pPr>
              <w:spacing w:after="0"/>
              <w:rPr>
                <w:sz w:val="24"/>
                <w:szCs w:val="24"/>
                <w:color w:val="auto"/>
              </w:rPr>
            </w:pPr>
          </w:p>
        </w:tc>
        <w:tc>
          <w:tcPr>
            <w:tcW w:w="15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Growth</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Transactions processed</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203.4</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173.2</w:t>
            </w:r>
          </w:p>
        </w:tc>
        <w:tc>
          <w:tcPr>
            <w:tcW w:w="18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(ACH) items and emerging payment types, which are initiated and generally processed through our platform during a period. The number of transactions also includes account-to-account and person-to-person transfers. The increase in number of transactions processed during the three months ended March 31, 2026 as compared to the same period in 2025 was primarily driven by the addition of new billers and increased transactions from both new and existing billers.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the 2025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Economic and Inflationary Trends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continued to operate in an environment of elevated macroeconomic uncertainty during the first quarter of 2026. Although inflation has moderated from prior periods, consumer spending patterns and our cost structure remain affected by persistent pricing pressures, impending tariffs, and trade policy developments. Furthermore, heightened geopolitical instability stemming from the ongoing Iran war has exacerbated volatility in energy markets. Broader uncertainty relating to interest rates and these geopolitical tensions also continues to affect the operating environment.</w:t>
      </w:r>
    </w:p>
    <w:p>
      <w:pPr>
        <w:spacing w:after="0" w:line="6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Inflationary conditions and volatility in energy markets could indirectly affect our business by increasing customer bills, particularly in the utility sector, while also contributing to higher operating costs throughout the economy. Rapid increases in energy prices may place added pressure on household budgets, increase delinquencies, or alter payment timing patterns, which could adversely affect transaction mix and collections activity.</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These conditions could affect consumer payment behavior in countervailing ways. Consumers experiencing financial strain may defer payments, shift to lower-cost payment methods, or make partial and more frequent payments. While deferrals and lower-cost methods could reduce our average revenue per transaction and overall payment volume, an increase in partial payment activity might increase overall transaction counts.</w:t>
      </w:r>
    </w:p>
    <w:p>
      <w:pPr>
        <w:spacing w:after="0" w:line="66" w:lineRule="exact"/>
        <w:rPr>
          <w:sz w:val="20"/>
          <w:szCs w:val="20"/>
          <w:color w:val="auto"/>
        </w:rPr>
      </w:pPr>
    </w:p>
    <w:p>
      <w:pPr>
        <w:ind w:left="5520" w:right="1720" w:hanging="5021"/>
        <w:spacing w:after="0" w:line="396" w:lineRule="auto"/>
        <w:rPr>
          <w:sz w:val="20"/>
          <w:szCs w:val="20"/>
          <w:color w:val="auto"/>
        </w:rPr>
      </w:pPr>
      <w:r>
        <w:rPr>
          <w:rFonts w:ascii="Arial" w:cs="Arial" w:eastAsia="Arial" w:hAnsi="Arial"/>
          <w:sz w:val="18"/>
          <w:szCs w:val="18"/>
          <w:color w:val="auto"/>
        </w:rPr>
        <w:t>However, this dynamic may create a compounding effect on our unit economics. Any such increase in transaction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18"/>
          <w:szCs w:val="18"/>
          <w:color w:val="auto"/>
        </w:rPr>
        <w:t>volumes could trigger a proportional rise in our interchange, network, and processing fees. Because these elevated costs of revenue might offset the potential gains from higher transaction counts, this cycle could frequently yield flat net revenue growth. We may be unable to fully offset these interrelated pressures through pricing actions, as any such adjustments typically lag behind the impact of rising costs. As a result, an inability to fully offset these pressures in real-time might continue to adversely affect our margins, operating results, and financial condition.</w:t>
      </w:r>
    </w:p>
    <w:p>
      <w:pPr>
        <w:spacing w:after="0" w:line="6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Additionally, beyond these external economic pressures, our ability to scale efficiently depends on our capacity to quickly hire, train, and retain a high-performing workforce. We offer competitive wages and invest in employee well-being to meet our customers’ increasing needs and support our long-term growth. While employee-related costs naturally fluctuate, they have trended upward alongside our business expansion, and we expect this trajectory to continue as we scale.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or GAAP. These supplemental non-GAAP measures include contribution profit, adjusted gross profit, adjusted EBITDA and free cash flow.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assessment and other network fees paid by us to our payment processors.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calculate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assessment and other network fees in the presentation of contribution profit because we believe inclusion is less directly reflective of our operating performance as we do not control the payment channel used by consumers, which is the primary determinant of the amount of interchange, assessment and other network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8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7"/>
        </w:trPr>
        <w:tc>
          <w:tcPr>
            <w:tcW w:w="4880" w:type="dxa"/>
            <w:vAlign w:val="bottom"/>
          </w:tcPr>
          <w:p>
            <w:pPr>
              <w:spacing w:after="0"/>
              <w:rPr>
                <w:sz w:val="20"/>
                <w:szCs w:val="20"/>
                <w:color w:val="auto"/>
              </w:rPr>
            </w:pPr>
            <w:r>
              <w:rPr>
                <w:rFonts w:ascii="Arial" w:cs="Arial" w:eastAsia="Arial" w:hAnsi="Arial"/>
                <w:sz w:val="18"/>
                <w:szCs w:val="18"/>
                <w:i w:val="1"/>
                <w:iCs w:val="1"/>
                <w:color w:val="auto"/>
              </w:rPr>
              <w:t>Contribution Profit</w:t>
            </w:r>
          </w:p>
        </w:tc>
        <w:tc>
          <w:tcPr>
            <w:tcW w:w="2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4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4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48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3720" w:type="dxa"/>
            <w:vAlign w:val="bottom"/>
            <w:gridSpan w:val="2"/>
            <w:shd w:val="clear" w:color="auto" w:fill="CFF0FC"/>
          </w:tcPr>
          <w:p>
            <w:pPr>
              <w:jc w:val="right"/>
              <w:ind w:right="91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86,232</w:t>
            </w:r>
          </w:p>
        </w:tc>
        <w:tc>
          <w:tcPr>
            <w:tcW w:w="72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66,024</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Plus: other cost of revenue</w:t>
            </w:r>
          </w:p>
        </w:tc>
        <w:tc>
          <w:tcPr>
            <w:tcW w:w="26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23,467</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21,618</w:t>
            </w:r>
          </w:p>
        </w:tc>
        <w:tc>
          <w:tcPr>
            <w:tcW w:w="100" w:type="dxa"/>
            <w:vAlign w:val="bottom"/>
          </w:tcPr>
          <w:p>
            <w:pPr>
              <w:spacing w:after="0"/>
              <w:rPr>
                <w:sz w:val="17"/>
                <w:szCs w:val="17"/>
                <w:color w:val="auto"/>
              </w:rPr>
            </w:pPr>
          </w:p>
        </w:tc>
      </w:tr>
      <w:tr>
        <w:trPr>
          <w:trHeight w:val="216"/>
        </w:trPr>
        <w:tc>
          <w:tcPr>
            <w:tcW w:w="488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Contribution profit</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0"/>
              <w:spacing w:after="0" w:line="18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8"/>
              </w:rPr>
              <w:t>109,699</w:t>
            </w:r>
          </w:p>
        </w:tc>
        <w:tc>
          <w:tcPr>
            <w:tcW w:w="720" w:type="dxa"/>
            <w:vAlign w:val="bottom"/>
            <w:gridSpan w:val="2"/>
            <w:shd w:val="clear" w:color="auto" w:fill="CFF0FC"/>
          </w:tcPr>
          <w:p>
            <w:pPr>
              <w:jc w:val="right"/>
              <w:ind w:right="500"/>
              <w:spacing w:after="0" w:line="18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87,642</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months ended March 31, 2026 increased approximately 25.2%, as compared to the same period in 2025. The increase was driven by growth in transaction count and volume driven from both new and existing billers and financial institutions.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tcPr>
          <w:p>
            <w:pPr>
              <w:spacing w:after="0"/>
              <w:rPr>
                <w:sz w:val="20"/>
                <w:szCs w:val="20"/>
                <w:color w:val="auto"/>
              </w:rPr>
            </w:pPr>
            <w:r>
              <w:rPr>
                <w:rFonts w:ascii="Arial" w:cs="Arial" w:eastAsia="Arial" w:hAnsi="Arial"/>
                <w:sz w:val="18"/>
                <w:szCs w:val="18"/>
                <w:i w:val="1"/>
                <w:iCs w:val="1"/>
                <w:color w:val="auto"/>
              </w:rPr>
              <w:t>Adjusted Gross Profit</w:t>
            </w: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6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4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6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6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Gross profit</w:t>
            </w:r>
          </w:p>
        </w:tc>
        <w:tc>
          <w:tcPr>
            <w:tcW w:w="2640" w:type="dxa"/>
            <w:vAlign w:val="bottom"/>
            <w:gridSpan w:val="2"/>
            <w:shd w:val="clear" w:color="auto" w:fill="CFF0FC"/>
          </w:tcPr>
          <w:p>
            <w:pPr>
              <w:jc w:val="right"/>
              <w:ind w:right="95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86,232</w:t>
            </w:r>
          </w:p>
        </w:tc>
        <w:tc>
          <w:tcPr>
            <w:tcW w:w="72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66,024</w:t>
            </w:r>
          </w:p>
        </w:tc>
        <w:tc>
          <w:tcPr>
            <w:tcW w:w="100" w:type="dxa"/>
            <w:vAlign w:val="bottom"/>
            <w:shd w:val="clear" w:color="auto" w:fill="CFF0FC"/>
          </w:tcPr>
          <w:p>
            <w:pPr>
              <w:spacing w:after="0"/>
              <w:rPr>
                <w:sz w:val="17"/>
                <w:szCs w:val="17"/>
                <w:color w:val="auto"/>
              </w:rPr>
            </w:pPr>
          </w:p>
        </w:tc>
      </w:tr>
      <w:tr>
        <w:trPr>
          <w:trHeight w:val="203"/>
        </w:trPr>
        <w:tc>
          <w:tcPr>
            <w:tcW w:w="600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r>
      <w:tr>
        <w:trPr>
          <w:trHeight w:val="203"/>
        </w:trPr>
        <w:tc>
          <w:tcPr>
            <w:tcW w:w="6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6,056</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5,638</w:t>
            </w:r>
          </w:p>
        </w:tc>
        <w:tc>
          <w:tcPr>
            <w:tcW w:w="100" w:type="dxa"/>
            <w:vAlign w:val="bottom"/>
            <w:shd w:val="clear" w:color="auto" w:fill="CFF0FC"/>
          </w:tcPr>
          <w:p>
            <w:pPr>
              <w:spacing w:after="0"/>
              <w:rPr>
                <w:sz w:val="17"/>
                <w:szCs w:val="17"/>
                <w:color w:val="auto"/>
              </w:rPr>
            </w:pPr>
          </w:p>
        </w:tc>
      </w:tr>
      <w:tr>
        <w:trPr>
          <w:trHeight w:val="203"/>
        </w:trPr>
        <w:tc>
          <w:tcPr>
            <w:tcW w:w="600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15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828</w:t>
            </w:r>
          </w:p>
        </w:tc>
        <w:tc>
          <w:tcPr>
            <w:tcW w:w="100" w:type="dxa"/>
            <w:vAlign w:val="bottom"/>
          </w:tcPr>
          <w:p>
            <w:pPr>
              <w:spacing w:after="0"/>
              <w:rPr>
                <w:sz w:val="17"/>
                <w:szCs w:val="17"/>
                <w:color w:val="auto"/>
              </w:rPr>
            </w:pPr>
          </w:p>
        </w:tc>
      </w:tr>
      <w:tr>
        <w:trPr>
          <w:trHeight w:val="216"/>
        </w:trPr>
        <w:tc>
          <w:tcPr>
            <w:tcW w:w="60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gross profit</w:t>
            </w: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0"/>
              <w:spacing w:after="0" w:line="182"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92,357</w:t>
            </w:r>
          </w:p>
        </w:tc>
        <w:tc>
          <w:tcPr>
            <w:tcW w:w="720" w:type="dxa"/>
            <w:vAlign w:val="bottom"/>
            <w:gridSpan w:val="2"/>
            <w:shd w:val="clear" w:color="auto" w:fill="CFF0FC"/>
          </w:tcPr>
          <w:p>
            <w:pPr>
              <w:jc w:val="right"/>
              <w:ind w:right="500"/>
              <w:spacing w:after="0" w:line="18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72,556</w:t>
            </w:r>
          </w:p>
        </w:tc>
        <w:tc>
          <w:tcPr>
            <w:tcW w:w="100" w:type="dxa"/>
            <w:vAlign w:val="bottom"/>
            <w:shd w:val="clear" w:color="auto" w:fill="CFF0FC"/>
          </w:tcPr>
          <w:p>
            <w:pPr>
              <w:spacing w:after="0"/>
              <w:rPr>
                <w:sz w:val="18"/>
                <w:szCs w:val="18"/>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Adjusted gross profit for the three months ended March 31, 2026 increased 27.3%, as compared to the same period in 2025. Adjusted gross profit is driven primarily by the same factors that impact gross profit with the exception of excluding the amortization and stock-based compensation recorded in cost of revenue. Adjusted gross profit improved in line with contribution profit. Adjusted gross profit as a percentage of contribution profit increased due to realization of economies of scale.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Pr>
          <w:p>
            <w:pPr>
              <w:spacing w:after="0"/>
              <w:rPr>
                <w:sz w:val="20"/>
                <w:szCs w:val="20"/>
                <w:color w:val="auto"/>
              </w:rPr>
            </w:pPr>
            <w:r>
              <w:rPr>
                <w:rFonts w:ascii="Arial" w:cs="Arial" w:eastAsia="Arial" w:hAnsi="Arial"/>
                <w:sz w:val="18"/>
                <w:szCs w:val="18"/>
                <w:i w:val="1"/>
                <w:iCs w:val="1"/>
                <w:color w:val="auto"/>
              </w:rPr>
              <w:t>Adjusted EBITDA</w:t>
            </w: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5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50"/>
              <w:spacing w:after="0" w:line="196" w:lineRule="exact"/>
              <w:rPr>
                <w:sz w:val="20"/>
                <w:szCs w:val="20"/>
                <w:color w:val="auto"/>
              </w:rPr>
            </w:pPr>
            <w:r>
              <w:rPr>
                <w:rFonts w:ascii="Arial" w:cs="Arial" w:eastAsia="Arial" w:hAnsi="Arial"/>
                <w:sz w:val="18"/>
                <w:szCs w:val="18"/>
                <w:b w:val="1"/>
                <w:bCs w:val="1"/>
                <w:color w:val="auto"/>
                <w:w w:val="72"/>
              </w:rPr>
              <w:t>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 GAAP</w:t>
            </w:r>
          </w:p>
        </w:tc>
        <w:tc>
          <w:tcPr>
            <w:tcW w:w="2580" w:type="dxa"/>
            <w:vAlign w:val="bottom"/>
            <w:gridSpan w:val="2"/>
            <w:shd w:val="clear" w:color="auto" w:fill="CFF0FC"/>
          </w:tcPr>
          <w:p>
            <w:pPr>
              <w:jc w:val="right"/>
              <w:ind w:right="99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20,881</w:t>
            </w:r>
          </w:p>
        </w:tc>
        <w:tc>
          <w:tcPr>
            <w:tcW w:w="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70"/>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8"/>
              </w:rPr>
              <w:t>13,813</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 net</w:t>
            </w: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(2,531)</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(2,062)</w:t>
            </w:r>
          </w:p>
        </w:tc>
      </w:tr>
      <w:tr>
        <w:trPr>
          <w:trHeight w:val="203"/>
        </w:trPr>
        <w:tc>
          <w:tcPr>
            <w:tcW w:w="58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Provision for income taxes</w:t>
            </w:r>
          </w:p>
        </w:tc>
        <w:tc>
          <w:tcPr>
            <w:tcW w:w="1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3,988</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8,916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8,426</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1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2,137</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ind w:left="100"/>
              <w:spacing w:after="0" w:line="202" w:lineRule="exact"/>
              <w:rPr>
                <w:sz w:val="20"/>
                <w:szCs w:val="20"/>
                <w:color w:val="auto"/>
              </w:rPr>
            </w:pPr>
            <w:r>
              <w:rPr>
                <w:rFonts w:ascii="Arial" w:cs="Arial" w:eastAsia="Arial" w:hAnsi="Arial"/>
                <w:sz w:val="18"/>
                <w:szCs w:val="18"/>
                <w:color w:val="auto"/>
              </w:rPr>
              <w:t>Depreciation</w:t>
            </w:r>
          </w:p>
        </w:tc>
        <w:tc>
          <w:tcPr>
            <w:tcW w:w="14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7"/>
                <w:szCs w:val="17"/>
                <w:color w:val="auto"/>
              </w:rPr>
            </w:pPr>
          </w:p>
        </w:tc>
      </w:tr>
      <w:tr>
        <w:trPr>
          <w:trHeight w:val="236"/>
        </w:trPr>
        <w:tc>
          <w:tcPr>
            <w:tcW w:w="588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EBITDA</w:t>
            </w:r>
          </w:p>
        </w:tc>
        <w:tc>
          <w:tcPr>
            <w:tcW w:w="2580" w:type="dxa"/>
            <w:vAlign w:val="bottom"/>
            <w:gridSpan w:val="2"/>
            <w:shd w:val="clear" w:color="auto" w:fill="CFF0FC"/>
          </w:tcPr>
          <w:p>
            <w:pPr>
              <w:jc w:val="right"/>
              <w:ind w:right="990"/>
              <w:spacing w:after="0" w:line="18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36,452</w:t>
            </w:r>
          </w:p>
        </w:tc>
        <w:tc>
          <w:tcPr>
            <w:tcW w:w="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170"/>
              <w:spacing w:after="0" w:line="182"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8"/>
              </w:rPr>
              <w:t>26,479</w:t>
            </w:r>
          </w:p>
        </w:tc>
        <w:tc>
          <w:tcPr>
            <w:tcW w:w="100" w:type="dxa"/>
            <w:vAlign w:val="bottom"/>
            <w:shd w:val="clear" w:color="auto" w:fill="CFF0FC"/>
          </w:tcPr>
          <w:p>
            <w:pPr>
              <w:spacing w:after="0"/>
              <w:rPr>
                <w:sz w:val="20"/>
                <w:szCs w:val="20"/>
                <w:color w:val="auto"/>
              </w:rPr>
            </w:pPr>
          </w:p>
        </w:tc>
      </w:tr>
      <w:tr>
        <w:trPr>
          <w:trHeight w:val="372"/>
        </w:trPr>
        <w:tc>
          <w:tcPr>
            <w:tcW w:w="5880" w:type="dxa"/>
            <w:vAlign w:val="bottom"/>
            <w:tcBorders>
              <w:top w:val="single" w:sz="8" w:color="CFF0FC"/>
            </w:tcBorders>
          </w:tcPr>
          <w:p>
            <w:pPr>
              <w:spacing w:after="0"/>
              <w:rPr>
                <w:sz w:val="20"/>
                <w:szCs w:val="20"/>
                <w:color w:val="auto"/>
              </w:rPr>
            </w:pPr>
            <w:r>
              <w:rPr>
                <w:rFonts w:ascii="Arial" w:cs="Arial" w:eastAsia="Arial" w:hAnsi="Arial"/>
                <w:sz w:val="18"/>
                <w:szCs w:val="18"/>
                <w:i w:val="1"/>
                <w:iCs w:val="1"/>
                <w:color w:val="auto"/>
              </w:rPr>
              <w:t>Adjustments</w:t>
            </w:r>
          </w:p>
        </w:tc>
        <w:tc>
          <w:tcPr>
            <w:tcW w:w="140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3"/>
        </w:trPr>
        <w:tc>
          <w:tcPr>
            <w:tcW w:w="58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Foreign exchange gain</w:t>
            </w:r>
          </w:p>
        </w:tc>
        <w:tc>
          <w:tcPr>
            <w:tcW w:w="1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w:t>
            </w:r>
          </w:p>
        </w:tc>
      </w:tr>
      <w:tr>
        <w:trPr>
          <w:trHeight w:val="203"/>
        </w:trPr>
        <w:tc>
          <w:tcPr>
            <w:tcW w:w="5880" w:type="dxa"/>
            <w:vAlign w:val="bottom"/>
            <w:tcBorders>
              <w:bottom w:val="single" w:sz="8" w:color="CFF0FC"/>
            </w:tcBorders>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5,974</w:t>
            </w: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3,545</w:t>
            </w:r>
          </w:p>
        </w:tc>
        <w:tc>
          <w:tcPr>
            <w:tcW w:w="100" w:type="dxa"/>
            <w:vAlign w:val="bottom"/>
            <w:tcBorders>
              <w:bottom w:val="single" w:sz="8" w:color="CFF0FC"/>
            </w:tcBorders>
          </w:tcPr>
          <w:p>
            <w:pPr>
              <w:spacing w:after="0"/>
              <w:rPr>
                <w:sz w:val="17"/>
                <w:szCs w:val="17"/>
                <w:color w:val="auto"/>
              </w:rPr>
            </w:pPr>
          </w:p>
        </w:tc>
      </w:tr>
      <w:tr>
        <w:trPr>
          <w:trHeight w:val="236"/>
        </w:trPr>
        <w:tc>
          <w:tcPr>
            <w:tcW w:w="5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14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0"/>
              <w:spacing w:after="0" w:line="182"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42,418</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170"/>
              <w:spacing w:after="0" w:line="182"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8"/>
              </w:rPr>
              <w:t>29,974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-694055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-676910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Adjusted EBITDA is a measure of profitability and generally is expected to move in line with revenue, contribution profit, gross profit and adjusted gross profit. Adjusted EBITDA increased 41.5% in the three months ended March 31, 2026, as compared to the same period in 2025. The increase was primarily attributable to higher revenues driven by growth in transaction volumes from both new and existing billers and financial institutions. The rate of growth in Adjusted EBITDA exceeded the rate of growth in both contribution profit and adjusted gross profit, reflecting the operating leverage inherent in our business, as certain operating expenses are largely fixed and did not increase in proportion to the growth in revenue.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Free Cash Flow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520" w:firstLine="97"/>
        <w:spacing w:after="0" w:line="307" w:lineRule="auto"/>
        <w:rPr>
          <w:sz w:val="20"/>
          <w:szCs w:val="20"/>
          <w:color w:val="auto"/>
        </w:rPr>
      </w:pPr>
      <w:r>
        <w:rPr>
          <w:rFonts w:ascii="Arial" w:cs="Arial" w:eastAsia="Arial" w:hAnsi="Arial"/>
          <w:sz w:val="18"/>
          <w:szCs w:val="18"/>
          <w:color w:val="auto"/>
        </w:rPr>
        <w:t xml:space="preserve">Capitalized internal-use software development costs </w:t>
      </w:r>
      <w:r>
        <w:rPr>
          <w:rFonts w:ascii="Arial" w:cs="Arial" w:eastAsia="Arial" w:hAnsi="Arial"/>
          <w:sz w:val="18"/>
          <w:szCs w:val="18"/>
          <w:b w:val="1"/>
          <w:bCs w:val="1"/>
          <w:color w:val="auto"/>
        </w:rPr>
        <w:t>Free cash flow</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3"/>
          </w:tcPr>
          <w:p>
            <w:pPr>
              <w:jc w:val="right"/>
              <w:spacing w:after="0" w:line="177" w:lineRule="exact"/>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80" w:type="dxa"/>
            <w:vAlign w:val="bottom"/>
            <w:gridSpan w:val="2"/>
          </w:tcPr>
          <w:p>
            <w:pPr>
              <w:jc w:val="right"/>
              <w:ind w:right="207"/>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30,452</w:t>
            </w:r>
          </w:p>
        </w:tc>
        <w:tc>
          <w:tcPr>
            <w:tcW w:w="120" w:type="dxa"/>
            <w:vAlign w:val="bottom"/>
          </w:tcPr>
          <w:p>
            <w:pPr>
              <w:spacing w:after="0"/>
              <w:rPr>
                <w:sz w:val="17"/>
                <w:szCs w:val="17"/>
                <w:color w:val="auto"/>
              </w:rPr>
            </w:pP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50,441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6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21"/>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(9,461)</w:t>
            </w:r>
          </w:p>
        </w:tc>
        <w:tc>
          <w:tcPr>
            <w:tcW w:w="6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(9,278)</w:t>
            </w:r>
          </w:p>
        </w:tc>
      </w:tr>
      <w:tr>
        <w:trPr>
          <w:trHeight w:val="196"/>
        </w:trPr>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20,911</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41,103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780" w:space="720"/>
            <w:col w:w="3740"/>
          </w:cols>
          <w:pgMar w:left="320" w:top="1081" w:right="339" w:bottom="1440" w:gutter="0" w:footer="0" w:header="0"/>
        </w:sectPr>
      </w:pPr>
    </w:p>
    <w:p>
      <w:pPr>
        <w:ind w:firstLine="494"/>
        <w:spacing w:after="0" w:line="271" w:lineRule="auto"/>
        <w:rPr>
          <w:sz w:val="20"/>
          <w:szCs w:val="20"/>
          <w:color w:val="auto"/>
        </w:rPr>
      </w:pPr>
      <w:r>
        <w:rPr>
          <w:rFonts w:ascii="Arial" w:cs="Arial" w:eastAsia="Arial" w:hAnsi="Arial"/>
          <w:sz w:val="18"/>
          <w:szCs w:val="18"/>
          <w:color w:val="auto"/>
        </w:rPr>
        <w:t>The decrease in free cash flow for the three months ended March 31, 2026, as compared to the same period in 2025, was primarily driven by lower cash generated from operations, driven mainly by investment in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rPr>
              <w:t>Three Months Ended March 31,</w:t>
            </w:r>
          </w:p>
        </w:tc>
        <w:tc>
          <w:tcPr>
            <w:tcW w:w="340" w:type="dxa"/>
            <w:vAlign w:val="bottom"/>
          </w:tcPr>
          <w:p>
            <w:pPr>
              <w:spacing w:after="0"/>
              <w:rPr>
                <w:sz w:val="18"/>
                <w:szCs w:val="18"/>
                <w:color w:val="auto"/>
              </w:rPr>
            </w:pPr>
          </w:p>
        </w:tc>
        <w:tc>
          <w:tcPr>
            <w:tcW w:w="1440" w:type="dxa"/>
            <w:vAlign w:val="bottom"/>
            <w:gridSpan w:val="3"/>
          </w:tcPr>
          <w:p>
            <w:pPr>
              <w:ind w:left="660"/>
              <w:spacing w:after="0"/>
              <w:rPr>
                <w:sz w:val="20"/>
                <w:szCs w:val="20"/>
                <w:color w:val="auto"/>
              </w:rPr>
            </w:pPr>
            <w:r>
              <w:rPr>
                <w:rFonts w:ascii="Arial" w:cs="Arial" w:eastAsia="Arial" w:hAnsi="Arial"/>
                <w:sz w:val="17"/>
                <w:szCs w:val="17"/>
                <w:b w:val="1"/>
                <w:bCs w:val="1"/>
                <w:color w:val="auto"/>
              </w:rPr>
              <w:t>Change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95"/>
              <w:spacing w:after="0" w:line="183" w:lineRule="exact"/>
              <w:rPr>
                <w:sz w:val="20"/>
                <w:szCs w:val="20"/>
                <w:color w:val="auto"/>
              </w:rPr>
            </w:pPr>
            <w:r>
              <w:rPr>
                <w:rFonts w:ascii="Arial" w:cs="Arial" w:eastAsia="Arial" w:hAnsi="Arial"/>
                <w:sz w:val="17"/>
                <w:szCs w:val="17"/>
                <w:b w:val="1"/>
                <w:bCs w:val="1"/>
                <w:color w:val="auto"/>
              </w:rPr>
              <w:t>2026</w:t>
            </w: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75"/>
              <w:spacing w:after="0" w:line="183" w:lineRule="exact"/>
              <w:rPr>
                <w:sz w:val="20"/>
                <w:szCs w:val="20"/>
                <w:color w:val="auto"/>
              </w:rPr>
            </w:pPr>
            <w:r>
              <w:rPr>
                <w:rFonts w:ascii="Arial" w:cs="Arial" w:eastAsia="Arial" w:hAnsi="Arial"/>
                <w:sz w:val="17"/>
                <w:szCs w:val="17"/>
                <w:b w:val="1"/>
                <w:bCs w:val="1"/>
                <w:color w:val="auto"/>
              </w:rPr>
              <w:t>(in</w:t>
            </w:r>
          </w:p>
        </w:tc>
        <w:tc>
          <w:tcPr>
            <w:tcW w:w="1540" w:type="dxa"/>
            <w:vAlign w:val="bottom"/>
            <w:gridSpan w:val="3"/>
          </w:tcPr>
          <w:p>
            <w:pPr>
              <w:jc w:val="right"/>
              <w:ind w:right="755"/>
              <w:spacing w:after="0" w:line="183" w:lineRule="exact"/>
              <w:rPr>
                <w:sz w:val="20"/>
                <w:szCs w:val="20"/>
                <w:color w:val="auto"/>
              </w:rPr>
            </w:pPr>
            <w:r>
              <w:rPr>
                <w:rFonts w:ascii="Arial" w:cs="Arial" w:eastAsia="Arial" w:hAnsi="Arial"/>
                <w:sz w:val="17"/>
                <w:szCs w:val="17"/>
                <w:b w:val="1"/>
                <w:bCs w:val="1"/>
                <w:color w:val="auto"/>
                <w:w w:val="74"/>
              </w:rPr>
              <w:t>thousands)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Revenue</w:t>
            </w: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358,441</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275,235</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83,206</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30.2 %</w:t>
            </w: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7"/>
                <w:szCs w:val="17"/>
                <w:color w:val="auto"/>
              </w:rPr>
              <w:t>Cost of revenue</w:t>
            </w: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272,209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209,211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62,998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30.1 %</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140"/>
              <w:spacing w:after="0" w:line="162" w:lineRule="exact"/>
              <w:rPr>
                <w:sz w:val="20"/>
                <w:szCs w:val="20"/>
                <w:color w:val="auto"/>
              </w:rPr>
            </w:pPr>
            <w:r>
              <w:rPr>
                <w:rFonts w:ascii="Arial" w:cs="Arial" w:eastAsia="Arial" w:hAnsi="Arial"/>
                <w:sz w:val="17"/>
                <w:szCs w:val="17"/>
                <w:color w:val="auto"/>
              </w:rPr>
              <w:t>Gross profit</w:t>
            </w: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6"/>
                <w:szCs w:val="16"/>
                <w:color w:val="auto"/>
              </w:rPr>
              <w:t>86,232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6"/>
                <w:szCs w:val="16"/>
                <w:color w:val="auto"/>
              </w:rPr>
              <w:t>66,024</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6"/>
                <w:szCs w:val="16"/>
                <w:color w:val="auto"/>
              </w:rPr>
              <w:t>20,208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rPr>
              <w:t>30.6 %</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line="229" w:lineRule="exact"/>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22"/>
                <w:szCs w:val="22"/>
                <w:i w:val="1"/>
                <w:iCs w:val="1"/>
                <w:color w:val="auto"/>
                <w:vertAlign w:val="superscript"/>
              </w:rPr>
              <w:t>(1)</w:t>
            </w:r>
          </w:p>
        </w:tc>
        <w:tc>
          <w:tcPr>
            <w:tcW w:w="1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i w:val="1"/>
                <w:iCs w:val="1"/>
                <w:color w:val="auto"/>
              </w:rPr>
              <w:t>24.1%</w:t>
            </w:r>
          </w:p>
        </w:tc>
        <w:tc>
          <w:tcPr>
            <w:tcW w:w="2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24.0%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80"/>
              <w:spacing w:after="0" w:line="189" w:lineRule="exact"/>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16,333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15,101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1,232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8.2 %</w:t>
            </w: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80"/>
              <w:spacing w:after="0" w:line="189" w:lineRule="exact"/>
              <w:rPr>
                <w:sz w:val="20"/>
                <w:szCs w:val="20"/>
                <w:color w:val="auto"/>
              </w:rPr>
            </w:pPr>
            <w:r>
              <w:rPr>
                <w:rFonts w:ascii="Arial" w:cs="Arial" w:eastAsia="Arial" w:hAnsi="Arial"/>
                <w:sz w:val="17"/>
                <w:szCs w:val="17"/>
                <w:color w:val="auto"/>
              </w:rPr>
              <w:t>Sales and marketing</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30,210</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26,051</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4,159</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16.0 %</w:t>
            </w:r>
          </w:p>
        </w:tc>
        <w:tc>
          <w:tcPr>
            <w:tcW w:w="0" w:type="dxa"/>
            <w:vAlign w:val="bottom"/>
          </w:tcPr>
          <w:p>
            <w:pPr>
              <w:spacing w:after="0"/>
              <w:rPr>
                <w:sz w:val="1"/>
                <w:szCs w:val="1"/>
                <w:color w:val="auto"/>
              </w:rPr>
            </w:pPr>
          </w:p>
        </w:tc>
      </w:tr>
      <w:tr>
        <w:trPr>
          <w:trHeight w:val="189"/>
        </w:trPr>
        <w:tc>
          <w:tcPr>
            <w:tcW w:w="5320" w:type="dxa"/>
            <w:vAlign w:val="bottom"/>
          </w:tcPr>
          <w:p>
            <w:pPr>
              <w:ind w:left="80"/>
              <w:spacing w:after="0" w:line="189" w:lineRule="exact"/>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13,137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9,183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3,954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43.1 %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140"/>
              <w:spacing w:after="0" w:line="183" w:lineRule="exact"/>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59,680</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50,335</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9,345</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18.6 %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140"/>
              <w:spacing w:after="0" w:line="183" w:lineRule="exact"/>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26,552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15,689</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10,863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69.2 %</w:t>
            </w: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80"/>
              <w:spacing w:after="0" w:line="189" w:lineRule="exact"/>
              <w:rPr>
                <w:sz w:val="20"/>
                <w:szCs w:val="20"/>
                <w:color w:val="auto"/>
              </w:rPr>
            </w:pPr>
            <w:r>
              <w:rPr>
                <w:rFonts w:ascii="Arial" w:cs="Arial" w:eastAsia="Arial" w:hAnsi="Arial"/>
                <w:sz w:val="17"/>
                <w:szCs w:val="17"/>
                <w:color w:val="auto"/>
              </w:rPr>
              <w:t>Interest income, net</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2,531</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2,062</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469</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22.7 %</w:t>
            </w:r>
          </w:p>
        </w:tc>
        <w:tc>
          <w:tcPr>
            <w:tcW w:w="0" w:type="dxa"/>
            <w:vAlign w:val="bottom"/>
          </w:tcPr>
          <w:p>
            <w:pPr>
              <w:spacing w:after="0"/>
              <w:rPr>
                <w:sz w:val="1"/>
                <w:szCs w:val="1"/>
                <w:color w:val="auto"/>
              </w:rPr>
            </w:pPr>
          </w:p>
        </w:tc>
      </w:tr>
      <w:tr>
        <w:trPr>
          <w:trHeight w:val="189"/>
        </w:trPr>
        <w:tc>
          <w:tcPr>
            <w:tcW w:w="5320" w:type="dxa"/>
            <w:vAlign w:val="bottom"/>
          </w:tcPr>
          <w:p>
            <w:pPr>
              <w:ind w:left="80"/>
              <w:spacing w:after="0" w:line="189" w:lineRule="exact"/>
              <w:rPr>
                <w:sz w:val="20"/>
                <w:szCs w:val="20"/>
                <w:color w:val="auto"/>
              </w:rPr>
            </w:pPr>
            <w:r>
              <w:rPr>
                <w:rFonts w:ascii="Arial" w:cs="Arial" w:eastAsia="Arial" w:hAnsi="Arial"/>
                <w:sz w:val="17"/>
                <w:szCs w:val="17"/>
                <w:color w:val="auto"/>
              </w:rPr>
              <w:t>Other income</w:t>
            </w: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(42)</w:t>
            </w:r>
          </w:p>
        </w:tc>
        <w:tc>
          <w:tcPr>
            <w:tcW w:w="42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140"/>
              <w:spacing w:after="0" w:line="183" w:lineRule="exact"/>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29,091</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17,801</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11,290</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63.4 %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80"/>
              <w:spacing w:after="0" w:line="183" w:lineRule="exact"/>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8,210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3,988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4,222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105.9 %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shd w:val="clear" w:color="auto" w:fill="CFF0FC"/>
          </w:tcPr>
          <w:p>
            <w:pPr>
              <w:spacing w:after="0" w:line="169" w:lineRule="exact"/>
              <w:rPr>
                <w:sz w:val="20"/>
                <w:szCs w:val="20"/>
                <w:color w:val="auto"/>
              </w:rPr>
            </w:pPr>
            <w:r>
              <w:rPr>
                <w:rFonts w:ascii="Arial" w:cs="Arial" w:eastAsia="Arial" w:hAnsi="Arial"/>
                <w:sz w:val="17"/>
                <w:szCs w:val="17"/>
                <w:color w:val="auto"/>
              </w:rPr>
              <w:t>Net income</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20,881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13,813</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line="169"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7,068</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7"/>
                <w:szCs w:val="17"/>
                <w:color w:val="auto"/>
              </w:rPr>
              <w:t>51.2 %</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-779145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-779145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-779145</wp:posOffset>
            </wp:positionV>
            <wp:extent cx="1454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-281940</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-281940</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-281940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-281940</wp:posOffset>
            </wp:positionV>
            <wp:extent cx="1454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111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5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Gross margin is calculated as gross profit divided by revenue.</w:t>
      </w:r>
    </w:p>
    <w:p>
      <w:pPr>
        <w:spacing w:after="0" w:line="78"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46"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100.0%</w:t>
            </w:r>
          </w:p>
        </w:tc>
        <w:tc>
          <w:tcPr>
            <w:tcW w:w="2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75.9%</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2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2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8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7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2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2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2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8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income, net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7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w:t>
            </w:r>
          </w:p>
        </w:tc>
        <w:tc>
          <w:tcPr>
            <w:tcW w:w="1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2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tcPr>
          <w:p>
            <w:pPr>
              <w:ind w:left="200"/>
              <w:spacing w:after="0" w:line="196" w:lineRule="exact"/>
              <w:rPr>
                <w:sz w:val="20"/>
                <w:szCs w:val="20"/>
                <w:color w:val="auto"/>
              </w:rPr>
            </w:pPr>
            <w:r>
              <w:rPr>
                <w:rFonts w:ascii="Arial" w:cs="Arial" w:eastAsia="Arial" w:hAnsi="Arial"/>
                <w:sz w:val="18"/>
                <w:szCs w:val="18"/>
                <w:color w:val="auto"/>
              </w:rPr>
              <w:t>Income before income taxes</w:t>
            </w:r>
          </w:p>
        </w:tc>
        <w:tc>
          <w:tcPr>
            <w:tcW w:w="120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2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Provision for income taxes</w:t>
            </w:r>
          </w:p>
        </w:tc>
        <w:tc>
          <w:tcPr>
            <w:tcW w:w="1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2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7"/>
                <w:szCs w:val="17"/>
                <w:color w:val="auto"/>
              </w:rPr>
            </w:pPr>
          </w:p>
        </w:tc>
        <w:tc>
          <w:tcPr>
            <w:tcW w:w="7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5.8%</w:t>
            </w:r>
          </w:p>
        </w:tc>
        <w:tc>
          <w:tcPr>
            <w:tcW w:w="2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520"/>
              <w:spacing w:after="0"/>
              <w:rPr>
                <w:sz w:val="20"/>
                <w:szCs w:val="20"/>
                <w:color w:val="auto"/>
              </w:rPr>
            </w:pPr>
            <w:r>
              <w:rPr>
                <w:rFonts w:ascii="Arial" w:cs="Arial" w:eastAsia="Arial" w:hAnsi="Arial"/>
                <w:sz w:val="18"/>
                <w:szCs w:val="18"/>
                <w:color w:val="auto"/>
              </w:rPr>
              <w:t>20</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71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7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-1868170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-1868170</wp:posOffset>
            </wp:positionV>
            <wp:extent cx="1117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-1336675</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-1336675</wp:posOffset>
            </wp:positionV>
            <wp:extent cx="111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-1062355</wp:posOffset>
            </wp:positionV>
            <wp:extent cx="1111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-1062355</wp:posOffset>
            </wp:positionV>
            <wp:extent cx="1117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cost of revenue corresponds with higher revenue and transaction volumes, as it consists primarily of interchange fees and processor costs.</w:t>
      </w:r>
    </w:p>
    <w:p>
      <w:pPr>
        <w:spacing w:after="0" w:line="46"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While gross profit increased in tandem with revenue growth, gross margin remained flat, as a shift in customer mix towards high-volume enterprise billers with lower margins was offset by improved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Research and development expenses increased primarily due to higher employee-related costs, including benefits, driven by headcount growth and annual compensation adjustments. The remaining variance was driven by a rise in cloud computing services expenses, reflecting greater utilization of our cloud-based infrastructure and expanded data processing demands, as well as higher amortization of capitalized internal-use software development costs.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sales and marketing expenses was primarily driven by higher reseller commissions and employee-related costs.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general and administrative expenses was primarily driven by higher stock-based compensation, elevated employee compensation and related costs, and greater professional and legal fees and insurance premiums related to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interest income, net, was mainly due to higher cash balances held with banks, offset by lower interest rates.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which was 28.2% for the three months ended March 31, 2026, as compared to 22.4% for the same period in the prior year, were primarily due to higher pre-tax income, increased forecasted executive stock-based compensation in 2026 and more significant excess tax benefits on stock-based compensation in 2025.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of March 31, 2026, we had $338.8 million of unrestricted cash and cash equivalents. We believe that existing unrestricted cash and cash equivalents will be sufficient to support our working capital, capital expenditure requirements, and other commitments described in Note 8, for at least the next 12 months. Since inception, we have financed operations primarily through the sale of equity securities and revenue from payment transaction fees. Our principal uses of cash are funding operations, which primarily consist of employee-related costs, payments to third parties to fulfill our payment transactions and payments to sales and marketing partners. Although this is subject to change based on market opportunities or changing priorities, we currently do not have any material planned capital expenditures or acquisitions in the next 12 months.</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7860" w:type="dxa"/>
            <w:vAlign w:val="bottom"/>
          </w:tcPr>
          <w:p>
            <w:pPr>
              <w:spacing w:after="0"/>
              <w:rPr>
                <w:sz w:val="20"/>
                <w:szCs w:val="20"/>
                <w:color w:val="auto"/>
              </w:rPr>
            </w:pPr>
            <w:r>
              <w:rPr>
                <w:rFonts w:ascii="Arial" w:cs="Arial" w:eastAsia="Arial" w:hAnsi="Arial"/>
                <w:sz w:val="18"/>
                <w:szCs w:val="18"/>
                <w:b w:val="1"/>
                <w:bCs w:val="1"/>
                <w:i w:val="1"/>
                <w:iCs w:val="1"/>
                <w:color w:val="auto"/>
              </w:rPr>
              <w:t>Historical Cash Flows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860" w:type="dxa"/>
            <w:vAlign w:val="bottom"/>
          </w:tcPr>
          <w:p>
            <w:pPr>
              <w:ind w:left="500"/>
              <w:spacing w:after="0"/>
              <w:rPr>
                <w:sz w:val="20"/>
                <w:szCs w:val="20"/>
                <w:color w:val="auto"/>
              </w:rPr>
            </w:pPr>
            <w:r>
              <w:rPr>
                <w:rFonts w:ascii="Arial" w:cs="Arial" w:eastAsia="Arial" w:hAnsi="Arial"/>
                <w:sz w:val="18"/>
                <w:szCs w:val="18"/>
                <w:color w:val="auto"/>
              </w:rPr>
              <w:t>The following table summarizes our condensed consolidated statements of cash flows: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860" w:type="dxa"/>
            <w:vAlign w:val="bottom"/>
          </w:tcPr>
          <w:p>
            <w:pPr>
              <w:spacing w:after="0"/>
              <w:rPr>
                <w:sz w:val="24"/>
                <w:szCs w:val="24"/>
                <w:color w:val="auto"/>
              </w:rPr>
            </w:pPr>
          </w:p>
        </w:tc>
        <w:tc>
          <w:tcPr>
            <w:tcW w:w="33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7"/>
                <w:szCs w:val="17"/>
                <w:color w:val="auto"/>
              </w:rPr>
            </w:pPr>
          </w:p>
        </w:tc>
      </w:tr>
      <w:tr>
        <w:trPr>
          <w:trHeight w:val="196"/>
        </w:trPr>
        <w:tc>
          <w:tcPr>
            <w:tcW w:w="7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30,452</w:t>
            </w:r>
          </w:p>
        </w:tc>
        <w:tc>
          <w:tcPr>
            <w:tcW w:w="10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50,441</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(9,443)</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(8,287)</w:t>
            </w: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(3,283)</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(1,892)</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Effects of foreign exchange on cash</w:t>
            </w:r>
          </w:p>
        </w:tc>
        <w:tc>
          <w:tcPr>
            <w:tcW w:w="10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(136)</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w:t>
            </w:r>
          </w:p>
        </w:tc>
      </w:tr>
      <w:tr>
        <w:trPr>
          <w:trHeight w:val="196"/>
        </w:trPr>
        <w:tc>
          <w:tcPr>
            <w:tcW w:w="786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Net increase in cash, cash equivalents and restricted cash</w:t>
            </w:r>
          </w:p>
        </w:tc>
        <w:tc>
          <w:tcPr>
            <w:tcW w:w="1000" w:type="dxa"/>
            <w:vAlign w:val="bottom"/>
            <w:tcBorders>
              <w:top w:val="single" w:sz="8" w:color="auto"/>
              <w:bottom w:val="single" w:sz="8" w:color="auto"/>
            </w:tcBorders>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17,590</w:t>
            </w:r>
          </w:p>
        </w:tc>
        <w:tc>
          <w:tcPr>
            <w:tcW w:w="10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40,237</w:t>
            </w:r>
          </w:p>
        </w:tc>
        <w:tc>
          <w:tcPr>
            <w:tcW w:w="100" w:type="dxa"/>
            <w:vAlign w:val="bottom"/>
            <w:tcBorders>
              <w:top w:val="single" w:sz="8" w:color="CFF0FC"/>
            </w:tcBorders>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three months ended March 31, 2026 was $30.5 million. Net income was $20.9 million, adjusted for non-cash charges of $16.9 million, consisting primarily of depreciation and amortization, stock-based compensation, amortization of capitalized contract acquisition costs and warrant cost, non-cash lease expense and provision for expected credit losses, which contributed positively to cash provided from operating activities. This was offset by net cash outflows of $7.3 million due to changes in our operating assets and liabilities.</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Net cash provided by operating activities for the three months ended March 31, 2025 was $50.4 million. Net income was $13.8 million, adjusted for non-cash charges of $14.2 million consisting primarily of depreciation and amortization, stock-based compensation, amortization of capitalized contract acquisition costs and warrant cost, non-cash lease expense and provision for expected credit losses, which contributed positively to cash provided from operating activities. This was additionally supported by net cash inflows of $22.4 million provided by changes in our operating assets and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2026 consisted of $9.5 million of capitalized internal-use software development costs and $0.1 million of purchases of property and equipment, which was offset by $0.1 million cash inflow from net change in interest-bearing deposits.</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2025 consisted of $9.3 million of capitalized internal-use software development costs and $0.1 million of purchases of property and equipment, which was offset by $1.1 million cash inflow from net change in interest-bearing deposits.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three months ended March 31, 2026 consisted primarily of $3.3 million of payments of taxes withheld on net settled vesting of restricted stock units.</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financing activities for the three months ended March 31, 2025 consisted primarily of $1.9 million of payments of taxes withheld on net settled vesting of restricted stock units, which was offset by $0.1 million of proceeds from the exercise of stock-based awards by employees.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2025 Form 10-K. There have been no material changes in our critical accounting policies and estimates since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have been no material changes in our exposures to market risk since December 31, 2025. For details on the Company’s interest rate and foreign currency exchange, see Part I, Item 7A. “Quantitative and Qualitative Information About Market Risk” in our 2025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7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March 31, 2026, the end of the period covered by this Quarterly Report on Form 10-Q. Based on such evaluation, our Chief Executive Officer and Chief Financial Officer have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From time to time as appropriate, we accrue liabilities related to legal claims in our financial statements.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in the risk factors previously disclosed in Item 1A. of our 2025 Form 10-K.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jc w:val="both"/>
        <w:ind w:firstLine="494"/>
        <w:spacing w:after="0" w:line="232" w:lineRule="exact"/>
        <w:rPr>
          <w:sz w:val="20"/>
          <w:szCs w:val="20"/>
          <w:color w:val="auto"/>
        </w:rPr>
      </w:pPr>
      <w:r>
        <w:rPr>
          <w:rFonts w:ascii="Arial" w:cs="Arial" w:eastAsia="Arial" w:hAnsi="Arial"/>
          <w:sz w:val="18"/>
          <w:szCs w:val="18"/>
          <w:color w:val="auto"/>
        </w:rPr>
        <w:t>Except as set forth below, during the quarter ended March 31, 2026,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4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On March 11, 2026, Sanjay Kalra, the Company’s Chief Financial Officer, adopted a trading arrangement for the sale of the Company’s Class A common stock that is intended to satisfy the affirmative defense conditions of Securities Exchange Act Rule 10b5-1(c) (a “Rule 10b5-1 Trading Plan”). Mr. Kalra’s Rule 10b5-1 Trading Plan, which expires June 1, 2028, provides for the sale of up to 27,909 shares of common stock pursuant to the terms of the plan.</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On March 12, 2026, TF Investment Holdings LLC ("TF Investment") adopted a Rule 10b5-1 Trading Plan which expires May 31, 2027 and provides for the sale of up to 160,000 shares of common stock pursuant to the terms of the plan. Gary Trainor, one of the Company's directors, is the sole manager of TF Investment and has sole voting and dispositive power over the shares held by TF Investment.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4" w:name="page25"/>
    <w:bookmarkEnd w:id="24"/>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19"/>
            <w:vMerge w:val="restart"/>
          </w:tcPr>
          <w:p>
            <w:pPr>
              <w:ind w:left="280"/>
              <w:spacing w:after="0"/>
              <w:rPr>
                <w:sz w:val="20"/>
                <w:szCs w:val="20"/>
                <w:color w:val="auto"/>
              </w:rPr>
            </w:pPr>
            <w:r>
              <w:rPr>
                <w:rFonts w:ascii="Arial" w:cs="Arial" w:eastAsia="Arial" w:hAnsi="Arial"/>
                <w:sz w:val="17"/>
                <w:szCs w:val="17"/>
                <w:b w:val="1"/>
                <w:bCs w:val="1"/>
                <w:color w:val="auto"/>
              </w:rPr>
              <w:t>Description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19"/>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Form</w:t>
            </w:r>
          </w:p>
        </w:tc>
        <w:tc>
          <w:tcPr>
            <w:tcW w:w="1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3"/>
                <w:szCs w:val="13"/>
                <w:color w:val="auto"/>
              </w:rPr>
            </w:pPr>
          </w:p>
        </w:tc>
        <w:tc>
          <w:tcPr>
            <w:tcW w:w="780" w:type="dxa"/>
            <w:vAlign w:val="bottom"/>
          </w:tcPr>
          <w:p>
            <w:pPr>
              <w:ind w:left="80"/>
              <w:spacing w:after="0" w:line="160" w:lineRule="exact"/>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Filing Date</w:t>
            </w:r>
          </w:p>
        </w:tc>
        <w:tc>
          <w:tcPr>
            <w:tcW w:w="11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Furnished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line="155" w:lineRule="exact"/>
              <w:rPr>
                <w:sz w:val="20"/>
                <w:szCs w:val="20"/>
                <w:color w:val="auto"/>
              </w:rPr>
            </w:pPr>
            <w:r>
              <w:rPr>
                <w:rFonts w:ascii="Arial" w:cs="Arial" w:eastAsia="Arial" w:hAnsi="Arial"/>
                <w:sz w:val="17"/>
                <w:szCs w:val="17"/>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22"/>
          </w:tcPr>
          <w:p>
            <w:pPr>
              <w:spacing w:after="0" w:line="155" w:lineRule="exact"/>
              <w:rPr>
                <w:rFonts w:ascii="Arial" w:cs="Arial" w:eastAsia="Arial" w:hAnsi="Arial"/>
                <w:sz w:val="17"/>
                <w:szCs w:val="17"/>
                <w:color w:val="0000FF"/>
              </w:rPr>
            </w:pPr>
            <w:hyperlink r:id="rId189">
              <w:r>
                <w:rPr>
                  <w:rFonts w:ascii="Arial" w:cs="Arial" w:eastAsia="Arial" w:hAnsi="Arial"/>
                  <w:sz w:val="17"/>
                  <w:szCs w:val="17"/>
                  <w:color w:val="0000FF"/>
                </w:rPr>
                <w:t>Amended and Restated Certificate of Incorporation of</w:t>
              </w:r>
            </w:hyperlink>
          </w:p>
        </w:tc>
        <w:tc>
          <w:tcPr>
            <w:tcW w:w="100" w:type="dxa"/>
            <w:vAlign w:val="bottom"/>
          </w:tcPr>
          <w:p>
            <w:pPr>
              <w:spacing w:after="0"/>
              <w:rPr>
                <w:sz w:val="13"/>
                <w:szCs w:val="13"/>
                <w:color w:val="auto"/>
              </w:rPr>
            </w:pPr>
          </w:p>
        </w:tc>
        <w:tc>
          <w:tcPr>
            <w:tcW w:w="560" w:type="dxa"/>
            <w:vAlign w:val="bottom"/>
          </w:tcPr>
          <w:p>
            <w:pPr>
              <w:jc w:val="center"/>
              <w:spacing w:after="0" w:line="155" w:lineRule="exact"/>
              <w:rPr>
                <w:sz w:val="20"/>
                <w:szCs w:val="20"/>
                <w:color w:val="auto"/>
              </w:rPr>
            </w:pPr>
            <w:r>
              <w:rPr>
                <w:rFonts w:ascii="Arial" w:cs="Arial" w:eastAsia="Arial" w:hAnsi="Arial"/>
                <w:sz w:val="17"/>
                <w:szCs w:val="17"/>
                <w:color w:val="auto"/>
                <w:w w:val="98"/>
              </w:rPr>
              <w:t>8-K</w:t>
            </w:r>
          </w:p>
        </w:tc>
        <w:tc>
          <w:tcPr>
            <w:tcW w:w="1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7"/>
                <w:szCs w:val="17"/>
                <w:color w:val="auto"/>
              </w:rPr>
              <w:t>001-40429</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7"/>
                <w:szCs w:val="17"/>
                <w:color w:val="auto"/>
              </w:rPr>
              <w:t>May 28, 2021</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5"/>
          </w:tcPr>
          <w:p>
            <w:pPr>
              <w:spacing w:after="0" w:line="169" w:lineRule="exact"/>
              <w:rPr>
                <w:rFonts w:ascii="Arial" w:cs="Arial" w:eastAsia="Arial" w:hAnsi="Arial"/>
                <w:sz w:val="17"/>
                <w:szCs w:val="17"/>
                <w:color w:val="0000FF"/>
                <w:w w:val="98"/>
              </w:rPr>
            </w:pPr>
            <w:hyperlink r:id="rId189">
              <w:r>
                <w:rPr>
                  <w:rFonts w:ascii="Arial" w:cs="Arial" w:eastAsia="Arial" w:hAnsi="Arial"/>
                  <w:sz w:val="17"/>
                  <w:szCs w:val="17"/>
                  <w:color w:val="0000FF"/>
                  <w:w w:val="98"/>
                </w:rPr>
                <w:t>Paymentus Holdings, Inc.</w:t>
              </w:r>
            </w:hyperlink>
          </w:p>
        </w:tc>
        <w:tc>
          <w:tcPr>
            <w:tcW w:w="2140" w:type="dxa"/>
            <w:vAlign w:val="bottom"/>
            <w:tcBorders>
              <w:top w:val="single" w:sz="8" w:color="0000FF"/>
            </w:tcBorders>
            <w:gridSpan w:val="8"/>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rPr>
              <w:t>August 7, 2023</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Amendment to Amended</w:t>
              </w:r>
            </w:hyperlink>
          </w:p>
        </w:tc>
        <w:tc>
          <w:tcPr>
            <w:tcW w:w="2820" w:type="dxa"/>
            <w:vAlign w:val="bottom"/>
            <w:gridSpan w:val="18"/>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and Restated Certificate of</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4"/>
                <w:szCs w:val="14"/>
                <w:color w:val="auto"/>
              </w:rPr>
            </w:pPr>
          </w:p>
        </w:tc>
        <w:tc>
          <w:tcPr>
            <w:tcW w:w="3980" w:type="dxa"/>
            <w:vAlign w:val="bottom"/>
            <w:gridSpan w:val="12"/>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Incorporation of Paymentus Holdings, Inc.</w:t>
              </w:r>
            </w:hyperlink>
          </w:p>
        </w:tc>
        <w:tc>
          <w:tcPr>
            <w:tcW w:w="2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4"/>
                <w:szCs w:val="14"/>
                <w:color w:val="auto"/>
              </w:rPr>
            </w:pPr>
          </w:p>
        </w:tc>
        <w:tc>
          <w:tcPr>
            <w:tcW w:w="1380" w:type="dxa"/>
            <w:vAlign w:val="bottom"/>
            <w:vMerge w:val="restart"/>
          </w:tcPr>
          <w:p>
            <w:pPr>
              <w:jc w:val="center"/>
              <w:ind w:right="15"/>
              <w:spacing w:after="0"/>
              <w:rPr>
                <w:sz w:val="20"/>
                <w:szCs w:val="20"/>
                <w:color w:val="auto"/>
              </w:rPr>
            </w:pPr>
            <w:r>
              <w:rPr>
                <w:rFonts w:ascii="Arial" w:cs="Arial" w:eastAsia="Arial" w:hAnsi="Arial"/>
                <w:sz w:val="17"/>
                <w:szCs w:val="17"/>
                <w:color w:val="auto"/>
              </w:rPr>
              <w:t>November 14,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3"/>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Amended and Restated Bylaws of Paymentus Holdings, Inc.</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gridSpan w:val="2"/>
          </w:tcPr>
          <w:p>
            <w:pPr>
              <w:jc w:val="center"/>
              <w:spacing w:after="0" w:line="174" w:lineRule="exact"/>
              <w:rPr>
                <w:sz w:val="20"/>
                <w:szCs w:val="20"/>
                <w:color w:val="auto"/>
              </w:rPr>
            </w:pPr>
            <w:r>
              <w:rPr>
                <w:rFonts w:ascii="Arial" w:cs="Arial" w:eastAsia="Arial" w:hAnsi="Arial"/>
                <w:sz w:val="17"/>
                <w:szCs w:val="17"/>
                <w:color w:val="auto"/>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gridSpan w:val="2"/>
          </w:tcPr>
          <w:p>
            <w:pPr>
              <w:spacing w:after="0" w:line="185"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6"/>
                <w:szCs w:val="16"/>
                <w:color w:val="auto"/>
              </w:rPr>
            </w:pPr>
          </w:p>
        </w:tc>
        <w:tc>
          <w:tcPr>
            <w:tcW w:w="4740" w:type="dxa"/>
            <w:vAlign w:val="bottom"/>
            <w:gridSpan w:val="23"/>
          </w:tcPr>
          <w:p>
            <w:pPr>
              <w:spacing w:after="0" w:line="185" w:lineRule="exact"/>
              <w:rPr>
                <w:rFonts w:ascii="Arial" w:cs="Arial" w:eastAsia="Arial" w:hAnsi="Arial"/>
                <w:sz w:val="17"/>
                <w:szCs w:val="17"/>
                <w:color w:val="0000FF"/>
              </w:rPr>
            </w:pPr>
            <w:hyperlink r:id="rId192">
              <w:r>
                <w:rPr>
                  <w:rFonts w:ascii="Arial" w:cs="Arial" w:eastAsia="Arial" w:hAnsi="Arial"/>
                  <w:sz w:val="17"/>
                  <w:szCs w:val="17"/>
                  <w:color w:val="0000FF"/>
                </w:rPr>
                <w:t>Form of Restricted Stock Unit Agreement for Employees under</w:t>
              </w:r>
            </w:hyperlink>
          </w:p>
        </w:tc>
        <w:tc>
          <w:tcPr>
            <w:tcW w:w="100" w:type="dxa"/>
            <w:vAlign w:val="bottom"/>
          </w:tcPr>
          <w:p>
            <w:pPr>
              <w:spacing w:after="0"/>
              <w:rPr>
                <w:sz w:val="16"/>
                <w:szCs w:val="16"/>
                <w:color w:val="auto"/>
              </w:rPr>
            </w:pPr>
          </w:p>
        </w:tc>
        <w:tc>
          <w:tcPr>
            <w:tcW w:w="560" w:type="dxa"/>
            <w:vAlign w:val="bottom"/>
          </w:tcPr>
          <w:p>
            <w:pPr>
              <w:jc w:val="center"/>
              <w:spacing w:after="0" w:line="185" w:lineRule="exact"/>
              <w:rPr>
                <w:sz w:val="20"/>
                <w:szCs w:val="20"/>
                <w:color w:val="auto"/>
              </w:rPr>
            </w:pPr>
            <w:r>
              <w:rPr>
                <w:rFonts w:ascii="Arial" w:cs="Arial" w:eastAsia="Arial" w:hAnsi="Arial"/>
                <w:sz w:val="17"/>
                <w:szCs w:val="17"/>
                <w:color w:val="auto"/>
                <w:w w:val="98"/>
              </w:rPr>
              <w:t>8-K</w:t>
            </w:r>
          </w:p>
        </w:tc>
        <w:tc>
          <w:tcPr>
            <w:tcW w:w="1100" w:type="dxa"/>
            <w:vAlign w:val="bottom"/>
            <w:gridSpan w:val="2"/>
          </w:tcPr>
          <w:p>
            <w:pPr>
              <w:jc w:val="center"/>
              <w:spacing w:after="0" w:line="185" w:lineRule="exact"/>
              <w:rPr>
                <w:sz w:val="20"/>
                <w:szCs w:val="20"/>
                <w:color w:val="auto"/>
              </w:rPr>
            </w:pPr>
            <w:r>
              <w:rPr>
                <w:rFonts w:ascii="Arial" w:cs="Arial" w:eastAsia="Arial" w:hAnsi="Arial"/>
                <w:sz w:val="17"/>
                <w:szCs w:val="17"/>
                <w:color w:val="auto"/>
              </w:rPr>
              <w:t>001-40429</w:t>
            </w:r>
          </w:p>
        </w:tc>
        <w:tc>
          <w:tcPr>
            <w:tcW w:w="900" w:type="dxa"/>
            <w:vAlign w:val="bottom"/>
            <w:gridSpan w:val="2"/>
          </w:tcPr>
          <w:p>
            <w:pPr>
              <w:jc w:val="center"/>
              <w:spacing w:after="0" w:line="185"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6"/>
                <w:szCs w:val="16"/>
                <w:color w:val="auto"/>
              </w:rPr>
            </w:pPr>
          </w:p>
        </w:tc>
        <w:tc>
          <w:tcPr>
            <w:tcW w:w="1380" w:type="dxa"/>
            <w:vAlign w:val="bottom"/>
          </w:tcPr>
          <w:p>
            <w:pPr>
              <w:jc w:val="center"/>
              <w:spacing w:after="0" w:line="185" w:lineRule="exact"/>
              <w:rPr>
                <w:sz w:val="20"/>
                <w:szCs w:val="20"/>
                <w:color w:val="auto"/>
              </w:rPr>
            </w:pPr>
            <w:r>
              <w:rPr>
                <w:rFonts w:ascii="Arial" w:cs="Arial" w:eastAsia="Arial" w:hAnsi="Arial"/>
                <w:sz w:val="17"/>
                <w:szCs w:val="17"/>
                <w:color w:val="auto"/>
              </w:rPr>
              <w:t>March 13, 2026</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4"/>
                <w:szCs w:val="14"/>
                <w:color w:val="auto"/>
              </w:rPr>
            </w:pPr>
          </w:p>
        </w:tc>
        <w:tc>
          <w:tcPr>
            <w:tcW w:w="4720" w:type="dxa"/>
            <w:vAlign w:val="bottom"/>
            <w:gridSpan w:val="22"/>
          </w:tcPr>
          <w:p>
            <w:pPr>
              <w:spacing w:after="0" w:line="169" w:lineRule="exact"/>
              <w:rPr>
                <w:rFonts w:ascii="Arial" w:cs="Arial" w:eastAsia="Arial" w:hAnsi="Arial"/>
                <w:sz w:val="17"/>
                <w:szCs w:val="17"/>
                <w:color w:val="0000FF"/>
              </w:rPr>
            </w:pPr>
            <w:hyperlink r:id="rId192">
              <w:r>
                <w:rPr>
                  <w:rFonts w:ascii="Arial" w:cs="Arial" w:eastAsia="Arial" w:hAnsi="Arial"/>
                  <w:sz w:val="17"/>
                  <w:szCs w:val="17"/>
                  <w:color w:val="0000FF"/>
                </w:rPr>
                <w:t>the 2021 Equity Incentive Plan</w:t>
              </w:r>
            </w:hyperlink>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2440" w:type="dxa"/>
            <w:vAlign w:val="bottom"/>
            <w:gridSpan w:val="17"/>
            <w:vMerge w:val="restart"/>
          </w:tcPr>
          <w:p>
            <w:pPr>
              <w:spacing w:after="0" w:line="189" w:lineRule="exact"/>
              <w:rPr>
                <w:sz w:val="20"/>
                <w:szCs w:val="20"/>
                <w:color w:val="auto"/>
              </w:rPr>
            </w:pPr>
            <w:r>
              <w:rPr>
                <w:rFonts w:ascii="Arial" w:cs="Arial" w:eastAsia="Arial" w:hAnsi="Arial"/>
                <w:sz w:val="17"/>
                <w:szCs w:val="17"/>
                <w:color w:val="0000FF"/>
              </w:rPr>
              <w:t>Agreement for Independent</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spacing w:after="0" w:line="169" w:lineRule="exact"/>
              <w:rPr>
                <w:sz w:val="20"/>
                <w:szCs w:val="20"/>
                <w:color w:val="auto"/>
              </w:rPr>
            </w:pPr>
            <w:r>
              <w:rPr>
                <w:rFonts w:ascii="Arial" w:cs="Arial" w:eastAsia="Arial" w:hAnsi="Arial"/>
                <w:sz w:val="17"/>
                <w:szCs w:val="17"/>
                <w:color w:val="0000FF"/>
              </w:rPr>
              <w:t>Form of Restricted Stock Unit</w:t>
            </w:r>
          </w:p>
        </w:tc>
        <w:tc>
          <w:tcPr>
            <w:tcW w:w="2440" w:type="dxa"/>
            <w:vAlign w:val="bottom"/>
            <w:gridSpan w:val="17"/>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7"/>
                <w:szCs w:val="17"/>
                <w:color w:val="0000FF"/>
                <w:w w:val="99"/>
              </w:rPr>
              <w:t>Contractors under the 2021 Equity Incentive Plan</w:t>
            </w:r>
          </w:p>
        </w:tc>
        <w:tc>
          <w:tcPr>
            <w:tcW w:w="20" w:type="dxa"/>
            <w:vAlign w:val="bottom"/>
            <w:tcBorders>
              <w:top w:val="single" w:sz="8" w:color="0000FF"/>
              <w:bottom w:val="single" w:sz="8" w:color="0000EE"/>
            </w:tcBorders>
          </w:tcPr>
          <w:p>
            <w:pPr>
              <w:spacing w:after="0"/>
              <w:rPr>
                <w:sz w:val="14"/>
                <w:szCs w:val="14"/>
                <w:color w:val="auto"/>
              </w:rPr>
            </w:pPr>
          </w:p>
        </w:tc>
        <w:tc>
          <w:tcPr>
            <w:tcW w:w="660" w:type="dxa"/>
            <w:vAlign w:val="bottom"/>
            <w:tcBorders>
              <w:top w:val="single" w:sz="8" w:color="0000FF"/>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11"/>
          </w:tcPr>
          <w:p>
            <w:pPr>
              <w:spacing w:after="0" w:line="169" w:lineRule="exact"/>
              <w:rPr>
                <w:sz w:val="20"/>
                <w:szCs w:val="20"/>
                <w:color w:val="auto"/>
              </w:rPr>
            </w:pPr>
            <w:r>
              <w:rPr>
                <w:rFonts w:ascii="Arial" w:cs="Arial" w:eastAsia="Arial" w:hAnsi="Arial"/>
                <w:sz w:val="17"/>
                <w:szCs w:val="17"/>
                <w:color w:val="0000FF"/>
                <w:w w:val="98"/>
              </w:rPr>
              <w:t>Form of Restricted Stock Award Agreement under</w:t>
            </w:r>
          </w:p>
        </w:tc>
        <w:tc>
          <w:tcPr>
            <w:tcW w:w="1020" w:type="dxa"/>
            <w:vAlign w:val="bottom"/>
            <w:gridSpan w:val="12"/>
          </w:tcPr>
          <w:p>
            <w:pPr>
              <w:ind w:left="80"/>
              <w:spacing w:after="0" w:line="169" w:lineRule="exact"/>
              <w:rPr>
                <w:sz w:val="20"/>
                <w:szCs w:val="20"/>
                <w:color w:val="auto"/>
              </w:rPr>
            </w:pPr>
            <w:r>
              <w:rPr>
                <w:rFonts w:ascii="Arial" w:cs="Arial" w:eastAsia="Arial" w:hAnsi="Arial"/>
                <w:sz w:val="17"/>
                <w:szCs w:val="17"/>
                <w:color w:val="0000FF"/>
              </w:rPr>
              <w:t>the 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7"/>
                <w:szCs w:val="17"/>
                <w:color w:val="0000FF"/>
                <w:w w:val="98"/>
              </w:rPr>
              <w:t>Equity Incentive Plan</w:t>
            </w:r>
          </w:p>
        </w:tc>
        <w:tc>
          <w:tcPr>
            <w:tcW w:w="20" w:type="dxa"/>
            <w:vAlign w:val="bottom"/>
            <w:tcBorders>
              <w:top w:val="single" w:sz="8" w:color="0000FF"/>
              <w:bottom w:val="single" w:sz="8" w:color="0000EE"/>
            </w:tcBorders>
          </w:tcPr>
          <w:p>
            <w:pPr>
              <w:spacing w:after="0"/>
              <w:rPr>
                <w:sz w:val="14"/>
                <w:szCs w:val="14"/>
                <w:color w:val="auto"/>
              </w:rPr>
            </w:pPr>
          </w:p>
        </w:tc>
        <w:tc>
          <w:tcPr>
            <w:tcW w:w="294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3"/>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7"/>
                <w:szCs w:val="17"/>
                <w:color w:val="0000FF"/>
              </w:rPr>
              <w:t>13a-14(a) and 15d-14(a) under the Securities Exchange Act</w:t>
            </w:r>
          </w:p>
        </w:tc>
        <w:tc>
          <w:tcPr>
            <w:tcW w:w="180" w:type="dxa"/>
            <w:vAlign w:val="bottom"/>
            <w:gridSpan w:val="3"/>
          </w:tcPr>
          <w:p>
            <w:pPr>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4500" w:type="dxa"/>
            <w:vAlign w:val="bottom"/>
            <w:gridSpan w:val="17"/>
          </w:tcPr>
          <w:p>
            <w:pPr>
              <w:spacing w:after="0" w:line="169" w:lineRule="exact"/>
              <w:rPr>
                <w:sz w:val="20"/>
                <w:szCs w:val="20"/>
                <w:color w:val="auto"/>
              </w:rPr>
            </w:pPr>
            <w:r>
              <w:rPr>
                <w:rFonts w:ascii="Arial" w:cs="Arial" w:eastAsia="Arial" w:hAnsi="Arial"/>
                <w:sz w:val="17"/>
                <w:szCs w:val="17"/>
                <w:color w:val="0000FF"/>
              </w:rPr>
              <w:t>Oxley Act of 2002.</w:t>
            </w: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3"/>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7"/>
                <w:szCs w:val="17"/>
                <w:color w:val="0000FF"/>
                <w:w w:val="99"/>
              </w:rPr>
              <w:t>13a-14(a) and 15d-14(a) under the Securities Exchange Act</w:t>
            </w:r>
          </w:p>
        </w:tc>
        <w:tc>
          <w:tcPr>
            <w:tcW w:w="220" w:type="dxa"/>
            <w:vAlign w:val="bottom"/>
            <w:gridSpan w:val="5"/>
          </w:tcPr>
          <w:p>
            <w:pPr>
              <w:ind w:left="4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14"/>
                <w:szCs w:val="14"/>
                <w:color w:val="auto"/>
              </w:rPr>
            </w:pPr>
          </w:p>
        </w:tc>
        <w:tc>
          <w:tcPr>
            <w:tcW w:w="4500" w:type="dxa"/>
            <w:vAlign w:val="bottom"/>
            <w:gridSpan w:val="17"/>
          </w:tcPr>
          <w:p>
            <w:pPr>
              <w:spacing w:after="0" w:line="169" w:lineRule="exact"/>
              <w:rPr>
                <w:sz w:val="20"/>
                <w:szCs w:val="20"/>
                <w:color w:val="auto"/>
              </w:rPr>
            </w:pPr>
            <w:r>
              <w:rPr>
                <w:rFonts w:ascii="Arial" w:cs="Arial" w:eastAsia="Arial" w:hAnsi="Arial"/>
                <w:sz w:val="17"/>
                <w:szCs w:val="17"/>
                <w:color w:val="0000FF"/>
              </w:rPr>
              <w:t>Oxley Act of 2002.</w:t>
            </w:r>
          </w:p>
        </w:tc>
        <w:tc>
          <w:tcPr>
            <w:tcW w:w="10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3"/>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7"/>
                <w:szCs w:val="17"/>
                <w:color w:val="0000FF"/>
                <w:w w:val="98"/>
              </w:rPr>
              <w:t>U.S.C. Section 1350, as Adopted Pursuant to Section 906</w:t>
            </w:r>
          </w:p>
        </w:tc>
        <w:tc>
          <w:tcPr>
            <w:tcW w:w="420" w:type="dxa"/>
            <w:vAlign w:val="bottom"/>
            <w:gridSpan w:val="8"/>
          </w:tcPr>
          <w:p>
            <w:pPr>
              <w:ind w:left="8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32.2*</w:t>
            </w:r>
          </w:p>
        </w:tc>
        <w:tc>
          <w:tcPr>
            <w:tcW w:w="12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40" w:type="dxa"/>
            <w:vAlign w:val="bottom"/>
            <w:gridSpan w:val="15"/>
            <w:vMerge w:val="restart"/>
          </w:tcPr>
          <w:p>
            <w:pPr>
              <w:jc w:val="center"/>
              <w:ind w:right="480"/>
              <w:spacing w:after="0" w:line="189" w:lineRule="exact"/>
              <w:rPr>
                <w:sz w:val="20"/>
                <w:szCs w:val="20"/>
                <w:color w:val="auto"/>
              </w:rPr>
            </w:pPr>
            <w:r>
              <w:rPr>
                <w:rFonts w:ascii="Arial" w:cs="Arial" w:eastAsia="Arial" w:hAnsi="Arial"/>
                <w:sz w:val="17"/>
                <w:szCs w:val="17"/>
                <w:color w:val="0000FF"/>
              </w:rPr>
              <w:t>Officer Pursuant to 18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7"/>
          </w:tcPr>
          <w:p>
            <w:pPr>
              <w:spacing w:after="0" w:line="169" w:lineRule="exact"/>
              <w:rPr>
                <w:sz w:val="20"/>
                <w:szCs w:val="20"/>
                <w:color w:val="auto"/>
              </w:rPr>
            </w:pPr>
            <w:r>
              <w:rPr>
                <w:rFonts w:ascii="Arial" w:cs="Arial" w:eastAsia="Arial" w:hAnsi="Arial"/>
                <w:sz w:val="17"/>
                <w:szCs w:val="17"/>
                <w:color w:val="0000FF"/>
                <w:w w:val="96"/>
              </w:rPr>
              <w:t>Certification of Principal Financial</w:t>
            </w:r>
          </w:p>
        </w:tc>
        <w:tc>
          <w:tcPr>
            <w:tcW w:w="40" w:type="dxa"/>
            <w:vAlign w:val="bottom"/>
            <w:vMerge w:val="continue"/>
          </w:tcPr>
          <w:p>
            <w:pPr>
              <w:spacing w:after="0"/>
              <w:rPr>
                <w:sz w:val="14"/>
                <w:szCs w:val="14"/>
                <w:color w:val="auto"/>
              </w:rPr>
            </w:pPr>
          </w:p>
        </w:tc>
        <w:tc>
          <w:tcPr>
            <w:tcW w:w="2240" w:type="dxa"/>
            <w:vAlign w:val="bottom"/>
            <w:gridSpan w:val="15"/>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3"/>
          </w:tcPr>
          <w:p>
            <w:pPr>
              <w:spacing w:after="0" w:line="169" w:lineRule="exact"/>
              <w:rPr>
                <w:sz w:val="20"/>
                <w:szCs w:val="20"/>
                <w:color w:val="auto"/>
              </w:rPr>
            </w:pPr>
            <w:r>
              <w:rPr>
                <w:rFonts w:ascii="Arial" w:cs="Arial" w:eastAsia="Arial" w:hAnsi="Arial"/>
                <w:sz w:val="17"/>
                <w:szCs w:val="17"/>
                <w:color w:val="0000FF"/>
              </w:rPr>
              <w:t>U.S.C. Section 1350, as Adopted Pursuant to Section 906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4"/>
                <w:szCs w:val="14"/>
                <w:color w:val="auto"/>
              </w:rPr>
            </w:pPr>
          </w:p>
        </w:tc>
        <w:tc>
          <w:tcPr>
            <w:tcW w:w="2500" w:type="dxa"/>
            <w:vAlign w:val="bottom"/>
            <w:tcBorders>
              <w:top w:val="single" w:sz="8" w:color="0000FF"/>
              <w:bottom w:val="single" w:sz="8" w:color="0000EE"/>
            </w:tcBorders>
            <w:gridSpan w:val="8"/>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2100" w:type="dxa"/>
            <w:vAlign w:val="bottom"/>
            <w:tcBorders>
              <w:top w:val="single" w:sz="8" w:color="0000FF"/>
            </w:tcBorders>
            <w:gridSpan w:val="1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74"/>
        </w:trPr>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7"/>
          </w:tcPr>
          <w:p>
            <w:pPr>
              <w:spacing w:after="0" w:line="174" w:lineRule="exact"/>
              <w:rPr>
                <w:sz w:val="20"/>
                <w:szCs w:val="20"/>
                <w:color w:val="auto"/>
              </w:rPr>
            </w:pPr>
            <w:r>
              <w:rPr>
                <w:rFonts w:ascii="Arial" w:cs="Arial" w:eastAsia="Arial" w:hAnsi="Arial"/>
                <w:sz w:val="17"/>
                <w:szCs w:val="17"/>
                <w:color w:val="auto"/>
              </w:rPr>
              <w:t>Inline XBRL Instance Document</w:t>
            </w:r>
          </w:p>
        </w:tc>
        <w:tc>
          <w:tcPr>
            <w:tcW w:w="2280" w:type="dxa"/>
            <w:vAlign w:val="bottom"/>
            <w:gridSpan w:val="16"/>
          </w:tcPr>
          <w:p>
            <w:pPr>
              <w:jc w:val="center"/>
              <w:ind w:right="440"/>
              <w:spacing w:after="0" w:line="174" w:lineRule="exact"/>
              <w:rPr>
                <w:sz w:val="20"/>
                <w:szCs w:val="20"/>
                <w:color w:val="auto"/>
              </w:rPr>
            </w:pPr>
            <w:r>
              <w:rPr>
                <w:rFonts w:ascii="Arial" w:cs="Arial" w:eastAsia="Arial" w:hAnsi="Arial"/>
                <w:sz w:val="17"/>
                <w:szCs w:val="17"/>
                <w:color w:val="auto"/>
                <w:w w:val="99"/>
              </w:rPr>
              <w:t>– the instance document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does not appear in the Interactive Data File because XBRL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tags are embedded within the Inline XBRL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0" w:type="dxa"/>
            <w:vAlign w:val="bottom"/>
            <w:gridSpan w:val="2"/>
          </w:tcPr>
          <w:p>
            <w:pPr>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9"/>
                <w:szCs w:val="19"/>
                <w:color w:val="auto"/>
              </w:rPr>
            </w:pPr>
          </w:p>
        </w:tc>
        <w:tc>
          <w:tcPr>
            <w:tcW w:w="4740" w:type="dxa"/>
            <w:vAlign w:val="bottom"/>
            <w:gridSpan w:val="23"/>
          </w:tcPr>
          <w:p>
            <w:pPr>
              <w:spacing w:after="0"/>
              <w:rPr>
                <w:sz w:val="20"/>
                <w:szCs w:val="20"/>
                <w:color w:val="auto"/>
              </w:rPr>
            </w:pPr>
            <w:r>
              <w:rPr>
                <w:rFonts w:ascii="Arial" w:cs="Arial" w:eastAsia="Arial" w:hAnsi="Arial"/>
                <w:sz w:val="17"/>
                <w:szCs w:val="17"/>
                <w:color w:val="auto"/>
              </w:rPr>
              <w:t>Inline XBRL Taxonomy Extension Schema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342"/>
        </w:trPr>
        <w:tc>
          <w:tcPr>
            <w:tcW w:w="920" w:type="dxa"/>
            <w:vAlign w:val="bottom"/>
            <w:gridSpan w:val="2"/>
          </w:tcPr>
          <w:p>
            <w:pPr>
              <w:spacing w:after="0"/>
              <w:rPr>
                <w:sz w:val="20"/>
                <w:szCs w:val="20"/>
                <w:color w:val="auto"/>
              </w:rPr>
            </w:pPr>
            <w:r>
              <w:rPr>
                <w:rFonts w:ascii="Arial" w:cs="Arial" w:eastAsia="Arial" w:hAnsi="Arial"/>
                <w:sz w:val="17"/>
                <w:szCs w:val="17"/>
                <w:color w:val="auto"/>
              </w:rPr>
              <w:t>101.CAL</w:t>
            </w:r>
          </w:p>
        </w:tc>
        <w:tc>
          <w:tcPr>
            <w:tcW w:w="120" w:type="dxa"/>
            <w:vAlign w:val="bottom"/>
          </w:tcPr>
          <w:p>
            <w:pPr>
              <w:spacing w:after="0"/>
              <w:rPr>
                <w:sz w:val="24"/>
                <w:szCs w:val="24"/>
                <w:color w:val="auto"/>
              </w:rPr>
            </w:pPr>
          </w:p>
        </w:tc>
        <w:tc>
          <w:tcPr>
            <w:tcW w:w="4740" w:type="dxa"/>
            <w:vAlign w:val="bottom"/>
            <w:gridSpan w:val="23"/>
          </w:tcPr>
          <w:p>
            <w:pPr>
              <w:spacing w:after="0"/>
              <w:rPr>
                <w:sz w:val="20"/>
                <w:szCs w:val="20"/>
                <w:color w:val="auto"/>
              </w:rPr>
            </w:pPr>
            <w:r>
              <w:rPr>
                <w:rFonts w:ascii="Arial" w:cs="Arial" w:eastAsia="Arial" w:hAnsi="Arial"/>
                <w:sz w:val="17"/>
                <w:szCs w:val="17"/>
                <w:color w:val="auto"/>
              </w:rPr>
              <w:t>Inline XBRL Taxonomy Extension Calculation Linkbase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Inline XBRL Taxonomy Extension Definition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0" w:type="dxa"/>
            <w:vAlign w:val="bottom"/>
            <w:gridSpan w:val="2"/>
          </w:tcPr>
          <w:p>
            <w:pPr>
              <w:spacing w:after="0"/>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9"/>
                <w:szCs w:val="19"/>
                <w:color w:val="auto"/>
              </w:rPr>
            </w:pPr>
          </w:p>
        </w:tc>
        <w:tc>
          <w:tcPr>
            <w:tcW w:w="4740" w:type="dxa"/>
            <w:vAlign w:val="bottom"/>
            <w:gridSpan w:val="23"/>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342"/>
        </w:trPr>
        <w:tc>
          <w:tcPr>
            <w:tcW w:w="920" w:type="dxa"/>
            <w:vAlign w:val="bottom"/>
            <w:gridSpan w:val="2"/>
          </w:tcPr>
          <w:p>
            <w:pPr>
              <w:spacing w:after="0"/>
              <w:rPr>
                <w:sz w:val="20"/>
                <w:szCs w:val="20"/>
                <w:color w:val="auto"/>
              </w:rPr>
            </w:pPr>
            <w:r>
              <w:rPr>
                <w:rFonts w:ascii="Arial" w:cs="Arial" w:eastAsia="Arial" w:hAnsi="Arial"/>
                <w:sz w:val="17"/>
                <w:szCs w:val="17"/>
                <w:color w:val="auto"/>
              </w:rPr>
              <w:t>101.PRE</w:t>
            </w:r>
          </w:p>
        </w:tc>
        <w:tc>
          <w:tcPr>
            <w:tcW w:w="120" w:type="dxa"/>
            <w:vAlign w:val="bottom"/>
          </w:tcPr>
          <w:p>
            <w:pPr>
              <w:spacing w:after="0"/>
              <w:rPr>
                <w:sz w:val="24"/>
                <w:szCs w:val="24"/>
                <w:color w:val="auto"/>
              </w:rPr>
            </w:pPr>
          </w:p>
        </w:tc>
        <w:tc>
          <w:tcPr>
            <w:tcW w:w="4740" w:type="dxa"/>
            <w:vAlign w:val="bottom"/>
            <w:gridSpan w:val="23"/>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104</w:t>
            </w:r>
          </w:p>
        </w:tc>
        <w:tc>
          <w:tcPr>
            <w:tcW w:w="120" w:type="dxa"/>
            <w:vAlign w:val="bottom"/>
          </w:tcPr>
          <w:p>
            <w:pPr>
              <w:spacing w:after="0"/>
              <w:rPr>
                <w:sz w:val="16"/>
                <w:szCs w:val="16"/>
                <w:color w:val="auto"/>
              </w:rPr>
            </w:pPr>
          </w:p>
        </w:tc>
        <w:tc>
          <w:tcPr>
            <w:tcW w:w="4740" w:type="dxa"/>
            <w:vAlign w:val="bottom"/>
            <w:gridSpan w:val="23"/>
          </w:tcPr>
          <w:p>
            <w:pPr>
              <w:spacing w:after="0" w:line="189" w:lineRule="exact"/>
              <w:rPr>
                <w:sz w:val="20"/>
                <w:szCs w:val="20"/>
                <w:color w:val="auto"/>
              </w:rPr>
            </w:pPr>
            <w:r>
              <w:rPr>
                <w:rFonts w:ascii="Arial" w:cs="Arial" w:eastAsia="Arial" w:hAnsi="Arial"/>
                <w:sz w:val="17"/>
                <w:szCs w:val="17"/>
                <w:color w:val="auto"/>
              </w:rPr>
              <w:t>Cover Page Interactive Data File (formatted as inline XBRL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gridSpan w:val="23"/>
          </w:tcPr>
          <w:p>
            <w:pPr>
              <w:spacing w:after="0"/>
              <w:rPr>
                <w:sz w:val="20"/>
                <w:szCs w:val="20"/>
                <w:color w:val="auto"/>
              </w:rPr>
            </w:pPr>
            <w:r>
              <w:rPr>
                <w:rFonts w:ascii="Arial" w:cs="Arial" w:eastAsia="Arial" w:hAnsi="Arial"/>
                <w:sz w:val="17"/>
                <w:szCs w:val="17"/>
                <w:color w:val="auto"/>
              </w:rPr>
              <w:t>and contained in Exhibit 101)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5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03" w:lineRule="exact"/>
        <w:rPr>
          <w:rFonts w:ascii="Arial" w:cs="Arial" w:eastAsia="Arial" w:hAnsi="Arial"/>
          <w:sz w:val="18"/>
          <w:szCs w:val="18"/>
          <w:color w:val="auto"/>
        </w:rPr>
      </w:pPr>
    </w:p>
    <w:p>
      <w:pPr>
        <w:jc w:val="both"/>
        <w:ind w:firstLine="40"/>
        <w:spacing w:after="0" w:line="247" w:lineRule="auto"/>
        <w:rPr>
          <w:rFonts w:ascii="Arial" w:cs="Arial" w:eastAsia="Arial" w:hAnsi="Arial"/>
          <w:sz w:val="18"/>
          <w:szCs w:val="18"/>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PAYMENTUS HOLDINGS, INC.</w:t>
      </w:r>
    </w:p>
    <w:p>
      <w:pPr>
        <w:spacing w:after="0" w:line="198"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May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Dushyant Sharma</w:t>
      </w:r>
    </w:p>
    <w:p>
      <w:pPr>
        <w:ind w:left="6100"/>
        <w:spacing w:after="0" w:line="234" w:lineRule="auto"/>
        <w:rPr>
          <w:sz w:val="20"/>
          <w:szCs w:val="20"/>
          <w:color w:val="auto"/>
        </w:rPr>
      </w:pPr>
      <w:r>
        <w:rPr>
          <w:rFonts w:ascii="Arial" w:cs="Arial" w:eastAsia="Arial" w:hAnsi="Arial"/>
          <w:sz w:val="18"/>
          <w:szCs w:val="18"/>
          <w:b w:val="1"/>
          <w:bCs w:val="1"/>
          <w:color w:val="auto"/>
        </w:rPr>
        <w:t>Chairman, President and 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180"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May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8890</wp:posOffset>
            </wp:positionV>
            <wp:extent cx="3540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Sanjay Kalra</w:t>
      </w:r>
    </w:p>
    <w:p>
      <w:pPr>
        <w:ind w:left="6100"/>
        <w:spacing w:after="0" w:line="234" w:lineRule="auto"/>
        <w:rPr>
          <w:sz w:val="20"/>
          <w:szCs w:val="20"/>
          <w:color w:val="auto"/>
        </w:rPr>
      </w:pPr>
      <w:r>
        <w:rPr>
          <w:rFonts w:ascii="Arial" w:cs="Arial" w:eastAsia="Arial" w:hAnsi="Arial"/>
          <w:sz w:val="18"/>
          <w:szCs w:val="18"/>
          <w:b w:val="1"/>
          <w:bCs w:val="1"/>
          <w:color w:val="auto"/>
        </w:rPr>
        <w:t>Senior Vice President and Chief Financial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RESTRICTED STOCK UNIT AGREEMENT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(INDEPENDENT CONTRACTORS)</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Unless otherwise defined herein, the terms defined in the Paymentus Holdings, Inc.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and all other exhibits, appendices, and addenda attached hereto (including any additional terms and conditions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country set forth in Appendix 1 to the Terms and Conditions of Restricted Stock Unit Grant (the “</w:t>
      </w:r>
      <w:r>
        <w:rPr>
          <w:rFonts w:ascii="Times New Roman" w:cs="Times New Roman" w:eastAsia="Times New Roman" w:hAnsi="Times New Roman"/>
          <w:sz w:val="22"/>
          <w:szCs w:val="22"/>
          <w:b w:val="1"/>
          <w:bCs w:val="1"/>
          <w:color w:val="auto"/>
        </w:rPr>
        <w:t>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and restrictive covenants set forth in Appendix 2 to the Terms and Conditions of Restricted Stock Unit Grant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Restrictive Covenants Addendum</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ectPr>
          <w:pgSz w:w="11900" w:h="16838" w:orient="portrait"/>
          <w:cols w:equalWidth="0" w:num="1">
            <w:col w:w="11240"/>
          </w:cols>
          <w:pgMar w:left="320" w:top="1404" w:right="339" w:bottom="1440" w:gutter="0" w:footer="0" w:header="0"/>
        </w:sectPr>
      </w:pP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Grant Number: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1404"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1404"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Total 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4260" w:space="380"/>
            <w:col w:w="6600"/>
          </w:cols>
          <w:pgMar w:left="320" w:top="1404"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300"/>
        <w:spacing w:after="0" w:line="262" w:lineRule="auto"/>
        <w:rPr>
          <w:sz w:val="20"/>
          <w:szCs w:val="20"/>
          <w:color w:val="auto"/>
        </w:rPr>
      </w:pPr>
      <w:r>
        <w:rPr>
          <w:rFonts w:ascii="Times New Roman" w:cs="Times New Roman" w:eastAsia="Times New Roman" w:hAnsi="Times New Roman"/>
          <w:sz w:val="22"/>
          <w:szCs w:val="22"/>
          <w:color w:val="auto"/>
        </w:rPr>
        <w:t>For purposes of this Award Agreement, “</w:t>
      </w:r>
      <w:r>
        <w:rPr>
          <w:rFonts w:ascii="Times New Roman" w:cs="Times New Roman" w:eastAsia="Times New Roman" w:hAnsi="Times New Roman"/>
          <w:sz w:val="22"/>
          <w:szCs w:val="22"/>
          <w:b w:val="1"/>
          <w:bCs w:val="1"/>
          <w:color w:val="auto"/>
        </w:rPr>
        <w:t>Quarterly Vesting Dates</w:t>
      </w:r>
      <w:r>
        <w:rPr>
          <w:rFonts w:ascii="Times New Roman" w:cs="Times New Roman" w:eastAsia="Times New Roman" w:hAnsi="Times New Roman"/>
          <w:sz w:val="22"/>
          <w:szCs w:val="22"/>
          <w:color w:val="auto"/>
        </w:rPr>
        <w:t>” with respect to any calendar year means February 15, May 15, August 15, and November 15.</w:t>
      </w:r>
    </w:p>
    <w:p>
      <w:pPr>
        <w:spacing w:after="0" w:line="154" w:lineRule="exact"/>
        <w:rPr>
          <w:sz w:val="20"/>
          <w:szCs w:val="20"/>
          <w:color w:val="auto"/>
        </w:rPr>
      </w:pPr>
    </w:p>
    <w:p>
      <w:pPr>
        <w:jc w:val="both"/>
        <w:ind w:firstLine="300"/>
        <w:spacing w:after="0" w:line="239" w:lineRule="auto"/>
        <w:rPr>
          <w:sz w:val="20"/>
          <w:szCs w:val="20"/>
          <w:color w:val="auto"/>
        </w:rPr>
      </w:pPr>
      <w:r>
        <w:rPr>
          <w:rFonts w:ascii="Times New Roman" w:cs="Times New Roman" w:eastAsia="Times New Roman" w:hAnsi="Times New Roman"/>
          <w:sz w:val="22"/>
          <w:szCs w:val="22"/>
          <w:color w:val="auto"/>
        </w:rPr>
        <w:t>Subject to any acceleration or suspension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86" w:lineRule="exact"/>
        <w:rPr>
          <w:sz w:val="20"/>
          <w:szCs w:val="20"/>
          <w:color w:val="auto"/>
        </w:rPr>
      </w:pPr>
    </w:p>
    <w:p>
      <w:pPr>
        <w:jc w:val="both"/>
        <w:ind w:firstLine="300"/>
        <w:spacing w:after="0" w:line="251" w:lineRule="exact"/>
        <w:rPr>
          <w:sz w:val="20"/>
          <w:szCs w:val="20"/>
          <w:color w:val="auto"/>
        </w:rPr>
      </w:pPr>
      <w:r>
        <w:rPr>
          <w:rFonts w:ascii="Times New Roman" w:cs="Times New Roman" w:eastAsia="Times New Roman" w:hAnsi="Times New Roman"/>
          <w:sz w:val="22"/>
          <w:szCs w:val="22"/>
          <w:color w:val="auto"/>
        </w:rPr>
        <w:t>One-fifth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(as set forth above) subject to this Award Agreement will be scheduled to vest on the one (1) year anniversary of the Grant Date (such first vesting date, the “</w:t>
      </w:r>
      <w:r>
        <w:rPr>
          <w:rFonts w:ascii="Times New Roman" w:cs="Times New Roman" w:eastAsia="Times New Roman" w:hAnsi="Times New Roman"/>
          <w:sz w:val="22"/>
          <w:szCs w:val="22"/>
          <w:b w:val="1"/>
          <w:bCs w:val="1"/>
          <w:color w:val="auto"/>
        </w:rPr>
        <w:t>First Vesting Date</w:t>
      </w:r>
      <w:r>
        <w:rPr>
          <w:rFonts w:ascii="Times New Roman" w:cs="Times New Roman" w:eastAsia="Times New Roman" w:hAnsi="Times New Roman"/>
          <w:sz w:val="22"/>
          <w:szCs w:val="22"/>
          <w:color w:val="auto"/>
        </w:rPr>
        <w:t>”), and thereafter,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subject to this Award Agreement will be scheduled to vest on each of the sixteen (16) Quarterly Vesting Dates that occur after the First Vesting Date, beginning with the second Quarterly Vesting Date following the First Vesting Date, subject to Participant continuing to be a Service Provider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27" w:name="page28"/>
    <w:bookmarkEnd w:id="27"/>
    <w:p>
      <w:pPr>
        <w:spacing w:after="0" w:line="77" w:lineRule="exact"/>
        <w:rPr>
          <w:sz w:val="20"/>
          <w:szCs w:val="20"/>
          <w:color w:val="auto"/>
        </w:rPr>
      </w:pPr>
    </w:p>
    <w:p>
      <w:pPr>
        <w:jc w:val="both"/>
        <w:ind w:firstLine="300"/>
        <w:spacing w:after="0" w:line="233" w:lineRule="auto"/>
        <w:rPr>
          <w:sz w:val="20"/>
          <w:szCs w:val="20"/>
          <w:color w:val="auto"/>
        </w:rPr>
      </w:pPr>
      <w:r>
        <w:rPr>
          <w:rFonts w:ascii="Times New Roman" w:cs="Times New Roman" w:eastAsia="Times New Roman" w:hAnsi="Times New Roman"/>
          <w:sz w:val="22"/>
          <w:szCs w:val="22"/>
          <w:color w:val="auto"/>
        </w:rPr>
        <w:t xml:space="preserve">By Participant’s signature or by Participant’s acceptance of the Award Agreement via the Company’s designated electronic acceptance procedures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(including any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PAYMENTUS HOLDINGS, INC.</w:t>
      </w:r>
    </w:p>
    <w:p>
      <w:pPr>
        <w:spacing w:after="0" w:line="200"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spacing w:after="0" w:line="25" w:lineRule="exact"/>
        <w:rPr>
          <w:sz w:val="20"/>
          <w:szCs w:val="20"/>
          <w:color w:val="auto"/>
        </w:rPr>
      </w:pPr>
    </w:p>
    <w:p>
      <w:pPr>
        <w:ind w:left="60" w:right="840"/>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Signature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500"/>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Signature</w:t>
      </w:r>
    </w:p>
    <w:p>
      <w:pPr>
        <w:spacing w:after="0" w:line="162"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ind w:left="60" w:right="840"/>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Print Name</w:t>
      </w:r>
    </w:p>
    <w:p>
      <w:pPr>
        <w:spacing w:after="0" w:line="20" w:lineRule="exact"/>
        <w:rPr>
          <w:sz w:val="20"/>
          <w:szCs w:val="20"/>
          <w:color w:val="auto"/>
        </w:rPr>
      </w:pPr>
      <w:r>
        <w:rPr>
          <w:sz w:val="20"/>
          <w:szCs w:val="20"/>
          <w:color w:val="auto"/>
        </w:rPr>
        <w:br w:type="column"/>
      </w:r>
    </w:p>
    <w:p>
      <w:pPr>
        <w:ind w:right="1500"/>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Print Name</w:t>
      </w:r>
    </w:p>
    <w:p>
      <w:pPr>
        <w:spacing w:after="0" w:line="162"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ind w:left="5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RESTRICTED STOCK UNIT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178" w:lineRule="exact"/>
        <w:rPr>
          <w:sz w:val="20"/>
          <w:szCs w:val="20"/>
          <w:color w:val="auto"/>
        </w:rPr>
      </w:pPr>
    </w:p>
    <w:p>
      <w:pPr>
        <w:jc w:val="both"/>
        <w:ind w:firstLine="757"/>
        <w:spacing w:after="0" w:line="238" w:lineRule="auto"/>
        <w:tabs>
          <w:tab w:leader="none" w:pos="10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Paymentus Holdings,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under the Plan an Award of Restricted Stock Units,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 Each Restricted Stock Unit represents the right to receive a share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A common stock (a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Schedule/Suspension of Vesting</w:t>
      </w:r>
      <w:r>
        <w:rPr>
          <w:rFonts w:ascii="Times New Roman" w:cs="Times New Roman" w:eastAsia="Times New Roman" w:hAnsi="Times New Roman"/>
          <w:sz w:val="22"/>
          <w:szCs w:val="22"/>
          <w:color w:val="auto"/>
        </w:rPr>
        <w:t>. Except as provided in Section 4, and subject to Section 5,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Grant Date until the date such vesting occurs. Notwithstanding the forgoing, and to the extent permitted by applicable law, Participant acknowledges and agrees that vesting of the Restricted Stock Units awarded by this Award Agreement may be suspended or rescinded (with respect to all unvested Restricted Stock Units under this Award), at the Company’s or its Chief Executive Officer’s sole discretion upon notice (a “</w:t>
      </w:r>
      <w:r>
        <w:rPr>
          <w:rFonts w:ascii="Times New Roman" w:cs="Times New Roman" w:eastAsia="Times New Roman" w:hAnsi="Times New Roman"/>
          <w:sz w:val="22"/>
          <w:szCs w:val="22"/>
          <w:b w:val="1"/>
          <w:bCs w:val="1"/>
          <w:color w:val="auto"/>
        </w:rPr>
        <w:t>Suspension Notice”</w:t>
      </w:r>
      <w:r>
        <w:rPr>
          <w:rFonts w:ascii="Times New Roman" w:cs="Times New Roman" w:eastAsia="Times New Roman" w:hAnsi="Times New Roman"/>
          <w:sz w:val="22"/>
          <w:szCs w:val="22"/>
          <w:color w:val="auto"/>
        </w:rPr>
        <w:t>) (email shall suffice) to Participant that Participant is (i) not in material compliance with Company policies, or (ii) not performing the essential functions of the Participant’s job, not dedicating his or her full time and attention to the Company, is insubordinate to a supervisors’ reasonable request, or providing substandard performance, or (iii) engaging in any act or omission deemed to be against the best interests of the Company, unsafe, threatening or violent activity or conduct, or any other conduct that could reasonably be perceived as damaging the Company’s reputation or interfering with its business interests. Any such Suspension Notice shall provide sufficient detail regarding the basis for suspension. Vesting shall resume, upon written notice (email shall suffice) that Participant has cured all deficiencies stated in the Suspension Notice in all material respects. During the period a Suspension Notice is outstanding (a “</w:t>
      </w:r>
      <w:r>
        <w:rPr>
          <w:rFonts w:ascii="Times New Roman" w:cs="Times New Roman" w:eastAsia="Times New Roman" w:hAnsi="Times New Roman"/>
          <w:sz w:val="22"/>
          <w:szCs w:val="22"/>
          <w:b w:val="1"/>
          <w:bCs w:val="1"/>
          <w:color w:val="auto"/>
        </w:rPr>
        <w:t>Suspension Period</w:t>
      </w:r>
      <w:r>
        <w:rPr>
          <w:rFonts w:ascii="Times New Roman" w:cs="Times New Roman" w:eastAsia="Times New Roman" w:hAnsi="Times New Roman"/>
          <w:sz w:val="22"/>
          <w:szCs w:val="22"/>
          <w:color w:val="auto"/>
        </w:rPr>
        <w:t>”), Participant will forfeit all unvested Restricted Stock Units under this Award that would have otherwise vested during the Suspension Period; provided however, at the Company or the Chief Executive Officer’s sole discretion, upon the resumption of vesting, (a) any Restricted Stock Units under this Award that would have otherwise vested during the Suspension Period shall not be forfeited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vest on the next scheduled vesting date as set forth in the Notice of Grant, or (b) the number of Quarterly Vesting Dates occurring during the Suspension Period will be added to the end of the original Vesting Schedule (“</w:t>
      </w:r>
      <w:r>
        <w:rPr>
          <w:rFonts w:ascii="Times New Roman" w:cs="Times New Roman" w:eastAsia="Times New Roman" w:hAnsi="Times New Roman"/>
          <w:sz w:val="22"/>
          <w:szCs w:val="22"/>
          <w:b w:val="1"/>
          <w:bCs w:val="1"/>
          <w:color w:val="auto"/>
        </w:rPr>
        <w:t>Delayed Vesting Dates</w:t>
      </w:r>
      <w:r>
        <w:rPr>
          <w:rFonts w:ascii="Times New Roman" w:cs="Times New Roman" w:eastAsia="Times New Roman" w:hAnsi="Times New Roman"/>
          <w:sz w:val="22"/>
          <w:szCs w:val="22"/>
          <w:color w:val="auto"/>
        </w:rPr>
        <w:t>”) set forth in the Notice of Grant and any Restricted Stock Units under this Award that would have otherwise been forfeited during the Suspension Period shall instead vest in equal amounts on the Delayed Vesting Dates.</w:t>
      </w:r>
    </w:p>
    <w:p>
      <w:pPr>
        <w:spacing w:after="0" w:line="180"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Consistent with Section 9(e) of this Award Agreement and for the avoidance of doubt, Participant further acknowledges, notwithstanding anything to the contrary anywhere in this Award Agreement or any other employment or other agreement Participant has with the Company, that unless this Award is provided in accordance with the terms of the Participant’s employment agreement or signed offer letter with the Company, this Award is solely discretionary and is not and shall not be deemed part of Participant’s normal or expected compensation and is only provided as an additional compensation designed for Participant to perform their duty over and above what is covered in the normal or expected compensation and employment agreement or offer letter. This Award is not part of Participant’s regular compensation and salary with the Company, and as such Participant is not entitled to this Award as part of Participant’s employment with or service to the Company. Therefore, actions taken in accordance with the terms of this Award are not and shall not be deemed as changing employment salary or terms of the Participant’s employment or service with the Company.</w:t>
      </w:r>
    </w:p>
    <w:p>
      <w:pPr>
        <w:spacing w:after="0" w:line="175"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52" w:lineRule="auto"/>
        <w:tabs>
          <w:tab w:leader="none" w:pos="203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of Participant’s death, to his or her properly and validly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63" w:lineRule="exact"/>
        <w:rPr>
          <w:rFonts w:ascii="Times New Roman" w:cs="Times New Roman" w:eastAsia="Times New Roman" w:hAnsi="Times New Roman"/>
          <w:sz w:val="21"/>
          <w:szCs w:val="21"/>
          <w:color w:val="auto"/>
        </w:rPr>
      </w:pPr>
    </w:p>
    <w:p>
      <w:pPr>
        <w:jc w:val="both"/>
        <w:ind w:firstLine="1505"/>
        <w:spacing w:after="0" w:line="263" w:lineRule="auto"/>
        <w:tabs>
          <w:tab w:leader="none" w:pos="203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Discretionary Acceleration</w:t>
      </w:r>
      <w:r>
        <w:rPr>
          <w:rFonts w:ascii="Times New Roman" w:cs="Times New Roman" w:eastAsia="Times New Roman" w:hAnsi="Times New Roman"/>
          <w:sz w:val="21"/>
          <w:szCs w:val="21"/>
          <w:color w:val="auto"/>
        </w:rPr>
        <w:t>. The Administrator, in its discretion, may accelerate the vesting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51"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payment payable under this Award Agreement is intended to constitute a separate payment for purposes of Treasury Regulations Section 1.409A-2(b)(2). To the extent necessary to comply with Section 409A, references to termination of Participant’s status as a Service Provider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7" w:lineRule="exact"/>
        <w:rPr>
          <w:sz w:val="20"/>
          <w:szCs w:val="20"/>
          <w:color w:val="auto"/>
        </w:rPr>
      </w:pPr>
    </w:p>
    <w:p>
      <w:pPr>
        <w:jc w:val="both"/>
        <w:ind w:firstLine="757"/>
        <w:spacing w:after="0" w:line="238"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Obligations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shall bear all expense of, and be solely responsible for, any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social insurance liability obligations and requirements in connection with the Restricted Stock Units, including, without limitation, (i) all federal, state, and local taxes or other tax-related items related to Participant’s participation in the Plan and legally applicable or deemed legally applicable to Participant, (ii) Participant’s and, to the extent required by the Company, the Company’s fringe benefit tax liability, if any, associated with the grant, vesting, or settlement of the Restricted Stock Units or sale of Shares, and (iii) any other Company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Participant further acknowledges that the Company (A) makes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no commitment to and is under no obligation to structure the terms of the grant or any aspect of the Restricted Stock Units to reduce or eliminate Participant’s liability for Tax Obligations or achieve any particular tax result.</w:t>
      </w:r>
    </w:p>
    <w:p>
      <w:pPr>
        <w:spacing w:after="0" w:line="182"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his or her own tax advisers the U.S.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and non-U.S. tax consequences of this investment and the transactions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6" w:lineRule="exact"/>
        <w:rPr>
          <w:sz w:val="20"/>
          <w:szCs w:val="20"/>
          <w:color w:val="auto"/>
        </w:rPr>
      </w:pPr>
    </w:p>
    <w:p>
      <w:pPr>
        <w:jc w:val="both"/>
        <w:ind w:firstLine="757"/>
        <w:spacing w:after="0" w:line="237"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5"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Guarantee of Continued Service</w:t>
      </w:r>
      <w:r>
        <w:rPr>
          <w:rFonts w:ascii="Times New Roman" w:cs="Times New Roman" w:eastAsia="Times New Roman" w:hAnsi="Times New Roman"/>
          <w:sz w:val="22"/>
          <w:szCs w:val="22"/>
          <w:color w:val="auto"/>
        </w:rPr>
        <w:t>. PARTICIPANT ACKNOWLEDGES AND AGREES THAT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RESTRICTED STOCK UNITS PURSUANT TO THE VESTING SCHEDULE HEREOF IS EARNED ONLY BY CONTINUING AS A SERVICE PROVIDER. PARTICIPANT FURTHER ACKNOWLEDGES AND AGREES THAT THIS AWARD AGREEMENT, THE TRANSACTIONS CONTEMPLATED HEREUNDER AND THE VESTING SCHEDULE SET FORTH HEREIN SHALL NOT BE INTERPRETED AS FORMING OR AMENDING A SERVICE CONTRACT AND DO NOT CONSTITUTE AN EXPRESS OR IMPLIED PROMISE OF CONTINUED ENGAGEMENT AS A SERVICE PROVIDER FOR THE VESTING PERIOD, FOR ANY PERIOD, OR AT ALL.</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4" w:lineRule="exact"/>
        <w:rPr>
          <w:sz w:val="20"/>
          <w:szCs w:val="20"/>
          <w:color w:val="auto"/>
        </w:rPr>
      </w:pPr>
    </w:p>
    <w:p>
      <w:pPr>
        <w:jc w:val="both"/>
        <w:ind w:firstLine="1505"/>
        <w:spacing w:after="0" w:line="244"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jc w:val="both"/>
        <w:ind w:firstLine="1505"/>
        <w:spacing w:after="0" w:line="235"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Applicable Laws).</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part of normal or expected compensation for any purpose;</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Units resulting from the termination of Participant’s status as a Service Provider (for any reason whatsoever), and in consideration of the grant of the Restricted Stock Units to which Participant is otherwise not entitled, Participant irrevocably agrees never to institute any claim against the Company, waives his or her ability, if any, to bring any such claim, and releases the Company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In consideration of this grant of Restricted Stock Units, Participant agrees to the restrictive covenants set forth in Appendix 2 to this Award Agreement, the terms of which are incorporated by reference.</w:t>
      </w:r>
    </w:p>
    <w:p>
      <w:pPr>
        <w:spacing w:after="0" w:line="15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b w:val="1"/>
          <w:bCs w:val="1"/>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advisers regarding his or her participation in the Plan before taking any action related to the Plan.</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i w:val="1"/>
          <w:iCs w:val="1"/>
          <w:color w:val="auto"/>
        </w:rPr>
        <w:t>Data Privacy.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Unit grant materials by the Company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the Company’s local human resources representative. Further, Participant understands that he or she is providing the consents herein on a purely voluntary basis. If Participant does not consent, or if Participant later seeks to revoke his or her consent, his or her status as a Service Provider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Company’s local human resources representative.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Paymentus Holdings, Inc., 11605 N. Community House Road, Suite 300, Charlotte, NC 28277, Attention: General Counsel, or at such other address as the Company may hereafter designate in writing.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Participant acknowledges that Participant is sufficiently proficient in the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additional terms and conditions set forth in the Country Addendum (if any) for any country whose laws are applicable to Participant and this Award of Restricted Stock Units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b w:val="1"/>
          <w:bCs w:val="1"/>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26.</w:t>
      </w:r>
      <w:r>
        <w:rPr>
          <w:rFonts w:ascii="Times New Roman" w:cs="Times New Roman" w:eastAsia="Times New Roman" w:hAnsi="Times New Roman"/>
          <w:sz w:val="21"/>
          <w:szCs w:val="21"/>
          <w:b w:val="1"/>
          <w:bCs w:val="1"/>
          <w:color w:val="auto"/>
        </w:rPr>
        <w:t>Insider Trading/Market Abuse Laws</w:t>
      </w:r>
      <w:r>
        <w:rPr>
          <w:rFonts w:ascii="Times New Roman" w:cs="Times New Roman" w:eastAsia="Times New Roman" w:hAnsi="Times New Roman"/>
          <w:sz w:val="21"/>
          <w:szCs w:val="21"/>
          <w:color w:val="auto"/>
        </w:rPr>
        <w:t>. Participant acknowledges that Participant may be subject to insider trading restrictions and/or market abuse laws based on the exchange on which the Shares are listed and in applicable jurisdictions including, but not limited to, the United States and Participant’s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that third parties include employees of the Company.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w:t>
      </w:r>
    </w:p>
    <w:p>
      <w:pPr>
        <w:spacing w:after="0" w:line="150" w:lineRule="exact"/>
        <w:rPr>
          <w:sz w:val="20"/>
          <w:szCs w:val="20"/>
          <w:color w:val="auto"/>
        </w:rPr>
      </w:pPr>
    </w:p>
    <w:p>
      <w:pPr>
        <w:jc w:val="both"/>
        <w:ind w:firstLine="757"/>
        <w:spacing w:after="0" w:line="235" w:lineRule="auto"/>
        <w:tabs>
          <w:tab w:leader="none" w:pos="111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 To the full extent allowed by applicable law, and as further provided in or modified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1, the Participant and the Company agree that any claim, action, dispute or controversy of any kind arising out of or relating to this Award Agreement and the Restricted Stock Units shall be resolved by mandatory and binding arbitration. All questions, including but not limited to arbitrability shall be determined by the arbitrator. The arbitration will be administered by the American Arbitration Association (“AAA”) in accordance with its Commercial Arbitration Rules and the Federal Arbitration Act. The arbitration shall be conducted in Charlotte, North Carolina or Dallas, Texas, by a single arbitrator appointed in accordance with the AAA Rules, provided however that the arbitrator shall prepare a written decision containing the essential findings and conclusions on which the award is based so as to ensure meaningful judicial review of the decision. The arbitrator shall decide any dispute in accordance with the substantive law of Delaware.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Agreement does not limit the right of the Company or Participant to seek any provisional remedy, including, without limitation, injunctive or similar relief, from any court of competent jurisdiction as may be necessary to protect the Company’s or Participant’s rights and interests pending the outcome of an arbitration including but not limited to claims for violation of any non-disclosure or other agreement between Participant and the Company for the protection of confidential and proprietary information and trade secrets and/or invention assignment.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Participant and the Company agree that any dispute or claim arising out of or relating to this agreement shall be brought, heard, and arbitrated only on an individual basis, and not as a plaintiff or class member in any purported class, collective, or representative action. The arbitrator shall not have the authority to consolidate the claims of other parties into a single proceeding, nor to certify a class action.</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Either the Company or Participant may bring an action in court to compel arbitration under this Agreement and to enforce an arbitration award, and shall be entitled to recover fees and costs associated with any such motion to compel arbitration or to enforce an arbitration award. Otherwise, except as provided in this Section 28, neither the Company nor Participant shall initiate or prosecute any lawsuit or claim in any way related to any arbitrable claim, including without limitation any claim as to the making, existence, validity, arbitrability or enforceability of this Agreement.</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Award Agreement shall continue in full force and effect</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30.</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do not supersede or in any way modify any other restrictive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covenants applicable to Participant in any agreement with the Company or any Parent or Subsidiary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220" w:type="dxa"/>
            <w:vAlign w:val="bottom"/>
          </w:tcPr>
          <w:p>
            <w:pPr>
              <w:jc w:val="right"/>
              <w:ind w:right="4812"/>
              <w:spacing w:after="0"/>
              <w:rPr>
                <w:sz w:val="20"/>
                <w:szCs w:val="20"/>
                <w:color w:val="auto"/>
              </w:rPr>
            </w:pPr>
            <w:r>
              <w:rPr>
                <w:rFonts w:ascii="Times New Roman" w:cs="Times New Roman" w:eastAsia="Times New Roman" w:hAnsi="Times New Roman"/>
                <w:sz w:val="22"/>
                <w:szCs w:val="22"/>
                <w:color w:val="auto"/>
              </w:rPr>
              <w:t>*</w:t>
            </w:r>
          </w:p>
        </w:tc>
      </w:tr>
      <w:tr>
        <w:trPr>
          <w:trHeight w:val="932"/>
        </w:trPr>
        <w:tc>
          <w:tcPr>
            <w:tcW w:w="524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w:t>
            </w:r>
          </w:p>
        </w:tc>
        <w:tc>
          <w:tcPr>
            <w:tcW w:w="5220" w:type="dxa"/>
            <w:vAlign w:val="bottom"/>
          </w:tcPr>
          <w:p>
            <w:pPr>
              <w:spacing w:after="0"/>
              <w:rPr>
                <w:sz w:val="24"/>
                <w:szCs w:val="24"/>
                <w:color w:val="auto"/>
              </w:rPr>
            </w:pPr>
          </w:p>
        </w:tc>
      </w:tr>
      <w:tr>
        <w:trPr>
          <w:trHeight w:val="899"/>
        </w:trPr>
        <w:tc>
          <w:tcPr>
            <w:tcW w:w="5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UNIT AGREEMENT</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the Plan or other written agreement as specified in the Restricted Stock Unit Agreement). If you are an independent contractor, any reference to a “Participant’s employment” with the Company in this Country Addendum shall be deemed to mean service with the Company or its Parents or Subsidiaries pursuant to your independent contractor agreement(s) with the Company or its Parents or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Award of Restricted Stock Units is granted, the Company, in its discretion, will determine to what extent the terms and conditions contained herein will apply to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Times New Roman" w:cs="Times New Roman" w:eastAsia="Times New Roman" w:hAnsi="Times New Roman"/>
          <w:sz w:val="22"/>
          <w:szCs w:val="22"/>
          <w:b w:val="1"/>
          <w:bCs w:val="1"/>
          <w:color w:val="auto"/>
        </w:rPr>
        <w:t>March 2026</w:t>
      </w:r>
      <w:r>
        <w:rPr>
          <w:rFonts w:ascii="Times New Roman" w:cs="Times New Roman" w:eastAsia="Times New Roman" w:hAnsi="Times New Roman"/>
          <w:sz w:val="22"/>
          <w:szCs w:val="22"/>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Units,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1148080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 w:name="page40"/>
    <w:bookmarkEnd w:id="39"/>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Settlement of Restricted Stock Units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discretion in Section 9.4 of the Plan and without prejudice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7 of the Restricted Stock Unit Agreement, Restricted Stock Units will be settled in Shares only, not in cash.</w:t>
      </w:r>
    </w:p>
    <w:p>
      <w:pPr>
        <w:spacing w:after="0" w:line="15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following provision replaces the second paragraph of Sections 5 and 11(h) of the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its entirety:</w:t>
      </w:r>
    </w:p>
    <w:p>
      <w:pPr>
        <w:spacing w:after="0" w:line="15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(regardless of the reason for such termination)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Company, the Company or any other Subsidiary or Parent of the Company, which date shall not be extended by any notice period or period of pay in lieu of such notice mandated under the terms of Participant’s service agreement, if any. The Administrator shall have the exclusive discretion to determine when Participant no longer is actively providing services for purposes of the Award.</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Language</w:t>
      </w:r>
      <w:r>
        <w:rPr>
          <w:rFonts w:ascii="Times New Roman" w:cs="Times New Roman" w:eastAsia="Times New Roman" w:hAnsi="Times New Roman"/>
          <w:sz w:val="22"/>
          <w:szCs w:val="22"/>
          <w:color w:val="auto"/>
        </w:rPr>
        <w:t>. The parties acknowledge that it is Participant’s express wish that the Restricted Stock Unit Agreement, as well as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notices and legal proceedings entered into, given or instituted pursuant hereto or relating directly or indirectly hereto, be drawn up in English.</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This provision supplements Section 14 of the Restricted Stock Unit Agreement: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Participant hereby authorizes the Company,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the Company and any agents or representatives to record such information and to keep such information in Participant’s file.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Securities Law Notification</w:t>
      </w:r>
      <w:r>
        <w:rPr>
          <w:rFonts w:ascii="Times New Roman" w:cs="Times New Roman" w:eastAsia="Times New Roman" w:hAnsi="Times New Roman"/>
          <w:sz w:val="22"/>
          <w:szCs w:val="22"/>
          <w:color w:val="auto"/>
        </w:rPr>
        <w:t>. Participant is permitted to sell Shares acquired under the Plan through the designated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under the Plan, if any, provided the resale of Shares acquired under the Plan takes place outside Canada through the facilities of the exchange on which the Shares are then listed.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Binding Arbitration / Waiver of Jury Trial</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 and the Company mutually agree to waive, to the fullest extent permitted under applicable law, their respective rights to resolution of disputes in a court of law by a judge or jury and agree to resolve any dispute by arbitration as set forth below. This agreement to arbitrate (“Arbitration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Agreement”) survives after the Award Agreement terminates or Participant’s relationship with the Company ends. To the fullest extent permitted under applicable law, any arbitration under this Arbitration Agreement will take place on an individual basis, and class arbitrations are not permitted.</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Except as expressly provided below and above, this Arbitration Agreement applies to all disputes between Participant and the Company, including the Company’s affiliates, subsidiaries, parents, successors and assigns, and each of their respective officers, directors, employees, agents, or shareholders (each a “Claim” and collectively, “Claims”) These Claims include, to the fullest extent permitted under applicable law, but are not limited to, any dispute or claim, whether based on past, present, or future events, arising out of or relating to the Award Agreement and prior versions thereof (including the breach, termination, enforcement, interpretation or validity thereof), Participant’s relationship with the Company, and all other common law claims between Participant and the Company or its affiliates and their respective employees, officers, directors and shareholders. To the fullest extent permissible under applicable law, disputes concerning the arbitrability of a Claim (including disputes about the scope, applicability, enforceability, revocability, or validity of the Arbitration Agreement) shall be decided by the arbitrator.</w:t>
      </w:r>
    </w:p>
    <w:p>
      <w:pPr>
        <w:spacing w:after="0" w:line="1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For clarity, Participant and the Company agree that this Arbitration Agreement does not affect any of Participant’s statutory rights under any minimum standards legislation, and Participant is not restricted from commencing a complaint to the appropriate governmental authority under any minimum standards legislation including but not limited to the local minimum employment standards legislation, the local occupational health and safety legislation, the local pay equity legislation, the local workplace safety insurance legislation; in Ontario, the </w:t>
      </w:r>
      <w:r>
        <w:rPr>
          <w:rFonts w:ascii="Times New Roman" w:cs="Times New Roman" w:eastAsia="Times New Roman" w:hAnsi="Times New Roman"/>
          <w:sz w:val="22"/>
          <w:szCs w:val="22"/>
          <w:i w:val="1"/>
          <w:iCs w:val="1"/>
          <w:color w:val="auto"/>
        </w:rPr>
        <w:t>Employment Standards Act, 2000</w:t>
      </w:r>
      <w:r>
        <w:rPr>
          <w:rFonts w:ascii="Times New Roman" w:cs="Times New Roman" w:eastAsia="Times New Roman" w:hAnsi="Times New Roman"/>
          <w:sz w:val="22"/>
          <w:szCs w:val="22"/>
          <w:color w:val="auto"/>
        </w:rPr>
        <w:t xml:space="preserve">, S.O. 2000, c. 41, </w:t>
      </w:r>
      <w:r>
        <w:rPr>
          <w:rFonts w:ascii="Times New Roman" w:cs="Times New Roman" w:eastAsia="Times New Roman" w:hAnsi="Times New Roman"/>
          <w:sz w:val="22"/>
          <w:szCs w:val="22"/>
          <w:i w:val="1"/>
          <w:iCs w:val="1"/>
          <w:color w:val="auto"/>
        </w:rPr>
        <w:t>Occupational Health and Safety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R.S.O. 1990, c. O.1,</w:t>
      </w:r>
      <w:r>
        <w:rPr>
          <w:rFonts w:ascii="Times New Roman" w:cs="Times New Roman" w:eastAsia="Times New Roman" w:hAnsi="Times New Roman"/>
          <w:sz w:val="22"/>
          <w:szCs w:val="22"/>
          <w:i w:val="1"/>
          <w:iCs w:val="1"/>
          <w:color w:val="auto"/>
        </w:rPr>
        <w:t xml:space="preserve"> Pay Equity Act</w:t>
      </w:r>
      <w:r>
        <w:rPr>
          <w:rFonts w:ascii="Times New Roman" w:cs="Times New Roman" w:eastAsia="Times New Roman" w:hAnsi="Times New Roman"/>
          <w:sz w:val="22"/>
          <w:szCs w:val="22"/>
          <w:color w:val="auto"/>
        </w:rPr>
        <w:t>, R.S.O. 1990, c. P.7,</w:t>
      </w:r>
      <w:r>
        <w:rPr>
          <w:rFonts w:ascii="Times New Roman" w:cs="Times New Roman" w:eastAsia="Times New Roman" w:hAnsi="Times New Roman"/>
          <w:sz w:val="22"/>
          <w:szCs w:val="22"/>
          <w:i w:val="1"/>
          <w:iCs w:val="1"/>
          <w:color w:val="auto"/>
        </w:rPr>
        <w:t xml:space="preserve"> Workplace Safety and Insurance Act</w:t>
      </w:r>
      <w:r>
        <w:rPr>
          <w:rFonts w:ascii="Times New Roman" w:cs="Times New Roman" w:eastAsia="Times New Roman" w:hAnsi="Times New Roman"/>
          <w:sz w:val="22"/>
          <w:szCs w:val="22"/>
          <w:color w:val="auto"/>
        </w:rPr>
        <w:t>, 1997, S.O. 1997, c.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 A; and other similar legislation in every other province and territory (if applicable). Furthermore, Participant and the Company agree that, to the fullest extent permitted under applicable law, disputes involving alleged breaches of the local human rights code or legislation shall be resolved by arbitration; but nothing in this Arbitration Agreement limits or waives any of Participant’s substantive rights under local human rights code or legislation.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agreeing to arbitration, Participant understands that Participant and the Company are waiving the right to sue in court or have a jury trial for any Claim or Claims, except as otherwise provided in this Arbitration Agreement or required by applicable law. This Arbitration Agreement is intended to require arbitration of every claim or dispute that can lawfully be arbitrated.</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Prohibition of Class Actions and Non-Individualized Relief</w:t>
      </w:r>
      <w:r>
        <w:rPr>
          <w:rFonts w:ascii="Times New Roman" w:cs="Times New Roman" w:eastAsia="Times New Roman" w:hAnsi="Times New Roman"/>
          <w:sz w:val="21"/>
          <w:szCs w:val="21"/>
          <w:color w:val="auto"/>
        </w:rPr>
        <w:t>. Participant understands and agrees that, to the fullest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permissible under applicable law, Participant and the Company may each bring claims in arbitration against the other only in an individual capacity and not on a class, collective or representative basis (“Class Action Waiver”). Participant understands and agrees that Participant and the Company both are waiving the right to pursue or have a dispute resolved as a plaintiff or class member in any purported class, collective or representative proceeding. An arbitrator appointed pursuant to this arbitration agreement shall have no authority to consider or resolve any claim or issue any relief on any basis other than an individual basis. The arbitrator shall have no authority to consider or resolve any claim or issue any relief on a class, collective, or representative basis. Notwithstanding any other provision of this Award Agreement, or the Arbitration Agreement, or the Alternative Dispute Resolution Institute of Canada Inc. Arbitration Rules, disputes regarding the scope, applicability, enforceability, revocability or validity of the Class Action Waiver may be resolved only by a civil court of competent jurisdiction and not by an arbitrator. In any case in which: (1) the dispute is filed as a class, collective, or representative action and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5" w:lineRule="exact"/>
        <w:rPr>
          <w:sz w:val="20"/>
          <w:szCs w:val="20"/>
          <w:color w:val="auto"/>
        </w:rPr>
      </w:pPr>
    </w:p>
    <w:p>
      <w:pPr>
        <w:jc w:val="both"/>
        <w:ind w:firstLine="8"/>
        <w:spacing w:after="0" w:line="244" w:lineRule="auto"/>
        <w:tabs>
          <w:tab w:leader="none" w:pos="32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final judicial determination that the Class Action Waiver is unenforceable as to any Claims, the class, collective, and/or representative action in respect of such Claims must be litigated in a civil court of competent jurisdiction, but the Class Action Waiver shall be enforced in arbitration on an individual basis as to all other Claims to the fullest extent possible.</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u w:val="single" w:color="auto"/>
          <w:color w:val="auto"/>
        </w:rPr>
        <w:t>Rules Governing Arbitration</w:t>
      </w:r>
      <w:r>
        <w:rPr>
          <w:rFonts w:ascii="Times New Roman" w:cs="Times New Roman" w:eastAsia="Times New Roman" w:hAnsi="Times New Roman"/>
          <w:sz w:val="21"/>
          <w:szCs w:val="21"/>
          <w:color w:val="auto"/>
        </w:rPr>
        <w:t>. Any arbitration conducted pursuant to this Arbitration Agreement shall be administered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Alternative Dispute Resolution Institute of Canada Inc. Arbitration Rules (hereafter the “Rules”) and pursuant to the Rules. Notwithstanding the foregoing, if requested by Participant and if proper based on the facts and circumstances of the Claims presented, the arbitrator shall have the discretion to select a different set of arbitration rules, but in no event shall the arbitrator consolidate more than one person’s Claims, or otherwise preside over any form of class, collective or representative proceeding.</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As part of the arbitration, both Participant and the Company will have the opportunity for reasonable discovery of non-privileged information that is relevant to the Claim. The arbitrator may award any individualized remedies that would be available in court. The arbitrator may award declaratory or injunctive relief only in favor of the individual party seeking relief and only to the extent necessary to provide relief warranted by that party’s individual Claims. The arbitrator will provide a reasoned written statement of the arbitrator’s decision which shall explain the award given and the findings and conclusions on which the decision is based.</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arbitrator will decide the substance of all Claims in accordance with applicable law and will honor all claims of privilege recognized by law. The arbitrator shall not be bound by rulings in prior arbitrations involving any other person or employee, but the arbitrator is bound by rulings in prior arbitrations involving the same employee to the extent required by applicable law. The arbitrator’s award shall be final and binding and judgment on the award rendered by the arbitrator may be entered in any court of competent jurisdiction, provided that such award may be challenged to the extent provided for under applicable law.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Arbitration Fees and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payment of filing and arbitration fees will be governed by the Rules subject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modifications:</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Participant initiates arbitration under this Arbitration Agreement after participating in the optional negotiation process described below and is otherwise required to pay a filing fee under the Rules, the Company agrees that, unless Participant’s Claim is for $5,000 or more, Participant’s share of the filing and arbitration fees is limited to $50, and that, after Participant submits proof of payment of the filing fee to the Company, the Company will promptly reimburse Participant for all but $50 of the filing fee. If, however, the arbitrator finds that either the substance of Participant’s Claim or the relief sought in the Claim is frivolous, vexatious or brought for an improper purpose, then the payment of all such fees will be governed by the Rules.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Company initiates arbitration under this Arbitration Agreement, the Company will pay all filing and arbitration fees under the Rules.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 respect to any Claims brought by the Company against a Participant, the Company shall pay all costs unique to arbitration (as compared to the costs of adjudicating the same Claims before a court), including the regular and customary arbitration fees and expenses (to the extent not paid by the Company pursuant to the fee provisions above). However, if Participant is the party initiating arbitration, Participant shall be responsible for contributing up to an amount equal to the filing fee that would be paid to initiate the Claim in the court of general jurisdiction in the province in which Participant resides, unless a lower fee amount would be owed by Participant pursuant to the Rules, applicable law, or this Arbitration Agreement. Any dispute as to whether a cost is unique to arbitration shall be resolved by the arbitrator.</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provided in any applicable rules of civil procedure, each party shall pay its own legal fees and pay any costs that are not unique to the arbitration (i.e., costs that each party would incur if the Claim(s) were litigated in a court such as costs to subpoena witnesses and/or documents, take depositions and purchase deposition transcripts, copy documents, etc.).</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At the end of any arbitration, the arbitrator may award reasonable fees and costs or any portion thereof to Participant if Participant prevails, to the extent authorized by applicable law.</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Although the Company may have a right to an award of legal fees and non-filing fee expenses if it prevails in an arbitration, the Company agrees that it will not seek such an award.</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the arbitrator issues Participant an award that is greater than the value of the Company’s last written settlement offer made after Participant participated in good faith in the optional negotiation process described in this Arbitration Agreement, then the Company will pay Participant the amount of the award or CDN$1,000, whichever is greater.</w:t>
      </w:r>
    </w:p>
    <w:p>
      <w:pPr>
        <w:spacing w:after="0" w:line="1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Location and Manner of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Participant and the Company agree otherwise, any arbitration hearings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Agreement will take place before one (1) arbitrator (the “Arbitrator”) appointed in accordance with the Rules. The seat of the Arbitration will be Toronto unless otherwise agreed by the parties. The language of the arbitration shall be English unless otherwise agreed by the parties. The Arbitrator shall have the right to determine all questions of law and jurisdiction including questions as to whether a Claim is arbitrable and shall have the right to grant final and interim damages awards. There will be no appeal from the decision of the arbitrator on questions of fact, law, or mixed fact and law. If Participant’s Claim is for $25,000 or less, the Company agrees that Participant may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choose whether the arbitration will be conducted solely on the basis of documents submitted to the arbitrator, through a telephonic hearing, or by an in-person hearing as determined by the Rules. If Participant’s Claim exceeds $25,000, the right to a hearing will be determined by the Rules.</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Opting Out of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may opt out of the requirement to arbitrate pursuant to the terms of this subsection.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does not wish to be subject to this Arbitration Agreement, Participant may opt out of arbitration by notifying the Company in writing of Participant’s desire to opt out of arbitration, which writing must be dated, signed and delivered by: (1) electronic mail to the Company, or (2) by certified mail, postage prepaid and return receipt requested, or by any nationally recognized delivery service that is addressed to Paymentus, 1595 16th Avenue, Richmond Hill, Ontario, L4B 3N9. In order to be effective, (a) the writing must clearly indicate Participant’s intent to opt out of this Arbitration Agreement, (b) the writing must include Participant’s name, phone number, and email address, and (c) the email or envelope containing the signed writing must be sent within 30 days of the date this Agreement is executed by Participant. Should Participant not opt out within the 30-day period, Participant and the Company shall be bound by the terms of this Arbitration Agreement in full, to the extent allowable by law. Participant should assume that in the future there may be lawsuits against the Company alleging class, collective, and/or representative Claims, in which the plaintiffs seek to act on Participant’s behalf, and which, if successful, could result in some monetary recovery to Participant. But if Participant does agree to arbitration with the Company under this Arbitration Agreement, then Participant is agreeing in advance that Participant will bring all such Claims, and seek all monetary and other relief, against the Company in an individual arbitration provision. Participant is also agreeing in advance that Participant will not participate in or seek to recover monetary or other relief for such Claims in any court action or class, collective, and/or representative action. Participant has the right to consult with counsel of Participant’s choice concerning this Arbitration Agreement and Participant will not be subject to retaliation if Participant exercises Participant’s right to assert claims or opt-out of this Arbitration Agreement.</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Optional Pre-Arbitration Negotiation Process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initiating any arbitration or proceeding, Participant and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agree to first attempt to negotiate any dispute, claim or controversy between the parties informally for 30 days, unless this time period is mutually extended by Participant and the Company. A party who intends to seek negotiation under this subsection must first send to the other a written notice of the dispute (“Notice”). The Notice must (1) describe the nature and basis of the claim or dispute; and (2) set forth the specific relief sought. All offers, promises, conduct and statements, whether oral or written, made in the course of the negotiation by any of the parties, their agents, employees, and lawyers are confidential, privileged and inadmissible for any purpose, including as evidence of liability or for impeachment, in arbitration or other proceeding involving the parties, provided that evidence that is otherwise admissible or discoverable shall not be rendered inadmissible or non-discoverable as a result of its use in the negotiation.</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Arbitration Agreement shall be binding upon, and shall include any Claims brought by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third parties, including but not limited to Participant’s spouses, heirs, third-party beneficiaries and permitted assigns, where their underlying claim(s) arise out of or relate to Participant’s employment with the Company. To the extent that any third-party beneficiary to this Agreement brings claims against a party, those claims shall also be subject to this Arbitration Agreement.</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Arbitration Agreement shall be governed by the laws of the province in which Participant resides. If any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is or becomes invalid or non-binding, the parties shall remain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bound by all other provisions of this Agreement. In that event, the parties shall replace the invalid or non-binding provision with provisions that are valid and binding and that have, to the greatest extent possible, a similar effect as the invalid or non-binding provision, given the contents and purpose of this Agreement. Any notices to Participant shall be provided to Participant via the email address or physical address Participant provides to the Company during employment. Headings are for reference purposes only and in no way define, limit, construe or describe the scope or extent of such section. The words “include”, “includes” and “including” are deemed to be followed by the words “without limitation”. A party’s failure to act with respect to a breach by the other party does not constitute a waiver of the party’s right to act with respect to subsequent or similar breaches, any such waiver shall be in writing. This Arbitration Agreement sets forth the entire understanding and agreement between Participant and the Company with respect to the subject matter hereof and supersedes all previous understandings and agreements between the parties, whether oral or written. The place of this Agreement is Toronto, Ontario. In the event that any portion of this Agreement, including any portion of the Arbitration Agreement, is deemed illegal or unenforceable, such provision shall be severed and the remainder of the Agreement shall be given full force and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Exchange Control Notification</w:t>
      </w:r>
      <w:r>
        <w:rPr>
          <w:rFonts w:ascii="Times New Roman" w:cs="Times New Roman" w:eastAsia="Times New Roman" w:hAnsi="Times New Roman"/>
          <w:sz w:val="22"/>
          <w:szCs w:val="22"/>
          <w:color w:val="auto"/>
        </w:rPr>
        <w:t>. Participant is required to repatriate to India, or cause to be repatriated, any proceeds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of Shares acquired under the Plan and any dividends received in relation to the Shares within such time as prescribed under applicable Indian exchange control laws as may be amended from time to time. Participant should obtain a foreign inward remittance certificate (“</w:t>
      </w:r>
      <w:r>
        <w:rPr>
          <w:rFonts w:ascii="Times New Roman" w:cs="Times New Roman" w:eastAsia="Times New Roman" w:hAnsi="Times New Roman"/>
          <w:sz w:val="22"/>
          <w:szCs w:val="22"/>
          <w:u w:val="single" w:color="auto"/>
          <w:color w:val="auto"/>
        </w:rPr>
        <w:t>FIRC</w:t>
      </w:r>
      <w:r>
        <w:rPr>
          <w:rFonts w:ascii="Times New Roman" w:cs="Times New Roman" w:eastAsia="Times New Roman" w:hAnsi="Times New Roman"/>
          <w:sz w:val="22"/>
          <w:szCs w:val="22"/>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Times New Roman" w:cs="Times New Roman" w:eastAsia="Times New Roman" w:hAnsi="Times New Roman"/>
          <w:sz w:val="22"/>
          <w:szCs w:val="22"/>
          <w:i w:val="1"/>
          <w:iCs w:val="1"/>
          <w:color w:val="auto"/>
        </w:rPr>
        <w:t>Participant should consult with his or her personal legal adviser to ensure compliance with the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Prior approval of the Reserve Bank of India is not required for Shares to be acquired or sold by Indian Participants where (i) participation in the Plan is offered globally on a uniform basis (i.e., Indian Participants participate in the Plan on terms no less favorable than participants in other countries); and (ii) reporting by the local employing company on the prescribed form OPI is made with the designated authorized dealer bank within sixty (60) days of the end of the half year (from March and September) in which Shares are allotted under the Plan. If the local employing company is unable to file form OPI within sixty (60) days of the end of the half year in which Shares are allotted then it can still make a filing of form OPI within three (3) years of its due date, along with the late fee prescribed by the RBI (which is currently INR 7,500). If the local employing company is still unable to submit the form OPI within three (3) years of its due date, then such company has to approach Reserve Bank of India for compounding of offence.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Governing Law and Dispute Resolution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shall be governed by and construed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India, without regard to the conflict of laws principles.</w:t>
      </w:r>
    </w:p>
    <w:p>
      <w:pPr>
        <w:spacing w:after="0" w:line="15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In the event any dispute or difference arises between any of the parties arising out of or relating to the Award Agreement and the Restricted Stock Units, in connection with the validity, interpretation, implementation or alleged breach of any provision of this Award Agreement, the parties hereto shall endeavor to settle such dispute amicably. Any dispute that remains unresolved for a period of sixty (60) days shall be resolved by binding arbitration. The arbitration shall be conducted by a sole arbitrator in accordance with the provisions of the Delhi International Arbitration Centre (DIAC) (Arbitration Proceedings) Rules, 2023 in force at the time of the application, which Rules are deemed to be incorporated by reference herein. The seat and venue of the arbitration shall be New Delhi, India. The language of the arbitration shall be English. The award rendered by the arbitrator shall be final, conclusive, and binding on the parties. Judgment upon the award may be entered in any court of competent jurisdiction.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APPENDIX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ADDENDUM TO RESTRICTED STOCK UNIT AGREEMENT</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Restrictive Covenants Addendum to Restricted Stock Unit Agreement will be ascribed the same defined meanings as set forth in the Restricted Stock Unit Agreement of which this Restrictive Covenants Addendum forms a part (or the Plan or other written agreement as specified in the Restricted Stock Unit Agreement). If you are an independent contractor, any reference to a “Participant’s employment” with the Company in this Restrictive Covenants Addendum shall be deemed to mean service with the Company or its Parents or Subsidiaries pursuant to your independent contractor agreement(s) with the Company or its Parents or Subsidiaries.</w:t>
      </w:r>
    </w:p>
    <w:p>
      <w:pPr>
        <w:ind w:left="760" w:hanging="752"/>
        <w:spacing w:after="0" w:line="232" w:lineRule="auto"/>
        <w:tabs>
          <w:tab w:leader="none" w:pos="760" w:val="left"/>
        </w:tabs>
        <w:numPr>
          <w:ilvl w:val="0"/>
          <w:numId w:val="2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Confidential Information</w:t>
      </w:r>
    </w:p>
    <w:p>
      <w:pPr>
        <w:jc w:val="both"/>
        <w:ind w:left="1500" w:hanging="743"/>
        <w:spacing w:after="0" w:line="230" w:lineRule="auto"/>
        <w:tabs>
          <w:tab w:leader="none" w:pos="15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7"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 w:lineRule="exact"/>
        <w:rPr>
          <w:rFonts w:ascii="Times New Roman" w:cs="Times New Roman" w:eastAsia="Times New Roman" w:hAnsi="Times New Roman"/>
          <w:sz w:val="22"/>
          <w:szCs w:val="22"/>
          <w:color w:val="auto"/>
        </w:rPr>
      </w:pPr>
    </w:p>
    <w:p>
      <w:pPr>
        <w:jc w:val="both"/>
        <w:ind w:left="1500" w:hanging="743"/>
        <w:spacing w:after="0" w:line="232" w:lineRule="auto"/>
        <w:tabs>
          <w:tab w:leader="none" w:pos="15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Restrictive Covenants Addendum is intended to prohibit 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 w:name="page48"/>
    <w:bookmarkEnd w:id="47"/>
    <w:p>
      <w:pPr>
        <w:jc w:val="both"/>
        <w:ind w:left="1500"/>
        <w:spacing w:after="0" w:line="233" w:lineRule="auto"/>
        <w:rPr>
          <w:sz w:val="20"/>
          <w:szCs w:val="20"/>
          <w:color w:val="auto"/>
        </w:rPr>
      </w:pPr>
      <w:r>
        <w:rPr>
          <w:rFonts w:ascii="Times New Roman" w:cs="Times New Roman" w:eastAsia="Times New Roman" w:hAnsi="Times New Roman"/>
          <w:sz w:val="22"/>
          <w:szCs w:val="22"/>
          <w:color w:val="auto"/>
        </w:rPr>
        <w:t>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3" w:lineRule="exact"/>
        <w:rPr>
          <w:sz w:val="20"/>
          <w:szCs w:val="20"/>
          <w:color w:val="auto"/>
        </w:rPr>
      </w:pPr>
    </w:p>
    <w:p>
      <w:pPr>
        <w:jc w:val="both"/>
        <w:ind w:left="760" w:hanging="752"/>
        <w:spacing w:after="0" w:line="230" w:lineRule="auto"/>
        <w:tabs>
          <w:tab w:leader="none" w:pos="760" w:val="left"/>
        </w:tabs>
        <w:numPr>
          <w:ilvl w:val="0"/>
          <w:numId w:val="2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Limited Non-Compete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and agree that, as a result of Participant’s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(i) 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3"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1" w:lineRule="auto"/>
        <w:tabs>
          <w:tab w:leader="none" w:pos="760" w:val="left"/>
        </w:tabs>
        <w:numPr>
          <w:ilvl w:val="0"/>
          <w:numId w:val="21"/>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Non-Solicitation of Customers/Prospective Customers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expressly agrees that during the Restricted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3" w:lineRule="exact"/>
        <w:rPr>
          <w:rFonts w:ascii="Times New Roman" w:cs="Times New Roman" w:eastAsia="Times New Roman" w:hAnsi="Times New Roman"/>
          <w:sz w:val="21"/>
          <w:szCs w:val="21"/>
          <w:b w:val="1"/>
          <w:bCs w:val="1"/>
          <w:u w:val="single" w:color="auto"/>
          <w:color w:val="auto"/>
        </w:rPr>
      </w:pPr>
    </w:p>
    <w:p>
      <w:pPr>
        <w:jc w:val="both"/>
        <w:ind w:left="760" w:hanging="752"/>
        <w:spacing w:after="0" w:line="230" w:lineRule="auto"/>
        <w:tabs>
          <w:tab w:leader="none" w:pos="760" w:val="left"/>
        </w:tabs>
        <w:numPr>
          <w:ilvl w:val="0"/>
          <w:numId w:val="2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Non-Raiding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expressly agrees that during the Restricted Period, Participant will not,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indirectly, either alone or by assisting or acting in concert with others, on behalf of themselves or any other person, business or entity, solicit, induce, encourage or attempt to solicit, induce or encourage any then current employee or independent contractor of the Company (each, a “Restricted Employee”) to alter or terminate their relationship with the Company, or hire, employ, recruit or attempt to hire, employ or recruit any Restricted Employee on behalf of any other person, business or entity.</w:t>
      </w:r>
    </w:p>
    <w:p>
      <w:pPr>
        <w:spacing w:after="0" w:line="3"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3" w:lineRule="auto"/>
        <w:tabs>
          <w:tab w:leader="none" w:pos="760" w:val="left"/>
        </w:tabs>
        <w:numPr>
          <w:ilvl w:val="0"/>
          <w:numId w:val="21"/>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Remedies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that Participant breaches any of the restrictive covenants set forth in this 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Addendum, the then-unvested Restricted Stock Units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ind w:left="760"/>
        <w:spacing w:after="0" w:line="243" w:lineRule="auto"/>
        <w:rPr>
          <w:sz w:val="20"/>
          <w:szCs w:val="20"/>
          <w:color w:val="auto"/>
        </w:rPr>
      </w:pPr>
      <w:r>
        <w:rPr>
          <w:rFonts w:ascii="Times New Roman" w:cs="Times New Roman" w:eastAsia="Times New Roman" w:hAnsi="Times New Roman"/>
          <w:sz w:val="21"/>
          <w:szCs w:val="21"/>
          <w:color w:val="auto"/>
        </w:rPr>
        <w:t>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Restricted Stock Units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4" w:lineRule="exact"/>
        <w:rPr>
          <w:sz w:val="20"/>
          <w:szCs w:val="20"/>
          <w:color w:val="auto"/>
        </w:rPr>
      </w:pPr>
    </w:p>
    <w:p>
      <w:pPr>
        <w:jc w:val="both"/>
        <w:ind w:left="760" w:hanging="752"/>
        <w:spacing w:after="0" w:line="230" w:lineRule="auto"/>
        <w:tabs>
          <w:tab w:leader="none" w:pos="760" w:val="left"/>
        </w:tabs>
        <w:numPr>
          <w:ilvl w:val="0"/>
          <w:numId w:val="2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and agrees that the Restricted Period shall be tolled on a day-for-day basis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periods in which Participant 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4" w:lineRule="exact"/>
        <w:rPr>
          <w:rFonts w:ascii="Times New Roman" w:cs="Times New Roman" w:eastAsia="Times New Roman" w:hAnsi="Times New Roman"/>
          <w:sz w:val="22"/>
          <w:szCs w:val="22"/>
          <w:b w:val="1"/>
          <w:bCs w:val="1"/>
          <w:u w:val="single" w:color="auto"/>
          <w:color w:val="auto"/>
        </w:rPr>
      </w:pPr>
    </w:p>
    <w:p>
      <w:pPr>
        <w:ind w:left="760" w:hanging="752"/>
        <w:spacing w:after="0" w:line="230" w:lineRule="auto"/>
        <w:tabs>
          <w:tab w:leader="none" w:pos="760" w:val="left"/>
        </w:tabs>
        <w:numPr>
          <w:ilvl w:val="0"/>
          <w:numId w:val="2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all purposes throughout this Restrictive Covenants Addendum, the terms defined below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meanings specified in this section.</w:t>
      </w:r>
    </w:p>
    <w:p>
      <w:pPr>
        <w:spacing w:after="0" w:line="1" w:lineRule="exact"/>
        <w:rPr>
          <w:rFonts w:ascii="Times New Roman" w:cs="Times New Roman" w:eastAsia="Times New Roman" w:hAnsi="Times New Roman"/>
          <w:sz w:val="22"/>
          <w:szCs w:val="22"/>
          <w:b w:val="1"/>
          <w:bCs w:val="1"/>
          <w:u w:val="single" w:color="auto"/>
          <w:color w:val="auto"/>
        </w:rPr>
      </w:pPr>
    </w:p>
    <w:p>
      <w:pPr>
        <w:jc w:val="both"/>
        <w:ind w:left="1500" w:hanging="743"/>
        <w:spacing w:after="0" w:line="230" w:lineRule="auto"/>
        <w:tabs>
          <w:tab w:leader="none" w:pos="15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4" w:lineRule="exact"/>
        <w:rPr>
          <w:rFonts w:ascii="Times New Roman" w:cs="Times New Roman" w:eastAsia="Times New Roman" w:hAnsi="Times New Roman"/>
          <w:sz w:val="22"/>
          <w:szCs w:val="22"/>
          <w:color w:val="auto"/>
        </w:rPr>
      </w:pPr>
    </w:p>
    <w:p>
      <w:pPr>
        <w:jc w:val="both"/>
        <w:ind w:left="1500" w:hanging="743"/>
        <w:spacing w:after="0" w:line="233" w:lineRule="auto"/>
        <w:tabs>
          <w:tab w:leader="none" w:pos="15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 shall mean: (i) providing the same or similar services or expertise Participant provided to the Company at any time during the twelve (12) months prior to cessation of Participant’s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 (iii) 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ind w:left="743"/>
        <w:spacing w:after="0" w:line="241" w:lineRule="auto"/>
        <w:rPr>
          <w:sz w:val="20"/>
          <w:szCs w:val="20"/>
          <w:color w:val="auto"/>
        </w:rPr>
      </w:pPr>
      <w:r>
        <w:rPr>
          <w:rFonts w:ascii="Times New Roman" w:cs="Times New Roman" w:eastAsia="Times New Roman" w:hAnsi="Times New Roman"/>
          <w:sz w:val="22"/>
          <w:szCs w:val="22"/>
          <w:color w:val="auto"/>
        </w:rPr>
        <w:t>other capacity where Participant’s knowledge of the Company’s Confidential Information could provide a competitive advantage to any Competing Business.</w:t>
      </w:r>
    </w:p>
    <w:p>
      <w:pPr>
        <w:spacing w:after="0" w:line="2" w:lineRule="exact"/>
        <w:rPr>
          <w:sz w:val="20"/>
          <w:szCs w:val="20"/>
          <w:color w:val="auto"/>
        </w:rPr>
      </w:pPr>
    </w:p>
    <w:p>
      <w:pPr>
        <w:jc w:val="both"/>
        <w:ind w:left="743" w:hanging="743"/>
        <w:spacing w:after="0" w:line="230" w:lineRule="auto"/>
        <w:tabs>
          <w:tab w:leader="none" w:pos="74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3"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Participant’s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12" w:lineRule="exact"/>
        <w:rPr>
          <w:rFonts w:ascii="Times New Roman" w:cs="Times New Roman" w:eastAsia="Times New Roman" w:hAnsi="Times New Roman"/>
          <w:sz w:val="21"/>
          <w:szCs w:val="21"/>
          <w:color w:val="auto"/>
        </w:rPr>
      </w:pPr>
    </w:p>
    <w:p>
      <w:pPr>
        <w:jc w:val="both"/>
        <w:ind w:left="743" w:hanging="743"/>
        <w:spacing w:after="0" w:line="230" w:lineRule="auto"/>
        <w:tabs>
          <w:tab w:leader="none" w:pos="74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1"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“employment” shall include service as an employee, consultant, or other service</w:t>
      </w:r>
    </w:p>
    <w:p>
      <w:pPr>
        <w:spacing w:after="0" w:line="223"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50" w:name="page51"/>
    <w:bookmarkEnd w:id="50"/>
    <w:p>
      <w:pPr>
        <w:ind w:left="1500"/>
        <w:spacing w:after="0"/>
        <w:rPr>
          <w:sz w:val="20"/>
          <w:szCs w:val="20"/>
          <w:color w:val="auto"/>
        </w:rPr>
      </w:pPr>
      <w:r>
        <w:rPr>
          <w:rFonts w:ascii="Times New Roman" w:cs="Times New Roman" w:eastAsia="Times New Roman" w:hAnsi="Times New Roman"/>
          <w:sz w:val="22"/>
          <w:szCs w:val="22"/>
          <w:color w:val="auto"/>
        </w:rPr>
        <w:t>provider of the Company or any Subsidiary or Parent of the Company.</w:t>
      </w:r>
    </w:p>
    <w:p>
      <w:pPr>
        <w:spacing w:after="0" w:line="14" w:lineRule="exact"/>
        <w:rPr>
          <w:sz w:val="20"/>
          <w:szCs w:val="20"/>
          <w:color w:val="auto"/>
        </w:rPr>
      </w:pPr>
    </w:p>
    <w:p>
      <w:pPr>
        <w:jc w:val="both"/>
        <w:ind w:left="1500" w:hanging="743"/>
        <w:spacing w:after="0" w:line="230" w:lineRule="auto"/>
        <w:tabs>
          <w:tab w:leader="none" w:pos="15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 (ii) 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3"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2"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Period” shall mean the entire period of Participant’s employment with the Company and a twelve (12) month period immediately following the cessation of Participant’s employment.</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Territory” shall mean (i) Participant’s designated territory or area of responsibility as of the cessation of Participant’s employment with the Company; and (ii) the geographic areas in which Participant, during any time in the last twelve (12) months of Participant’s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3" w:lineRule="exact"/>
        <w:rPr>
          <w:rFonts w:ascii="Times New Roman" w:cs="Times New Roman" w:eastAsia="Times New Roman" w:hAnsi="Times New Roman"/>
          <w:sz w:val="22"/>
          <w:szCs w:val="22"/>
          <w:color w:val="auto"/>
        </w:rPr>
      </w:pPr>
    </w:p>
    <w:p>
      <w:pPr>
        <w:jc w:val="both"/>
        <w:ind w:left="760" w:hanging="752"/>
        <w:spacing w:after="0" w:line="230" w:lineRule="auto"/>
        <w:tabs>
          <w:tab w:leader="none" w:pos="760" w:val="left"/>
        </w:tabs>
        <w:numPr>
          <w:ilvl w:val="0"/>
          <w:numId w:val="2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Participant’s right to consult with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that Participant has been provided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and has been made 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2"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1" w:lineRule="auto"/>
        <w:tabs>
          <w:tab w:leader="none" w:pos="760" w:val="left"/>
        </w:tabs>
        <w:numPr>
          <w:ilvl w:val="0"/>
          <w:numId w:val="25"/>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Notification of New Employer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Before Participant accepts employment or enters into any consulting,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 or other 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4" w:lineRule="exact"/>
        <w:rPr>
          <w:rFonts w:ascii="Times New Roman" w:cs="Times New Roman" w:eastAsia="Times New Roman" w:hAnsi="Times New Roman"/>
          <w:sz w:val="21"/>
          <w:szCs w:val="21"/>
          <w:b w:val="1"/>
          <w:bCs w:val="1"/>
          <w:u w:val="single" w:color="auto"/>
          <w:color w:val="auto"/>
        </w:rPr>
      </w:pPr>
    </w:p>
    <w:p>
      <w:pPr>
        <w:jc w:val="both"/>
        <w:ind w:left="760" w:hanging="752"/>
        <w:spacing w:after="0" w:line="234" w:lineRule="auto"/>
        <w:tabs>
          <w:tab w:leader="none" w:pos="760" w:val="left"/>
        </w:tabs>
        <w:numPr>
          <w:ilvl w:val="0"/>
          <w:numId w:val="2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State Law Exceptions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acknowledges and agrees that, in certain states the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Restrictive Covenants Addendum may have limited or no applicability. The Company intends for this Restrictive Covenants Addendum to comply fully with state and local laws and, as such, acknowledges that this Restrictive Covenants Addendum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left="3"/>
        <w:spacing w:after="0" w:line="241" w:lineRule="auto"/>
        <w:rPr>
          <w:sz w:val="20"/>
          <w:szCs w:val="20"/>
          <w:color w:val="auto"/>
        </w:rPr>
      </w:pPr>
      <w:r>
        <w:rPr>
          <w:rFonts w:ascii="Times New Roman" w:cs="Times New Roman" w:eastAsia="Times New Roman" w:hAnsi="Times New Roman"/>
          <w:sz w:val="22"/>
          <w:szCs w:val="22"/>
          <w:color w:val="auto"/>
        </w:rPr>
        <w:t>is limited or not applicable in the following states. To the extent that there are additional limitations not acknowledged herein, the Company intends for this</w:t>
      </w:r>
    </w:p>
    <w:p>
      <w:pPr>
        <w:spacing w:after="0" w:line="2" w:lineRule="exact"/>
        <w:rPr>
          <w:sz w:val="20"/>
          <w:szCs w:val="20"/>
          <w:color w:val="auto"/>
        </w:rPr>
      </w:pPr>
    </w:p>
    <w:p>
      <w:pPr>
        <w:jc w:val="both"/>
        <w:ind w:left="3"/>
        <w:spacing w:after="0" w:line="230" w:lineRule="auto"/>
        <w:rPr>
          <w:sz w:val="20"/>
          <w:szCs w:val="20"/>
          <w:color w:val="auto"/>
        </w:rPr>
      </w:pPr>
      <w:r>
        <w:rPr>
          <w:rFonts w:ascii="Times New Roman" w:cs="Times New Roman" w:eastAsia="Times New Roman" w:hAnsi="Times New Roman"/>
          <w:sz w:val="22"/>
          <w:szCs w:val="22"/>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2" w:lineRule="exact"/>
        <w:rPr>
          <w:sz w:val="20"/>
          <w:szCs w:val="20"/>
          <w:color w:val="auto"/>
        </w:rPr>
      </w:pPr>
    </w:p>
    <w:p>
      <w:pPr>
        <w:jc w:val="both"/>
        <w:ind w:left="743" w:hanging="743"/>
        <w:spacing w:after="0" w:line="230" w:lineRule="auto"/>
        <w:tabs>
          <w:tab w:leader="none" w:pos="7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Arizona</w:t>
      </w:r>
      <w:r>
        <w:rPr>
          <w:rFonts w:ascii="Times New Roman" w:cs="Times New Roman" w:eastAsia="Times New Roman" w:hAnsi="Times New Roman"/>
          <w:sz w:val="22"/>
          <w:szCs w:val="22"/>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1"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California</w:t>
      </w:r>
      <w:r>
        <w:rPr>
          <w:rFonts w:ascii="Times New Roman" w:cs="Times New Roman" w:eastAsia="Times New Roman" w:hAnsi="Times New Roman"/>
          <w:sz w:val="21"/>
          <w:szCs w:val="21"/>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2" w:lineRule="exact"/>
        <w:rPr>
          <w:rFonts w:ascii="Times New Roman" w:cs="Times New Roman" w:eastAsia="Times New Roman" w:hAnsi="Times New Roman"/>
          <w:sz w:val="21"/>
          <w:szCs w:val="21"/>
          <w:color w:val="auto"/>
        </w:rPr>
      </w:pPr>
    </w:p>
    <w:p>
      <w:pPr>
        <w:jc w:val="both"/>
        <w:ind w:left="743" w:hanging="743"/>
        <w:spacing w:after="0" w:line="230" w:lineRule="auto"/>
        <w:tabs>
          <w:tab w:leader="none" w:pos="7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Connecticut</w:t>
      </w:r>
      <w:r>
        <w:rPr>
          <w:rFonts w:ascii="Times New Roman" w:cs="Times New Roman" w:eastAsia="Times New Roman" w:hAnsi="Times New Roman"/>
          <w:sz w:val="22"/>
          <w:szCs w:val="22"/>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1" w:lineRule="exact"/>
        <w:rPr>
          <w:rFonts w:ascii="Times New Roman" w:cs="Times New Roman" w:eastAsia="Times New Roman" w:hAnsi="Times New Roman"/>
          <w:sz w:val="22"/>
          <w:szCs w:val="22"/>
          <w:color w:val="auto"/>
        </w:rPr>
      </w:pPr>
    </w:p>
    <w:p>
      <w:pPr>
        <w:jc w:val="both"/>
        <w:ind w:left="743" w:hanging="743"/>
        <w:spacing w:after="0" w:line="230" w:lineRule="auto"/>
        <w:tabs>
          <w:tab w:leader="none" w:pos="7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Florida</w:t>
      </w:r>
      <w:r>
        <w:rPr>
          <w:rFonts w:ascii="Times New Roman" w:cs="Times New Roman" w:eastAsia="Times New Roman" w:hAnsi="Times New Roman"/>
          <w:sz w:val="22"/>
          <w:szCs w:val="22"/>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1" w:lineRule="exact"/>
        <w:rPr>
          <w:rFonts w:ascii="Times New Roman" w:cs="Times New Roman" w:eastAsia="Times New Roman" w:hAnsi="Times New Roman"/>
          <w:sz w:val="22"/>
          <w:szCs w:val="22"/>
          <w:color w:val="auto"/>
        </w:rPr>
      </w:pPr>
    </w:p>
    <w:p>
      <w:pPr>
        <w:jc w:val="both"/>
        <w:ind w:left="743" w:hanging="743"/>
        <w:spacing w:after="0" w:line="230" w:lineRule="auto"/>
        <w:tabs>
          <w:tab w:leader="none" w:pos="7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Hawaii</w:t>
      </w:r>
      <w:r>
        <w:rPr>
          <w:rFonts w:ascii="Times New Roman" w:cs="Times New Roman" w:eastAsia="Times New Roman" w:hAnsi="Times New Roman"/>
          <w:sz w:val="22"/>
          <w:szCs w:val="22"/>
          <w:color w:val="auto"/>
        </w:rPr>
        <w:t>. If Participant’s primary work location is in Hawaii as of the date Participant’s employment with the Company ceases, then after the last day of Participant’s employment the restrictions in Section 2 of this Restrictive Covenants Addendum will apply geographically only to the specific island(s) within the State of Hawaii for which Participant had managerial and/or sales responsibility.</w:t>
      </w:r>
    </w:p>
    <w:p>
      <w:pPr>
        <w:spacing w:after="0" w:line="2" w:lineRule="exact"/>
        <w:rPr>
          <w:rFonts w:ascii="Times New Roman" w:cs="Times New Roman" w:eastAsia="Times New Roman" w:hAnsi="Times New Roman"/>
          <w:sz w:val="22"/>
          <w:szCs w:val="22"/>
          <w:color w:val="auto"/>
        </w:rPr>
      </w:pPr>
    </w:p>
    <w:p>
      <w:pPr>
        <w:jc w:val="both"/>
        <w:ind w:left="743" w:hanging="743"/>
        <w:spacing w:after="0" w:line="230" w:lineRule="auto"/>
        <w:tabs>
          <w:tab w:leader="none" w:pos="7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Idaho</w:t>
      </w:r>
      <w:r>
        <w:rPr>
          <w:rFonts w:ascii="Times New Roman" w:cs="Times New Roman" w:eastAsia="Times New Roman" w:hAnsi="Times New Roman"/>
          <w:sz w:val="22"/>
          <w:szCs w:val="22"/>
          <w:color w:val="auto"/>
        </w:rPr>
        <w:t>. If Participant’s primary work location is in Idaho as of the date Participant’s employment with the Company ceases, then after the last day of Participant’s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 course of Participant’s employment, has 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5"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Nebraska</w:t>
      </w:r>
      <w:r>
        <w:rPr>
          <w:rFonts w:ascii="Times New Roman" w:cs="Times New Roman" w:eastAsia="Times New Roman" w:hAnsi="Times New Roman"/>
          <w:sz w:val="21"/>
          <w:szCs w:val="21"/>
          <w:color w:val="auto"/>
        </w:rPr>
        <w:t>. If Participant’s primary work location is in Nebraska as of the date Participant’s employment with the Company ceases, then after the last day of Participant’s employment the restrictions in Section 2 of this Restrictive Covenants Addendum will not apply. After Participant’s employment with the Company ceases, the restrictions of Section 3 of this Restrictive Covenants Addendum will only apply to the Company’s current Customers, and not to Prospective Customers. Also after Participant’s employment with the Company ceases,</w:t>
      </w:r>
    </w:p>
    <w:p>
      <w:pPr>
        <w:spacing w:after="0" w:line="2" w:lineRule="exact"/>
        <w:rPr>
          <w:rFonts w:ascii="Times New Roman" w:cs="Times New Roman" w:eastAsia="Times New Roman" w:hAnsi="Times New Roman"/>
          <w:sz w:val="21"/>
          <w:szCs w:val="21"/>
          <w:color w:val="auto"/>
        </w:rPr>
      </w:pPr>
    </w:p>
    <w:p>
      <w:pPr>
        <w:ind w:left="743"/>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the definition of “Customer” in Section 7(f) of this Restrictive Covenants Addendum shall only apply to any business or entity that is a current customer of the</w:t>
      </w:r>
    </w:p>
    <w:p>
      <w:pPr>
        <w:spacing w:after="0" w:line="219"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52" w:name="page53"/>
    <w:bookmarkEnd w:id="52"/>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Company; (2) the definition of “Material Contact” in Section 7(h) of this Restrictive Covenants Addendum shall mean doing business and having personal contact with Customers during Participant’s employment with the Company; and (3) the definition of “Restricted Employee” in Section 4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3" w:lineRule="exact"/>
        <w:rPr>
          <w:sz w:val="20"/>
          <w:szCs w:val="20"/>
          <w:color w:val="auto"/>
        </w:rPr>
      </w:pPr>
    </w:p>
    <w:p>
      <w:pPr>
        <w:jc w:val="both"/>
        <w:ind w:left="743" w:hanging="743"/>
        <w:spacing w:after="0" w:line="230" w:lineRule="auto"/>
        <w:tabs>
          <w:tab w:leader="none" w:pos="74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Tennessee</w:t>
      </w:r>
      <w:r>
        <w:rPr>
          <w:rFonts w:ascii="Times New Roman" w:cs="Times New Roman" w:eastAsia="Times New Roman" w:hAnsi="Times New Roman"/>
          <w:sz w:val="22"/>
          <w:szCs w:val="22"/>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1" w:lineRule="exact"/>
        <w:rPr>
          <w:rFonts w:ascii="Times New Roman" w:cs="Times New Roman" w:eastAsia="Times New Roman" w:hAnsi="Times New Roman"/>
          <w:sz w:val="22"/>
          <w:szCs w:val="22"/>
          <w:color w:val="auto"/>
        </w:rPr>
      </w:pPr>
    </w:p>
    <w:p>
      <w:pPr>
        <w:jc w:val="both"/>
        <w:ind w:left="743" w:hanging="743"/>
        <w:spacing w:after="0" w:line="232" w:lineRule="auto"/>
        <w:tabs>
          <w:tab w:leader="none" w:pos="74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Virginia</w:t>
      </w:r>
      <w:r>
        <w:rPr>
          <w:rFonts w:ascii="Times New Roman" w:cs="Times New Roman" w:eastAsia="Times New Roman" w:hAnsi="Times New Roman"/>
          <w:sz w:val="22"/>
          <w:szCs w:val="22"/>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Participant’s employment.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AWARD GRANT</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Unless otherwise defined herein, the terms defined in the Paymentus Holdings, Inc.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will have the same defined meanings in this Restricted Stock Award Agreement, which includes the Notice of Restricted Stock Award Grant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xml:space="preserve">”), the Terms and Conditions of Restricted Stock Award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(including any additional terms and conditions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country set forth in Appendix 1 to the Terms and Conditions of Restricted Stock Award Grant (the “</w:t>
      </w:r>
      <w:r>
        <w:rPr>
          <w:rFonts w:ascii="Times New Roman" w:cs="Times New Roman" w:eastAsia="Times New Roman" w:hAnsi="Times New Roman"/>
          <w:sz w:val="22"/>
          <w:szCs w:val="22"/>
          <w:b w:val="1"/>
          <w:bCs w:val="1"/>
          <w:color w:val="auto"/>
        </w:rPr>
        <w:t>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and restrictive covenants set forth in Appendix 2 to the Terms and Conditions of Restricted Stock Award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Restrictive Covenants Addendum</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 Restricted Stock Award, subject to the terms and conditions of the Plan and this Award Agreement, as follows:</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4120" w:type="dxa"/>
            <w:vAlign w:val="bottom"/>
            <w:gridSpan w:val="3"/>
          </w:tcPr>
          <w:p>
            <w:pPr>
              <w:jc w:val="right"/>
              <w:ind w:right="440"/>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4120" w:type="dxa"/>
            <w:vAlign w:val="bottom"/>
            <w:gridSpan w:val="3"/>
          </w:tcPr>
          <w:p>
            <w:pPr>
              <w:jc w:val="right"/>
              <w:ind w:right="440"/>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Total Number of Shares:</w:t>
            </w:r>
          </w:p>
        </w:tc>
        <w:tc>
          <w:tcPr>
            <w:tcW w:w="41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07"/>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Vesting Period:</w:t>
            </w:r>
          </w:p>
        </w:tc>
        <w:tc>
          <w:tcPr>
            <w:tcW w:w="44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By Participant’s signature or by Participant’s acceptance of the Award Agreement via the Company’s designated electronic acceptance procedures and the signature of the representative of the Company below, Participant and the Company agree that this Restricted Stock Award is granted under and governed by the terms and conditions of the Plan and this Award Agreement, including the Terms and Conditions of Restricted Stock Award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(including any applicable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1152525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PAYMENTUS HOLDINGS, INC.</w:t>
      </w:r>
    </w:p>
    <w:p>
      <w:pPr>
        <w:spacing w:after="0" w:line="200" w:lineRule="exact"/>
        <w:rPr>
          <w:sz w:val="20"/>
          <w:szCs w:val="20"/>
          <w:color w:val="auto"/>
        </w:rPr>
      </w:pPr>
    </w:p>
    <w:p>
      <w:pPr>
        <w:sectPr>
          <w:pgSz w:w="11900" w:h="16838" w:orient="portrait"/>
          <w:cols w:equalWidth="0" w:num="2">
            <w:col w:w="4960" w:space="720"/>
            <w:col w:w="4459"/>
          </w:cols>
          <w:pgMar w:left="320" w:top="1417" w:right="1440" w:bottom="1440" w:gutter="0" w:footer="0" w:header="0"/>
        </w:sectPr>
      </w:pPr>
    </w:p>
    <w:p>
      <w:pPr>
        <w:spacing w:after="0" w:line="25" w:lineRule="exact"/>
        <w:rPr>
          <w:sz w:val="20"/>
          <w:szCs w:val="20"/>
          <w:color w:val="auto"/>
        </w:rPr>
      </w:pPr>
    </w:p>
    <w:p>
      <w:pPr>
        <w:ind w:left="60" w:right="840"/>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Signature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99"/>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Signature</w:t>
      </w:r>
    </w:p>
    <w:p>
      <w:pPr>
        <w:spacing w:after="0" w:line="162" w:lineRule="exact"/>
        <w:rPr>
          <w:sz w:val="20"/>
          <w:szCs w:val="20"/>
          <w:color w:val="auto"/>
        </w:rPr>
      </w:pPr>
    </w:p>
    <w:p>
      <w:pPr>
        <w:sectPr>
          <w:pgSz w:w="11900" w:h="16838" w:orient="portrait"/>
          <w:cols w:equalWidth="0" w:num="2">
            <w:col w:w="4960" w:space="720"/>
            <w:col w:w="4459"/>
          </w:cols>
          <w:pgMar w:left="320" w:top="1417" w:right="1440" w:bottom="1440" w:gutter="0" w:footer="0" w:header="0"/>
          <w:type w:val="continuous"/>
        </w:sectPr>
      </w:pPr>
    </w:p>
    <w:p>
      <w:pPr>
        <w:ind w:left="60" w:right="840"/>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Print Name</w:t>
      </w:r>
    </w:p>
    <w:p>
      <w:pPr>
        <w:spacing w:after="0" w:line="20" w:lineRule="exact"/>
        <w:rPr>
          <w:sz w:val="20"/>
          <w:szCs w:val="20"/>
          <w:color w:val="auto"/>
        </w:rPr>
      </w:pPr>
      <w:r>
        <w:rPr>
          <w:sz w:val="20"/>
          <w:szCs w:val="20"/>
          <w:color w:val="auto"/>
        </w:rPr>
        <w:br w:type="column"/>
      </w:r>
    </w:p>
    <w:p>
      <w:pPr>
        <w:ind w:right="399"/>
        <w:spacing w:after="0" w:line="282" w:lineRule="auto"/>
        <w:rPr>
          <w:sz w:val="20"/>
          <w:szCs w:val="20"/>
          <w:color w:val="auto"/>
        </w:rPr>
      </w:pPr>
      <w:r>
        <w:rPr>
          <w:rFonts w:ascii="Times New Roman" w:cs="Times New Roman" w:eastAsia="Times New Roman" w:hAnsi="Times New Roman"/>
          <w:sz w:val="18"/>
          <w:szCs w:val="18"/>
          <w:color w:val="auto"/>
        </w:rPr>
        <w:t>_____________________________________________ Print Name</w:t>
      </w:r>
    </w:p>
    <w:p>
      <w:pPr>
        <w:spacing w:after="0" w:line="162" w:lineRule="exact"/>
        <w:rPr>
          <w:sz w:val="20"/>
          <w:szCs w:val="20"/>
          <w:color w:val="auto"/>
        </w:rPr>
      </w:pPr>
    </w:p>
    <w:p>
      <w:pPr>
        <w:sectPr>
          <w:pgSz w:w="11900" w:h="16838" w:orient="portrait"/>
          <w:cols w:equalWidth="0" w:num="2">
            <w:col w:w="4960" w:space="720"/>
            <w:col w:w="4459"/>
          </w:cols>
          <w:pgMar w:left="320" w:top="1417" w:right="1440" w:bottom="1440" w:gutter="0" w:footer="0" w:header="0"/>
          <w:type w:val="continuous"/>
        </w:sectPr>
      </w:pPr>
    </w:p>
    <w:p>
      <w:pPr>
        <w:ind w:left="5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ectPr>
          <w:pgSz w:w="11900" w:h="16838" w:orient="portrait"/>
          <w:cols w:equalWidth="0" w:num="1">
            <w:col w:w="10139"/>
          </w:cols>
          <w:pgMar w:left="320" w:top="14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RESTRICTED STOCK AWARD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AWARD GRANT</w:t>
      </w:r>
    </w:p>
    <w:p>
      <w:pPr>
        <w:spacing w:after="0" w:line="178" w:lineRule="exact"/>
        <w:rPr>
          <w:sz w:val="20"/>
          <w:szCs w:val="20"/>
          <w:color w:val="auto"/>
        </w:rPr>
      </w:pPr>
    </w:p>
    <w:p>
      <w:pPr>
        <w:jc w:val="both"/>
        <w:ind w:firstLine="757"/>
        <w:spacing w:after="0" w:line="235" w:lineRule="auto"/>
        <w:tabs>
          <w:tab w:leader="none" w:pos="101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Award</w:t>
      </w:r>
      <w:r>
        <w:rPr>
          <w:rFonts w:ascii="Times New Roman" w:cs="Times New Roman" w:eastAsia="Times New Roman" w:hAnsi="Times New Roman"/>
          <w:sz w:val="22"/>
          <w:szCs w:val="22"/>
          <w:color w:val="auto"/>
        </w:rPr>
        <w:t>. Paymentus Holdings,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 Notice of Restricted Stock Award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under the Plan, on behalf of the Company and any Parent or Subsidiary by which Participant is employed, an award of the number of shares of Restricted Stock set forth in the Notice of Grant, subject to the terms and conditions of this Award Agreement and the Plan, which is incorporated herein by reference. The shares of Restricted Stock shall be issued in the form of shares of Class A Common stock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as soon as reasonably practicable after the Grant Date. Subject to Section 20 of the Plan, in the event of a conflict between the terms and conditions of the Plan and this Award Agreement, the terms and conditions of the Plan shall prevail.</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3, and subject to Section 4, the Restricted Stock Award awarded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the portion of the Restricted Stock Award scheduled to vest on a certain date or upon the occurrence of a certain condition will not vest in accordance with any of the provisions of this Award Agreement, unless Participant will have been continuously a Service Provider from the Grant Date until the date such vesting occurs.</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Discretionary Acceleration</w:t>
      </w:r>
      <w:r>
        <w:rPr>
          <w:rFonts w:ascii="Times New Roman" w:cs="Times New Roman" w:eastAsia="Times New Roman" w:hAnsi="Times New Roman"/>
          <w:sz w:val="22"/>
          <w:szCs w:val="22"/>
          <w:color w:val="auto"/>
        </w:rPr>
        <w:t>. The Administrator, in its discretion, may accelerate the vesting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or some lesser portion of the balance, of the unvested Restricted Stock Award at any time, subject to the terms of the Plan. If so accelerated, such portion of the Restricted Stock Award will be considered as having vested as of the date specified by the Administrator.</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issuance of Shares pursuant to this Award Agreement (including any discretionary acceleration under Section 3(b)) shall in all cases be made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Grant Date), if the vesting of the balance, or some lesser portion of the balance, of the Restricted Stock Award is accelerated in connection with the termination of Participant’s status as a Service Provider (provided that such termination is a “separation from service” within the meaning of Section 409A, as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6" w:name="page57"/>
    <w:bookmarkEnd w:id="56"/>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other than due to Participant’s death, and if (x) Participant is a U.S. taxpayer and a “specified employee” within the meaning of Section 409A at the time of such termination as a Service Provider and (y) the vesting of such accelerated Restricted Stock Award will result in the imposition of additional tax under Section 409A if vested on or within the six (6) month period following the cessation of Participant’s status as a Service Provider, then the vesting of such accelerated Restricted Stock Award will not occur until the date six (6) months and one (1) day following the date of cessation of Participant’s status as a Service Provider, unless Participant dies following his or her termination as a Service Provider, in which case, the Shares will be issued to Participant’s estate as soon as practicable following his or her death.</w:t>
      </w:r>
    </w:p>
    <w:p>
      <w:pPr>
        <w:spacing w:after="0" w:line="183"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(iii)It is the intent of this Award Agreement that it and all payments and benefits to U.S. taxpayers hereunder be exempt from, or comply with, the requirements of Section 409A so that the Shares issuable pursuant to this Award Agreement will not be subject to the additional tax imposed under Section 409A, and any ambiguities or ambiguous terms herein will be interpreted to be so exempt or so comply. Each issuance of Shares under this Award Agreement is intended to constitute a separate issuance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5" w:lineRule="exact"/>
        <w:rPr>
          <w:sz w:val="20"/>
          <w:szCs w:val="20"/>
          <w:color w:val="auto"/>
        </w:rPr>
      </w:pPr>
    </w:p>
    <w:p>
      <w:pPr>
        <w:jc w:val="both"/>
        <w:ind w:firstLine="757"/>
        <w:spacing w:after="0" w:line="238" w:lineRule="auto"/>
        <w:tabs>
          <w:tab w:leader="none" w:pos="1018"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 Administrator between Participant and the Company or any Parent or Subsidiary of the Company, as applicable, governing the terms of this Award, if Participant ceases to be a Service Provider for any or no reason, the then-unvested portion of the Restricted Stock Award will thereupon be forfeited at no cost to the Company and Participant will have no further rights thereunder.</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Obligations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different, Participant’s employer or any Parent or Subsidiary of the Company to which Participant is providing services (together, the “</w:t>
      </w:r>
      <w:r>
        <w:rPr>
          <w:rFonts w:ascii="Times New Roman" w:cs="Times New Roman" w:eastAsia="Times New Roman" w:hAnsi="Times New Roman"/>
          <w:sz w:val="22"/>
          <w:szCs w:val="22"/>
          <w:b w:val="1"/>
          <w:bCs w:val="1"/>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Award, including, without limitation, (i) all federal, state, and local taxes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(including Participant’s Federal Insurance Contributions Act (FICA) obligations) that are required to be withheld by any Service Recipient or other tax-related items related to Participant’s participation in the Plan and legally applicable or deemed legally applicable to Participant, (ii) Participant’s and, to the extent required by any Service Recipient, the Service Recipient’s fringe benefit tax liability, if any, associated with the grant or vesting of the Restricted Stock Award or sale of Shares, and (iii) any other Service Recipient taxes the responsibility for which Participant has, or has agreed to bear, with respect to the Restricted Stock Award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Award, including, but not limited to, the grant or vesting of the Restricted Stock Award, the subsequent sale of Shares acquired pursuant to such issuance and the receipt of any dividends or other distributions, and (B) makes any commitment to or is under any obligation to structure the terms of the grant or any aspect of the Restricted Stock Award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173" w:lineRule="exact"/>
        <w:rPr>
          <w:sz w:val="20"/>
          <w:szCs w:val="20"/>
          <w:color w:val="auto"/>
        </w:rPr>
      </w:pPr>
    </w:p>
    <w:p>
      <w:pPr>
        <w:jc w:val="both"/>
        <w:ind w:firstLine="1505"/>
        <w:spacing w:after="0" w:line="232" w:lineRule="auto"/>
        <w:tabs>
          <w:tab w:leader="none" w:pos="20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Pursuant to such procedures as the Administrator may specify from time to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Service Recipient(s) will withhold the amount required to be withheld for the payment of Tax Obligations (the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The Administrator, in its sole discretion and pursuant to such procedures as it may specify from time to time, may permit Participant to satisfy such Withholding Obligations, in whole or in part (without limitation), if permissible by Applicable Laws,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Net Share Withholding</w:t>
      </w:r>
      <w:r>
        <w:rPr>
          <w:rFonts w:ascii="Times New Roman" w:cs="Times New Roman" w:eastAsia="Times New Roman" w:hAnsi="Times New Roman"/>
          <w:sz w:val="22"/>
          <w:szCs w:val="22"/>
          <w:color w:val="auto"/>
        </w:rPr>
        <w:t>”), (iii) withholding the amount of such Withholding Obligations from Participant’s wages or other cash compensation payable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Sell to Cover</w:t>
      </w:r>
      <w:r>
        <w:rPr>
          <w:rFonts w:ascii="Times New Roman" w:cs="Times New Roman" w:eastAsia="Times New Roman" w:hAnsi="Times New Roman"/>
          <w:sz w:val="22"/>
          <w:szCs w:val="22"/>
          <w:color w:val="auto"/>
        </w:rPr>
        <w:t>”), or (vi) such other means as the Administrator deems appropriate. If the Withholding Obligations are satisfied by Net Share Withholding, for tax purposes, Participant is deemed to have been issued the full number of Shares subject to the vested Restricted Stock Award,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79" w:lineRule="exact"/>
        <w:rPr>
          <w:sz w:val="20"/>
          <w:szCs w:val="20"/>
          <w:color w:val="auto"/>
        </w:rPr>
      </w:pPr>
    </w:p>
    <w:p>
      <w:pPr>
        <w:jc w:val="both"/>
        <w:ind w:firstLine="1505"/>
        <w:spacing w:after="0" w:line="237" w:lineRule="auto"/>
        <w:tabs>
          <w:tab w:leader="none" w:pos="203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his or her own tax advisers the U.S.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Deliver Shares</w:t>
      </w:r>
      <w:r>
        <w:rPr>
          <w:rFonts w:ascii="Times New Roman" w:cs="Times New Roman" w:eastAsia="Times New Roman" w:hAnsi="Times New Roman"/>
          <w:sz w:val="22"/>
          <w:szCs w:val="22"/>
          <w:color w:val="auto"/>
        </w:rPr>
        <w:t>. For clarification purposes, in no event will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portion of the Restricted Stock Award is scheduled to vest pursuant to Sections 2 or 3 or Participant’s Withholding Obligations otherwise become due, Participant will forfeit such portion of the Restricted Stock Award to which Participant’s Withholding Obligation relates and any right to receive Shares thereunder and such portion of the Restricted Stock Award will be returned to the Company at no cost to the Company. Participant acknowledges and agrees that the Company may permanently refuse to issue or deliver the Shares if such Withholding Obligations are not satisfied at the time they are due.</w:t>
      </w:r>
    </w:p>
    <w:p>
      <w:pPr>
        <w:spacing w:after="0" w:line="173"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unvested shares of Restricted Stock issued hereunder. Participant will have all the rights of a stockholder of the Company with respect to voting and receipt of dividends and distributions on any vested shares of Restricted Stock.</w:t>
      </w:r>
    </w:p>
    <w:p>
      <w:pPr>
        <w:spacing w:after="0" w:line="171"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01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Guarantee of Continued Service</w:t>
      </w:r>
      <w:r>
        <w:rPr>
          <w:rFonts w:ascii="Times New Roman" w:cs="Times New Roman" w:eastAsia="Times New Roman" w:hAnsi="Times New Roman"/>
          <w:sz w:val="22"/>
          <w:szCs w:val="22"/>
          <w:color w:val="auto"/>
        </w:rPr>
        <w:t>. PARTICIPANT ACKNOWLEDGES AND AGREES THAT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RESTRICTED STOCK AWARD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6" w:lineRule="exact"/>
        <w:rPr>
          <w:sz w:val="20"/>
          <w:szCs w:val="20"/>
          <w:color w:val="auto"/>
        </w:rPr>
      </w:pPr>
    </w:p>
    <w:p>
      <w:pPr>
        <w:jc w:val="both"/>
        <w:ind w:firstLine="757"/>
        <w:spacing w:after="0" w:line="237" w:lineRule="auto"/>
        <w:tabs>
          <w:tab w:leader="none" w:pos="1018"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is Not Transferable</w:t>
      </w:r>
      <w:r>
        <w:rPr>
          <w:rFonts w:ascii="Times New Roman" w:cs="Times New Roman" w:eastAsia="Times New Roman" w:hAnsi="Times New Roman"/>
          <w:sz w:val="22"/>
          <w:szCs w:val="22"/>
          <w:color w:val="auto"/>
        </w:rPr>
        <w:t>. Except to the limited extent provided in Section 5, this Award and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10.Nature of Grant</w:t>
      </w:r>
      <w:r>
        <w:rPr>
          <w:rFonts w:ascii="Times New Roman" w:cs="Times New Roman" w:eastAsia="Times New Roman" w:hAnsi="Times New Roman"/>
          <w:sz w:val="21"/>
          <w:szCs w:val="21"/>
          <w:color w:val="auto"/>
        </w:rPr>
        <w:t>. In accepting this Restricted Stock Award, Participant acknowledges, understands and agrees that:</w:t>
      </w:r>
    </w:p>
    <w:p>
      <w:pPr>
        <w:spacing w:after="0" w:line="222" w:lineRule="exact"/>
        <w:rPr>
          <w:sz w:val="20"/>
          <w:szCs w:val="20"/>
          <w:color w:val="auto"/>
        </w:rPr>
      </w:pPr>
    </w:p>
    <w:p>
      <w:pPr>
        <w:jc w:val="both"/>
        <w:ind w:firstLine="1505"/>
        <w:spacing w:after="0" w:line="244"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Award is exceptional, voluntary and occasional and does not create any contractual or other right to receive future grants of Restricted Stock Awards, or benefits in lieu of Restricted Stock Awards, even if Restricted Stock Awards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Awards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Award and the Shares issuable thereunder, and the income from and value of same,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Restricted Stock Award and the Shares issuable thereunder, and the income from and value of same, are not granted as consideration for, or in connection with, the service Participant may provide as a director of any Subsidiary or Parent of the Company;</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issuable pursuant to the Restricted Stock Award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Award,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Award under the Plan, if any, will terminate as of such date and will not be extended by any notice period (e.g., Participant’s period of service would not include any contractual notice period or any period of “garden leave” or similar period mandated under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Applicable Laws).</w:t>
      </w:r>
    </w:p>
    <w:p>
      <w:pPr>
        <w:spacing w:after="0" w:line="177" w:lineRule="exact"/>
        <w:rPr>
          <w:sz w:val="20"/>
          <w:szCs w:val="20"/>
          <w:color w:val="auto"/>
        </w:rPr>
      </w:pPr>
    </w:p>
    <w:p>
      <w:pPr>
        <w:jc w:val="both"/>
        <w:ind w:firstLine="1505"/>
        <w:spacing w:after="0" w:line="239" w:lineRule="auto"/>
        <w:tabs>
          <w:tab w:leader="none" w:pos="20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Award and the benefits evidenced by this Award Agreement do not create any entitlement to have the Restricted Stock Award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54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Award and the Shares issuable thereunder, and the income from and value of same, are not part of normal or expected compensation or salary for any purpose;</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Service Recipient shall be liable for any foreign exchange rate fluctuation between Participant’s local currency and the United States Dollar that may affect the value of the Restricted Stock Award or the Shares issuable thereunder or the subsequent sale of any such Shares; and</w:t>
      </w:r>
    </w:p>
    <w:p>
      <w:pPr>
        <w:spacing w:after="0" w:line="173"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any portion of the Restricted Stock Award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Award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11.Restrictive Covenants</w:t>
      </w:r>
      <w:r>
        <w:rPr>
          <w:rFonts w:ascii="Times New Roman" w:cs="Times New Roman" w:eastAsia="Times New Roman" w:hAnsi="Times New Roman"/>
          <w:sz w:val="22"/>
          <w:szCs w:val="22"/>
          <w:color w:val="auto"/>
        </w:rPr>
        <w:t>. In consideration of this grant of the Restricted Stock Award, Participant agrees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restrictive covenants set forth in Appendix 2 to this Award Agreement, the terms of which are incorporated by reference.</w:t>
      </w:r>
    </w:p>
    <w:p>
      <w:pPr>
        <w:spacing w:after="0" w:line="15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12.No Advice Regarding Grant</w:t>
      </w:r>
      <w:r>
        <w:rPr>
          <w:rFonts w:ascii="Times New Roman" w:cs="Times New Roman" w:eastAsia="Times New Roman" w:hAnsi="Times New Roman"/>
          <w:sz w:val="21"/>
          <w:szCs w:val="21"/>
          <w:color w:val="auto"/>
        </w:rPr>
        <w:t>. The Company is not providing any tax, legal or financial advice, nor is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making any recommendations regarding Participant’s participation in the Plan, or Participant’s acquisition or sale of the Shares issuable pursuant to the Restricted Stock Award. Participant is hereby advised to consult with his or her own personal tax, legal and financial advisers regarding his or her participation in the Plan before taking any action related to the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13.Data Privacy. Participant hereby explicitly and unambiguously consents to the collection, use and transfer, in electronic or other form, of Participant’s personal data as described in this Award Agreement and any other Restricted Stock Award grant materials by and among, as applicable, the Company and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Awards or any other entitlement to Shares awarded, canceled, exercised, vested, unvested or outstanding in Participant’s favor (“Data”), for the exclusive purpose of implementing, administering and managing the Plan.</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will not be adversely affected. The only adverse consequence of refusing or withdrawing Participant’s consent is that the Company would not be able to grant Participant Restricted Stock Awards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14.Address for Notices</w:t>
      </w:r>
      <w:r>
        <w:rPr>
          <w:rFonts w:ascii="Times New Roman" w:cs="Times New Roman" w:eastAsia="Times New Roman" w:hAnsi="Times New Roman"/>
          <w:sz w:val="22"/>
          <w:szCs w:val="22"/>
          <w:color w:val="auto"/>
        </w:rPr>
        <w:t>. Any notice to be given to the Company under the terms of this Award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addressed to the Company at Paymentus Holdings, Inc., 11605 N. Community House Road, Suite 300, Charlotte, NC 28277, Attention: General Counsel, or at such other address as the Company may hereafter designate in writing.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15.Successors and Assigns</w:t>
      </w:r>
      <w:r>
        <w:rPr>
          <w:rFonts w:ascii="Times New Roman" w:cs="Times New Roman" w:eastAsia="Times New Roman" w:hAnsi="Times New Roman"/>
          <w:sz w:val="22"/>
          <w:szCs w:val="22"/>
          <w:color w:val="auto"/>
        </w:rPr>
        <w:t>. The Company may assign any of its rights under this Award Agreement to single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16.Additional Conditions to Issuance of Stock</w:t>
      </w:r>
      <w:r>
        <w:rPr>
          <w:rFonts w:ascii="Times New Roman" w:cs="Times New Roman" w:eastAsia="Times New Roman" w:hAnsi="Times New Roman"/>
          <w:sz w:val="22"/>
          <w:szCs w:val="22"/>
          <w:color w:val="auto"/>
        </w:rPr>
        <w:t>. If at any time the Company will determine, in its discretion,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Award as the Administrator may establish from time to time for reasons of administrative convenience.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17.Language</w:t>
      </w:r>
      <w:r>
        <w:rPr>
          <w:rFonts w:ascii="Times New Roman" w:cs="Times New Roman" w:eastAsia="Times New Roman" w:hAnsi="Times New Roman"/>
          <w:sz w:val="22"/>
          <w:szCs w:val="22"/>
          <w:color w:val="auto"/>
        </w:rPr>
        <w:t>. Participant acknowledges that Participant is sufficiently proficient in the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18.Interpretation</w:t>
      </w:r>
      <w:r>
        <w:rPr>
          <w:rFonts w:ascii="Times New Roman" w:cs="Times New Roman" w:eastAsia="Times New Roman" w:hAnsi="Times New Roman"/>
          <w:sz w:val="22"/>
          <w:szCs w:val="22"/>
          <w:color w:val="auto"/>
        </w:rPr>
        <w:t>. The Administrator will have the power to interpret the Plan and this Award Agreement and to adopt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rules for the administration, interpretation and application of the Plan as are consistent therewith and to interpret or revoke any such rules (including, but not limited to, the determination of whether or not any portion of the Restricted Stock Award has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19.Electronic Delivery and Acceptance</w:t>
      </w:r>
      <w:r>
        <w:rPr>
          <w:rFonts w:ascii="Times New Roman" w:cs="Times New Roman" w:eastAsia="Times New Roman" w:hAnsi="Times New Roman"/>
          <w:sz w:val="22"/>
          <w:szCs w:val="22"/>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the Restricted Stock Award granted under the Plan or future Restricted Stock Awards that may be granted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1"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20.Captions</w:t>
      </w:r>
      <w:r>
        <w:rPr>
          <w:rFonts w:ascii="Times New Roman" w:cs="Times New Roman" w:eastAsia="Times New Roman" w:hAnsi="Times New Roman"/>
          <w:sz w:val="22"/>
          <w:szCs w:val="22"/>
          <w:color w:val="auto"/>
        </w:rPr>
        <w:t>. Captions provided herein are for convenience only and are not to serve as a basis for interpretation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this Award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21.Amendment, Suspension or Termination of the Plan</w:t>
      </w:r>
      <w:r>
        <w:rPr>
          <w:rFonts w:ascii="Times New Roman" w:cs="Times New Roman" w:eastAsia="Times New Roman" w:hAnsi="Times New Roman"/>
          <w:sz w:val="22"/>
          <w:szCs w:val="22"/>
          <w:color w:val="auto"/>
        </w:rPr>
        <w:t>. By accepting this Award, Participant expressly warrants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 or she has received a Restricted Stock Award under the Plan, and has received, read and understood a description of the Plan. Participant understands that the Plan is discretionary in nature and may be amended, suspended or terminated by the Administrator at any time.</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22.Country Addendum</w:t>
      </w:r>
      <w:r>
        <w:rPr>
          <w:rFonts w:ascii="Times New Roman" w:cs="Times New Roman" w:eastAsia="Times New Roman" w:hAnsi="Times New Roman"/>
          <w:sz w:val="22"/>
          <w:szCs w:val="22"/>
          <w:color w:val="auto"/>
        </w:rPr>
        <w:t>. Notwithstanding any provisions in this Award Agreement, the Restricted Stock Award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subject to any additional terms and conditions set forth in the Country Addendum (if any) for any country whose laws are applicable to Participant and this Restricted Stock Award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23.Modifications to the Award Agreement</w:t>
      </w:r>
      <w:r>
        <w:rPr>
          <w:rFonts w:ascii="Times New Roman" w:cs="Times New Roman" w:eastAsia="Times New Roman" w:hAnsi="Times New Roman"/>
          <w:sz w:val="22"/>
          <w:szCs w:val="22"/>
          <w:color w:val="auto"/>
        </w:rPr>
        <w:t>. This Award Agreement constitutes the entire understanding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Restricted Stock Award.</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24.No Waiver</w:t>
      </w:r>
      <w:r>
        <w:rPr>
          <w:rFonts w:ascii="Times New Roman" w:cs="Times New Roman" w:eastAsia="Times New Roman" w:hAnsi="Times New Roman"/>
          <w:sz w:val="22"/>
          <w:szCs w:val="22"/>
          <w:color w:val="auto"/>
        </w:rPr>
        <w:t>. Either party’s failure to enforce any provision or provisions of this Award Agreement shall not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25.Insider Trading/Market Abuse Laws</w:t>
      </w:r>
      <w:r>
        <w:rPr>
          <w:rFonts w:ascii="Times New Roman" w:cs="Times New Roman" w:eastAsia="Times New Roman" w:hAnsi="Times New Roman"/>
          <w:sz w:val="22"/>
          <w:szCs w:val="22"/>
          <w:color w:val="auto"/>
        </w:rPr>
        <w:t>. Participant acknowledges that Participant may be subject to 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and/or market abuse laws based on the exchange on which the Shares are listed and in applicable jurisdictions including, but not limited to, the United States and Participant’s country of residence, which may affect Participant’s ability to acquire or sell Shares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that third parties include employees of the Company or any Parent or Subsidiary of the Company. Any restrictions under these laws or regulations are separate from and in addition to any restrictions that may be imposed under any applicable insider trading policy of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Company. Participant is responsible for ensuring compliance with any applicable restrictions and should consult with his or her personal legal advisor on this matter.</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26.Governing Law</w:t>
      </w:r>
      <w:r>
        <w:rPr>
          <w:rFonts w:ascii="Times New Roman" w:cs="Times New Roman" w:eastAsia="Times New Roman" w:hAnsi="Times New Roman"/>
          <w:sz w:val="22"/>
          <w:szCs w:val="22"/>
          <w:color w:val="auto"/>
        </w:rPr>
        <w:t>. This Award Agreement and the Restricted Stock Award are governed by the internal substantive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but not the choice of law rules, of the State of Delaware.</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27.Dispute Resolution</w:t>
      </w:r>
      <w:r>
        <w:rPr>
          <w:rFonts w:ascii="Times New Roman" w:cs="Times New Roman" w:eastAsia="Times New Roman" w:hAnsi="Times New Roman"/>
          <w:sz w:val="22"/>
          <w:szCs w:val="22"/>
          <w:color w:val="auto"/>
        </w:rPr>
        <w:t>. To the full extent allowed by applicable law, and as further provided in or modified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1, the Participant and the Company agree that any claim, action, dispute or controversy of any kind arising out of or relating to this Award Agreement and the Restricted Stock Units shall be resolved by mandatory and binding arbitration. All questions, including but not limited to arbitrability shall be determined by the arbitrator. The arbitration will be administered by the American Arbitration Association (“AAA”) in accordance with its Commercial Arbitration Rules and the Federal Arbitration Act. The arbitration shall be conducted in Charlotte, North Carolina or Dallas, Texas, by a single arbitrator appointed in accordance with the AAA Rules, provided however that the arbitrator shall prepare a written decision containing the essential findings and conclusions on which the award is based so as to ensure meaningful judicial review of the decision. The arbitrator shall decide any dispute in accordance with the substantive law of Delaware.</w:t>
      </w:r>
    </w:p>
    <w:p>
      <w:pPr>
        <w:spacing w:after="0" w:line="178"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This Agreement does not limit the right of the Company or Participant to seek any provisional remedy, including, without limitation, injunctive or similar relief, from any court of competent jurisdiction as may be necessary to protect the Company’s or Participant’s rights and interests pending the outcome of an arbitration including but not limited to claims for violation of any non-disclosure or other agreement between Participant and the Company for the protection of confidential and proprietary information and trade secrets and/or invention assignment.</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Participant and the Company agree that any dispute or claim arising out of or relating to this agreement shall be brought, heard, and arbitrated only on an individual basis, and not as a plaintiff or class member in any purported class, collective, or representative action. The arbitrator shall not have the authority to consolidate the claims of other parties into a single proceeding, nor to certify a class action.</w:t>
      </w:r>
    </w:p>
    <w:p>
      <w:pPr>
        <w:spacing w:after="0" w:line="180"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Either the Company or Participant may bring an action in court to compel arbitration under this Agreement and to enforce an arbitration award, and shall be entitled to recover fees and costs associated with any such motion to compel arbitration or to enforce an arbitration award. Otherwise, except as provided in this Section 28, neither the Company nor Participant shall initiate or prosecute any lawsuit or claim in any way related to any arbitrable claim, including without limitation any claim as to the making, existence, validity, arbitrability or enforceability of this Agreement.</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28.Severability</w:t>
      </w:r>
      <w:r>
        <w:rPr>
          <w:rFonts w:ascii="Times New Roman" w:cs="Times New Roman" w:eastAsia="Times New Roman" w:hAnsi="Times New Roman"/>
          <w:sz w:val="22"/>
          <w:szCs w:val="22"/>
          <w:color w:val="auto"/>
        </w:rPr>
        <w:t>. In the event that any provision hereof becomes or is declared by a court of competent jurisdiction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unenforceable or void, this Award Agreement shall continue in full force and effect.</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29.Entire Agreement</w:t>
      </w:r>
      <w:r>
        <w:rPr>
          <w:rFonts w:ascii="Times New Roman" w:cs="Times New Roman" w:eastAsia="Times New Roman" w:hAnsi="Times New Roman"/>
          <w:sz w:val="22"/>
          <w:szCs w:val="22"/>
          <w:color w:val="auto"/>
        </w:rPr>
        <w:t>. The Plan is incorporated herein by reference. The Plan and this Award Agreement (including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covenants set forth in Appendix 2, if applicable, do not supersede or in any way modify any other restrictive covenants applicable to Participant in any employment or other agreement with the Company or any Parent or Subsidiary of the Company. This Award Agreement, the Restricted Stock Award, and any Shares received hereunder shall be subject to any compensation recoupment or similar policy adopted by the Company from time to time as required by law or any rules of the New York Stock Exchange or other stock exchange.</w:t>
      </w:r>
    </w:p>
    <w:p>
      <w:pPr>
        <w:spacing w:after="0" w:line="177"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AWARD AGREEMENT</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Award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Award Agreement of which this Country Addendum forms a part (or the Plan or other written agreement as specified in the Restricted Stock Award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Restricted Stock Award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Restricted Stock Award is granted, the Company, in its discretion, will determine to what extent the terms and conditions contained herein will apply to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Times New Roman" w:cs="Times New Roman" w:eastAsia="Times New Roman" w:hAnsi="Times New Roman"/>
          <w:sz w:val="22"/>
          <w:szCs w:val="22"/>
          <w:b w:val="1"/>
          <w:bCs w:val="1"/>
          <w:color w:val="auto"/>
        </w:rPr>
        <w:t>March 2026</w:t>
      </w:r>
      <w:r>
        <w:rPr>
          <w:rFonts w:ascii="Times New Roman" w:cs="Times New Roman" w:eastAsia="Times New Roman" w:hAnsi="Times New Roman"/>
          <w:sz w:val="22"/>
          <w:szCs w:val="22"/>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issuable pursuant to the Restricted Stock Award.</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Award,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1439545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7" w:name="page68"/>
    <w:bookmarkEnd w:id="6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following provision replaces the second paragraph of Sections 4 and 10(g) of the 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its entirety:</w:t>
      </w:r>
    </w:p>
    <w:p>
      <w:pPr>
        <w:spacing w:after="0" w:line="154"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For purposes of the Restricted Stock Award, Participant’s status as a Service Provider will be considered terminated (regardless of the reason for such termination and whether or not later found to be invalid or in breach of employment laws in the jurisdiction where Participant is a Service Provider or the terms of Participant’s employment or service agreement, if any)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Service Recipient, which date shall not be extended by any notice period or period of pay in lieu of such notice mandated under the employment laws of the jurisdiction in which Participant is providing service or the terms of Participant’s employment or other service agreement, if any. The Administrator shall have the exclusive discretion to determine when Participant no longer is actively providing services for purposes of the Award (including whether Participant may still be considered to be providing services while on a leave of absence).</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the foregoing, if applicable employment standards legislation explicitly requires continued vesting during a statutory notice period, Participant’s right to vest in the Restricted Stock Award, if any, will terminate effective upon the expiry of the minimum statutory notice period, but Participant will not earn or be entitled to prorated vesting if the vesting date falls after the end of the statutory notice period, nor will Participant be entitled to any compensation in lieu of any such prorated vesting.</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Language</w:t>
      </w:r>
      <w:r>
        <w:rPr>
          <w:rFonts w:ascii="Times New Roman" w:cs="Times New Roman" w:eastAsia="Times New Roman" w:hAnsi="Times New Roman"/>
          <w:sz w:val="22"/>
          <w:szCs w:val="22"/>
          <w:color w:val="auto"/>
        </w:rPr>
        <w:t>. The parties acknowledge that it is Participant’s express wish that the Restricted Stock Award Agreement, as well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documents, notices and legal proceedings entered into, given or instituted pursuant hereto or relating directly or indirectly hereto, be drawn up in English.</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This provision supplements Section 13 of the Restricted Stock Award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Participant hereby authorizes any Service Recipient and any agents or representatives thereof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any Service Recipient and any agents or representatives thereof to record such information and to keep such information in Participant’s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Securities Law Notification</w:t>
      </w:r>
      <w:r>
        <w:rPr>
          <w:rFonts w:ascii="Times New Roman" w:cs="Times New Roman" w:eastAsia="Times New Roman" w:hAnsi="Times New Roman"/>
          <w:sz w:val="22"/>
          <w:szCs w:val="22"/>
          <w:color w:val="auto"/>
        </w:rPr>
        <w:t>. Participant is permitted to sell Shares acquired under the Plan through the designated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under the Plan, if any, provided the resale of Shares acquired under the Plan takes place outside Canada through the facilities of the exchange on which the Shares are then listed.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Binding Arbitration / Waiver of Jury Trial</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Participant and the Company mutually agree to waive, to the fullest extent permitted under applicable law, their respective rights to resolution of disputes in a court of law by a judge or jury and agree to resolve any dispute by arbitration as set forth below. This agreement to arbitrate (“Arbitration Agreement”) survives after the Award Agreement terminates or Participant’s relationship with the Company ends. To the fullest extent permitted under applicable law, any arbitration under this Arbitration Agreement will take place on an individual basis, and class arbitrations are not permitted.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Except as expressly provided below and above, this Arbitration Agreement applies to all disputes between Participant and the Company, including the Company’s affiliates, subsidiaries, parents, successors and assigns, and each of their respective officers, directors, employees, agents, or shareholders (each a “Claim” and collectively, “Claims”) These Claims include, to the fullest extent permitted under applicable law, but are not limited to, any dispute or claim, whether based on past, present, or future events, arising out of or relating to the Award Agreement and prior versions thereof (including the breach, termination, enforcement, interpretation or validity thereof), Participant’s relationship with the Company, and all other common law claims between Participant and the Company or its affiliates and their respective employees, officers, directors and shareholders. To the fullest extent permissible under applicable law, disputes concerning the arbitrability of a Claim (including disputes about the scope, applicability, enforceability, revocability, or validity of the Arbitration Agreement) shall be decided by the arbitrator.</w:t>
      </w:r>
    </w:p>
    <w:p>
      <w:pPr>
        <w:spacing w:after="0" w:line="1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For clarity, Participant and the Company agree that this Arbitration Agreement does not affect any of Participant’s statutory rights under any minimum standards legislation, and Participant is not restricted from commencing a complaint to the appropriate governmental authority under any minimum standards legislation including but not limited to the local minimum employment standards legislation, the local occupational health and safety legislation, the local pay equity legislation, the local workplace safety insurance legislation; in Ontario, the </w:t>
      </w:r>
      <w:r>
        <w:rPr>
          <w:rFonts w:ascii="Times New Roman" w:cs="Times New Roman" w:eastAsia="Times New Roman" w:hAnsi="Times New Roman"/>
          <w:sz w:val="22"/>
          <w:szCs w:val="22"/>
          <w:i w:val="1"/>
          <w:iCs w:val="1"/>
          <w:color w:val="auto"/>
        </w:rPr>
        <w:t>Employment Standards Act, 2000</w:t>
      </w:r>
      <w:r>
        <w:rPr>
          <w:rFonts w:ascii="Times New Roman" w:cs="Times New Roman" w:eastAsia="Times New Roman" w:hAnsi="Times New Roman"/>
          <w:sz w:val="22"/>
          <w:szCs w:val="22"/>
          <w:color w:val="auto"/>
        </w:rPr>
        <w:t xml:space="preserve">, S.O. 2000, c. 41, </w:t>
      </w:r>
      <w:r>
        <w:rPr>
          <w:rFonts w:ascii="Times New Roman" w:cs="Times New Roman" w:eastAsia="Times New Roman" w:hAnsi="Times New Roman"/>
          <w:sz w:val="22"/>
          <w:szCs w:val="22"/>
          <w:i w:val="1"/>
          <w:iCs w:val="1"/>
          <w:color w:val="auto"/>
        </w:rPr>
        <w:t>Occupational Health and Safety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R.S.O. 1990, c. O.1,</w:t>
      </w:r>
      <w:r>
        <w:rPr>
          <w:rFonts w:ascii="Times New Roman" w:cs="Times New Roman" w:eastAsia="Times New Roman" w:hAnsi="Times New Roman"/>
          <w:sz w:val="22"/>
          <w:szCs w:val="22"/>
          <w:i w:val="1"/>
          <w:iCs w:val="1"/>
          <w:color w:val="auto"/>
        </w:rPr>
        <w:t xml:space="preserve"> Pay Equity Act</w:t>
      </w:r>
      <w:r>
        <w:rPr>
          <w:rFonts w:ascii="Times New Roman" w:cs="Times New Roman" w:eastAsia="Times New Roman" w:hAnsi="Times New Roman"/>
          <w:sz w:val="22"/>
          <w:szCs w:val="22"/>
          <w:color w:val="auto"/>
        </w:rPr>
        <w:t>, R.S.O. 1990, c. P.7,</w:t>
      </w:r>
      <w:r>
        <w:rPr>
          <w:rFonts w:ascii="Times New Roman" w:cs="Times New Roman" w:eastAsia="Times New Roman" w:hAnsi="Times New Roman"/>
          <w:sz w:val="22"/>
          <w:szCs w:val="22"/>
          <w:i w:val="1"/>
          <w:iCs w:val="1"/>
          <w:color w:val="auto"/>
        </w:rPr>
        <w:t xml:space="preserve"> Workplace Safety and Insurance Act</w:t>
      </w:r>
      <w:r>
        <w:rPr>
          <w:rFonts w:ascii="Times New Roman" w:cs="Times New Roman" w:eastAsia="Times New Roman" w:hAnsi="Times New Roman"/>
          <w:sz w:val="22"/>
          <w:szCs w:val="22"/>
          <w:color w:val="auto"/>
        </w:rPr>
        <w:t>, 1997, S.O. 1997, c.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 A; and other similar legislation in every other province and territory (if applicable). Furthermore, Participant and the Company agree that, to the fullest extent permitted under applicable law, disputes involving alleged breaches of the local human rights code or legislation shall be resolved by arbitration; but nothing in this Arbitration Agreement limits or waives any of Participant’s substantive rights under local human rights code or legislation.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agreeing to arbitration, Participant understands that Participant and the Company are waiving the right to sue in court or have a jury trial for any Claim or Claims, except as otherwise provided in this Arbitration Agreement or required by applicable law. This Arbitration Agreement is intended to require arbitration of every claim or dispute that can lawfully be arbitrated.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u w:val="single" w:color="auto"/>
          <w:color w:val="auto"/>
        </w:rPr>
        <w:t>Prohibition of Class Actions and Non-Individualized Relief</w:t>
      </w:r>
      <w:r>
        <w:rPr>
          <w:rFonts w:ascii="Times New Roman" w:cs="Times New Roman" w:eastAsia="Times New Roman" w:hAnsi="Times New Roman"/>
          <w:sz w:val="21"/>
          <w:szCs w:val="21"/>
          <w:color w:val="auto"/>
        </w:rPr>
        <w:t>. Participant understands and agrees that, to the fullest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permissible under applicable law, Participant and the Company may each bring claims in arbitration against the other only in an individual capacity and not on a class, collective or representative basis (“Class Action Waiver”). Participant understands and agrees that Participant and the Company both are waiving the right to pursue or have a dispute resolved as a plaintiff or class member in any purported class, collective or representative proceeding. An arbitrator appointed pursuant to this arbitration agreement shall have no authority to consider or resolve any claim or issue any relief on any basis other than an individual basis. The arbitrator shall have no authority to consider or resolve any claim or issue any relief on a class, collective, or representative basis. Notwithstanding any other provision of this Award Agreement, or the Arbitration Agreement, or the Alternative Dispute Resolution Institute of Canada Inc. Arbitration Rules, disputes regarding the scope, applicability, enforceability, revocability or validity of the Class Action Waiver may be resolved only by a civil court of competent jurisdiction and not by an arbitrator. In any case in which: (1) the dispute is filed as a class, collective, or representative action and (2) there is a final judicial determination that the Class Action Waiver is unenforceable as to any Claims, the class, collective, and/or representative action in respect of such Claims must be litigated in a civil court of competent jurisdiction, but the Class Action Waiver shall be enforced in arbitration on an individual basis as to all other Claims to the fullest extent possible.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u w:val="single" w:color="auto"/>
          <w:color w:val="auto"/>
        </w:rPr>
        <w:t>Rules Governing Arbitration</w:t>
      </w:r>
      <w:r>
        <w:rPr>
          <w:rFonts w:ascii="Times New Roman" w:cs="Times New Roman" w:eastAsia="Times New Roman" w:hAnsi="Times New Roman"/>
          <w:sz w:val="21"/>
          <w:szCs w:val="21"/>
          <w:color w:val="auto"/>
        </w:rPr>
        <w:t>. Any arbitration conducted pursuant to this Arbitration Agreement shall be administered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Alternative Dispute Resolution Institute of Canada Inc. Arbitration Rules (hereafter the “Rules”) and pursuant to the Rules. Notwithstanding the foregoing, if requested by Participant and if proper based on the facts and circumstances of the Claims presented, the arbitrator shall have the discretion to select a different set of arbitration rules, but in no event shall the arbitrator consolidate more than one person’s Claims, or otherwise preside over any form of class, collective or representative proceeding.</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As part of the arbitration, both Participant and the Company will have the opportunity for reasonable discovery of non-privileged information that is relevant to the Claim. The arbitrator may award any individualized remedies that would be available in court. The arbitrator may award declaratory or injunctive relief only in favor of the individual party seeking relief and only to the extent necessary to provide relief warranted by that party’s individual Claims. The arbitrator will provide a reasoned written statement of the arbitrator’s decision which shall explain the award given and the findings and conclusions on which the decision is based.</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arbitrator will decide the substance of all Claims in accordance with applicable law and will honor all claims of privilege recognized by law. The arbitrator shall not be bound by rulings in prior arbitrations involving any other person or employee, but the arbitrator is bound by rulings in prior arbitrations involving the same employee to the extent required by applicable law. The arbitrator’s award shall be final and binding and judgment on the award rendered by the arbitrator may be entered in any court of competent jurisdiction, provided that such award may be challenged to the extent provided for under applicable law.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Arbitration Fees and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payment of filing and arbitration fees will be governed by the Rules subject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modifications:</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Participant initiates arbitration under this Arbitration Agreement after participating in the optional negotiation process described below and is otherwise required to pay a filing fee under the Rules, the Company agrees that, unless Participant’s Claim is for $5,000 or more, Participant’s share of the filing and arbitration fees is limited to $50, and that, after Participant submits proof of payment of the filing fee to the Company, the Company will promptly reimburse Participant for all but $50 of the filing fee. If, however, the arbitrator finds that either the substance of Participant’s Claim or the relief sought in the Claim is frivolous, vexatious or brought for an improper purpose, then the payment of all such fees will be governed by the Rules.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Company initiates arbitration under this Arbitration Agreement, the Company will pay all filing and arbitration fees under the Rules.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 respect to any Claims brought by the Company against a Participant, the Company shall pay all costs unique to arbitration (as compared to the costs of adjudicating the same Claims before a court), including the regular and customary arbitration fees and expenses (to the extent not paid by the Company pursuant to the fee provisions above). However, if Participant is the party initiating arbitration, Participant shall be responsible for contributing up to an amount equal to the filing fee that would be paid to initiate the Claim in the court of general jurisdiction in the province in which Participant resides, unless a lower fee amount would be owed by Participant pursuant to the Rules, applicable law, or this Arbitration Agreement. Any dispute as to whether a cost is unique to arbitration shall be resolved by the arbitrator.</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provided in any applicable rules of civil procedure, each party shall pay its own legal fees and pay any costs that are not unique to the arbitration (i.e., costs that each party would incur if the Claim(s) were litigated in a court such as costs to subpoena witnesses and/or documents, take depositions and purchase deposition transcripts, copy documents, etc.).</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At the end of any arbitration, the arbitrator may award reasonable fees and costs or any portion thereof to Participant if Participant prevails, to the extent authorized by applicable law.</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Although the Company may have a right to an award of legal fees and non-filing fee expenses if it prevails in an arbitration, the Company agrees that it will not seek such an award.</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the arbitrator issues Participant an award that is greater than the value of the Company’s last written settlement offer made after Participant participated in good faith in the optional negotiation process described in this Arbitration Agreement, then the Company will pay Participant the amount of the award or CDN$1,000, whichever is greater.</w:t>
      </w:r>
    </w:p>
    <w:p>
      <w:pPr>
        <w:spacing w:after="0" w:line="1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Location and Manner of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Participant and the Company agree otherwise, any arbitration hearings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Agreement will take place before one (1) arbitrator (the “Arbitrator”) appointed in accordance with the Rules. The seat of the Arbitration will be Toronto unless otherwise agreed by the parties. The language of the arbitration shall be English unless otherwise agreed by the parties. The Arbitrator shall have the right to determine all questions of law and jurisdiction including questions as to whether a Claim is arbitrable and shall have the right to grant final and interim damages awards. There will be no appeal from the decision of the arbitrator 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questions of fact, law, or mixed fact and law. If Participant’s Claim is for $25,000 or less, the Company agrees that Participant may choose whether the arbitration will be conducted solely on the basis of documents submitted to the arbitrator, through a telephonic hearing, or by an in-person hearing as determined by the Rules. If Participant’s Claim exceeds $25,000, the right to a hearing will be determined by the Rules.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Opting Out of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may opt out of the requirement to arbitrate pursuant to the terms of this subsection.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does not wish to be subject to this Arbitration Agreement, Participant may opt out of arbitration by notifying the Company in writing of Participant’s desire to opt out of arbitration, which writing must be dated, signed and delivered by: (1) electronic mail to the Company, or (2) by certified mail, postage prepaid and return receipt requested, or by any nationally recognized delivery service that is addressed to Paymentus, 1595 16th Avenue, Richmond Hill, Ontario, L4B 3N9. In order to be effective, (a) the writing must clearly indicate Participant’s intent to opt out of this Arbitration Agreement, (b) the writing must include Participant’s name, phone number, and email address, and (c) the email or envelope containing the signed writing must be sent within 30 days of the date this Agreement is executed by Participant. Should Participant not opt out within the 30-day period, Participant and the Company shall be bound by the terms of this Arbitration Agreement in full, to the extent allowable by law. Participant should assume that in the future there may be lawsuits against the Company alleging class, collective, and/or representative Claims, in which the plaintiffs seek to act on Participant’s behalf, and which, if successful, could result in some monetary recovery to Participant. But if Participant does agree to arbitration with the Company under this Arbitration Agreement, then Participant is agreeing in advance that Participant will bring all such Claims, and seek all monetary and other relief, against the Company in an individual arbitration provision. Participant is also agreeing in advance that Participant will not participate in or seek to recover monetary or other relief for such Claims in any court action or class, collective, and/or representative action. Participant has the right to consult with counsel of Participant’s choice concerning this Arbitration Agreement and Participant will not be subject to retaliation if Participant exercises Participant’s right to assert claims or opt-out of this Arbitration Agreement.</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Optional Pre-Arbitration Negotiation Process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initiating any arbitration or proceeding, Participant and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agree to first attempt to negotiate any dispute, claim or controversy between the parties informally for 30 days, unless this time period is mutually extended by Participant and the Company. A party who intends to seek negotiation under this subsection must first send to the other a written notice of the dispute (“Notice”). The Notice must (1) describe the nature and basis of the claim or dispute; and (2) set forth the specific relief sought. All offers, promises, conduct and statements, whether oral or written, made in the course of the negotiation by any of the parties, their agents, employees, and lawyers are confidential, privileged and inadmissible for any purpose, including as evidence of liability or for impeachment, in arbitration or other proceeding involving the parties, provided that evidence that is otherwise admissible or discoverable shall not be rendered inadmissible or non-discoverable as a result of its use in the negotiation.</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Arbitration Agreement shall be binding upon, and shall include any Claims brought by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third parties, including but not limited to Participant’s spouses, heirs, third-party beneficiaries and permitted assigns, where their underlying claim(s) arise out of or relate to Participant’s employment with the Company. To the extent that any third-party beneficiary to this Agreement brings claims against a party, those claims shall also be subject to this Arbitration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Arbitration Agreement shall be governed by the laws of the province in which Participant resides. If any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is or becomes invalid or non-binding, the parties shall remain bound by all other provisions of this Agreement. In that event, the parties shall replace the invalid or non-binding provision with provisions that are valid and binding and that have, to the greatest extent possible, a similar effect as the invalid or non-binding provision, given the contents and purpose of this Agreement. Any notices to Participant shall be provided to Participant via the email address or physical address Participant provides to the Company during employment. Headings are for reference purposes only and in no way define, limit, construe or describe the scope or extent of such section. The words “include”, “includes” and “including” are deemed to be followed by the words “without limitation”. A party’s failure to act with respect to a breach by the other party does not constitute a waiver of the party’s right to act with respect to subsequent or similar breaches, any such waiver shall be in writing. This Arbitration Agreement sets forth the entire understanding and agreement between Participant and the Company with respect to the subject matter hereof and supersedes all previous understandings and agreements between the parties, whether oral or written. The place of this Agreement is Toronto, Ontario. In the event that any portion of this Agreement, including any portion of the Arbitration Agreement, is deemed illegal or unenforceable, such provision shall be severed and the remainder of the Agreement shall be given full force and effect.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Exchange Control Notification</w:t>
      </w:r>
      <w:r>
        <w:rPr>
          <w:rFonts w:ascii="Times New Roman" w:cs="Times New Roman" w:eastAsia="Times New Roman" w:hAnsi="Times New Roman"/>
          <w:sz w:val="22"/>
          <w:szCs w:val="22"/>
          <w:color w:val="auto"/>
        </w:rPr>
        <w:t>. Participant is required to repatriate to India, or cause to be repatriated, any proceeds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of Shares acquired under the Plan and any dividends received in relation to the Shares within such time as prescribed under applicable Indian exchange control laws as may be amended from time to time. Participant should obtain a foreign inward remittance certificate (“</w:t>
      </w:r>
      <w:r>
        <w:rPr>
          <w:rFonts w:ascii="Times New Roman" w:cs="Times New Roman" w:eastAsia="Times New Roman" w:hAnsi="Times New Roman"/>
          <w:sz w:val="22"/>
          <w:szCs w:val="22"/>
          <w:u w:val="single" w:color="auto"/>
          <w:color w:val="auto"/>
        </w:rPr>
        <w:t>FIRC</w:t>
      </w:r>
      <w:r>
        <w:rPr>
          <w:rFonts w:ascii="Times New Roman" w:cs="Times New Roman" w:eastAsia="Times New Roman" w:hAnsi="Times New Roman"/>
          <w:sz w:val="22"/>
          <w:szCs w:val="22"/>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Times New Roman" w:cs="Times New Roman" w:eastAsia="Times New Roman" w:hAnsi="Times New Roman"/>
          <w:sz w:val="22"/>
          <w:szCs w:val="22"/>
          <w:i w:val="1"/>
          <w:iCs w:val="1"/>
          <w:color w:val="auto"/>
        </w:rPr>
        <w:t>Participant should consult with his or her personal legal adviser to ensure compliance with the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Prior approval of the Reserve Bank of India is not required for Shares to be acquired or sold by Indian Participants where (i) participation in the Plan is offered globally on a uniform basis (i.e., Indian Participants participate in the Plan on terms no less favorable than participants in other countries); and (ii) reporting by the local employing company on the prescribed form OPI is made with the designated authorized dealer bank within sixty (60) days of the end of the half year (from March and September) in which Shares are allotted under the Plan. If the local employing company is unable to file form OPI within sixty (60) days of the end of the half year in which Shares are allotted then it can still make a filing of form OPI within three (3) years of its due date, along with the late fee prescribed by the RBI (which is currently INR 7,500). If the local employing company is still unable to submit the form OPI within three (3) years of its due date, then such company has to approach Reserve Bank of India for compounding of offence.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Governing Law and Dispute Resolution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shall be governed by and construed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India, without regard to the conflict of laws principles.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the event any dispute or difference arises between any of the parties arising out of or relating to the Award Agreement and the Restricted Stock Units, in connection with the validity, interpretation, implementation or alleged breach of any provision of this Award Agreement, the parties hereto shall endeavor to settle such dispute amicably. Any dispute that remains unresolved for a period of sixty (60) days shall be resolved by binding arbitration. The arbitration shall be conducted by a sole arbitrator in accordance with the provisions of the Delhi International Arbitration Centre (DIAC) (Arbitration Proceedings) Rules, 2023 in force at the time of the application, which Rules are deemed to be incorporated by reference herein. The seat and venue of the arbitration shall be New Delhi, India. The language of the arbitration shall be English. The award rendered by the arbitrator shall be final, conclusive, and binding on the parties. Judgment upon the award may be entered in any court of competent jurisdiction.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APPENDIX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ADDENDUM TO RESTRICTED STOCK AWARD AGREEMENT</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Restrictive Covenants Addendum to Restricted Stock Award Agreement will be ascribed the same defined meanings as set forth in the Restricted Stock Award Agreement of which this Restrictive Covenants Addendum forms a part (or the Plan or other written agreement as specified in the Restricted Stock Award Agreement).</w:t>
      </w:r>
    </w:p>
    <w:p>
      <w:pPr>
        <w:ind w:left="760" w:hanging="752"/>
        <w:spacing w:after="0" w:line="231" w:lineRule="auto"/>
        <w:tabs>
          <w:tab w:leader="none" w:pos="760" w:val="left"/>
        </w:tabs>
        <w:numPr>
          <w:ilvl w:val="0"/>
          <w:numId w:val="3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Confidential Information</w:t>
      </w:r>
    </w:p>
    <w:p>
      <w:pPr>
        <w:jc w:val="both"/>
        <w:ind w:left="1500" w:hanging="743"/>
        <w:spacing w:after="0" w:line="230"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7"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 w:lineRule="exact"/>
        <w:rPr>
          <w:rFonts w:ascii="Times New Roman" w:cs="Times New Roman" w:eastAsia="Times New Roman" w:hAnsi="Times New Roman"/>
          <w:sz w:val="22"/>
          <w:szCs w:val="22"/>
          <w:color w:val="auto"/>
        </w:rPr>
      </w:pPr>
    </w:p>
    <w:p>
      <w:pPr>
        <w:jc w:val="both"/>
        <w:ind w:left="1500" w:hanging="743"/>
        <w:spacing w:after="0" w:line="232"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Restrictive Covenants Addendum is intended to prohibit 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5" w:name="page76"/>
    <w:bookmarkEnd w:id="75"/>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174" w:lineRule="exact"/>
        <w:rPr>
          <w:sz w:val="20"/>
          <w:szCs w:val="20"/>
          <w:color w:val="auto"/>
        </w:rPr>
      </w:pPr>
    </w:p>
    <w:p>
      <w:pPr>
        <w:jc w:val="both"/>
        <w:ind w:left="760" w:hanging="752"/>
        <w:spacing w:after="0" w:line="234" w:lineRule="auto"/>
        <w:tabs>
          <w:tab w:leader="none" w:pos="760" w:val="left"/>
        </w:tabs>
        <w:numPr>
          <w:ilvl w:val="0"/>
          <w:numId w:val="3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Limited Non-Compete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and agree that, as a result of Participant’s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(i) 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2"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1" w:lineRule="auto"/>
        <w:tabs>
          <w:tab w:leader="none" w:pos="760" w:val="left"/>
        </w:tabs>
        <w:numPr>
          <w:ilvl w:val="0"/>
          <w:numId w:val="37"/>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Non-Solicitation of Customers/Prospective Customers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expressly agrees that during the Restricted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3" w:lineRule="exact"/>
        <w:rPr>
          <w:rFonts w:ascii="Times New Roman" w:cs="Times New Roman" w:eastAsia="Times New Roman" w:hAnsi="Times New Roman"/>
          <w:sz w:val="21"/>
          <w:szCs w:val="21"/>
          <w:b w:val="1"/>
          <w:bCs w:val="1"/>
          <w:u w:val="single" w:color="auto"/>
          <w:color w:val="auto"/>
        </w:rPr>
      </w:pPr>
    </w:p>
    <w:p>
      <w:pPr>
        <w:jc w:val="both"/>
        <w:ind w:left="760" w:hanging="752"/>
        <w:spacing w:after="0" w:line="230" w:lineRule="auto"/>
        <w:tabs>
          <w:tab w:leader="none" w:pos="760" w:val="left"/>
        </w:tabs>
        <w:numPr>
          <w:ilvl w:val="0"/>
          <w:numId w:val="3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Non-Raiding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expressly agrees that during the Restricted Period, Participant will not,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indirectly, either alone or by assisting or acting in concert with others, on behalf of themselves or any other person, business or entity, solicit, induce, encourage or attempt to solicit, induce or encourage any then current employee or independent contractor of the Company (each, a “Restricted Employee”) to alter or terminate their relationship with the Company, or hire, employ, recruit or attempt to hire, employ or recruit any Restricted Employee on behalf of any other person, business or entity.</w:t>
      </w:r>
    </w:p>
    <w:p>
      <w:pPr>
        <w:spacing w:after="0" w:line="3"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32" w:lineRule="auto"/>
        <w:tabs>
          <w:tab w:leader="none" w:pos="760" w:val="left"/>
        </w:tabs>
        <w:numPr>
          <w:ilvl w:val="0"/>
          <w:numId w:val="3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Participant breaches any of the restrictive covenants set forth in this Restrictive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Addendum, the then-unvested portion of the Restricted Stock Award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6" w:name="page77"/>
    <w:bookmarkEnd w:id="76"/>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portion of the Restricted Stock Award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2" w:lineRule="exact"/>
        <w:rPr>
          <w:sz w:val="20"/>
          <w:szCs w:val="20"/>
          <w:color w:val="auto"/>
        </w:rPr>
      </w:pPr>
    </w:p>
    <w:p>
      <w:pPr>
        <w:jc w:val="both"/>
        <w:ind w:left="760" w:hanging="752"/>
        <w:spacing w:after="0" w:line="230" w:lineRule="auto"/>
        <w:tabs>
          <w:tab w:leader="none" w:pos="760" w:val="left"/>
        </w:tabs>
        <w:numPr>
          <w:ilvl w:val="0"/>
          <w:numId w:val="3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and agrees that the Restricted Period shall be tolled on a day-for-day basis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periods in which Participant 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4" w:lineRule="exact"/>
        <w:rPr>
          <w:rFonts w:ascii="Times New Roman" w:cs="Times New Roman" w:eastAsia="Times New Roman" w:hAnsi="Times New Roman"/>
          <w:sz w:val="22"/>
          <w:szCs w:val="22"/>
          <w:b w:val="1"/>
          <w:bCs w:val="1"/>
          <w:u w:val="single" w:color="auto"/>
          <w:color w:val="auto"/>
        </w:rPr>
      </w:pPr>
    </w:p>
    <w:p>
      <w:pPr>
        <w:ind w:left="760" w:hanging="752"/>
        <w:spacing w:after="0" w:line="230" w:lineRule="auto"/>
        <w:tabs>
          <w:tab w:leader="none" w:pos="760" w:val="left"/>
        </w:tabs>
        <w:numPr>
          <w:ilvl w:val="0"/>
          <w:numId w:val="3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all purposes throughout this Restrictive Covenants Addendum, the terms defined below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meanings specified in this section.</w:t>
      </w:r>
    </w:p>
    <w:p>
      <w:pPr>
        <w:spacing w:after="0" w:line="1" w:lineRule="exact"/>
        <w:rPr>
          <w:rFonts w:ascii="Times New Roman" w:cs="Times New Roman" w:eastAsia="Times New Roman" w:hAnsi="Times New Roman"/>
          <w:sz w:val="22"/>
          <w:szCs w:val="22"/>
          <w:b w:val="1"/>
          <w:bCs w:val="1"/>
          <w:u w:val="single" w:color="auto"/>
          <w:color w:val="auto"/>
        </w:rPr>
      </w:pPr>
    </w:p>
    <w:p>
      <w:pPr>
        <w:jc w:val="both"/>
        <w:ind w:left="1500" w:hanging="743"/>
        <w:spacing w:after="0" w:line="230" w:lineRule="auto"/>
        <w:tabs>
          <w:tab w:leader="none" w:pos="15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4"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 shall mean: (i) providing the same or similar services or expertise Participant provided to the Company at any time during the twelve (12) months prior to cessation of employment; (ii) any involvement where Participant will be responsible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7" w:name="page78"/>
    <w:bookmarkEnd w:id="77"/>
    <w:p>
      <w:pPr>
        <w:jc w:val="both"/>
        <w:ind w:left="743"/>
        <w:spacing w:after="0" w:line="236" w:lineRule="auto"/>
        <w:rPr>
          <w:sz w:val="20"/>
          <w:szCs w:val="20"/>
          <w:color w:val="auto"/>
        </w:rPr>
      </w:pPr>
      <w:r>
        <w:rPr>
          <w:rFonts w:ascii="Times New Roman" w:cs="Times New Roman" w:eastAsia="Times New Roman" w:hAnsi="Times New Roman"/>
          <w:sz w:val="22"/>
          <w:szCs w:val="22"/>
          <w:color w:val="auto"/>
        </w:rPr>
        <w:t>for managing others, participating in strategic decision-making, engaging in research or development, or personally selling products or services that are the same as or substantially similar to the products or services market, sold, or provided by the Company; or (iii) any other capacity where Participant’s knowledge of the Company’s Confidential Information could provide a competitive advantage to any Competing Business.</w:t>
      </w:r>
    </w:p>
    <w:p>
      <w:pPr>
        <w:spacing w:after="0" w:line="1" w:lineRule="exact"/>
        <w:rPr>
          <w:sz w:val="20"/>
          <w:szCs w:val="20"/>
          <w:color w:val="auto"/>
        </w:rPr>
      </w:pPr>
    </w:p>
    <w:p>
      <w:pPr>
        <w:jc w:val="both"/>
        <w:ind w:left="743" w:hanging="743"/>
        <w:spacing w:after="0" w:line="230" w:lineRule="auto"/>
        <w:tabs>
          <w:tab w:leader="none" w:pos="74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3"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12" w:lineRule="exact"/>
        <w:rPr>
          <w:rFonts w:ascii="Times New Roman" w:cs="Times New Roman" w:eastAsia="Times New Roman" w:hAnsi="Times New Roman"/>
          <w:sz w:val="21"/>
          <w:szCs w:val="21"/>
          <w:color w:val="auto"/>
        </w:rPr>
      </w:pPr>
    </w:p>
    <w:p>
      <w:pPr>
        <w:ind w:left="743" w:hanging="743"/>
        <w:spacing w:after="0"/>
        <w:tabs>
          <w:tab w:leader="none" w:pos="74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of the Company shall mean any business or entity that agreed, verbally or</w:t>
      </w:r>
    </w:p>
    <w:p>
      <w:pPr>
        <w:spacing w:after="0" w:line="223"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19" w:right="339" w:bottom="1440" w:gutter="0" w:footer="0" w:header="0"/>
        </w:sectPr>
      </w:pPr>
    </w:p>
    <w:bookmarkStart w:id="78" w:name="page79"/>
    <w:bookmarkEnd w:id="78"/>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in writing, to purchase products or services from the Company or actually purchased products or services from the Company within the twelve (12) months preceding the cessation of Participant’s employment with the Company.</w:t>
      </w:r>
    </w:p>
    <w:p>
      <w:pPr>
        <w:ind w:left="1500" w:hanging="743"/>
        <w:spacing w:after="0" w:line="230" w:lineRule="auto"/>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“employment” shall include service as an employee, consultant, or other service provider of the Company or any Subsidiary or Parent of the Company.</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 (ii) 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3"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2"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Period” shall mean the entire period of Participant’s employment with the Company and a twelve (12) month period immediately following the cessation of Participant’s employment.</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Territory” shall mean (i) Participant’s designated territory or area of responsibility as of the cessation of Participant’s employment with the Company; and (ii) the geographic areas in which Participant, during any time in the last twelve (12) months of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3" w:lineRule="exact"/>
        <w:rPr>
          <w:rFonts w:ascii="Times New Roman" w:cs="Times New Roman" w:eastAsia="Times New Roman" w:hAnsi="Times New Roman"/>
          <w:sz w:val="22"/>
          <w:szCs w:val="22"/>
          <w:color w:val="auto"/>
        </w:rPr>
      </w:pPr>
    </w:p>
    <w:p>
      <w:pPr>
        <w:jc w:val="both"/>
        <w:ind w:left="760" w:hanging="752"/>
        <w:spacing w:after="0" w:line="230" w:lineRule="auto"/>
        <w:tabs>
          <w:tab w:leader="none" w:pos="760" w:val="left"/>
        </w:tabs>
        <w:numPr>
          <w:ilvl w:val="0"/>
          <w:numId w:val="4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Participant’s Right to Consult with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that Participant has been provided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and has been made 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2"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3" w:lineRule="auto"/>
        <w:tabs>
          <w:tab w:leader="none" w:pos="760" w:val="left"/>
        </w:tabs>
        <w:numPr>
          <w:ilvl w:val="0"/>
          <w:numId w:val="41"/>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Notification of New Employer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Before Participant accepts employment or enters into any consulting,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 or other 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9" w:name="page80"/>
    <w:bookmarkEnd w:id="79"/>
    <w:p>
      <w:pPr>
        <w:jc w:val="both"/>
        <w:ind w:left="760" w:hanging="752"/>
        <w:spacing w:after="0" w:line="235" w:lineRule="auto"/>
        <w:tabs>
          <w:tab w:leader="none" w:pos="760" w:val="left"/>
        </w:tabs>
        <w:numPr>
          <w:ilvl w:val="0"/>
          <w:numId w:val="4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State Law Exceptions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acknowledges and agrees that, in certain states the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Restrictive Covenants Addendum may have limited or no applicability. The Company intends for this Restrictive Covenants Addendum to comply fully with state and local laws and, as such, acknowledges that this Restrictive Covenants Addendum is limited or not applicable in the following states. To the extent that there are additional limitations not acknowledged herein, the Company intends for this</w:t>
      </w:r>
    </w:p>
    <w:p>
      <w:pPr>
        <w:spacing w:after="0" w:line="4" w:lineRule="exact"/>
        <w:rPr>
          <w:rFonts w:ascii="Times New Roman" w:cs="Times New Roman" w:eastAsia="Times New Roman" w:hAnsi="Times New Roman"/>
          <w:sz w:val="22"/>
          <w:szCs w:val="22"/>
          <w:b w:val="1"/>
          <w:bCs w:val="1"/>
          <w:u w:val="single" w:color="auto"/>
          <w:color w:val="auto"/>
        </w:rPr>
      </w:pPr>
    </w:p>
    <w:p>
      <w:pPr>
        <w:jc w:val="both"/>
        <w:ind w:left="760"/>
        <w:spacing w:after="0" w:line="230" w:lineRule="auto"/>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2" w:lineRule="exact"/>
        <w:rPr>
          <w:rFonts w:ascii="Times New Roman" w:cs="Times New Roman" w:eastAsia="Times New Roman" w:hAnsi="Times New Roman"/>
          <w:sz w:val="22"/>
          <w:szCs w:val="22"/>
          <w:b w:val="1"/>
          <w:bCs w:val="1"/>
          <w:u w:val="single" w:color="auto"/>
          <w:color w:val="auto"/>
        </w:rPr>
      </w:pPr>
    </w:p>
    <w:p>
      <w:pPr>
        <w:jc w:val="both"/>
        <w:ind w:left="1500" w:hanging="743"/>
        <w:spacing w:after="0" w:line="230" w:lineRule="auto"/>
        <w:tabs>
          <w:tab w:leader="none" w:pos="15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Arizona</w:t>
      </w:r>
      <w:r>
        <w:rPr>
          <w:rFonts w:ascii="Times New Roman" w:cs="Times New Roman" w:eastAsia="Times New Roman" w:hAnsi="Times New Roman"/>
          <w:sz w:val="22"/>
          <w:szCs w:val="22"/>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California</w:t>
      </w:r>
      <w:r>
        <w:rPr>
          <w:rFonts w:ascii="Times New Roman" w:cs="Times New Roman" w:eastAsia="Times New Roman" w:hAnsi="Times New Roman"/>
          <w:sz w:val="21"/>
          <w:szCs w:val="21"/>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2" w:lineRule="exact"/>
        <w:rPr>
          <w:rFonts w:ascii="Times New Roman" w:cs="Times New Roman" w:eastAsia="Times New Roman" w:hAnsi="Times New Roman"/>
          <w:sz w:val="21"/>
          <w:szCs w:val="21"/>
          <w:color w:val="auto"/>
        </w:rPr>
      </w:pPr>
    </w:p>
    <w:p>
      <w:pPr>
        <w:jc w:val="both"/>
        <w:ind w:left="1500" w:hanging="743"/>
        <w:spacing w:after="0" w:line="230" w:lineRule="auto"/>
        <w:tabs>
          <w:tab w:leader="none" w:pos="15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Connecticut</w:t>
      </w:r>
      <w:r>
        <w:rPr>
          <w:rFonts w:ascii="Times New Roman" w:cs="Times New Roman" w:eastAsia="Times New Roman" w:hAnsi="Times New Roman"/>
          <w:sz w:val="22"/>
          <w:szCs w:val="22"/>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Florida</w:t>
      </w:r>
      <w:r>
        <w:rPr>
          <w:rFonts w:ascii="Times New Roman" w:cs="Times New Roman" w:eastAsia="Times New Roman" w:hAnsi="Times New Roman"/>
          <w:sz w:val="22"/>
          <w:szCs w:val="22"/>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Hawaii</w:t>
      </w:r>
      <w:r>
        <w:rPr>
          <w:rFonts w:ascii="Times New Roman" w:cs="Times New Roman" w:eastAsia="Times New Roman" w:hAnsi="Times New Roman"/>
          <w:sz w:val="22"/>
          <w:szCs w:val="22"/>
          <w:color w:val="auto"/>
        </w:rPr>
        <w:t>. If Participant’s primary work location is in Hawaii as of the date Participant’s employment with the Company ceases, then after the last day of employment the restrictions in Section 2 of this Restrictive Covenants Addendum will apply geographically only to the specific island(s) within the State of Hawaii for which Participant had managerial and/or sales responsibility.</w:t>
      </w:r>
    </w:p>
    <w:p>
      <w:pPr>
        <w:spacing w:after="0" w:line="2"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Idaho</w:t>
      </w:r>
      <w:r>
        <w:rPr>
          <w:rFonts w:ascii="Times New Roman" w:cs="Times New Roman" w:eastAsia="Times New Roman" w:hAnsi="Times New Roman"/>
          <w:sz w:val="22"/>
          <w:szCs w:val="22"/>
          <w:color w:val="auto"/>
        </w:rPr>
        <w:t>. If Participant’s primary work location is in Idaho as of the date Participant’s employment with the Company ceases, then after the last day of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 course of employment, has 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5" w:lineRule="exact"/>
        <w:rPr>
          <w:rFonts w:ascii="Times New Roman" w:cs="Times New Roman" w:eastAsia="Times New Roman" w:hAnsi="Times New Roman"/>
          <w:sz w:val="22"/>
          <w:szCs w:val="22"/>
          <w:color w:val="auto"/>
        </w:rPr>
      </w:pPr>
    </w:p>
    <w:p>
      <w:pPr>
        <w:jc w:val="both"/>
        <w:ind w:left="1500" w:hanging="743"/>
        <w:spacing w:after="0" w:line="249" w:lineRule="auto"/>
        <w:tabs>
          <w:tab w:leader="none" w:pos="150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Nebraska</w:t>
      </w:r>
      <w:r>
        <w:rPr>
          <w:rFonts w:ascii="Times New Roman" w:cs="Times New Roman" w:eastAsia="Times New Roman" w:hAnsi="Times New Roman"/>
          <w:sz w:val="21"/>
          <w:szCs w:val="21"/>
          <w:color w:val="auto"/>
        </w:rPr>
        <w:t>. If Participant’s primary work location is in Nebraska as of the date Participant’s employment with the Company ceases, then after the last day of employment the restrictions in Section 2 of this Restrictive Covenants Addendum will not apply. After Participant’s employment with the Company ceases, the restrictions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0" w:name="page81"/>
    <w:bookmarkEnd w:id="80"/>
    <w:p>
      <w:pPr>
        <w:jc w:val="both"/>
        <w:ind w:left="743"/>
        <w:spacing w:after="0" w:line="232" w:lineRule="auto"/>
        <w:rPr>
          <w:sz w:val="20"/>
          <w:szCs w:val="20"/>
          <w:color w:val="auto"/>
        </w:rPr>
      </w:pPr>
      <w:r>
        <w:rPr>
          <w:rFonts w:ascii="Times New Roman" w:cs="Times New Roman" w:eastAsia="Times New Roman" w:hAnsi="Times New Roman"/>
          <w:sz w:val="22"/>
          <w:szCs w:val="22"/>
          <w:color w:val="auto"/>
        </w:rPr>
        <w:t>of Section 3 of this Restrictive Covenants Addendum will only apply to the Company’s current Customers, and 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 having personal contact with Customers during Participant’s employment with the Company; and (3) the definition of “Restricted Employee” in Section 4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7" w:lineRule="exact"/>
        <w:rPr>
          <w:sz w:val="20"/>
          <w:szCs w:val="20"/>
          <w:color w:val="auto"/>
        </w:rPr>
      </w:pPr>
    </w:p>
    <w:p>
      <w:pPr>
        <w:jc w:val="both"/>
        <w:ind w:left="743" w:hanging="743"/>
        <w:spacing w:after="0" w:line="230" w:lineRule="auto"/>
        <w:tabs>
          <w:tab w:leader="none" w:pos="7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Tennessee</w:t>
      </w:r>
      <w:r>
        <w:rPr>
          <w:rFonts w:ascii="Times New Roman" w:cs="Times New Roman" w:eastAsia="Times New Roman" w:hAnsi="Times New Roman"/>
          <w:sz w:val="22"/>
          <w:szCs w:val="22"/>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1" w:lineRule="exact"/>
        <w:rPr>
          <w:rFonts w:ascii="Times New Roman" w:cs="Times New Roman" w:eastAsia="Times New Roman" w:hAnsi="Times New Roman"/>
          <w:sz w:val="22"/>
          <w:szCs w:val="22"/>
          <w:color w:val="auto"/>
        </w:rPr>
      </w:pPr>
    </w:p>
    <w:p>
      <w:pPr>
        <w:jc w:val="both"/>
        <w:ind w:left="743" w:hanging="743"/>
        <w:spacing w:after="0" w:line="232" w:lineRule="auto"/>
        <w:tabs>
          <w:tab w:leader="none" w:pos="7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Virginia</w:t>
      </w:r>
      <w:r>
        <w:rPr>
          <w:rFonts w:ascii="Times New Roman" w:cs="Times New Roman" w:eastAsia="Times New Roman" w:hAnsi="Times New Roman"/>
          <w:sz w:val="22"/>
          <w:szCs w:val="22"/>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employment.</w:t>
      </w:r>
    </w:p>
    <w:p>
      <w:pPr>
        <w:spacing w:after="0" w:line="222"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19" w:right="339" w:bottom="1440" w:gutter="0" w:footer="0" w:header="0"/>
        </w:sectPr>
      </w:pPr>
    </w:p>
    <w:bookmarkStart w:id="81" w:name="page82"/>
    <w:bookmarkEnd w:id="81"/>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6"/>
          <w:szCs w:val="16"/>
          <w:color w:val="auto"/>
        </w:rPr>
        <w:t>Date: May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1412240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ind w:left="10300"/>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 Sanjay Kalra, certify that:</w:t>
      </w:r>
    </w:p>
    <w:p>
      <w:pPr>
        <w:spacing w:after="0" w:line="221"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May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1292225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months ended March 31, 2026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900" w:right="820" w:hanging="892"/>
        <w:spacing w:after="0" w:line="28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61"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6"/>
          <w:szCs w:val="16"/>
          <w:color w:val="auto"/>
        </w:rPr>
        <w:t>Date: May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months ended March 31, 2026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020" w:right="700" w:hanging="1012"/>
        <w:spacing w:after="0" w:line="286"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29"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May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8"/>
    </w:lvl>
  </w:abstractNum>
  <w:abstractNum w:abstractNumId="8">
    <w:nsid w:val="2CA88611"/>
    <w:multiLevelType w:val="hybridMultilevel"/>
    <w:lvl w:ilvl="0">
      <w:lvlJc w:val="left"/>
      <w:lvlText w:val="%1."/>
      <w:numFmt w:val="decimal"/>
      <w:start w:val="9"/>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lvl w:ilvl="1">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1E7FF521"/>
    <w:multiLevelType w:val="hybridMultilevel"/>
    <w:lvl w:ilvl="0">
      <w:lvlJc w:val="left"/>
      <w:lvlText w:val="%1."/>
      <w:numFmt w:val="decimal"/>
      <w:start w:val="5"/>
    </w:lvl>
    <w:lvl w:ilvl="1">
      <w:lvlJc w:val="left"/>
      <w:lvlText w:val="(%2)"/>
      <w:numFmt w:val="lowerLetter"/>
      <w:start w:val="1"/>
    </w:lvl>
  </w:abstractNum>
  <w:abstractNum w:abstractNumId="14">
    <w:nsid w:val="7C3DBD3D"/>
    <w:multiLevelType w:val="hybridMultilevel"/>
    <w:lvl w:ilvl="0">
      <w:lvlJc w:val="left"/>
      <w:lvlText w:val="%1."/>
      <w:numFmt w:val="decimal"/>
      <w:start w:val="8"/>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5"/>
    </w:lvl>
    <w:lvl w:ilvl="1">
      <w:lvlJc w:val="left"/>
      <w:lvlText w:val="(%2)"/>
      <w:numFmt w:val="lowerRoman"/>
      <w:start w:val="1"/>
    </w:lvl>
  </w:abstractNum>
  <w:abstractNum w:abstractNumId="17">
    <w:nsid w:val="22221A70"/>
    <w:multiLevelType w:val="hybridMultilevel"/>
    <w:lvl w:ilvl="0">
      <w:lvlJc w:val="left"/>
      <w:lvlText w:val="%1."/>
      <w:numFmt w:val="decimal"/>
      <w:start w:val="28"/>
    </w:lvl>
  </w:abstractNum>
  <w:abstractNum w:abstractNumId="18">
    <w:nsid w:val="4516DDE9"/>
    <w:multiLevelType w:val="hybridMultilevel"/>
    <w:lvl w:ilvl="0">
      <w:lvlJc w:val="left"/>
      <w:lvlText w:val="(%1)"/>
      <w:numFmt w:val="decimal"/>
      <w:start w:val="2"/>
    </w:lvl>
  </w:abstractNum>
  <w:abstractNum w:abstractNumId="19">
    <w:nsid w:val="3006C83E"/>
    <w:multiLevelType w:val="hybridMultilevel"/>
    <w:lvl w:ilvl="0">
      <w:lvlJc w:val="left"/>
      <w:lvlText w:val="%1."/>
      <w:numFmt w:val="decimal"/>
      <w:start w:val="1"/>
    </w:lvl>
    <w:lvl w:ilvl="1">
      <w:lvlJc w:val="left"/>
      <w:lvlText w:val="%2."/>
      <w:numFmt w:val="lowerLetter"/>
      <w:start w:val="1"/>
    </w:lvl>
  </w:abstractNum>
  <w:abstractNum w:abstractNumId="20">
    <w:nsid w:val="614FD4A1"/>
    <w:multiLevelType w:val="hybridMultilevel"/>
    <w:lvl w:ilvl="0">
      <w:lvlJc w:val="left"/>
      <w:lvlText w:val="%1."/>
      <w:numFmt w:val="decimal"/>
      <w:start w:val="2"/>
    </w:lvl>
  </w:abstractNum>
  <w:abstractNum w:abstractNumId="21">
    <w:nsid w:val="419AC241"/>
    <w:multiLevelType w:val="hybridMultilevel"/>
    <w:lvl w:ilvl="0">
      <w:lvlJc w:val="left"/>
      <w:lvlText w:val="%1."/>
      <w:numFmt w:val="decimal"/>
      <w:start w:val="6"/>
    </w:lvl>
    <w:lvl w:ilvl="1">
      <w:lvlJc w:val="left"/>
      <w:lvlText w:val="%2."/>
      <w:numFmt w:val="lowerLetter"/>
      <w:start w:val="1"/>
    </w:lvl>
  </w:abstractNum>
  <w:abstractNum w:abstractNumId="22">
    <w:nsid w:val="5577F8E1"/>
    <w:multiLevelType w:val="hybridMultilevel"/>
    <w:lvl w:ilvl="0">
      <w:lvlJc w:val="left"/>
      <w:lvlText w:val="%1."/>
      <w:numFmt w:val="lowerLetter"/>
      <w:start w:val="4"/>
    </w:lvl>
  </w:abstractNum>
  <w:abstractNum w:abstractNumId="23">
    <w:nsid w:val="440BADFC"/>
    <w:multiLevelType w:val="hybridMultilevel"/>
    <w:lvl w:ilvl="0">
      <w:lvlJc w:val="left"/>
      <w:lvlText w:val="%1"/>
      <w:numFmt w:val="decimal"/>
      <w:start w:val="1"/>
    </w:lvl>
    <w:lvl w:ilvl="1">
      <w:lvlJc w:val="left"/>
      <w:lvlText w:val="%2."/>
      <w:numFmt w:val="lowerLetter"/>
      <w:start w:val="8"/>
    </w:lvl>
  </w:abstractNum>
  <w:abstractNum w:abstractNumId="24">
    <w:nsid w:val="5072367"/>
    <w:multiLevelType w:val="hybridMultilevel"/>
    <w:lvl w:ilvl="0">
      <w:lvlJc w:val="left"/>
      <w:lvlText w:val="%1."/>
      <w:numFmt w:val="decimal"/>
      <w:start w:val="8"/>
    </w:lvl>
    <w:lvl w:ilvl="1">
      <w:lvlJc w:val="left"/>
      <w:lvlText w:val="%2"/>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8"/>
    </w:lvl>
  </w:abstractNum>
  <w:abstractNum w:abstractNumId="27">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5C482A97"/>
    <w:multiLevelType w:val="hybridMultilevel"/>
    <w:lvl w:ilvl="0">
      <w:lvlJc w:val="left"/>
      <w:lvlText w:val="%1."/>
      <w:numFmt w:val="decimal"/>
      <w:start w:val="4"/>
    </w:lvl>
    <w:lvl w:ilvl="1">
      <w:lvlJc w:val="left"/>
      <w:lvlText w:val="(%2)"/>
      <w:numFmt w:val="lowerLetter"/>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decimal"/>
      <w:start w:val="1"/>
    </w:lvl>
    <w:lvl w:ilvl="1">
      <w:lvlJc w:val="left"/>
      <w:lvlText w:val="(%2)"/>
      <w:numFmt w:val="lowerLetter"/>
      <w:start w:val="3"/>
    </w:lvl>
  </w:abstractNum>
  <w:abstractNum w:abstractNumId="31">
    <w:nsid w:val="51EAD36B"/>
    <w:multiLevelType w:val="hybridMultilevel"/>
    <w:lvl w:ilvl="0">
      <w:lvlJc w:val="left"/>
      <w:lvlText w:val="%1."/>
      <w:numFmt w:val="decimal"/>
      <w:start w:val="7"/>
    </w:lvl>
    <w:lvl w:ilvl="1">
      <w:lvlJc w:val="left"/>
      <w:lvlText w:val="%2"/>
      <w:numFmt w:val="lowerLetter"/>
      <w:start w:val="1"/>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8"/>
    </w:lvl>
    <w:lvl w:ilvl="1">
      <w:lvlJc w:val="left"/>
      <w:lvlText w:val="(%2)"/>
      <w:numFmt w:val="lowerRoman"/>
      <w:start w:val="1"/>
    </w:lvl>
  </w:abstractNum>
  <w:abstractNum w:abstractNumId="35">
    <w:nsid w:val="3855585C"/>
    <w:multiLevelType w:val="hybridMultilevel"/>
    <w:lvl w:ilvl="0">
      <w:lvlJc w:val="left"/>
      <w:lvlText w:val="%1."/>
      <w:numFmt w:val="decimal"/>
      <w:start w:val="1"/>
    </w:lvl>
    <w:lvl w:ilvl="1">
      <w:lvlJc w:val="left"/>
      <w:lvlText w:val="%2."/>
      <w:numFmt w:val="lowerLetter"/>
      <w:start w:val="1"/>
    </w:lvl>
  </w:abstractNum>
  <w:abstractNum w:abstractNumId="36">
    <w:nsid w:val="70A64E2A"/>
    <w:multiLevelType w:val="hybridMultilevel"/>
    <w:lvl w:ilvl="0">
      <w:lvlJc w:val="left"/>
      <w:lvlText w:val="%1."/>
      <w:numFmt w:val="decimal"/>
      <w:start w:val="2"/>
    </w:lvl>
  </w:abstractNum>
  <w:abstractNum w:abstractNumId="37">
    <w:nsid w:val="6A2342EC"/>
    <w:multiLevelType w:val="hybridMultilevel"/>
    <w:lvl w:ilvl="0">
      <w:lvlJc w:val="left"/>
      <w:lvlText w:val="%1."/>
      <w:numFmt w:val="decimal"/>
      <w:start w:val="6"/>
    </w:lvl>
    <w:lvl w:ilvl="1">
      <w:lvlJc w:val="left"/>
      <w:lvlText w:val="%2."/>
      <w:numFmt w:val="lowerLetter"/>
      <w:start w:val="1"/>
    </w:lvl>
  </w:abstractNum>
  <w:abstractNum w:abstractNumId="38">
    <w:nsid w:val="2A487CB0"/>
    <w:multiLevelType w:val="hybridMultilevel"/>
    <w:lvl w:ilvl="0">
      <w:lvlJc w:val="left"/>
      <w:lvlText w:val="%1."/>
      <w:numFmt w:val="lowerLetter"/>
      <w:start w:val="4"/>
    </w:lvl>
  </w:abstractNum>
  <w:abstractNum w:abstractNumId="39">
    <w:nsid w:val="1D4ED43B"/>
    <w:multiLevelType w:val="hybridMultilevel"/>
    <w:lvl w:ilvl="0">
      <w:lvlJc w:val="left"/>
      <w:lvlText w:val="%1"/>
      <w:numFmt w:val="decimal"/>
      <w:start w:val="1"/>
    </w:lvl>
    <w:lvl w:ilvl="1">
      <w:lvlJc w:val="left"/>
      <w:lvlText w:val="%2."/>
      <w:numFmt w:val="lowerLetter"/>
      <w:start w:val="7"/>
    </w:lvl>
  </w:abstractNum>
  <w:abstractNum w:abstractNumId="40">
    <w:nsid w:val="725A06FB"/>
    <w:multiLevelType w:val="hybridMultilevel"/>
    <w:lvl w:ilvl="0">
      <w:lvlJc w:val="left"/>
      <w:lvlText w:val="%1."/>
      <w:numFmt w:val="decimal"/>
      <w:start w:val="8"/>
    </w:lvl>
    <w:lvl w:ilvl="1">
      <w:lvlJc w:val="left"/>
      <w:lvlText w:val="%2"/>
      <w:numFmt w:val="lowerLetter"/>
      <w:start w:val="1"/>
    </w:lvl>
  </w:abstractNum>
  <w:abstractNum w:abstractNumId="41">
    <w:nsid w:val="2CD89A32"/>
    <w:multiLevelType w:val="hybridMultilevel"/>
    <w:lvl w:ilvl="0">
      <w:lvlJc w:val="left"/>
      <w:lvlText w:val="%1."/>
      <w:numFmt w:val="decimal"/>
      <w:start w:val="10"/>
    </w:lvl>
    <w:lvl w:ilvl="1">
      <w:lvlJc w:val="left"/>
      <w:lvlText w:val="%2."/>
      <w:numFmt w:val="lowerLetter"/>
      <w:start w:val="1"/>
    </w:lvl>
  </w:abstractNum>
  <w:abstractNum w:abstractNumId="42">
    <w:nsid w:val="57E4CCAF"/>
    <w:multiLevelType w:val="hybridMultilevel"/>
    <w:lvl w:ilvl="0">
      <w:lvlJc w:val="left"/>
      <w:lvlText w:val="%1."/>
      <w:numFmt w:val="lowerLetter"/>
      <w:start w:val="8"/>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189" Type="http://schemas.openxmlformats.org/officeDocument/2006/relationships/hyperlink" Target="https://www.sec.gov/Archives/edgar/data/1841156/000156459021030840/ck7045120534-ex31_9.htm" TargetMode="External"/><Relationship Id="rId190" Type="http://schemas.openxmlformats.org/officeDocument/2006/relationships/hyperlink" Target="https://www.sec.gov/Archives/edgar/data/1841156/000095017023039173/pay-ex3_1.htm" TargetMode="External"/><Relationship Id="rId191" Type="http://schemas.openxmlformats.org/officeDocument/2006/relationships/hyperlink" Target="https://www.sec.gov/Archives/edgar/data/1841156/000095017022025091/pay-ex3_2.htm" TargetMode="External"/><Relationship Id="rId192" Type="http://schemas.openxmlformats.org/officeDocument/2006/relationships/hyperlink" Target="https://www.sec.gov/Archives/edgar/data/1841156/000119312526106283/pay-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2026-05-05T05:21:11Z</dcterms:created>
  <dcterms:modified xsi:type="dcterms:W3CDTF">2026-05-05T05:21:11Z</dcterms:modified>
</cp:coreProperties>
</file>