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30930.htm"/>
      <w:bookmarkStart w:id="1" w:name="kspay20230930"/>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001-40429</w:t>
      </w:r>
    </w:p>
    <w:p>
      <w:pPr>
        <w:pStyle w:val="TextBody"/>
        <w:bidi w:val="0"/>
        <w:jc w:val="center"/>
        <w:rPr>
          <w:rFonts w:ascii="Times New Roman" w:hAnsi="Times New Roman"/>
          <w:b/>
          <w:color w:val="000000"/>
          <w:sz w:val="20"/>
        </w:rPr>
      </w:pPr>
      <w:r>
        <w:rPr>
          <w:rFonts w:ascii="Times New Roman" w:hAnsi="Times New Roman"/>
          <w:b/>
          <w:color w:val="000000"/>
          <w:sz w:val="20"/>
        </w:rPr>
        <w:t>Paymentus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852" w:type="dxa"/>
        <w:jc w:val="left"/>
        <w:tblInd w:w="0" w:type="dxa"/>
        <w:tblLayout w:type="fixed"/>
        <w:tblCellMar>
          <w:top w:w="28" w:type="dxa"/>
          <w:left w:w="28" w:type="dxa"/>
          <w:bottom w:w="28" w:type="dxa"/>
          <w:right w:w="28" w:type="dxa"/>
        </w:tblCellMar>
      </w:tblPr>
      <w:tblGrid>
        <w:gridCol w:w="4171"/>
        <w:gridCol w:w="1681"/>
      </w:tblGrid>
      <w:tr>
        <w:trPr/>
        <w:tc>
          <w:tcPr>
            <w:tcW w:w="417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45-3188251</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11605 North Community House Road,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Charlotte, NC</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28277</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(888) 440-4826</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Securities registered pursuant to Section 12(b) of the Act:</w:t>
      </w:r>
      <w:r>
        <w:rPr>
          <w:rFonts w:ascii="Times New Roman" w:hAnsi="Times New Roman"/>
          <w:color w:val="000000"/>
          <w:sz w:val="20"/>
        </w:rPr>
        <w:t xml:space="preserve"> </w:t>
      </w:r>
    </w:p>
    <w:tbl>
      <w:tblPr>
        <w:tblW w:w="8156" w:type="dxa"/>
        <w:jc w:val="left"/>
        <w:tblInd w:w="0" w:type="dxa"/>
        <w:tblLayout w:type="fixed"/>
        <w:tblCellMar>
          <w:top w:w="28" w:type="dxa"/>
          <w:left w:w="28" w:type="dxa"/>
          <w:bottom w:w="28" w:type="dxa"/>
          <w:right w:w="28" w:type="dxa"/>
        </w:tblCellMar>
      </w:tblPr>
      <w:tblGrid>
        <w:gridCol w:w="3796"/>
        <w:gridCol w:w="109"/>
        <w:gridCol w:w="826"/>
        <w:gridCol w:w="109"/>
        <w:gridCol w:w="3316"/>
      </w:tblGrid>
      <w:tr>
        <w:trPr/>
        <w:tc>
          <w:tcPr>
            <w:tcW w:w="3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Class A 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New York Stock Exchange</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701" w:type="dxa"/>
        <w:jc w:val="left"/>
        <w:tblInd w:w="0" w:type="dxa"/>
        <w:tblLayout w:type="fixed"/>
        <w:tblCellMar>
          <w:top w:w="28" w:type="dxa"/>
          <w:left w:w="28" w:type="dxa"/>
          <w:bottom w:w="28" w:type="dxa"/>
          <w:right w:w="28" w:type="dxa"/>
        </w:tblCellMar>
      </w:tblPr>
      <w:tblGrid>
        <w:gridCol w:w="2326"/>
        <w:gridCol w:w="109"/>
        <w:gridCol w:w="376"/>
        <w:gridCol w:w="109"/>
        <w:gridCol w:w="2311"/>
        <w:gridCol w:w="109"/>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November 1, 2023, the registrant had 20,390,502</w:t>
      </w:r>
      <w:r>
        <w:rPr>
          <w:rFonts w:ascii="Times New Roman" w:hAnsi="Times New Roman"/>
          <w:color w:val="000000"/>
          <w:sz w:val="20"/>
        </w:rPr>
        <w:t xml:space="preserve"> </w:t>
      </w:r>
      <w:r>
        <w:rPr>
          <w:rFonts w:ascii="Times New Roman" w:hAnsi="Times New Roman"/>
          <w:b w:val="false"/>
          <w:color w:val="000000"/>
          <w:sz w:val="20"/>
        </w:rPr>
        <w:t>shares of Class A Common Stock, $0.0001 par value per share and 103,306,842</w:t>
      </w:r>
      <w:r>
        <w:rPr>
          <w:rFonts w:ascii="Times New Roman" w:hAnsi="Times New Roman"/>
          <w:color w:val="000000"/>
          <w:sz w:val="20"/>
        </w:rPr>
        <w:t xml:space="preserve"> </w:t>
      </w:r>
      <w:r>
        <w:rPr>
          <w:rFonts w:ascii="Times New Roman" w:hAnsi="Times New Roman"/>
          <w:b w:val="false"/>
          <w:color w:val="000000"/>
          <w:sz w:val="20"/>
        </w:rPr>
        <w:t>shares of Class B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 w:hAnsi="Times New Roman"/>
                <w:b w:val="false"/>
                <w:color w:val="000000"/>
                <w:sz w:val="20"/>
                <w:u w:val="single"/>
              </w:rPr>
              <w:t>Special Note Reg</w:t>
            </w:r>
            <w:hyperlink w:anchor="forward_looking_statements">
              <w:r>
                <w:rPr>
                  <w:rStyle w:val="InternetLink"/>
                  <w:rFonts w:ascii="Times New Roman" w:hAnsi="Times New Roman"/>
                  <w:b w:val="false"/>
                  <w:color w:val="000080"/>
                  <w:sz w:val="20"/>
                  <w:u w:val="single"/>
                </w:rPr>
                <w:t>arding Forward-Looking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00"/>
                  <w:sz w:val="20"/>
                  <w:u w:val="single"/>
                </w:rPr>
                <w:t>Financial Statements (Unaudited)</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b w:val="false"/>
                  <w:color w:val="000000"/>
                  <w:sz w:val="20"/>
                  <w:u w:val="single"/>
                </w:rPr>
                <w:t>Condensed Consolidated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b w:val="false"/>
                  <w:color w:val="000000"/>
                  <w:sz w:val="20"/>
                  <w:u w:val="single"/>
                </w:rPr>
                <w:t>Condensed Consolidated Statements of Operations and Comprehensive Income</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lders_equity_qtd">
              <w:r>
                <w:rPr>
                  <w:rStyle w:val="InternetLink"/>
                  <w:rFonts w:ascii="Times New Roman" w:hAnsi="Times New Roman"/>
                  <w:b w:val="false"/>
                  <w:color w:val="000000"/>
                  <w:sz w:val="20"/>
                  <w:u w:val="single"/>
                </w:rPr>
                <w:t>Condensed Consolidated Statements of Stockholders' Equity</w:t>
              </w:r>
            </w:hyperlink>
            <w:hyperlink w:anchor="stockhlders_equity_qtd">
              <w:r>
                <w:rPr>
                  <w:rStyle w:val="InternetLink"/>
                  <w:rFonts w:ascii="Times New Roman" w:hAnsi="Times New Roman"/>
                  <w:color w:val="000000"/>
                  <w:sz w:val="20"/>
                </w:rPr>
                <w:t xml:space="preserve"> </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00000"/>
                  <w:sz w:val="20"/>
                  <w:u w:val="single"/>
                </w:rPr>
                <w:t>Condensed Consolidated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b w:val="false"/>
                  <w:color w:val="000000"/>
                  <w:sz w:val="20"/>
                  <w:u w:val="single"/>
                </w:rPr>
                <w:t>Notes to Condensed Consolidated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b w:val="false"/>
                  <w:color w:val="000000"/>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b w:val="false"/>
                  <w:color w:val="000000"/>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b w:val="false"/>
                  <w:color w:val="000000"/>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00"/>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00"/>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00"/>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00"/>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00"/>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b w:val="false"/>
                  <w:color w:val="000000"/>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00"/>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00"/>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bookmarkStart w:id="2" w:name="forward_looking_statements"/>
      <w:bookmarkEnd w:id="2"/>
      <w:r>
        <w:rPr>
          <w:rFonts w:ascii="Times New Roman" w:hAnsi="Times New Roman"/>
          <w:b/>
          <w:i/>
          <w:color w:val="000000"/>
          <w:sz w:val="20"/>
        </w:rPr>
        <w:t>Special Note Regarding Forward-Looking Statements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This quarterly report on Form 10-Q for the quarterly period ended September 30, 2023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effectively manage our growth and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further attract, retain and expand our biller, financial institutions, partner and consumer base;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timely implement and recognize revenue from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of widespread health issues on our operating results, liquidity and financial condition and on our employees, billers, financial institutions, partners, consumers and other key stakeholders;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market opportunity and anticipated trends in our business and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remain competitive as we continue to scale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develop new product features and enhance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hire and retain experienced and talented employees as we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economic conditions, including inflation, and their impact on us, consumer demand, average bill amounts and interchange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maintain and enhance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integrate, manage and keep our information systems secure;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plan to expand into new channels and industry verticals across different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international expansion plans and ability to expand internationally;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those factors described in the sections titled “Risk Factors” and “Management’s Discussion and Analysis of Financial Conditions and Results of Operations” in our Annual Report on Form 10-K for the year ended December 31, 2022 and our subsequent Quarterly Reports on Form 10-Q, and the section titled “Management’s Discussion and Analysis of Financial Condition and Results of Operations” in this Quarterly Report.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caution you that the foregoing list may not contain all of the forward-looking statements made in this report.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Certain Definitions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this report, unless the context requires otherwise, all references to “we,” “our,” “us,” “Paymentus,” and the “Company” refer to Paymentus Holdings, Inc., and where appropriate its consolidated subsidiaries.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60" w:after="283"/>
        <w:jc w:val="center"/>
        <w:rPr>
          <w:rFonts w:ascii="Times New Roman" w:hAnsi="Times New Roman"/>
          <w:sz w:val="20"/>
        </w:rPr>
      </w:pPr>
      <w:bookmarkStart w:id="5" w:name="balancesheet"/>
      <w:bookmarkEnd w:id="5"/>
      <w:r>
        <w:rPr>
          <w:rFonts w:ascii="Times New Roman" w:hAnsi="Times New Roman"/>
          <w:b/>
          <w:color w:val="000000"/>
          <w:sz w:val="20"/>
        </w:rPr>
        <w:t>PAYMENTUS</w:t>
      </w:r>
      <w:r>
        <w:rPr>
          <w:rFonts w:ascii="Times New Roman" w:hAnsi="Times New Roman"/>
          <w:color w:val="000000"/>
          <w:sz w:val="20"/>
        </w:rPr>
        <w:t xml:space="preserve"> </w:t>
      </w:r>
      <w:r>
        <w:rPr>
          <w:rFonts w:ascii="Times New Roman" w:hAnsi="Times New Roman"/>
          <w:b/>
          <w:color w:val="000000"/>
          <w:sz w:val="20"/>
        </w:rPr>
        <w:t>HOLDINGS, INC.</w:t>
      </w:r>
    </w:p>
    <w:p>
      <w:pPr>
        <w:pStyle w:val="TextBody"/>
        <w:bidi w:val="0"/>
        <w:jc w:val="center"/>
        <w:rPr>
          <w:rFonts w:ascii="Times New Roman" w:hAnsi="Times New Roman"/>
          <w:sz w:val="20"/>
        </w:rPr>
      </w:pPr>
      <w:bookmarkStart w:id="6" w:name="condensed_consolidated_balance_sheets_un"/>
      <w:bookmarkEnd w:id="6"/>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29"/>
        <w:gridCol w:w="853"/>
        <w:gridCol w:w="146"/>
        <w:gridCol w:w="146"/>
        <w:gridCol w:w="225"/>
        <w:gridCol w:w="835"/>
        <w:gridCol w:w="593"/>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center"/>
              <w:rPr/>
            </w:pPr>
            <w:r>
              <w:rPr/>
              <w:t> </w:t>
            </w:r>
          </w:p>
        </w:tc>
        <w:tc>
          <w:tcPr>
            <w:tcW w:w="593" w:type="dxa"/>
            <w:tcBorders/>
            <w:shd w:fill="CFF0FC" w:val="cle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147,334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 and cash equivalents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and other receivables, net of allowance for expected credit losses of $234</w:t>
            </w:r>
            <w:r>
              <w:rPr>
                <w:rFonts w:ascii="Times New Roman" w:hAnsi="Times New Roman"/>
                <w:color w:val="000000"/>
                <w:sz w:val="20"/>
              </w:rPr>
              <w:t> </w:t>
            </w:r>
            <w:r>
              <w:rPr>
                <w:rFonts w:ascii="Times New Roman" w:hAnsi="Times New Roman"/>
                <w:b w:val="false"/>
                <w:color w:val="000000"/>
                <w:sz w:val="20"/>
              </w:rPr>
              <w:t>and $370, respectively</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67,789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receivable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228,961</w:t>
            </w:r>
          </w:p>
        </w:tc>
        <w:tc>
          <w:tcPr>
            <w:tcW w:w="593"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1,823</w:t>
            </w:r>
          </w:p>
        </w:tc>
        <w:tc>
          <w:tcPr>
            <w:tcW w:w="593"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internal-use software development costs, net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46,032</w:t>
            </w:r>
          </w:p>
        </w:tc>
        <w:tc>
          <w:tcPr>
            <w:tcW w:w="593"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36,017</w:t>
            </w:r>
          </w:p>
        </w:tc>
        <w:tc>
          <w:tcPr>
            <w:tcW w:w="593"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131,851</w:t>
            </w:r>
          </w:p>
        </w:tc>
        <w:tc>
          <w:tcPr>
            <w:tcW w:w="593"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9,561</w:t>
            </w:r>
          </w:p>
        </w:tc>
        <w:tc>
          <w:tcPr>
            <w:tcW w:w="593"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tax asset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593"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461,539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29,232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payable</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51,496</w:t>
            </w:r>
          </w:p>
        </w:tc>
        <w:tc>
          <w:tcPr>
            <w:tcW w:w="593"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w:t>
            </w:r>
          </w:p>
        </w:tc>
        <w:tc>
          <w:tcPr>
            <w:tcW w:w="593"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less current portion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8,608</w:t>
            </w:r>
          </w:p>
        </w:tc>
        <w:tc>
          <w:tcPr>
            <w:tcW w:w="593"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less current portion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2,826</w:t>
            </w:r>
          </w:p>
        </w:tc>
        <w:tc>
          <w:tcPr>
            <w:tcW w:w="593"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leases and other finance obligations, net of current portion</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64,360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per share, 5,000,000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respectively; none</w:t>
            </w:r>
            <w:r>
              <w:rPr>
                <w:rFonts w:ascii="Times New Roman" w:hAnsi="Times New Roman"/>
                <w:color w:val="000000"/>
                <w:sz w:val="20"/>
              </w:rPr>
              <w:t> </w:t>
            </w:r>
            <w:r>
              <w:rPr>
                <w:rFonts w:ascii="Times New Roman" w:hAnsi="Times New Roman"/>
                <w:b w:val="false"/>
                <w:color w:val="000000"/>
                <w:sz w:val="20"/>
              </w:rPr>
              <w:t>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Class A common stock, $0.0001</w:t>
            </w:r>
            <w:r>
              <w:rPr>
                <w:rFonts w:ascii="Times New Roman" w:hAnsi="Times New Roman"/>
                <w:color w:val="000000"/>
                <w:sz w:val="20"/>
              </w:rPr>
              <w:t> </w:t>
            </w:r>
            <w:r>
              <w:rPr>
                <w:rFonts w:ascii="Times New Roman" w:hAnsi="Times New Roman"/>
                <w:b w:val="false"/>
                <w:color w:val="000000"/>
                <w:sz w:val="20"/>
              </w:rPr>
              <w:t>par value per share, 883,950,000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respectively; 20,385,106</w:t>
            </w:r>
            <w:r>
              <w:rPr>
                <w:rFonts w:ascii="Times New Roman" w:hAnsi="Times New Roman"/>
                <w:color w:val="000000"/>
                <w:sz w:val="20"/>
              </w:rPr>
              <w:t> </w:t>
            </w:r>
            <w:r>
              <w:rPr>
                <w:rFonts w:ascii="Times New Roman" w:hAnsi="Times New Roman"/>
                <w:b w:val="false"/>
                <w:color w:val="000000"/>
                <w:sz w:val="20"/>
              </w:rPr>
              <w:t>and 19,934,331</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Class B common stock, $0.0001</w:t>
            </w:r>
            <w:r>
              <w:rPr>
                <w:rFonts w:ascii="Times New Roman" w:hAnsi="Times New Roman"/>
                <w:color w:val="000000"/>
                <w:sz w:val="20"/>
              </w:rPr>
              <w:t> </w:t>
            </w:r>
            <w:r>
              <w:rPr>
                <w:rFonts w:ascii="Times New Roman" w:hAnsi="Times New Roman"/>
                <w:b w:val="false"/>
                <w:color w:val="000000"/>
                <w:sz w:val="20"/>
              </w:rPr>
              <w:t>par value per share, 111,050,000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respectively; 103,306,842</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367,767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397,179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461,539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PAYMENTUS HOLDINGS, INC.</w:t>
      </w:r>
    </w:p>
    <w:p>
      <w:pPr>
        <w:pStyle w:val="TextBody"/>
        <w:bidi w:val="0"/>
        <w:jc w:val="center"/>
        <w:rPr>
          <w:rFonts w:ascii="Times New Roman" w:hAnsi="Times New Roman"/>
          <w:sz w:val="20"/>
        </w:rPr>
      </w:pPr>
      <w:bookmarkStart w:id="7" w:name="statements_of_operations"/>
      <w:bookmarkEnd w:id="7"/>
      <w:r>
        <w:rPr>
          <w:rFonts w:ascii="Times New Roman" w:hAnsi="Times New Roman"/>
          <w:b/>
          <w:color w:val="000000"/>
          <w:sz w:val="20"/>
        </w:rPr>
        <w:t>CONDENSED CONSOLIDATED STATEME</w:t>
      </w:r>
      <w:bookmarkStart w:id="8" w:name="condensed_consolidated_statements_operat"/>
      <w:bookmarkEnd w:id="8"/>
      <w:r>
        <w:rPr>
          <w:rFonts w:ascii="Times New Roman" w:hAnsi="Times New Roman"/>
          <w:b/>
          <w:color w:val="000000"/>
          <w:sz w:val="20"/>
        </w:rPr>
        <w:t>NTS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8"/>
        <w:gridCol w:w="346"/>
        <w:gridCol w:w="212"/>
        <w:gridCol w:w="1146"/>
        <w:gridCol w:w="166"/>
        <w:gridCol w:w="146"/>
        <w:gridCol w:w="212"/>
        <w:gridCol w:w="1146"/>
        <w:gridCol w:w="366"/>
        <w:gridCol w:w="346"/>
        <w:gridCol w:w="211"/>
        <w:gridCol w:w="1141"/>
        <w:gridCol w:w="166"/>
        <w:gridCol w:w="146"/>
        <w:gridCol w:w="211"/>
        <w:gridCol w:w="1141"/>
        <w:gridCol w:w="615"/>
      </w:tblGrid>
      <w:tr>
        <w:trPr/>
        <w:tc>
          <w:tcPr>
            <w:tcW w:w="24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48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3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128,152</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364,825</w:t>
            </w:r>
          </w:p>
        </w:tc>
        <w:tc>
          <w:tcPr>
            <w:tcW w:w="615"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3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90,295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256,286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3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37,857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108,539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3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24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3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10,350</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30,925</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24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3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19,048</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53,089</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24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3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38,774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113,052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(loss) from operations</w:t>
            </w:r>
          </w:p>
        </w:tc>
        <w:tc>
          <w:tcPr>
            <w:tcW w:w="3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(4,513</w:t>
            </w:r>
          </w:p>
        </w:tc>
        <w:tc>
          <w:tcPr>
            <w:tcW w:w="6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3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24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3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24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exchange (loss) gain</w:t>
            </w:r>
          </w:p>
        </w:tc>
        <w:tc>
          <w:tcPr>
            <w:tcW w:w="3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3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(3,867</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(Provision for) benefit from income taxes</w:t>
            </w:r>
          </w:p>
        </w:tc>
        <w:tc>
          <w:tcPr>
            <w:tcW w:w="3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income (loss)</w:t>
            </w:r>
          </w:p>
        </w:tc>
        <w:tc>
          <w:tcPr>
            <w:tcW w:w="3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income (loss) per share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48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Weighted-average number of shares used to compute net income per share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35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48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123,620,260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122,740,982</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123,430,652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121,765,509</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48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125,639,879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122,740,982</w:t>
            </w:r>
          </w:p>
        </w:tc>
        <w:tc>
          <w:tcPr>
            <w:tcW w:w="36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124,457,360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121,765,509</w:t>
            </w:r>
          </w:p>
        </w:tc>
        <w:tc>
          <w:tcPr>
            <w:tcW w:w="615"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Comprehensive income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48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income (loss)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adjustments, net of tax</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48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Comprehensive income (loss)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tockhlders_equity_qtd"/>
      <w:bookmarkEnd w:id="9"/>
      <w:r>
        <w:rPr>
          <w:rFonts w:ascii="Times New Roman" w:hAnsi="Times New Roman"/>
          <w:b/>
          <w:color w:val="000000"/>
          <w:sz w:val="20"/>
        </w:rPr>
        <w:t>PAYMENTUS HOLDINGS, INC.</w:t>
      </w:r>
    </w:p>
    <w:p>
      <w:pPr>
        <w:pStyle w:val="TextBody"/>
        <w:bidi w:val="0"/>
        <w:jc w:val="center"/>
        <w:rPr>
          <w:rFonts w:ascii="Times New Roman" w:hAnsi="Times New Roman"/>
          <w:b/>
          <w:color w:val="000000"/>
          <w:sz w:val="20"/>
        </w:rPr>
      </w:pPr>
      <w:bookmarkStart w:id="10" w:name="condensed_consolidated_statements_stockh"/>
      <w:bookmarkEnd w:id="10"/>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629"/>
        <w:gridCol w:w="146"/>
        <w:gridCol w:w="146"/>
        <w:gridCol w:w="1141"/>
        <w:gridCol w:w="146"/>
        <w:gridCol w:w="146"/>
        <w:gridCol w:w="295"/>
        <w:gridCol w:w="486"/>
        <w:gridCol w:w="146"/>
        <w:gridCol w:w="146"/>
        <w:gridCol w:w="158"/>
        <w:gridCol w:w="848"/>
        <w:gridCol w:w="146"/>
        <w:gridCol w:w="146"/>
        <w:gridCol w:w="211"/>
        <w:gridCol w:w="676"/>
        <w:gridCol w:w="146"/>
        <w:gridCol w:w="146"/>
        <w:gridCol w:w="512"/>
        <w:gridCol w:w="914"/>
        <w:gridCol w:w="166"/>
        <w:gridCol w:w="146"/>
        <w:gridCol w:w="255"/>
        <w:gridCol w:w="949"/>
        <w:gridCol w:w="166"/>
        <w:gridCol w:w="193"/>
      </w:tblGrid>
      <w:tr>
        <w:trPr/>
        <w:tc>
          <w:tcPr>
            <w:tcW w:w="1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166"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123,241,173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397,179</w:t>
            </w:r>
          </w:p>
        </w:tc>
        <w:tc>
          <w:tcPr>
            <w:tcW w:w="166" w:type="dxa"/>
            <w:tcBorders/>
            <w:shd w:fill="CFF0FC"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2,159</w:t>
            </w:r>
          </w:p>
        </w:tc>
        <w:tc>
          <w:tcPr>
            <w:tcW w:w="16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123,346,164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2,276</w:t>
            </w:r>
          </w:p>
        </w:tc>
        <w:tc>
          <w:tcPr>
            <w:tcW w:w="166" w:type="dxa"/>
            <w:tcBorders/>
            <w:shd w:fill="CFF0FC"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123,506,789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w:t>
            </w:r>
          </w:p>
        </w:tc>
        <w:tc>
          <w:tcPr>
            <w:tcW w:w="16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66" w:type="dxa"/>
            <w:tcBorders/>
            <w:shd w:fill="CFF0FC"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162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123,691,948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3"/>
        <w:gridCol w:w="146"/>
        <w:gridCol w:w="146"/>
        <w:gridCol w:w="1141"/>
        <w:gridCol w:w="146"/>
        <w:gridCol w:w="146"/>
        <w:gridCol w:w="295"/>
        <w:gridCol w:w="486"/>
        <w:gridCol w:w="146"/>
        <w:gridCol w:w="146"/>
        <w:gridCol w:w="213"/>
        <w:gridCol w:w="793"/>
        <w:gridCol w:w="146"/>
        <w:gridCol w:w="146"/>
        <w:gridCol w:w="211"/>
        <w:gridCol w:w="676"/>
        <w:gridCol w:w="166"/>
        <w:gridCol w:w="146"/>
        <w:gridCol w:w="434"/>
        <w:gridCol w:w="992"/>
        <w:gridCol w:w="166"/>
        <w:gridCol w:w="146"/>
        <w:gridCol w:w="256"/>
        <w:gridCol w:w="951"/>
        <w:gridCol w:w="212"/>
      </w:tblGrid>
      <w:tr>
        <w:trPr/>
        <w:tc>
          <w:tcPr>
            <w:tcW w:w="1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7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2" w:type="dxa"/>
            <w:tcBorders/>
            <w:shd w:fill="FFFFFF" w:val="clear"/>
            <w:vAlign w:val="center"/>
          </w:tcPr>
          <w:p>
            <w:pPr>
              <w:pStyle w:val="TableContents"/>
              <w:bidi w:val="0"/>
              <w:spacing w:before="0" w:after="283"/>
              <w:jc w:val="center"/>
              <w:rPr/>
            </w:pPr>
            <w:r>
              <w:rPr/>
              <w:t> </w:t>
            </w:r>
          </w:p>
        </w:tc>
      </w:tr>
      <w:tr>
        <w:trPr/>
        <w:tc>
          <w:tcPr>
            <w:tcW w:w="17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17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120,639,161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386,132</w:t>
            </w:r>
          </w:p>
        </w:tc>
        <w:tc>
          <w:tcPr>
            <w:tcW w:w="212" w:type="dxa"/>
            <w:tcBorders/>
            <w:shd w:fill="CFF0FC"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w:t>
            </w:r>
          </w:p>
        </w:tc>
        <w:tc>
          <w:tcPr>
            <w:tcW w:w="212" w:type="dxa"/>
            <w:tcBorders/>
            <w:shd w:fill="FFFFFF" w:val="clear"/>
            <w:vAlign w:val="center"/>
          </w:tcPr>
          <w:p>
            <w:pPr>
              <w:pStyle w:val="TableContents"/>
              <w:bidi w:val="0"/>
              <w:spacing w:before="0" w:after="283"/>
              <w:jc w:val="left"/>
              <w:rPr/>
            </w:pPr>
            <w:r>
              <w:rPr/>
              <w:t> </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12" w:type="dxa"/>
            <w:tcBorders/>
            <w:shd w:fill="CFF0FC"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121,051,383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389,094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w:t>
            </w:r>
          </w:p>
        </w:tc>
        <w:tc>
          <w:tcPr>
            <w:tcW w:w="212" w:type="dxa"/>
            <w:tcBorders/>
            <w:shd w:fill="CFF0FC"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212" w:type="dxa"/>
            <w:tcBorders/>
            <w:shd w:fill="FFFFFF" w:val="clear"/>
            <w:vAlign w:val="center"/>
          </w:tcPr>
          <w:p>
            <w:pPr>
              <w:pStyle w:val="TableContents"/>
              <w:bidi w:val="0"/>
              <w:spacing w:before="0" w:after="283"/>
              <w:jc w:val="left"/>
              <w:rPr/>
            </w:pPr>
            <w:r>
              <w:rPr/>
              <w:t> </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122,620,144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388,172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warrant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3,478</w:t>
            </w:r>
          </w:p>
        </w:tc>
        <w:tc>
          <w:tcPr>
            <w:tcW w:w="212" w:type="dxa"/>
            <w:tcBorders/>
            <w:shd w:fill="FFFFFF" w:val="clear"/>
            <w:vAlign w:val="center"/>
          </w:tcPr>
          <w:p>
            <w:pPr>
              <w:pStyle w:val="TableContents"/>
              <w:bidi w:val="0"/>
              <w:spacing w:before="0" w:after="283"/>
              <w:jc w:val="left"/>
              <w:rPr/>
            </w:pPr>
            <w:r>
              <w:rPr/>
              <w:t> </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estimate of warrants expected to vest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212" w:type="dxa"/>
            <w:tcBorders/>
            <w:shd w:fill="CFF0FC"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2,002</w:t>
            </w:r>
          </w:p>
        </w:tc>
        <w:tc>
          <w:tcPr>
            <w:tcW w:w="212" w:type="dxa"/>
            <w:tcBorders/>
            <w:shd w:fill="FFFFFF" w:val="clear"/>
            <w:vAlign w:val="center"/>
          </w:tcPr>
          <w:p>
            <w:pPr>
              <w:pStyle w:val="TableContents"/>
              <w:bidi w:val="0"/>
              <w:spacing w:before="0" w:after="283"/>
              <w:jc w:val="left"/>
              <w:rPr/>
            </w:pPr>
            <w:r>
              <w:rPr/>
              <w:t> </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1,167</w:t>
            </w:r>
          </w:p>
        </w:tc>
        <w:tc>
          <w:tcPr>
            <w:tcW w:w="212" w:type="dxa"/>
            <w:tcBorders/>
            <w:shd w:fill="CFF0FC"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122,989,902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394,042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PAYMENTUS HOLDINGS, INC.</w:t>
      </w:r>
    </w:p>
    <w:p>
      <w:pPr>
        <w:pStyle w:val="TextBody"/>
        <w:bidi w:val="0"/>
        <w:jc w:val="center"/>
        <w:rPr>
          <w:rFonts w:ascii="Times New Roman" w:hAnsi="Times New Roman"/>
          <w:b/>
          <w:color w:val="000000"/>
          <w:sz w:val="20"/>
        </w:rPr>
      </w:pPr>
      <w:bookmarkStart w:id="11" w:name="condensed_consolidated_statements_cash_f"/>
      <w:bookmarkEnd w:id="11"/>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24" w:type="dxa"/>
        <w:jc w:val="left"/>
        <w:tblInd w:w="0" w:type="dxa"/>
        <w:tblLayout w:type="fixed"/>
        <w:tblCellMar>
          <w:top w:w="28" w:type="dxa"/>
          <w:left w:w="28" w:type="dxa"/>
          <w:bottom w:w="28" w:type="dxa"/>
          <w:right w:w="28" w:type="dxa"/>
        </w:tblCellMar>
      </w:tblPr>
      <w:tblGrid>
        <w:gridCol w:w="5776"/>
        <w:gridCol w:w="146"/>
        <w:gridCol w:w="243"/>
        <w:gridCol w:w="859"/>
        <w:gridCol w:w="206"/>
        <w:gridCol w:w="181"/>
        <w:gridCol w:w="243"/>
        <w:gridCol w:w="859"/>
        <w:gridCol w:w="61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 (loss)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12,920</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(1,470</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22,314</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17,518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Deferred income taxes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278</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(3,331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6,891</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Non-cash lease expense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1,346</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1,703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Amortization of contract asset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2,197</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1,347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Provision for expected credit losses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(122</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02"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Accounts and other receivables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(6,941</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(19,143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Prepaid expenses and other current and long-term assets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(1,797</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(854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Accounts payable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4,279</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2,975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7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Accrued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4,188</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2,390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(1,364</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(1,398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Contract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1,232</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Income taxes receivable, net of payable</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(1,034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44,387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5,143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Other intangible assets acquired</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(511</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(1,163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Capitalized internal-use software development costs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(25,339</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(22,257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(25,850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(23,668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02"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Proceeds from exercise of stock-based awards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435</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1,469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Financial institution funds in-transit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44,158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Payments on other financing obligations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(1,709</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(2,486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Payments on finance leases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(102</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(1,376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81" w:type="dxa"/>
            <w:tcBorders/>
            <w:shd w:fill="CFF0FC" w:val="clear"/>
            <w:vAlign w:val="center"/>
          </w:tcPr>
          <w:p>
            <w:pPr>
              <w:pStyle w:val="TableContents"/>
              <w:bidi w:val="0"/>
              <w:spacing w:before="0" w:after="283"/>
              <w:jc w:val="left"/>
              <w:rPr/>
            </w:pPr>
            <w:r>
              <w:rPr/>
              <w:t> </w:t>
            </w:r>
          </w:p>
        </w:tc>
        <w:tc>
          <w:tcPr>
            <w:tcW w:w="2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42,940</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Effect of exchange rate changes on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577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17,207</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24,086</w:t>
            </w:r>
          </w:p>
        </w:tc>
        <w:tc>
          <w:tcPr>
            <w:tcW w:w="611" w:type="dxa"/>
            <w:tcBorders/>
            <w:shd w:fill="CFF0FC"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Cash and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149,685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201,829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Cash and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166,892</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225,915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Reconciliation of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102"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147,334</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168,386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2,351</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Restricted funds held for financial institutions at beginning of period</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33,443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Cash and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149,685</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201,829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162,062</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148,314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Restricted cash at end of period</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4,830</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Restricted funds held for financial institutions at end of period</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77,601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Cash and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166,892</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225,915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Cash paid for income taxes, net of refunds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1,718</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Property and equipment purchases in accounts payable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Prepaid insurance funded through short-term borrowings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4,425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Issuance of warrant and change in estimate of warrants expected to vest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3,524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Right-of-use assets obtained in exchange of operating lease obligations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1,356</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4,151</w:t>
            </w:r>
          </w:p>
        </w:tc>
        <w:tc>
          <w:tcPr>
            <w:tcW w:w="6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PAYMENTUS HOLDINGS, INC.</w:t>
      </w:r>
    </w:p>
    <w:p>
      <w:pPr>
        <w:pStyle w:val="TextBody"/>
        <w:bidi w:val="0"/>
        <w:jc w:val="center"/>
        <w:rPr>
          <w:rFonts w:ascii="Times New Roman" w:hAnsi="Times New Roman"/>
          <w:sz w:val="20"/>
        </w:rPr>
      </w:pPr>
      <w:bookmarkStart w:id="12" w:name="notes_to_condensed_consolidated_financia"/>
      <w:bookmarkEnd w:id="12"/>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and Description of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and Delhi and Bangalore (India). The Company is currently headquartered in Charlotte, North Carolina.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2022 filed with the SEC on March 3, 2023 (the “2022 Form 10-K”).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These unaudited interim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and 2022 are not necessarily indicative of the results to be expected for the full year or any other future interim or annual period.</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unaudited interim condensed consolidated financial statements include the accounts of the Company and its wholly owned subsidiaries. All intercompany accounts and balances have been eliminated upon consolidation.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Custodial Accounts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$402.7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$353.9</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Funds Held for Financial Institutions and Financial Institution Funds In-Transit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 During the fourth quarter 2022, the Company entered into an agreement with a financial institution whereby the financial institution would take over the legal ownership of these funds and operate as the custodial service provider. Once these funds were moved to custodial accounts, the Company no longer had legal ownership or control over these funds, and as such the Company no longer has Restricted Funds held for Financial Institutions and Financial Institution Funds In-Transit on the consolidated balance sheet as of September 30, 2023 and December 31, 2022.</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three and nine months ended September 30, 2023 and 2022.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one customer accounted for more than 10% of accounts receivable.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w:t>
      </w:r>
      <w:r>
        <w:rPr>
          <w:rFonts w:ascii="Times New Roman" w:hAnsi="Times New Roman"/>
          <w:color w:val="000000"/>
          <w:sz w:val="20"/>
        </w:rPr>
        <w:t xml:space="preserve"> </w:t>
      </w:r>
      <w:r>
        <w:rPr>
          <w:rFonts w:ascii="Times New Roman" w:hAnsi="Times New Roman"/>
          <w:b w:val="false"/>
          <w:color w:val="000000"/>
          <w:sz w:val="20"/>
        </w:rPr>
        <w:t>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5 and Note 3,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significant accounting policies are discussed in Note 2, “Basis of Presentation and Summary of Significant Accounting Policies,” in the Notes to Consolidated Financial Statements as of December 31, 2022 and 2021 and for the years ended December 31, 2022, 2021 and 2020 included in the 2022 Form 10-K. There have been no significant changes to these policies during the three and nine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is provided the option to adopt new or revised accounting guidance as an “emerging growth company” under the Jumpstart Our Business Startups Act of 2012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Accounting Standards Updates ("ASU") not listed below were assessed and determined to be either not applicable or are not expected to have a material impact on the consolidated financial statements.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October 2021, the FASB issued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The Company adopted this ASU on January 1, 2023, and its adoption did not have a material impact on its condensed consolidated financial statements.</w:t>
      </w:r>
    </w:p>
    <w:p>
      <w:pPr>
        <w:pStyle w:val="TextBody"/>
        <w:bidi w:val="0"/>
        <w:spacing w:before="120" w:after="283"/>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Revenue, Performance Obligations and Contract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a disaggregation of revenue from contracts with customers (in thousands):</w:t>
      </w:r>
    </w:p>
    <w:tbl>
      <w:tblPr>
        <w:tblW w:w="9974" w:type="dxa"/>
        <w:jc w:val="left"/>
        <w:tblInd w:w="0" w:type="dxa"/>
        <w:tblLayout w:type="fixed"/>
        <w:tblCellMar>
          <w:top w:w="28" w:type="dxa"/>
          <w:left w:w="28" w:type="dxa"/>
          <w:bottom w:w="28" w:type="dxa"/>
          <w:right w:w="28" w:type="dxa"/>
        </w:tblCellMar>
      </w:tblPr>
      <w:tblGrid>
        <w:gridCol w:w="3376"/>
        <w:gridCol w:w="146"/>
        <w:gridCol w:w="289"/>
        <w:gridCol w:w="1070"/>
        <w:gridCol w:w="200"/>
        <w:gridCol w:w="200"/>
        <w:gridCol w:w="289"/>
        <w:gridCol w:w="1070"/>
        <w:gridCol w:w="146"/>
        <w:gridCol w:w="146"/>
        <w:gridCol w:w="245"/>
        <w:gridCol w:w="910"/>
        <w:gridCol w:w="170"/>
        <w:gridCol w:w="170"/>
        <w:gridCol w:w="245"/>
        <w:gridCol w:w="910"/>
        <w:gridCol w:w="170"/>
        <w:gridCol w:w="222"/>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transaction processing revenue</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150,500</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443,565</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359,846</w:t>
            </w:r>
          </w:p>
        </w:tc>
        <w:tc>
          <w:tcPr>
            <w:tcW w:w="170"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152,423</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449,690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364,825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Revenue by geographic area, based on the location of the Company’s users, was as follows (in thousands):</w:t>
      </w:r>
    </w:p>
    <w:tbl>
      <w:tblPr>
        <w:tblW w:w="7946" w:type="dxa"/>
        <w:jc w:val="left"/>
        <w:tblInd w:w="0" w:type="dxa"/>
        <w:tblLayout w:type="fixed"/>
        <w:tblCellMar>
          <w:top w:w="28" w:type="dxa"/>
          <w:left w:w="28" w:type="dxa"/>
          <w:bottom w:w="28" w:type="dxa"/>
          <w:right w:w="28" w:type="dxa"/>
        </w:tblCellMar>
      </w:tblPr>
      <w:tblGrid>
        <w:gridCol w:w="1201"/>
        <w:gridCol w:w="146"/>
        <w:gridCol w:w="289"/>
        <w:gridCol w:w="1070"/>
        <w:gridCol w:w="200"/>
        <w:gridCol w:w="200"/>
        <w:gridCol w:w="289"/>
        <w:gridCol w:w="1070"/>
        <w:gridCol w:w="146"/>
        <w:gridCol w:w="146"/>
        <w:gridCol w:w="278"/>
        <w:gridCol w:w="1029"/>
        <w:gridCol w:w="192"/>
        <w:gridCol w:w="192"/>
        <w:gridCol w:w="278"/>
        <w:gridCol w:w="1029"/>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149,526</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441,029</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357,088</w:t>
            </w:r>
          </w:p>
        </w:tc>
        <w:tc>
          <w:tcPr>
            <w:tcW w:w="1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152,423</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449,690</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the aggregate amount of transaction price allocated to performance obligations that are unsatisfied or partially unsatisfied was $8.4</w:t>
      </w:r>
      <w:r>
        <w:rPr>
          <w:rFonts w:ascii="Times New Roman" w:hAnsi="Times New Roman"/>
          <w:color w:val="000000"/>
          <w:sz w:val="20"/>
        </w:rPr>
        <w:t xml:space="preserve"> </w:t>
      </w:r>
      <w:r>
        <w:rPr>
          <w:rFonts w:ascii="Times New Roman" w:hAnsi="Times New Roman"/>
          <w:b w:val="false"/>
          <w:color w:val="000000"/>
          <w:sz w:val="20"/>
        </w:rPr>
        <w:t>million, of which the Company expects to recognize over 79%</w:t>
      </w:r>
      <w:r>
        <w:rPr>
          <w:rFonts w:ascii="Times New Roman" w:hAnsi="Times New Roman"/>
          <w:color w:val="000000"/>
          <w:sz w:val="20"/>
        </w:rPr>
        <w:t xml:space="preserve"> </w:t>
      </w:r>
      <w:r>
        <w:rPr>
          <w:rFonts w:ascii="Times New Roman" w:hAnsi="Times New Roman"/>
          <w:b w:val="false"/>
          <w:color w:val="000000"/>
          <w:sz w:val="20"/>
        </w:rPr>
        <w:t>within the next two years, 18%</w:t>
      </w:r>
      <w:r>
        <w:rPr>
          <w:rFonts w:ascii="Times New Roman" w:hAnsi="Times New Roman"/>
          <w:color w:val="000000"/>
          <w:sz w:val="20"/>
        </w:rPr>
        <w:t xml:space="preserve"> </w:t>
      </w:r>
      <w:r>
        <w:rPr>
          <w:rFonts w:ascii="Times New Roman" w:hAnsi="Times New Roman"/>
          <w:b w:val="false"/>
          <w:color w:val="000000"/>
          <w:sz w:val="20"/>
        </w:rPr>
        <w:t>between two</w:t>
      </w:r>
      <w:r>
        <w:rPr>
          <w:rFonts w:ascii="Times New Roman" w:hAnsi="Times New Roman"/>
          <w:color w:val="000000"/>
          <w:sz w:val="20"/>
        </w:rPr>
        <w:t xml:space="preserve"> </w:t>
      </w:r>
      <w:r>
        <w:rPr>
          <w:rFonts w:ascii="Times New Roman" w:hAnsi="Times New Roman"/>
          <w:b w:val="false"/>
          <w:color w:val="000000"/>
          <w:sz w:val="20"/>
        </w:rPr>
        <w:t>to four years</w:t>
      </w:r>
      <w:r>
        <w:rPr>
          <w:rFonts w:ascii="Times New Roman" w:hAnsi="Times New Roman"/>
          <w:color w:val="000000"/>
          <w:sz w:val="20"/>
        </w:rPr>
        <w:t xml:space="preserve"> </w:t>
      </w:r>
      <w:r>
        <w:rPr>
          <w:rFonts w:ascii="Times New Roman" w:hAnsi="Times New Roman"/>
          <w:b w:val="false"/>
          <w:color w:val="000000"/>
          <w:sz w:val="20"/>
        </w:rPr>
        <w:t>and the remainder thereafter. The timing of revenue recognition within the next four years is largely dependent upon the go-live dates of the Company's customers under the Company’s contracts.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of September 30, 2023, the Company has contractual rights under its commercial agreements to receive $48.1</w:t>
      </w:r>
      <w:r>
        <w:rPr>
          <w:rFonts w:ascii="Times New Roman" w:hAnsi="Times New Roman"/>
          <w:color w:val="000000"/>
          <w:sz w:val="20"/>
        </w:rPr>
        <w:t xml:space="preserve"> </w:t>
      </w:r>
      <w:r>
        <w:rPr>
          <w:rFonts w:ascii="Times New Roman" w:hAnsi="Times New Roman"/>
          <w:b w:val="false"/>
          <w:color w:val="000000"/>
          <w:sz w:val="20"/>
        </w:rPr>
        <w:t>million of fixed consideration related to the future minimum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Contract balances consist of the following:</w:t>
      </w:r>
    </w:p>
    <w:tbl>
      <w:tblPr>
        <w:tblW w:w="8426" w:type="dxa"/>
        <w:jc w:val="left"/>
        <w:tblInd w:w="0" w:type="dxa"/>
        <w:tblLayout w:type="fixed"/>
        <w:tblCellMar>
          <w:top w:w="28" w:type="dxa"/>
          <w:left w:w="28" w:type="dxa"/>
          <w:bottom w:w="28" w:type="dxa"/>
          <w:right w:w="28" w:type="dxa"/>
        </w:tblCellMar>
      </w:tblPr>
      <w:tblGrid>
        <w:gridCol w:w="4886"/>
        <w:gridCol w:w="146"/>
        <w:gridCol w:w="351"/>
        <w:gridCol w:w="954"/>
        <w:gridCol w:w="146"/>
        <w:gridCol w:w="146"/>
        <w:gridCol w:w="339"/>
        <w:gridCol w:w="921"/>
        <w:gridCol w:w="146"/>
        <w:gridCol w:w="391"/>
      </w:tblGrid>
      <w:tr>
        <w:trPr/>
        <w:tc>
          <w:tcPr>
            <w:tcW w:w="4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8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8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Costs to fulfill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2,732</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Costs to fulfill (other long-term assets)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8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contract assets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8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8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4,358</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8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Contract liabilities, less current portion</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8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contract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three months ended September 30, 2023 and 2022, the Company reduced revenue and the related contract assets by $0.8</w:t>
      </w:r>
      <w:r>
        <w:rPr>
          <w:rFonts w:ascii="Times New Roman" w:hAnsi="Times New Roman"/>
          <w:color w:val="000000"/>
          <w:sz w:val="20"/>
        </w:rPr>
        <w:t xml:space="preserve"> </w:t>
      </w:r>
      <w:r>
        <w:rPr>
          <w:rFonts w:ascii="Times New Roman" w:hAnsi="Times New Roman"/>
          <w:b w:val="false"/>
          <w:color w:val="000000"/>
          <w:sz w:val="20"/>
        </w:rPr>
        <w:t>million and $0.5</w:t>
      </w:r>
      <w:r>
        <w:rPr>
          <w:rFonts w:ascii="Times New Roman" w:hAnsi="Times New Roman"/>
          <w:color w:val="000000"/>
          <w:sz w:val="20"/>
        </w:rPr>
        <w:t xml:space="preserve"> </w:t>
      </w:r>
      <w:r>
        <w:rPr>
          <w:rFonts w:ascii="Times New Roman" w:hAnsi="Times New Roman"/>
          <w:b w:val="false"/>
          <w:color w:val="000000"/>
          <w:sz w:val="20"/>
        </w:rPr>
        <w:t>million, respectively. During the nine months ended September 30, 2023 and 2022, the Company reduced revenue and the related contract assets by $2.2</w:t>
      </w:r>
      <w:r>
        <w:rPr>
          <w:rFonts w:ascii="Times New Roman" w:hAnsi="Times New Roman"/>
          <w:color w:val="000000"/>
          <w:sz w:val="20"/>
        </w:rPr>
        <w:t xml:space="preserve"> </w:t>
      </w:r>
      <w:r>
        <w:rPr>
          <w:rFonts w:ascii="Times New Roman" w:hAnsi="Times New Roman"/>
          <w:b w:val="false"/>
          <w:color w:val="000000"/>
          <w:sz w:val="20"/>
        </w:rPr>
        <w:t>million and $1.3</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Revenue recognized during the three months ended September 30, 2023 and 2022 that was included in the contract liabilities balance at the beginning of each of the periods was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$0.5</w:t>
      </w:r>
      <w:r>
        <w:rPr>
          <w:rFonts w:ascii="Times New Roman" w:hAnsi="Times New Roman"/>
          <w:color w:val="000000"/>
          <w:sz w:val="20"/>
        </w:rPr>
        <w:t xml:space="preserve"> </w:t>
      </w:r>
      <w:r>
        <w:rPr>
          <w:rFonts w:ascii="Times New Roman" w:hAnsi="Times New Roman"/>
          <w:b w:val="false"/>
          <w:color w:val="000000"/>
          <w:sz w:val="20"/>
        </w:rPr>
        <w:t>million, respectively. Revenue recognized during the nine months ended September 30, 2023 and 2022 that was included in the contract liabilities balance at the beginning of each of the periods was $1.4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$0.6</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Business Combinations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PROFIT Financial, Inc.</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December 19, 2022, the Company completed its acquisition of PROFIT Financial, Inc. (“PROFIT”) by acquiring all outstanding shares of PROFIT for a total purchase price of approximately $4.3</w:t>
      </w:r>
      <w:r>
        <w:rPr>
          <w:rFonts w:ascii="Times New Roman" w:hAnsi="Times New Roman"/>
          <w:color w:val="000000"/>
          <w:sz w:val="20"/>
        </w:rPr>
        <w:t xml:space="preserve"> </w:t>
      </w:r>
      <w:r>
        <w:rPr>
          <w:rFonts w:ascii="Times New Roman" w:hAnsi="Times New Roman"/>
          <w:b w:val="false"/>
          <w:color w:val="000000"/>
          <w:sz w:val="20"/>
        </w:rPr>
        <w:t>million, net of cash acquired, comprised of $3.3</w:t>
      </w:r>
      <w:r>
        <w:rPr>
          <w:rFonts w:ascii="Times New Roman" w:hAnsi="Times New Roman"/>
          <w:color w:val="000000"/>
          <w:sz w:val="20"/>
        </w:rPr>
        <w:t xml:space="preserve"> </w:t>
      </w:r>
      <w:r>
        <w:rPr>
          <w:rFonts w:ascii="Times New Roman" w:hAnsi="Times New Roman"/>
          <w:b w:val="false"/>
          <w:color w:val="000000"/>
          <w:sz w:val="20"/>
        </w:rPr>
        <w:t>million cash of which $0.1</w:t>
      </w:r>
      <w:r>
        <w:rPr>
          <w:rFonts w:ascii="Times New Roman" w:hAnsi="Times New Roman"/>
          <w:color w:val="000000"/>
          <w:sz w:val="20"/>
        </w:rPr>
        <w:t xml:space="preserve"> </w:t>
      </w:r>
      <w:r>
        <w:rPr>
          <w:rFonts w:ascii="Times New Roman" w:hAnsi="Times New Roman"/>
          <w:b w:val="false"/>
          <w:color w:val="000000"/>
          <w:sz w:val="20"/>
        </w:rPr>
        <w:t>million is included as a short term payable at December 31, 2022 and $0.6</w:t>
      </w:r>
      <w:r>
        <w:rPr>
          <w:rFonts w:ascii="Times New Roman" w:hAnsi="Times New Roman"/>
          <w:color w:val="000000"/>
          <w:sz w:val="20"/>
        </w:rPr>
        <w:t xml:space="preserve"> </w:t>
      </w:r>
      <w:r>
        <w:rPr>
          <w:rFonts w:ascii="Times New Roman" w:hAnsi="Times New Roman"/>
          <w:b w:val="false"/>
          <w:color w:val="000000"/>
          <w:sz w:val="20"/>
        </w:rPr>
        <w:t>million is being held back by the Company for a period of 12 to 24 months following the transaction close date and is recorded in finance leases and other finance obligations, net of current portion in the consolidated balance sheets. PROFIT is a financial and accounting software company with offerings to small business. The acquisition of PROFIT is expected to increase market opportunities for the Company's existing solutions while enhancing the PROFIT platform.</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will record adjustments to the fair value of net assets acquired and goodwill within 12 months of the measurement period, if necessary. There were no measurement period adjustments to the purchase price allocation during the three and nine months ended September 30,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revenue and expenses of PROFIT have been included in the Company's consolidated financial results since the acquisition date. Pro forma results of operations related to the acquisition have not been presented for the three and nine months ended September 30, 2022 because the effects of this acquisition were not material to the Company's overall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Property and equipment, net consisted of the following (in thousands):</w:t>
      </w:r>
    </w:p>
    <w:p>
      <w:pPr>
        <w:pStyle w:val="TextBody"/>
        <w:bidi w:val="0"/>
        <w:jc w:val="left"/>
        <w:rPr/>
      </w:pPr>
      <w:r>
        <w:rPr/>
        <w:t> </w:t>
      </w:r>
    </w:p>
    <w:tbl>
      <w:tblPr>
        <w:tblW w:w="6311" w:type="dxa"/>
        <w:jc w:val="left"/>
        <w:tblInd w:w="0" w:type="dxa"/>
        <w:tblLayout w:type="fixed"/>
        <w:tblCellMar>
          <w:top w:w="28" w:type="dxa"/>
          <w:left w:w="28" w:type="dxa"/>
          <w:bottom w:w="28" w:type="dxa"/>
          <w:right w:w="28" w:type="dxa"/>
        </w:tblCellMar>
      </w:tblPr>
      <w:tblGrid>
        <w:gridCol w:w="2731"/>
        <w:gridCol w:w="146"/>
        <w:gridCol w:w="146"/>
        <w:gridCol w:w="327"/>
        <w:gridCol w:w="978"/>
        <w:gridCol w:w="166"/>
        <w:gridCol w:w="146"/>
        <w:gridCol w:w="314"/>
        <w:gridCol w:w="946"/>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5,476</w:t>
            </w:r>
          </w:p>
        </w:tc>
        <w:tc>
          <w:tcPr>
            <w:tcW w:w="4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4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7,567</w:t>
            </w:r>
          </w:p>
        </w:tc>
        <w:tc>
          <w:tcPr>
            <w:tcW w:w="4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Depreciation expense recorded for property and equipment was $0.2</w:t>
      </w:r>
      <w:r>
        <w:rPr>
          <w:rFonts w:ascii="Times New Roman" w:hAnsi="Times New Roman"/>
          <w:color w:val="000000"/>
          <w:sz w:val="20"/>
        </w:rPr>
        <w:t xml:space="preserve"> </w:t>
      </w:r>
      <w:r>
        <w:rPr>
          <w:rFonts w:ascii="Times New Roman" w:hAnsi="Times New Roman"/>
          <w:b w:val="false"/>
          <w:color w:val="000000"/>
          <w:sz w:val="20"/>
        </w:rPr>
        <w:t>million and $0.3</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 $0.7</w:t>
      </w:r>
      <w:r>
        <w:rPr>
          <w:rFonts w:ascii="Times New Roman" w:hAnsi="Times New Roman"/>
          <w:color w:val="000000"/>
          <w:sz w:val="20"/>
        </w:rPr>
        <w:t xml:space="preserve"> </w:t>
      </w:r>
      <w:r>
        <w:rPr>
          <w:rFonts w:ascii="Times New Roman" w:hAnsi="Times New Roman"/>
          <w:b w:val="false"/>
          <w:color w:val="000000"/>
          <w:sz w:val="20"/>
        </w:rPr>
        <w:t>million and $1.0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Long-lived assets include property and equipment, net. The geographic locations of the Company</w:t>
      </w:r>
      <w:r>
        <w:rPr>
          <w:rFonts w:ascii="Times New Roman" w:hAnsi="Times New Roman"/>
          <w:color w:val="000000"/>
          <w:sz w:val="20"/>
        </w:rPr>
        <w:t>’</w:t>
      </w:r>
      <w:r>
        <w:rPr>
          <w:rFonts w:ascii="Times New Roman" w:hAnsi="Times New Roman"/>
          <w:b w:val="false"/>
          <w:color w:val="000000"/>
          <w:sz w:val="20"/>
        </w:rPr>
        <w:t>s long-lived assets, net, based on physical location of the assets were as follows (in thousands):</w:t>
      </w:r>
      <w:r>
        <w:rPr>
          <w:rFonts w:ascii="Times New Roman" w:hAnsi="Times New Roman"/>
          <w:color w:val="000000"/>
          <w:sz w:val="20"/>
        </w:rPr>
        <w:t xml:space="preserve"> </w:t>
      </w:r>
    </w:p>
    <w:tbl>
      <w:tblPr>
        <w:tblW w:w="4541" w:type="dxa"/>
        <w:jc w:val="left"/>
        <w:tblInd w:w="0" w:type="dxa"/>
        <w:tblLayout w:type="fixed"/>
        <w:tblCellMar>
          <w:top w:w="28" w:type="dxa"/>
          <w:left w:w="28" w:type="dxa"/>
          <w:bottom w:w="28" w:type="dxa"/>
          <w:right w:w="28" w:type="dxa"/>
        </w:tblCellMar>
      </w:tblPr>
      <w:tblGrid>
        <w:gridCol w:w="1201"/>
        <w:gridCol w:w="146"/>
        <w:gridCol w:w="146"/>
        <w:gridCol w:w="351"/>
        <w:gridCol w:w="954"/>
        <w:gridCol w:w="146"/>
        <w:gridCol w:w="146"/>
        <w:gridCol w:w="339"/>
        <w:gridCol w:w="92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w:t>
            </w:r>
          </w:p>
        </w:tc>
        <w:tc>
          <w:tcPr>
            <w:tcW w:w="1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Goodwill, Internal-use Software Development Costs and Intangible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changes in the carrying amount of goodwill by reporting unit were as follows (in thousands):</w:t>
      </w:r>
    </w:p>
    <w:tbl>
      <w:tblPr>
        <w:tblW w:w="6973" w:type="dxa"/>
        <w:jc w:val="left"/>
        <w:tblInd w:w="0" w:type="dxa"/>
        <w:tblLayout w:type="fixed"/>
        <w:tblCellMar>
          <w:top w:w="28" w:type="dxa"/>
          <w:left w:w="28" w:type="dxa"/>
          <w:bottom w:w="28" w:type="dxa"/>
          <w:right w:w="28" w:type="dxa"/>
        </w:tblCellMar>
      </w:tblPr>
      <w:tblGrid>
        <w:gridCol w:w="3436"/>
        <w:gridCol w:w="146"/>
        <w:gridCol w:w="211"/>
        <w:gridCol w:w="781"/>
        <w:gridCol w:w="146"/>
        <w:gridCol w:w="146"/>
        <w:gridCol w:w="211"/>
        <w:gridCol w:w="421"/>
        <w:gridCol w:w="146"/>
        <w:gridCol w:w="146"/>
        <w:gridCol w:w="211"/>
        <w:gridCol w:w="78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w:t>
              <w:br/>
              <w:t>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131,851</w:t>
            </w:r>
          </w:p>
        </w:tc>
        <w:tc>
          <w:tcPr>
            <w:tcW w:w="19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Internal-use Software Development Costs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three months ended September 30, 2023 and 2022, the Company capitalized $8.7</w:t>
      </w:r>
      <w:r>
        <w:rPr>
          <w:rFonts w:ascii="Times New Roman" w:hAnsi="Times New Roman"/>
          <w:color w:val="000000"/>
          <w:sz w:val="20"/>
        </w:rPr>
        <w:t xml:space="preserve"> </w:t>
      </w:r>
      <w:r>
        <w:rPr>
          <w:rFonts w:ascii="Times New Roman" w:hAnsi="Times New Roman"/>
          <w:b w:val="false"/>
          <w:color w:val="000000"/>
          <w:sz w:val="20"/>
        </w:rPr>
        <w:t>million and $7.8</w:t>
      </w:r>
      <w:r>
        <w:rPr>
          <w:rFonts w:ascii="Times New Roman" w:hAnsi="Times New Roman"/>
          <w:color w:val="000000"/>
          <w:sz w:val="20"/>
        </w:rPr>
        <w:t xml:space="preserve"> </w:t>
      </w:r>
      <w:r>
        <w:rPr>
          <w:rFonts w:ascii="Times New Roman" w:hAnsi="Times New Roman"/>
          <w:b w:val="false"/>
          <w:color w:val="000000"/>
          <w:sz w:val="20"/>
        </w:rPr>
        <w:t>million in software development and implementation costs, respectively, and during the nine months ended September 30, 2023 and 2022, the Company capitalized $25.3</w:t>
      </w:r>
      <w:r>
        <w:rPr>
          <w:rFonts w:ascii="Times New Roman" w:hAnsi="Times New Roman"/>
          <w:color w:val="000000"/>
          <w:sz w:val="20"/>
        </w:rPr>
        <w:t xml:space="preserve"> </w:t>
      </w:r>
      <w:r>
        <w:rPr>
          <w:rFonts w:ascii="Times New Roman" w:hAnsi="Times New Roman"/>
          <w:b w:val="false"/>
          <w:color w:val="000000"/>
          <w:sz w:val="20"/>
        </w:rPr>
        <w:t>million and $22.3</w:t>
      </w:r>
      <w:r>
        <w:rPr>
          <w:rFonts w:ascii="Times New Roman" w:hAnsi="Times New Roman"/>
          <w:color w:val="000000"/>
          <w:sz w:val="20"/>
        </w:rPr>
        <w:t xml:space="preserve"> </w:t>
      </w:r>
      <w:r>
        <w:rPr>
          <w:rFonts w:ascii="Times New Roman" w:hAnsi="Times New Roman"/>
          <w:b w:val="false"/>
          <w:color w:val="000000"/>
          <w:sz w:val="20"/>
        </w:rPr>
        <w:t>million in software development and implementation costs, respectively.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three months ended September 30, 2023 and 2022, the Company recorded $3.5</w:t>
      </w:r>
      <w:r>
        <w:rPr>
          <w:rFonts w:ascii="Times New Roman" w:hAnsi="Times New Roman"/>
          <w:color w:val="000000"/>
          <w:sz w:val="20"/>
        </w:rPr>
        <w:t xml:space="preserve"> </w:t>
      </w:r>
      <w:r>
        <w:rPr>
          <w:rFonts w:ascii="Times New Roman" w:hAnsi="Times New Roman"/>
          <w:b w:val="false"/>
          <w:color w:val="000000"/>
          <w:sz w:val="20"/>
        </w:rPr>
        <w:t>million and $2.4</w:t>
      </w:r>
      <w:r>
        <w:rPr>
          <w:rFonts w:ascii="Times New Roman" w:hAnsi="Times New Roman"/>
          <w:color w:val="000000"/>
          <w:sz w:val="20"/>
        </w:rPr>
        <w:t xml:space="preserve"> </w:t>
      </w:r>
      <w:r>
        <w:rPr>
          <w:rFonts w:ascii="Times New Roman" w:hAnsi="Times New Roman"/>
          <w:b w:val="false"/>
          <w:color w:val="000000"/>
          <w:sz w:val="20"/>
        </w:rPr>
        <w:t>million of amortization expense in cost of revenue, respectively, and $2.0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$1.4</w:t>
      </w:r>
      <w:r>
        <w:rPr>
          <w:rFonts w:ascii="Times New Roman" w:hAnsi="Times New Roman"/>
          <w:color w:val="000000"/>
          <w:sz w:val="20"/>
        </w:rPr>
        <w:t xml:space="preserve"> </w:t>
      </w:r>
      <w:r>
        <w:rPr>
          <w:rFonts w:ascii="Times New Roman" w:hAnsi="Times New Roman"/>
          <w:b w:val="false"/>
          <w:color w:val="000000"/>
          <w:sz w:val="20"/>
        </w:rPr>
        <w:t>million of amortization expense in operating expenses, respectively. During the nine months ended September 30, 2023 and 2022, the Company recorded $9.5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$6.1</w:t>
      </w:r>
      <w:r>
        <w:rPr>
          <w:rFonts w:ascii="Times New Roman" w:hAnsi="Times New Roman"/>
          <w:color w:val="000000"/>
          <w:sz w:val="20"/>
        </w:rPr>
        <w:t xml:space="preserve"> </w:t>
      </w:r>
      <w:r>
        <w:rPr>
          <w:rFonts w:ascii="Times New Roman" w:hAnsi="Times New Roman"/>
          <w:b w:val="false"/>
          <w:color w:val="000000"/>
          <w:sz w:val="20"/>
        </w:rPr>
        <w:t>million of amortization expense in cost of revenue, respectively, and</w:t>
      </w:r>
      <w:r>
        <w:rPr>
          <w:rFonts w:ascii="Times New Roman" w:hAnsi="Times New Roman"/>
          <w:color w:val="000000"/>
          <w:sz w:val="20"/>
        </w:rPr>
        <w:t xml:space="preserve"> </w:t>
      </w:r>
      <w:r>
        <w:rPr>
          <w:rFonts w:ascii="Times New Roman" w:hAnsi="Times New Roman"/>
          <w:b w:val="false"/>
          <w:color w:val="000000"/>
          <w:sz w:val="20"/>
        </w:rPr>
        <w:t>$5.8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$4.3</w:t>
      </w:r>
      <w:r>
        <w:rPr>
          <w:rFonts w:ascii="Times New Roman" w:hAnsi="Times New Roman"/>
          <w:color w:val="000000"/>
          <w:sz w:val="20"/>
        </w:rPr>
        <w:t xml:space="preserve"> </w:t>
      </w:r>
      <w:r>
        <w:rPr>
          <w:rFonts w:ascii="Times New Roman" w:hAnsi="Times New Roman"/>
          <w:b w:val="false"/>
          <w:color w:val="000000"/>
          <w:sz w:val="20"/>
        </w:rPr>
        <w:t>million of amortization expense in operating expenses,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Intangible assets, net consisted of the following (in thousands):</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1921"/>
        <w:gridCol w:w="146"/>
        <w:gridCol w:w="214"/>
        <w:gridCol w:w="687"/>
        <w:gridCol w:w="146"/>
        <w:gridCol w:w="146"/>
        <w:gridCol w:w="277"/>
        <w:gridCol w:w="969"/>
        <w:gridCol w:w="166"/>
        <w:gridCol w:w="146"/>
        <w:gridCol w:w="214"/>
        <w:gridCol w:w="687"/>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7,837</w:t>
            </w:r>
          </w:p>
        </w:tc>
        <w:tc>
          <w:tcPr>
            <w:tcW w:w="1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relationship</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19,343</w:t>
            </w:r>
          </w:p>
        </w:tc>
        <w:tc>
          <w:tcPr>
            <w:tcW w:w="1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91" w:type="dxa"/>
            <w:tcBorders/>
            <w:shd w:fill="FFFFFF" w:val="clear"/>
            <w:vAlign w:val="center"/>
          </w:tcPr>
          <w:p>
            <w:pPr>
              <w:pStyle w:val="TableContents"/>
              <w:bidi w:val="0"/>
              <w:spacing w:before="0" w:after="283"/>
              <w:jc w:val="left"/>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Trademark</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1921"/>
        <w:gridCol w:w="146"/>
        <w:gridCol w:w="214"/>
        <w:gridCol w:w="687"/>
        <w:gridCol w:w="146"/>
        <w:gridCol w:w="146"/>
        <w:gridCol w:w="277"/>
        <w:gridCol w:w="969"/>
        <w:gridCol w:w="166"/>
        <w:gridCol w:w="146"/>
        <w:gridCol w:w="214"/>
        <w:gridCol w:w="687"/>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10,666</w:t>
            </w:r>
          </w:p>
        </w:tc>
        <w:tc>
          <w:tcPr>
            <w:tcW w:w="1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relationship</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22,093</w:t>
            </w:r>
          </w:p>
        </w:tc>
        <w:tc>
          <w:tcPr>
            <w:tcW w:w="1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w:t>
            </w:r>
          </w:p>
        </w:tc>
        <w:tc>
          <w:tcPr>
            <w:tcW w:w="191" w:type="dxa"/>
            <w:tcBorders/>
            <w:shd w:fill="FFFFFF" w:val="clear"/>
            <w:vAlign w:val="center"/>
          </w:tcPr>
          <w:p>
            <w:pPr>
              <w:pStyle w:val="TableContents"/>
              <w:bidi w:val="0"/>
              <w:spacing w:before="0" w:after="283"/>
              <w:jc w:val="left"/>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Trademark</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sz w:val="20"/>
        </w:rPr>
      </w:pPr>
      <w:r>
        <w:rPr>
          <w:rFonts w:ascii="Times New Roman" w:hAnsi="Times New Roman"/>
          <w:b w:val="false"/>
          <w:color w:val="000000"/>
          <w:sz w:val="20"/>
        </w:rPr>
        <w:t>Amortization expense of intangible assets was $2.1</w:t>
      </w:r>
      <w:r>
        <w:rPr>
          <w:rFonts w:ascii="Times New Roman" w:hAnsi="Times New Roman"/>
          <w:color w:val="000000"/>
          <w:sz w:val="20"/>
        </w:rPr>
        <w:t xml:space="preserve"> </w:t>
      </w:r>
      <w:r>
        <w:rPr>
          <w:rFonts w:ascii="Times New Roman" w:hAnsi="Times New Roman"/>
          <w:b w:val="false"/>
          <w:color w:val="000000"/>
          <w:sz w:val="20"/>
        </w:rPr>
        <w:t>million and $2.0</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 $6.4</w:t>
      </w:r>
      <w:r>
        <w:rPr>
          <w:rFonts w:ascii="Times New Roman" w:hAnsi="Times New Roman"/>
          <w:color w:val="000000"/>
          <w:sz w:val="20"/>
        </w:rPr>
        <w:t xml:space="preserve"> </w:t>
      </w:r>
      <w:r>
        <w:rPr>
          <w:rFonts w:ascii="Times New Roman" w:hAnsi="Times New Roman"/>
          <w:b w:val="false"/>
          <w:color w:val="000000"/>
          <w:sz w:val="20"/>
        </w:rPr>
        <w:t>million and $6.2</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future expected amortization expense is as follows (in thousands):</w:t>
      </w:r>
    </w:p>
    <w:p>
      <w:pPr>
        <w:pStyle w:val="TextBody"/>
        <w:bidi w:val="0"/>
        <w:jc w:val="left"/>
        <w:rPr/>
      </w:pPr>
      <w:r>
        <w:rPr/>
        <w:t> </w:t>
      </w:r>
    </w:p>
    <w:tbl>
      <w:tblPr>
        <w:tblW w:w="4090" w:type="dxa"/>
        <w:jc w:val="left"/>
        <w:tblInd w:w="0" w:type="dxa"/>
        <w:tblLayout w:type="fixed"/>
        <w:tblCellMar>
          <w:top w:w="28" w:type="dxa"/>
          <w:left w:w="28" w:type="dxa"/>
          <w:bottom w:w="28" w:type="dxa"/>
          <w:right w:w="28" w:type="dxa"/>
        </w:tblCellMar>
      </w:tblPr>
      <w:tblGrid>
        <w:gridCol w:w="2866"/>
        <w:gridCol w:w="146"/>
        <w:gridCol w:w="211"/>
        <w:gridCol w:w="67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(remaining three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2,021</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8,082</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6,620</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3,738</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3,269</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future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impairments of goodwill, internal-use software development costs or intangible assets in the three or nine months ended September 30, 2023 and 2022.</w:t>
      </w:r>
    </w:p>
    <w:p>
      <w:pPr>
        <w:pStyle w:val="TextBody"/>
        <w:bidi w:val="0"/>
        <w:spacing w:before="120" w:after="283"/>
        <w:jc w:val="center"/>
        <w:rPr>
          <w:rFonts w:ascii="Arial" w:hAnsi="Arial"/>
          <w:b w:val="false"/>
          <w:color w:val="000000"/>
          <w:sz w:val="20"/>
        </w:rPr>
      </w:pPr>
      <w:r>
        <w:rPr>
          <w:rFonts w:ascii="Arial" w:hAnsi="Arial"/>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Accrued Liabilities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composition of accrued liabilities is as follows (in thousands):</w:t>
      </w:r>
    </w:p>
    <w:tbl>
      <w:tblPr>
        <w:tblW w:w="7095" w:type="dxa"/>
        <w:jc w:val="left"/>
        <w:tblInd w:w="0" w:type="dxa"/>
        <w:tblLayout w:type="fixed"/>
        <w:tblCellMar>
          <w:top w:w="28" w:type="dxa"/>
          <w:left w:w="28" w:type="dxa"/>
          <w:bottom w:w="28" w:type="dxa"/>
          <w:right w:w="28" w:type="dxa"/>
        </w:tblCellMar>
      </w:tblPr>
      <w:tblGrid>
        <w:gridCol w:w="3901"/>
        <w:gridCol w:w="146"/>
        <w:gridCol w:w="310"/>
        <w:gridCol w:w="995"/>
        <w:gridCol w:w="146"/>
        <w:gridCol w:w="146"/>
        <w:gridCol w:w="299"/>
        <w:gridCol w:w="96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and employee-related expenses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leases and other financing obligations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accrued liabilities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As of December 31, 2022, finance leases and other financing obligations included the then current portion of finance leases related to the acquisition of computer equipment and short-term insurance premium financing arrangements. As of September 30, 2023 the Company no</w:t>
      </w:r>
      <w:r>
        <w:rPr>
          <w:rFonts w:ascii="Times New Roman" w:hAnsi="Times New Roman"/>
          <w:color w:val="000000"/>
          <w:sz w:val="20"/>
        </w:rPr>
        <w:t xml:space="preserve"> </w:t>
      </w:r>
      <w:r>
        <w:rPr>
          <w:rFonts w:ascii="Times New Roman" w:hAnsi="Times New Roman"/>
          <w:b w:val="false"/>
          <w:color w:val="000000"/>
          <w:sz w:val="20"/>
        </w:rPr>
        <w:t>longer had any finance leases or insurance premium financing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240" w:after="283"/>
        <w:jc w:val="both"/>
        <w:rPr>
          <w:rFonts w:ascii="Times New Roman" w:hAnsi="Times New Roman"/>
          <w:sz w:val="20"/>
        </w:rPr>
      </w:pPr>
      <w:r>
        <w:rPr>
          <w:rFonts w:ascii="Times New Roman" w:hAnsi="Times New Roman"/>
          <w:b/>
          <w:i/>
          <w:color w:val="000000"/>
          <w:sz w:val="20"/>
        </w:rPr>
        <w:t>Other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2022 Form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is involved from time to time in various claims and legal proceedings arising in the ordinary course of business. While it is not feasible to predict or determine the ultimate outcome of these matters, the Company believes that, as of September 30, 2023, none of its current claims and legal proceedings will have a material adverse effect on its financial position, results of operations, or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w:t>
      </w:r>
      <w:r>
        <w:rPr>
          <w:rFonts w:ascii="Times New Roman" w:hAnsi="Times New Roman"/>
          <w:color w:val="000000"/>
          <w:sz w:val="20"/>
        </w:rPr>
        <w:t xml:space="preserve"> </w:t>
      </w:r>
      <w:r>
        <w:rPr>
          <w:rFonts w:ascii="Times New Roman" w:hAnsi="Times New Roman"/>
          <w:b w:val="false"/>
          <w:color w:val="000000"/>
          <w:sz w:val="20"/>
        </w:rPr>
        <w:t>shares of Class A common stock upon completion of the IPO at an exercise price of $18.38</w:t>
      </w:r>
      <w:r>
        <w:rPr>
          <w:rFonts w:ascii="Times New Roman" w:hAnsi="Times New Roman"/>
          <w:color w:val="000000"/>
          <w:sz w:val="20"/>
        </w:rPr>
        <w:t xml:space="preserve"> </w:t>
      </w:r>
      <w:r>
        <w:rPr>
          <w:rFonts w:ascii="Times New Roman" w:hAnsi="Times New Roman"/>
          <w:b w:val="false"/>
          <w:color w:val="000000"/>
          <w:sz w:val="20"/>
        </w:rPr>
        <w:t>per share (the “May 2021 warrant”). Upon completion of the IPO, 382,027</w:t>
      </w:r>
      <w:r>
        <w:rPr>
          <w:rFonts w:ascii="Times New Roman" w:hAnsi="Times New Roman"/>
          <w:color w:val="000000"/>
          <w:sz w:val="20"/>
        </w:rPr>
        <w:t xml:space="preserve"> </w:t>
      </w:r>
      <w:r>
        <w:rPr>
          <w:rFonts w:ascii="Times New Roman" w:hAnsi="Times New Roman"/>
          <w:b w:val="false"/>
          <w:color w:val="000000"/>
          <w:sz w:val="20"/>
        </w:rPr>
        <w:t>of the warrant shares vested and were exercisable. The vesting of the remaining 127,343</w:t>
      </w:r>
      <w:r>
        <w:rPr>
          <w:rFonts w:ascii="Times New Roman" w:hAnsi="Times New Roman"/>
          <w:color w:val="000000"/>
          <w:sz w:val="20"/>
        </w:rPr>
        <w:t xml:space="preserve"> </w:t>
      </w:r>
      <w:r>
        <w:rPr>
          <w:rFonts w:ascii="Times New Roman" w:hAnsi="Times New Roman"/>
          <w:b w:val="false"/>
          <w:color w:val="000000"/>
          <w:sz w:val="20"/>
        </w:rPr>
        <w:t>shares of Class A common stock underlying the warrant will be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On December 31, 2021 and 2022, 15,917</w:t>
      </w:r>
      <w:r>
        <w:rPr>
          <w:rFonts w:ascii="Times New Roman" w:hAnsi="Times New Roman"/>
          <w:color w:val="000000"/>
          <w:sz w:val="20"/>
        </w:rPr>
        <w:t xml:space="preserve"> </w:t>
      </w:r>
      <w:r>
        <w:rPr>
          <w:rFonts w:ascii="Times New Roman" w:hAnsi="Times New Roman"/>
          <w:b w:val="false"/>
          <w:color w:val="000000"/>
          <w:sz w:val="20"/>
        </w:rPr>
        <w:t>warrant shares and 19,101</w:t>
      </w:r>
      <w:r>
        <w:rPr>
          <w:rFonts w:ascii="Times New Roman" w:hAnsi="Times New Roman"/>
          <w:color w:val="000000"/>
          <w:sz w:val="20"/>
        </w:rPr>
        <w:t xml:space="preserve"> </w:t>
      </w:r>
      <w:r>
        <w:rPr>
          <w:rFonts w:ascii="Times New Roman" w:hAnsi="Times New Roman"/>
          <w:b w:val="false"/>
          <w:color w:val="000000"/>
          <w:sz w:val="20"/>
        </w:rPr>
        <w:t>warrant shares, respectively, vested and were exercisable under the May 2021 warrant.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Compensation-Stock Compensation.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2021, the Company updated the May 2021 warrant value recognized based on the expectation that the probability of achievement of certain milestones would be achieved. The increase was recorded using the fair value determined at the time of grant</w:t>
      </w:r>
      <w:r>
        <w:rPr>
          <w:rFonts w:ascii="Times New Roman" w:hAnsi="Times New Roman"/>
          <w:color w:val="000000"/>
          <w:sz w:val="20"/>
        </w:rPr>
        <w:t xml:space="preserve"> </w:t>
      </w:r>
    </w:p>
    <w:p>
      <w:pPr>
        <w:pStyle w:val="TextBody"/>
        <w:bidi w:val="0"/>
        <w:spacing w:before="120" w:after="283"/>
        <w:jc w:val="center"/>
        <w:rPr>
          <w:rFonts w:ascii="Arial" w:hAnsi="Arial"/>
          <w:b w:val="false"/>
          <w:color w:val="000000"/>
          <w:sz w:val="20"/>
        </w:rPr>
      </w:pPr>
      <w:r>
        <w:rPr>
          <w:rFonts w:ascii="Arial" w:hAnsi="Arial"/>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multiplied by the estimated number of remaining warrants expected to vest. This increase was recorded as additional paid-in capital and as a contract asset included in prepaid expenses and other current assets and other long-term assets in the consolidated balance sheets. The increase made to the May 2021 warrant valuation in 2022 was not material.</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29, 2022, the Company entered into a second warrant agreement with JPMC, in connection with an amendment to the Company's existing commercial agreement with JPM Chase discussed above, pursuant to which the Company issued a warrant to JPMC for up to 684,510</w:t>
      </w:r>
      <w:r>
        <w:rPr>
          <w:rFonts w:ascii="Times New Roman" w:hAnsi="Times New Roman"/>
          <w:color w:val="000000"/>
          <w:sz w:val="20"/>
        </w:rPr>
        <w:t xml:space="preserve"> </w:t>
      </w:r>
      <w:r>
        <w:rPr>
          <w:rFonts w:ascii="Times New Roman" w:hAnsi="Times New Roman"/>
          <w:b w:val="false"/>
          <w:color w:val="000000"/>
          <w:sz w:val="20"/>
        </w:rPr>
        <w:t>shares of Class A common stock at an exercise price of $10.10</w:t>
      </w:r>
      <w:r>
        <w:rPr>
          <w:rFonts w:ascii="Times New Roman" w:hAnsi="Times New Roman"/>
          <w:color w:val="000000"/>
          <w:sz w:val="20"/>
        </w:rPr>
        <w:t xml:space="preserve"> </w:t>
      </w:r>
      <w:r>
        <w:rPr>
          <w:rFonts w:ascii="Times New Roman" w:hAnsi="Times New Roman"/>
          <w:b w:val="false"/>
          <w:color w:val="000000"/>
          <w:sz w:val="20"/>
        </w:rPr>
        <w:t>per share (the “August 2022 warrant agreement”). Upon signing the August 2022 warrant agreement, 171,128</w:t>
      </w:r>
      <w:r>
        <w:rPr>
          <w:rFonts w:ascii="Times New Roman" w:hAnsi="Times New Roman"/>
          <w:color w:val="000000"/>
          <w:sz w:val="20"/>
        </w:rPr>
        <w:t xml:space="preserve"> </w:t>
      </w:r>
      <w:r>
        <w:rPr>
          <w:rFonts w:ascii="Times New Roman" w:hAnsi="Times New Roman"/>
          <w:b w:val="false"/>
          <w:color w:val="000000"/>
          <w:sz w:val="20"/>
        </w:rPr>
        <w:t>of the warrant shares vested and were exercisable. The vesting of the remaining 513,382</w:t>
      </w:r>
      <w:r>
        <w:rPr>
          <w:rFonts w:ascii="Times New Roman" w:hAnsi="Times New Roman"/>
          <w:color w:val="000000"/>
          <w:sz w:val="20"/>
        </w:rPr>
        <w:t xml:space="preserve"> </w:t>
      </w:r>
      <w:r>
        <w:rPr>
          <w:rFonts w:ascii="Times New Roman" w:hAnsi="Times New Roman"/>
          <w:b w:val="false"/>
          <w:color w:val="000000"/>
          <w:sz w:val="20"/>
        </w:rPr>
        <w:t>shares of Class A common stock underlying the warrant will be subject to the achievement of certain commercial milestones through December 31, 2026 pursuant to the commercial agreement, as amended.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an aggregate of 588,173</w:t>
      </w:r>
      <w:r>
        <w:rPr>
          <w:rFonts w:ascii="Times New Roman" w:hAnsi="Times New Roman"/>
          <w:color w:val="000000"/>
          <w:sz w:val="20"/>
        </w:rPr>
        <w:t xml:space="preserve"> </w:t>
      </w:r>
      <w:r>
        <w:rPr>
          <w:rFonts w:ascii="Times New Roman" w:hAnsi="Times New Roman"/>
          <w:b w:val="false"/>
          <w:color w:val="000000"/>
          <w:sz w:val="20"/>
        </w:rPr>
        <w:t>warrants had vested and were exercisable under the outstanding warrant agreements.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w:t>
      </w:r>
      <w:r>
        <w:rPr>
          <w:rFonts w:ascii="Times New Roman" w:hAnsi="Times New Roman"/>
          <w:color w:val="000000"/>
          <w:sz w:val="20"/>
        </w:rPr>
        <w:t xml:space="preserve"> </w:t>
      </w:r>
      <w:r>
        <w:rPr>
          <w:rFonts w:ascii="Times New Roman" w:hAnsi="Times New Roman"/>
          <w:b w:val="false"/>
          <w:color w:val="000000"/>
          <w:sz w:val="20"/>
        </w:rPr>
        <w:t>shares of the Company</w:t>
      </w:r>
      <w:r>
        <w:rPr>
          <w:rFonts w:ascii="Times New Roman" w:hAnsi="Times New Roman"/>
          <w:color w:val="000000"/>
          <w:sz w:val="20"/>
        </w:rPr>
        <w:t>’</w:t>
      </w:r>
      <w:r>
        <w:rPr>
          <w:rFonts w:ascii="Times New Roman" w:hAnsi="Times New Roman"/>
          <w:b w:val="false"/>
          <w:color w:val="000000"/>
          <w:sz w:val="20"/>
        </w:rPr>
        <w:t>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2023, pursuant to the Evergreen Addition, 4,929,646</w:t>
      </w:r>
      <w:r>
        <w:rPr>
          <w:rFonts w:ascii="Times New Roman" w:hAnsi="Times New Roman"/>
          <w:color w:val="000000"/>
          <w:sz w:val="20"/>
        </w:rPr>
        <w:t xml:space="preserve"> </w:t>
      </w:r>
      <w:r>
        <w:rPr>
          <w:rFonts w:ascii="Times New Roman" w:hAnsi="Times New Roman"/>
          <w:b w:val="false"/>
          <w:color w:val="000000"/>
          <w:sz w:val="20"/>
        </w:rPr>
        <w:t>shares of Class A common stock were added to the 2021 Plan issuance reserve. At September 30, 2023, there were 17,834,251</w:t>
      </w:r>
      <w:r>
        <w:rPr>
          <w:rFonts w:ascii="Times New Roman" w:hAnsi="Times New Roman"/>
          <w:color w:val="000000"/>
          <w:sz w:val="20"/>
        </w:rPr>
        <w:t xml:space="preserve"> </w:t>
      </w:r>
      <w:r>
        <w:rPr>
          <w:rFonts w:ascii="Times New Roman" w:hAnsi="Times New Roman"/>
          <w:b w:val="false"/>
          <w:color w:val="000000"/>
          <w:sz w:val="20"/>
        </w:rPr>
        <w:t>remaining shares available for the Company to grant under the 2021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A summary of the Company</w:t>
      </w:r>
      <w:r>
        <w:rPr>
          <w:rFonts w:ascii="Times New Roman" w:hAnsi="Times New Roman"/>
          <w:color w:val="000000"/>
          <w:sz w:val="20"/>
        </w:rPr>
        <w:t>’</w:t>
      </w:r>
      <w:r>
        <w:rPr>
          <w:rFonts w:ascii="Times New Roman" w:hAnsi="Times New Roman"/>
          <w:b w:val="false"/>
          <w:color w:val="000000"/>
          <w:sz w:val="20"/>
        </w:rPr>
        <w:t>s option activity during the nine months ended September 30, 2023 was as follows (in thousands, except share and per share amounts):</w:t>
      </w:r>
    </w:p>
    <w:tbl>
      <w:tblPr>
        <w:tblW w:w="9012" w:type="dxa"/>
        <w:jc w:val="left"/>
        <w:tblInd w:w="0" w:type="dxa"/>
        <w:tblLayout w:type="fixed"/>
        <w:tblCellMar>
          <w:top w:w="28" w:type="dxa"/>
          <w:left w:w="28" w:type="dxa"/>
          <w:bottom w:w="28" w:type="dxa"/>
          <w:right w:w="28" w:type="dxa"/>
        </w:tblCellMar>
      </w:tblPr>
      <w:tblGrid>
        <w:gridCol w:w="2986"/>
        <w:gridCol w:w="146"/>
        <w:gridCol w:w="154"/>
        <w:gridCol w:w="987"/>
        <w:gridCol w:w="166"/>
        <w:gridCol w:w="146"/>
        <w:gridCol w:w="415"/>
        <w:gridCol w:w="920"/>
        <w:gridCol w:w="146"/>
        <w:gridCol w:w="146"/>
        <w:gridCol w:w="267"/>
        <w:gridCol w:w="859"/>
        <w:gridCol w:w="146"/>
        <w:gridCol w:w="146"/>
        <w:gridCol w:w="235"/>
        <w:gridCol w:w="756"/>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Life </w:t>
            </w:r>
            <w:r>
              <w:rPr>
                <w:rFonts w:ascii="Times New Roman" w:hAnsi="Times New Roman"/>
                <w:b/>
                <w:i/>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4,155,640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forfeited</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expired</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3,905,334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34,306</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3,606,020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31,947</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options granted during the three and nine months ended September 30, 2023 and 2022. Aggregate intrinsic value represents the difference between the exercise price of the options and the fair value of the Company’s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A summary of the Company</w:t>
      </w:r>
      <w:r>
        <w:rPr>
          <w:rFonts w:ascii="Times New Roman" w:hAnsi="Times New Roman"/>
          <w:color w:val="000000"/>
          <w:sz w:val="20"/>
        </w:rPr>
        <w:t>’</w:t>
      </w:r>
      <w:r>
        <w:rPr>
          <w:rFonts w:ascii="Times New Roman" w:hAnsi="Times New Roman"/>
          <w:b w:val="false"/>
          <w:color w:val="000000"/>
          <w:sz w:val="20"/>
        </w:rPr>
        <w:t>s RSU activity during the nine months ended September 30, 2023 was as follows</w:t>
      </w:r>
      <w:r>
        <w:rPr>
          <w:rFonts w:ascii="Arial" w:hAnsi="Arial"/>
          <w:b w:val="false"/>
          <w:color w:val="000000"/>
          <w:sz w:val="20"/>
        </w:rPr>
        <w:t>:</w:t>
      </w:r>
    </w:p>
    <w:tbl>
      <w:tblPr>
        <w:tblW w:w="7944" w:type="dxa"/>
        <w:jc w:val="left"/>
        <w:tblInd w:w="0" w:type="dxa"/>
        <w:tblLayout w:type="fixed"/>
        <w:tblCellMar>
          <w:top w:w="28" w:type="dxa"/>
          <w:left w:w="28" w:type="dxa"/>
          <w:bottom w:w="28" w:type="dxa"/>
          <w:right w:w="28" w:type="dxa"/>
        </w:tblCellMar>
      </w:tblPr>
      <w:tblGrid>
        <w:gridCol w:w="3826"/>
        <w:gridCol w:w="146"/>
        <w:gridCol w:w="146"/>
        <w:gridCol w:w="146"/>
        <w:gridCol w:w="146"/>
        <w:gridCol w:w="146"/>
        <w:gridCol w:w="220"/>
        <w:gridCol w:w="1415"/>
        <w:gridCol w:w="166"/>
        <w:gridCol w:w="146"/>
        <w:gridCol w:w="283"/>
        <w:gridCol w:w="767"/>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391" w:type="dxa"/>
            <w:tcBorders/>
            <w:shd w:fill="FFFFFF" w:val="cle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391" w:type="dxa"/>
            <w:tcBorders/>
            <w:shd w:fill="FFFFFF" w:val="cle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391" w:type="dxa"/>
            <w:tcBorders/>
            <w:shd w:fill="FFFFFF" w:val="cle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Awarded and unvested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1,362,420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Awards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Awards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(319,275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Awards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Awarded and unvested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2,036,051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The fair value of RSU grants is determined based upon the market closing price of the Company’s Class A common stock on the date of grant. RSUs vest over the requisite service period, which generally ranges between four years</w:t>
      </w:r>
      <w:r>
        <w:rPr>
          <w:rFonts w:ascii="Times New Roman" w:hAnsi="Times New Roman"/>
          <w:color w:val="000000"/>
          <w:sz w:val="20"/>
        </w:rPr>
        <w:t xml:space="preserve"> </w:t>
      </w:r>
      <w:r>
        <w:rPr>
          <w:rFonts w:ascii="Times New Roman" w:hAnsi="Times New Roman"/>
          <w:b w:val="false"/>
          <w:color w:val="000000"/>
          <w:sz w:val="20"/>
        </w:rPr>
        <w:t>and five years</w:t>
      </w:r>
      <w:r>
        <w:rPr>
          <w:rFonts w:ascii="Times New Roman" w:hAnsi="Times New Roman"/>
          <w:color w:val="000000"/>
          <w:sz w:val="20"/>
        </w:rPr>
        <w:t xml:space="preserve"> </w:t>
      </w:r>
      <w:r>
        <w:rPr>
          <w:rFonts w:ascii="Times New Roman" w:hAnsi="Times New Roman"/>
          <w:b w:val="false"/>
          <w:color w:val="000000"/>
          <w:sz w:val="20"/>
        </w:rPr>
        <w:t>from the date of grant for employees and one to three years for directors, subject to continued employment for employees and provision of services for nonemployees.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Stock-based compensation expense included in the condensed consolidated statements of operations was as follows (in thousands):</w:t>
      </w:r>
    </w:p>
    <w:p>
      <w:pPr>
        <w:pStyle w:val="TextBody"/>
        <w:bidi w:val="0"/>
        <w:spacing w:before="120" w:after="283"/>
        <w:jc w:val="both"/>
        <w:rPr/>
      </w:pPr>
      <w:r>
        <w:rPr/>
        <w:t> </w:t>
      </w:r>
    </w:p>
    <w:tbl>
      <w:tblPr>
        <w:tblW w:w="9693" w:type="dxa"/>
        <w:jc w:val="left"/>
        <w:tblInd w:w="0" w:type="dxa"/>
        <w:tblLayout w:type="fixed"/>
        <w:tblCellMar>
          <w:top w:w="28" w:type="dxa"/>
          <w:left w:w="28" w:type="dxa"/>
          <w:bottom w:w="28" w:type="dxa"/>
          <w:right w:w="28" w:type="dxa"/>
        </w:tblCellMar>
      </w:tblPr>
      <w:tblGrid>
        <w:gridCol w:w="2746"/>
        <w:gridCol w:w="146"/>
        <w:gridCol w:w="354"/>
        <w:gridCol w:w="960"/>
        <w:gridCol w:w="245"/>
        <w:gridCol w:w="245"/>
        <w:gridCol w:w="354"/>
        <w:gridCol w:w="960"/>
        <w:gridCol w:w="146"/>
        <w:gridCol w:w="146"/>
        <w:gridCol w:w="341"/>
        <w:gridCol w:w="923"/>
        <w:gridCol w:w="236"/>
        <w:gridCol w:w="236"/>
        <w:gridCol w:w="341"/>
        <w:gridCol w:w="923"/>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3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1,492</w:t>
            </w:r>
          </w:p>
        </w:tc>
        <w:tc>
          <w:tcPr>
            <w:tcW w:w="23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2,096</w:t>
            </w:r>
          </w:p>
        </w:tc>
        <w:tc>
          <w:tcPr>
            <w:tcW w:w="23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1,246</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3,193</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6,891</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At September 30, 2023, there was $0.8</w:t>
      </w:r>
      <w:r>
        <w:rPr>
          <w:rFonts w:ascii="Times New Roman" w:hAnsi="Times New Roman"/>
          <w:color w:val="000000"/>
          <w:sz w:val="20"/>
        </w:rPr>
        <w:t xml:space="preserve"> </w:t>
      </w:r>
      <w:r>
        <w:rPr>
          <w:rFonts w:ascii="Times New Roman" w:hAnsi="Times New Roman"/>
          <w:b w:val="false"/>
          <w:color w:val="000000"/>
          <w:sz w:val="20"/>
        </w:rPr>
        <w:t>million of total unrecognized compensation cost related to unvested stock options granted under the 2012 Equity Incentive Plan, which is expected to be recognized over a remaining weighted-average period of 0.8</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At September 30, 2023, there was $24.2</w:t>
      </w:r>
      <w:r>
        <w:rPr>
          <w:rFonts w:ascii="Times New Roman" w:hAnsi="Times New Roman"/>
          <w:color w:val="000000"/>
          <w:sz w:val="20"/>
        </w:rPr>
        <w:t xml:space="preserve"> </w:t>
      </w:r>
      <w:r>
        <w:rPr>
          <w:rFonts w:ascii="Times New Roman" w:hAnsi="Times New Roman"/>
          <w:b w:val="false"/>
          <w:color w:val="000000"/>
          <w:sz w:val="20"/>
        </w:rPr>
        <w:t>million of total unrecognized compensation cost related to unvested RSUs granted under the 2021 Plan, which is expected to be recognized over a remaining weighted-average period of 3.1</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computes its tax provision for the three months ended September 30, 2023 by applying the year-to-date actual effective tax rate from recurring operations as the best estimate of its annual effective tax rate. The Company continues to record a valuation allowance against its net deferred tax assets (“DTA”) in the U.S. as it is not more likely than not to be realized given a history of near break-even operations and prior year significant tax deductions for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Company’s effective tax rate for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was 11.4% and 7.2%, respectively. The difference between the Company’s effective tax rate and the U.S. federal statutory rate of 21% was primarily the result of the full valuation allowance recorded against the Company's net U.S., deferred tax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Company’s effective tax rate for the three and nine months ended September 30, 2022 was (65.2)% and 62.3%, respectively. The difference between the Company's effective tax rate and the U.S. federal statutory rate of 21% was primarily the result of near break-even pre-tax operating results, excess tax benefits on stock-based compensation,</w:t>
      </w:r>
      <w:r>
        <w:rPr>
          <w:rFonts w:ascii="Times New Roman" w:hAnsi="Times New Roman"/>
          <w:color w:val="000000"/>
          <w:sz w:val="20"/>
        </w:rPr>
        <w:t xml:space="preserve"> </w:t>
      </w:r>
      <w:r>
        <w:rPr>
          <w:rFonts w:ascii="Times New Roman" w:hAnsi="Times New Roman"/>
          <w:b w:val="false"/>
          <w:color w:val="222222"/>
          <w:sz w:val="20"/>
        </w:rPr>
        <w:t xml:space="preserve">the valuation allowance recorded against the Company’s net US deferred tax assets, </w:t>
      </w:r>
      <w:r>
        <w:rPr>
          <w:rFonts w:ascii="Times New Roman" w:hAnsi="Times New Roman"/>
          <w:b w:val="false"/>
          <w:color w:val="000000"/>
          <w:sz w:val="20"/>
        </w:rPr>
        <w:t>state taxes, foreign income taxed at different rates and permanent tax adjustments related to nondeductible executive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Net Income per Share Attributable to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Basic net income per share attributable to common stock is computed by dividing net income for the period by the weighted average number of common shares outstanding during the period.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Diluted net income per share attributable to common stock is computed by giving effect to all potentially dilutive common stock equivalents to the extent they are dilutive. The dilutive effect of outstanding options, RSUs and warrants is reflected in diluted net</w:t>
      </w:r>
      <w:r>
        <w:rPr>
          <w:rFonts w:ascii="Times New Roman" w:hAnsi="Times New Roman"/>
          <w:color w:val="000000"/>
          <w:sz w:val="20"/>
        </w:rPr>
        <w:t xml:space="preserve"> </w:t>
      </w:r>
    </w:p>
    <w:p>
      <w:pPr>
        <w:pStyle w:val="TextBody"/>
        <w:bidi w:val="0"/>
        <w:spacing w:before="120" w:after="283"/>
        <w:jc w:val="center"/>
        <w:rPr>
          <w:rFonts w:ascii="Arial" w:hAnsi="Arial"/>
          <w:b w:val="false"/>
          <w:color w:val="000000"/>
          <w:sz w:val="20"/>
        </w:rPr>
      </w:pPr>
      <w:r>
        <w:rPr>
          <w:rFonts w:ascii="Arial" w:hAnsi="Arial"/>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income per share attributable to common stock by application of the treasury stock method. The calculation of diluted net income per share attributable to common stock excludes all anti-dilutive common shares.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table sets forth the computation of basic and diluted net income per share attributable to common stock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61"/>
        <w:gridCol w:w="346"/>
        <w:gridCol w:w="213"/>
        <w:gridCol w:w="1155"/>
        <w:gridCol w:w="147"/>
        <w:gridCol w:w="147"/>
        <w:gridCol w:w="213"/>
        <w:gridCol w:w="1155"/>
        <w:gridCol w:w="166"/>
        <w:gridCol w:w="146"/>
        <w:gridCol w:w="211"/>
        <w:gridCol w:w="1141"/>
        <w:gridCol w:w="146"/>
        <w:gridCol w:w="146"/>
        <w:gridCol w:w="211"/>
        <w:gridCol w:w="1141"/>
        <w:gridCol w:w="166"/>
        <w:gridCol w:w="494"/>
      </w:tblGrid>
      <w:tr>
        <w:trPr/>
        <w:tc>
          <w:tcPr>
            <w:tcW w:w="28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28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4" w:type="dxa"/>
            <w:tcBorders/>
            <w:shd w:fill="FFFFFF" w:val="cle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3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94"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w:t>
            </w:r>
          </w:p>
        </w:tc>
        <w:tc>
          <w:tcPr>
            <w:tcW w:w="3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4" w:type="dxa"/>
            <w:tcBorders/>
            <w:shd w:fill="FFFFFF" w:val="cle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3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94"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Weighted-average shares of common stock — basic</w:t>
            </w:r>
          </w:p>
        </w:tc>
        <w:tc>
          <w:tcPr>
            <w:tcW w:w="3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123,620,260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122,740,982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123,430,652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121,765,509</w:t>
            </w:r>
          </w:p>
        </w:tc>
        <w:tc>
          <w:tcPr>
            <w:tcW w:w="16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firstLine="300"/>
              <w:jc w:val="left"/>
              <w:rPr/>
            </w:pPr>
            <w:r>
              <w:rPr/>
              <w:t> </w:t>
            </w:r>
          </w:p>
        </w:tc>
      </w:tr>
      <w:tr>
        <w:trPr/>
        <w:tc>
          <w:tcPr>
            <w:tcW w:w="286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Dilutive effect of stock options to purchase common stock</w:t>
            </w:r>
          </w:p>
        </w:tc>
        <w:tc>
          <w:tcPr>
            <w:tcW w:w="3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1,548,680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firstLine="300"/>
              <w:jc w:val="left"/>
              <w:rPr/>
            </w:pPr>
            <w:r>
              <w:rPr/>
              <w:t> </w:t>
            </w:r>
          </w:p>
        </w:tc>
      </w:tr>
      <w:tr>
        <w:trPr/>
        <w:tc>
          <w:tcPr>
            <w:tcW w:w="286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Dilutive effect of RSUs</w:t>
            </w:r>
          </w:p>
        </w:tc>
        <w:tc>
          <w:tcPr>
            <w:tcW w:w="3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429,863</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firstLine="300"/>
              <w:jc w:val="left"/>
              <w:rPr/>
            </w:pPr>
            <w:r>
              <w:rPr/>
              <w:t> </w:t>
            </w:r>
          </w:p>
        </w:tc>
      </w:tr>
      <w:tr>
        <w:trPr/>
        <w:tc>
          <w:tcPr>
            <w:tcW w:w="286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Dilutive effect of warrants</w:t>
            </w:r>
          </w:p>
        </w:tc>
        <w:tc>
          <w:tcPr>
            <w:tcW w:w="3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41,076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Weighted-average shares of common stock — diluted</w:t>
            </w:r>
          </w:p>
        </w:tc>
        <w:tc>
          <w:tcPr>
            <w:tcW w:w="3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125,639,879</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122,740,982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124,457,360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121,765,509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w:t>
            </w:r>
          </w:p>
        </w:tc>
        <w:tc>
          <w:tcPr>
            <w:tcW w:w="3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94"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3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4"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4"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following table summarizes the weighted average securities that were excluded from the computation of diluted net income per share attributable to common stock as their inclusion would have been antidilutive:</w:t>
      </w:r>
    </w:p>
    <w:tbl>
      <w:tblPr>
        <w:tblW w:w="10198" w:type="dxa"/>
        <w:jc w:val="left"/>
        <w:tblInd w:w="0" w:type="dxa"/>
        <w:tblLayout w:type="fixed"/>
        <w:tblCellMar>
          <w:top w:w="28" w:type="dxa"/>
          <w:left w:w="28" w:type="dxa"/>
          <w:bottom w:w="28" w:type="dxa"/>
          <w:right w:w="28" w:type="dxa"/>
        </w:tblCellMar>
      </w:tblPr>
      <w:tblGrid>
        <w:gridCol w:w="3451"/>
        <w:gridCol w:w="146"/>
        <w:gridCol w:w="198"/>
        <w:gridCol w:w="1061"/>
        <w:gridCol w:w="198"/>
        <w:gridCol w:w="198"/>
        <w:gridCol w:w="198"/>
        <w:gridCol w:w="1265"/>
        <w:gridCol w:w="146"/>
        <w:gridCol w:w="146"/>
        <w:gridCol w:w="179"/>
        <w:gridCol w:w="1142"/>
        <w:gridCol w:w="179"/>
        <w:gridCol w:w="179"/>
        <w:gridCol w:w="179"/>
        <w:gridCol w:w="114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4,705,323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103,804</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5,693,398</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580,102</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1,149,853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860,848</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417,045</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428,803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417,045</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418,630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3" w:name="item_2_managements_discussion"/>
      <w:bookmarkEnd w:id="13"/>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 leading provider of cloud-based bill payment technology and solutions. We deliver our next-generation product suite through a modern technology stack to more than 1,900 biller business and financial institution clients. Our platform was used by approximately 27 million consumers and businesses in North America in December 2022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pStyle w:val="TextBody"/>
        <w:bidi w:val="0"/>
        <w:spacing w:before="120" w:after="283"/>
        <w:jc w:val="both"/>
        <w:rPr>
          <w:rFonts w:ascii="Times New Roman" w:hAnsi="Times New Roman"/>
          <w:sz w:val="20"/>
        </w:rPr>
      </w:pPr>
      <w:r>
        <w:rPr>
          <w:rFonts w:ascii="Times New Roman" w:hAnsi="Times New Roman"/>
          <w:b/>
          <w:color w:val="000000"/>
          <w:sz w:val="20"/>
        </w:rPr>
        <w:t>Transactions Processed</w:t>
      </w:r>
      <w:r>
        <w:rPr>
          <w:rFonts w:ascii="Times New Roman" w:hAnsi="Times New Roman"/>
          <w:color w:val="000000"/>
          <w:sz w:val="20"/>
        </w:rPr>
        <w:t xml:space="preserve"> </w:t>
      </w:r>
    </w:p>
    <w:p>
      <w:pPr>
        <w:pStyle w:val="TextBody"/>
        <w:bidi w:val="0"/>
        <w:spacing w:before="120" w:after="283"/>
        <w:jc w:val="both"/>
        <w:rPr/>
      </w:pPr>
      <w:r>
        <w:rPr/>
        <w:t> </w:t>
      </w:r>
    </w:p>
    <w:tbl>
      <w:tblPr>
        <w:tblW w:w="8551" w:type="dxa"/>
        <w:jc w:val="left"/>
        <w:tblInd w:w="0" w:type="dxa"/>
        <w:tblLayout w:type="fixed"/>
        <w:tblCellMar>
          <w:top w:w="28" w:type="dxa"/>
          <w:left w:w="28" w:type="dxa"/>
          <w:bottom w:w="28" w:type="dxa"/>
          <w:right w:w="28" w:type="dxa"/>
        </w:tblCellMar>
      </w:tblPr>
      <w:tblGrid>
        <w:gridCol w:w="1996"/>
        <w:gridCol w:w="155"/>
        <w:gridCol w:w="607"/>
        <w:gridCol w:w="155"/>
        <w:gridCol w:w="155"/>
        <w:gridCol w:w="155"/>
        <w:gridCol w:w="495"/>
        <w:gridCol w:w="155"/>
        <w:gridCol w:w="155"/>
        <w:gridCol w:w="211"/>
        <w:gridCol w:w="675"/>
        <w:gridCol w:w="271"/>
        <w:gridCol w:w="146"/>
        <w:gridCol w:w="146"/>
        <w:gridCol w:w="571"/>
        <w:gridCol w:w="146"/>
        <w:gridCol w:w="146"/>
        <w:gridCol w:w="146"/>
        <w:gridCol w:w="571"/>
        <w:gridCol w:w="146"/>
        <w:gridCol w:w="146"/>
        <w:gridCol w:w="211"/>
        <w:gridCol w:w="675"/>
        <w:gridCol w:w="316"/>
      </w:tblGrid>
      <w:tr>
        <w:trPr/>
        <w:tc>
          <w:tcPr>
            <w:tcW w:w="1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pPr>
            <w:r>
              <w:rPr/>
              <w:t> </w:t>
            </w:r>
          </w:p>
        </w:tc>
        <w:tc>
          <w:tcPr>
            <w:tcW w:w="29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Growth</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Growth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7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5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Transactions processed</w:t>
            </w:r>
          </w:p>
        </w:tc>
        <w:tc>
          <w:tcPr>
            <w:tcW w:w="155"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three and nine months ended September 30, 2023 increased approximately 25.2% and 23.7%, respectively, as compared to the same periods in 2022. The increase was primarily driven by the addition of new billers and financial institutions and increased transactions from our existing billers and financial institutions.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Key Factors and Trends Affecting Our Operating Results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2022 or the “2022 Form 10-K” and our subsequent Quarterly Reports on Form 10-Q.</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Impact of Economic and Inflationary Trends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2022 and continuing into 2023, the United States economy has experienced inflationary conditions, increased interest rates and consecutive quarters of decreased gross domestic product. While we believe our business is resilient and can generally weather unusual levels of inflation, the economic uncertainty and continuing inflationary pressures, which have been particularly acute in the utility sector, impacted our fiscal 2022 and first half of 2023 financial performance and are expected to impact our 2023 financial performance. Inflationary pressure is resulting in higher average bills, particularly in the utility sector, and increased interchange fees. While we are seeking to adjust our prices to address the inflationary pressures, our ability to do so typically lags behind the impact of inflation on our clients, the increase in average bill amounts and increased interchange fees. We intend to continue to manage through this uncertain economic environment by working closely with clients on implementations and price adjustments.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Contribution Profit</w:t>
      </w:r>
    </w:p>
    <w:p>
      <w:pPr>
        <w:pStyle w:val="TextBody"/>
        <w:bidi w:val="0"/>
        <w:spacing w:before="120" w:after="283"/>
        <w:jc w:val="center"/>
        <w:rPr>
          <w:rFonts w:ascii="Arial" w:hAnsi="Arial"/>
          <w:b w:val="false"/>
          <w:color w:val="000000"/>
          <w:sz w:val="20"/>
        </w:rPr>
      </w:pPr>
      <w:r>
        <w:rPr>
          <w:rFonts w:ascii="Arial" w:hAnsi="Arial"/>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calculate contribution profit as gross profit plus other cost of revenue. Other cost of revenue equals cost of revenue less interchange and assessment fees paid by us to our payment processors.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Adjusted 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calculate adjusted gross profit as gross profit adjusted for non-cash items, primarily stock-based compensation and amortization of acquisition-related intangible assets and capitalized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calculate adjusted EBITDA as net income before other income (expense) (which consists of interest income (expense)), depreciation and amortization of acquisition-related intangible assets and capitalized software development costs, and income taxes, adjusted to exclude the effects of net and foreign exchange gain (loss), stock-based compensation expense and certain nonrecurring expenses that management believes are not indicative of ongoing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Free Cash Flow</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calculate free cash flow as net cash provided by (used in) operating activities less capital expenditures, other intangible assets acquired, and capitalized internal-use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How we use Non-GAAP Measures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Contribution Profit</w:t>
      </w:r>
    </w:p>
    <w:tbl>
      <w:tblPr>
        <w:tblW w:w="8369" w:type="dxa"/>
        <w:jc w:val="left"/>
        <w:tblInd w:w="0" w:type="dxa"/>
        <w:tblLayout w:type="fixed"/>
        <w:tblCellMar>
          <w:top w:w="28" w:type="dxa"/>
          <w:left w:w="28" w:type="dxa"/>
          <w:bottom w:w="28" w:type="dxa"/>
          <w:right w:w="28" w:type="dxa"/>
        </w:tblCellMar>
      </w:tblPr>
      <w:tblGrid>
        <w:gridCol w:w="2366"/>
        <w:gridCol w:w="274"/>
        <w:gridCol w:w="878"/>
        <w:gridCol w:w="189"/>
        <w:gridCol w:w="189"/>
        <w:gridCol w:w="274"/>
        <w:gridCol w:w="878"/>
        <w:gridCol w:w="146"/>
        <w:gridCol w:w="146"/>
        <w:gridCol w:w="240"/>
        <w:gridCol w:w="890"/>
        <w:gridCol w:w="166"/>
        <w:gridCol w:w="166"/>
        <w:gridCol w:w="240"/>
        <w:gridCol w:w="890"/>
        <w:gridCol w:w="146"/>
        <w:gridCol w:w="291"/>
      </w:tblGrid>
      <w:tr>
        <w:trPr/>
        <w:tc>
          <w:tcPr>
            <w:tcW w:w="23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6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66" w:type="dxa"/>
            <w:tcBorders/>
            <w:shd w:fill="FFFFFF" w:val="clear"/>
            <w:vAlign w:val="center"/>
          </w:tcPr>
          <w:p>
            <w:pPr>
              <w:pStyle w:val="TableContents"/>
              <w:bidi w:val="0"/>
              <w:spacing w:before="0" w:after="283"/>
              <w:jc w:val="left"/>
              <w:rPr/>
            </w:pPr>
            <w:r>
              <w:rPr/>
              <w:t> </w:t>
            </w:r>
          </w:p>
        </w:tc>
        <w:tc>
          <w:tcPr>
            <w:tcW w:w="5566" w:type="dxa"/>
            <w:gridSpan w:val="1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Gross Profit</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46,910</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132,850</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108,539</w:t>
            </w:r>
          </w:p>
        </w:tc>
        <w:tc>
          <w:tcPr>
            <w:tcW w:w="146" w:type="dxa"/>
            <w:tcBorders/>
            <w:shd w:fill="CFF0FC"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Plus: other cost of revenue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14,583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Contribution Profit</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61,493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20"/>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nine months ended September 30, 2023 increased approximately 20.3% and 18.6%, respectively, as compared to the same periods in 2022. The increase was primarily driven by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and implementing certain cost improvement measures.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Adjusted Gross Profit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176"/>
        <w:gridCol w:w="262"/>
        <w:gridCol w:w="840"/>
        <w:gridCol w:w="180"/>
        <w:gridCol w:w="180"/>
        <w:gridCol w:w="262"/>
        <w:gridCol w:w="840"/>
        <w:gridCol w:w="246"/>
        <w:gridCol w:w="246"/>
        <w:gridCol w:w="234"/>
        <w:gridCol w:w="869"/>
        <w:gridCol w:w="162"/>
        <w:gridCol w:w="162"/>
        <w:gridCol w:w="234"/>
        <w:gridCol w:w="869"/>
        <w:gridCol w:w="146"/>
        <w:gridCol w:w="297"/>
      </w:tblGrid>
      <w:tr>
        <w:trPr/>
        <w:tc>
          <w:tcPr>
            <w:tcW w:w="41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5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r>
      <w:tr>
        <w:trPr/>
        <w:tc>
          <w:tcPr>
            <w:tcW w:w="4176"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r>
      <w:tr>
        <w:trPr/>
        <w:tc>
          <w:tcPr>
            <w:tcW w:w="4176" w:type="dxa"/>
            <w:tcBorders/>
            <w:shd w:fill="FFFFFF" w:val="clear"/>
            <w:vAlign w:val="center"/>
          </w:tcPr>
          <w:p>
            <w:pPr>
              <w:pStyle w:val="TableContents"/>
              <w:bidi w:val="0"/>
              <w:spacing w:before="0" w:after="283"/>
              <w:jc w:val="left"/>
              <w:rPr/>
            </w:pPr>
            <w:r>
              <w:rPr/>
              <w:t> </w:t>
            </w:r>
          </w:p>
        </w:tc>
        <w:tc>
          <w:tcPr>
            <w:tcW w:w="5586" w:type="dxa"/>
            <w:gridSpan w:val="1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r>
      <w:tr>
        <w:trPr/>
        <w:tc>
          <w:tcPr>
            <w:tcW w:w="41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46,910</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37,857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132,850</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108,539</w:t>
            </w:r>
          </w:p>
        </w:tc>
        <w:tc>
          <w:tcPr>
            <w:tcW w:w="146" w:type="dxa"/>
            <w:tcBorders/>
            <w:shd w:fill="CFF0FC"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41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262"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41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Amortization of capitalized software development costs</w:t>
            </w:r>
          </w:p>
        </w:tc>
        <w:tc>
          <w:tcPr>
            <w:tcW w:w="262"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3,493</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9,473</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6,088</w:t>
            </w:r>
          </w:p>
        </w:tc>
        <w:tc>
          <w:tcPr>
            <w:tcW w:w="146" w:type="dxa"/>
            <w:tcBorders/>
            <w:shd w:fill="CFF0FC"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41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Amortization of acquisition-related intangibles</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r>
      <w:tr>
        <w:trPr/>
        <w:tc>
          <w:tcPr>
            <w:tcW w:w="41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51,268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144,919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Adjusted gross profit for the three and nine months ended September 30, 2023 increased 24.9% and 23.7%, respectively, as compared to the same periods in 2022. Adjusted gross profit improved in line with contribution profit. Adjusted gross profit as a percentage improved as a result of economies of scale. Adjusted gross profit is driven primarily by the same factors that impact gross profit with the exception of excluding the amortization in cost of revenue. The increase in amortization was driven by additional capitalization of software costs.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Adjusted EBITDA</w:t>
      </w:r>
    </w:p>
    <w:tbl>
      <w:tblPr>
        <w:tblW w:w="10129" w:type="dxa"/>
        <w:jc w:val="left"/>
        <w:tblInd w:w="0" w:type="dxa"/>
        <w:tblLayout w:type="fixed"/>
        <w:tblCellMar>
          <w:top w:w="28" w:type="dxa"/>
          <w:left w:w="28" w:type="dxa"/>
          <w:bottom w:w="28" w:type="dxa"/>
          <w:right w:w="28" w:type="dxa"/>
        </w:tblCellMar>
      </w:tblPr>
      <w:tblGrid>
        <w:gridCol w:w="4736"/>
        <w:gridCol w:w="286"/>
        <w:gridCol w:w="916"/>
        <w:gridCol w:w="225"/>
        <w:gridCol w:w="197"/>
        <w:gridCol w:w="286"/>
        <w:gridCol w:w="774"/>
        <w:gridCol w:w="166"/>
        <w:gridCol w:w="146"/>
        <w:gridCol w:w="211"/>
        <w:gridCol w:w="676"/>
        <w:gridCol w:w="166"/>
        <w:gridCol w:w="146"/>
        <w:gridCol w:w="211"/>
        <w:gridCol w:w="676"/>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vAlign w:val="center"/>
          </w:tcPr>
          <w:p>
            <w:pPr>
              <w:pStyle w:val="TableContents"/>
              <w:bidi w:val="0"/>
              <w:spacing w:before="0" w:after="283"/>
              <w:jc w:val="left"/>
              <w:rPr/>
            </w:pPr>
            <w:r>
              <w:rPr/>
              <w:t> </w:t>
            </w:r>
          </w:p>
        </w:tc>
        <w:tc>
          <w:tcPr>
            <w:tcW w:w="5082" w:type="dxa"/>
            <w:gridSpan w:val="1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 GAAP</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225"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28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(1,905</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Provision for (benefit from) income taxes</w:t>
            </w:r>
          </w:p>
        </w:tc>
        <w:tc>
          <w:tcPr>
            <w:tcW w:w="28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225"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(2,397</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Amortization of capitalized software development costs</w:t>
            </w:r>
          </w:p>
        </w:tc>
        <w:tc>
          <w:tcPr>
            <w:tcW w:w="28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5,473</w:t>
            </w:r>
          </w:p>
        </w:tc>
        <w:tc>
          <w:tcPr>
            <w:tcW w:w="22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Amortization of acquisition-related intangibles</w:t>
            </w:r>
          </w:p>
        </w:tc>
        <w:tc>
          <w:tcPr>
            <w:tcW w:w="28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2,095</w:t>
            </w:r>
          </w:p>
        </w:tc>
        <w:tc>
          <w:tcPr>
            <w:tcW w:w="225"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Depreciation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13,066</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Adjustments</w:t>
            </w:r>
          </w:p>
        </w:tc>
        <w:tc>
          <w:tcPr>
            <w:tcW w:w="1202" w:type="dxa"/>
            <w:gridSpan w:val="2"/>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Foreign exchange loss (gain)</w:t>
            </w:r>
          </w:p>
        </w:tc>
        <w:tc>
          <w:tcPr>
            <w:tcW w:w="28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2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28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w:t>
            </w:r>
          </w:p>
        </w:tc>
        <w:tc>
          <w:tcPr>
            <w:tcW w:w="225"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Other nonrecurring expense </w:t>
            </w:r>
            <w:r>
              <w:rPr>
                <w:rFonts w:ascii="Times New Roman" w:hAnsi="Times New Roman"/>
                <w:b w:val="false"/>
                <w:color w:val="000000"/>
                <w:sz w:val="13"/>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15,539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____________</w:t>
      </w:r>
    </w:p>
    <w:p>
      <w:pPr>
        <w:pStyle w:val="TextBody"/>
        <w:bidi w:val="0"/>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Other nonrecurring expenses consist of an estimated liability booked in the three months ended September 30, 2022 related to the potential costs of terminating a commercial contract.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Adjusted EBITDA is a measure of profitability and generally is expected to move in line with revenue, contribution profit, gross profit and adjusted gross profit. Adjusted EBITDA increased 93.9% and 107.3% in the three and nine months ended September 30, 2023, respectively, as compared to the same periods in 2022. The increase was primarily driven by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and implementing certain cost improvement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Free Cash Flow</w:t>
      </w:r>
    </w:p>
    <w:tbl>
      <w:tblPr>
        <w:tblW w:w="10205" w:type="dxa"/>
        <w:jc w:val="left"/>
        <w:tblInd w:w="0" w:type="dxa"/>
        <w:tblLayout w:type="fixed"/>
        <w:tblCellMar>
          <w:top w:w="28" w:type="dxa"/>
          <w:left w:w="28" w:type="dxa"/>
          <w:bottom w:w="28" w:type="dxa"/>
          <w:right w:w="28" w:type="dxa"/>
        </w:tblCellMar>
      </w:tblPr>
      <w:tblGrid>
        <w:gridCol w:w="4188"/>
        <w:gridCol w:w="262"/>
        <w:gridCol w:w="840"/>
        <w:gridCol w:w="205"/>
        <w:gridCol w:w="180"/>
        <w:gridCol w:w="262"/>
        <w:gridCol w:w="914"/>
        <w:gridCol w:w="166"/>
        <w:gridCol w:w="146"/>
        <w:gridCol w:w="246"/>
        <w:gridCol w:w="861"/>
        <w:gridCol w:w="194"/>
        <w:gridCol w:w="170"/>
        <w:gridCol w:w="246"/>
        <w:gridCol w:w="861"/>
        <w:gridCol w:w="166"/>
        <w:gridCol w:w="298"/>
      </w:tblGrid>
      <w:tr>
        <w:trPr/>
        <w:tc>
          <w:tcPr>
            <w:tcW w:w="41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188" w:type="dxa"/>
            <w:tcBorders/>
            <w:shd w:fill="FFFFFF" w:val="clear"/>
            <w:vAlign w:val="center"/>
          </w:tcPr>
          <w:p>
            <w:pPr>
              <w:pStyle w:val="TableContents"/>
              <w:bidi w:val="0"/>
              <w:spacing w:before="0" w:after="283"/>
              <w:jc w:val="left"/>
              <w:rPr/>
            </w:pPr>
            <w:r>
              <w:rPr/>
              <w:t> </w:t>
            </w:r>
          </w:p>
        </w:tc>
        <w:tc>
          <w:tcPr>
            <w:tcW w:w="26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left"/>
              <w:rPr/>
            </w:pPr>
            <w:r>
              <w:rPr/>
              <w:t> </w:t>
            </w:r>
          </w:p>
        </w:tc>
      </w:tr>
      <w:tr>
        <w:trPr/>
        <w:tc>
          <w:tcPr>
            <w:tcW w:w="4188"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left"/>
              <w:rPr/>
            </w:pPr>
            <w:r>
              <w:rPr/>
              <w:t> </w:t>
            </w:r>
          </w:p>
        </w:tc>
      </w:tr>
      <w:tr>
        <w:trPr/>
        <w:tc>
          <w:tcPr>
            <w:tcW w:w="4188" w:type="dxa"/>
            <w:tcBorders/>
            <w:shd w:fill="FFFFFF" w:val="clear"/>
            <w:vAlign w:val="center"/>
          </w:tcPr>
          <w:p>
            <w:pPr>
              <w:pStyle w:val="TableContents"/>
              <w:bidi w:val="0"/>
              <w:spacing w:before="0" w:after="283"/>
              <w:jc w:val="left"/>
              <w:rPr/>
            </w:pPr>
            <w:r>
              <w:rPr/>
              <w:t> </w:t>
            </w:r>
          </w:p>
        </w:tc>
        <w:tc>
          <w:tcPr>
            <w:tcW w:w="5553" w:type="dxa"/>
            <w:gridSpan w:val="1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shd w:fill="FFFFFF" w:val="cle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left"/>
              <w:rPr/>
            </w:pPr>
            <w:r>
              <w:rPr/>
              <w:t> </w:t>
            </w:r>
          </w:p>
        </w:tc>
      </w:tr>
      <w:tr>
        <w:trPr/>
        <w:tc>
          <w:tcPr>
            <w:tcW w:w="41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provided by operating activities</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13,143</w:t>
            </w:r>
          </w:p>
        </w:tc>
        <w:tc>
          <w:tcPr>
            <w:tcW w:w="205"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44,387</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5,143</w:t>
            </w:r>
          </w:p>
        </w:tc>
        <w:tc>
          <w:tcPr>
            <w:tcW w:w="166" w:type="dxa"/>
            <w:tcBorders/>
            <w:shd w:fill="CFF0FC"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4188"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Purchases of property and equipment and software</w:t>
            </w:r>
          </w:p>
        </w:tc>
        <w:tc>
          <w:tcPr>
            <w:tcW w:w="262"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w:t>
            </w:r>
          </w:p>
        </w:tc>
        <w:tc>
          <w:tcPr>
            <w:tcW w:w="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4188"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intangible assets acquired</w:t>
            </w:r>
          </w:p>
        </w:tc>
        <w:tc>
          <w:tcPr>
            <w:tcW w:w="262"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205"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4188"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Capitalized software development costs</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(25,339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8" w:type="dxa"/>
            <w:tcBorders/>
            <w:shd w:fill="FFFFFF" w:val="clear"/>
            <w:vAlign w:val="center"/>
          </w:tcPr>
          <w:p>
            <w:pPr>
              <w:pStyle w:val="TableContents"/>
              <w:bidi w:val="0"/>
              <w:spacing w:before="0" w:after="283"/>
              <w:jc w:val="left"/>
              <w:rPr/>
            </w:pPr>
            <w:r>
              <w:rPr/>
              <w:t> </w:t>
            </w:r>
          </w:p>
        </w:tc>
      </w:tr>
      <w:tr>
        <w:trPr/>
        <w:tc>
          <w:tcPr>
            <w:tcW w:w="41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4,257</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18,537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98" w:type="dxa"/>
            <w:tcBorders/>
            <w:shd w:fill="FFFFFF" w:val="clear"/>
            <w:vAlign w:val="center"/>
          </w:tcPr>
          <w:p>
            <w:pPr>
              <w:pStyle w:val="TableContents"/>
              <w:bidi w:val="0"/>
              <w:spacing w:before="0" w:after="283"/>
              <w:jc w:val="left"/>
              <w:rPr/>
            </w:pPr>
            <w:r>
              <w:rPr/>
              <w:t> </w:t>
            </w:r>
          </w:p>
        </w:tc>
      </w:tr>
      <w:tr>
        <w:trPr/>
        <w:tc>
          <w:tcPr>
            <w:tcW w:w="41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(8,886</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(25,850</w:t>
            </w:r>
          </w:p>
        </w:tc>
        <w:tc>
          <w:tcPr>
            <w:tcW w:w="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(23,668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8" w:type="dxa"/>
            <w:tcBorders/>
            <w:shd w:fill="FFFFFF" w:val="clear"/>
            <w:vAlign w:val="center"/>
          </w:tcPr>
          <w:p>
            <w:pPr>
              <w:pStyle w:val="TableContents"/>
              <w:bidi w:val="0"/>
              <w:spacing w:before="0" w:after="283"/>
              <w:jc w:val="left"/>
              <w:rPr/>
            </w:pPr>
            <w:r>
              <w:rPr/>
              <w:t> </w:t>
            </w:r>
          </w:p>
        </w:tc>
      </w:tr>
      <w:tr>
        <w:trPr/>
        <w:tc>
          <w:tcPr>
            <w:tcW w:w="41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provided by financing activities</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205"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(1,376</w:t>
            </w:r>
          </w:p>
        </w:tc>
        <w:tc>
          <w:tcPr>
            <w:tcW w:w="1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42,940</w:t>
            </w:r>
          </w:p>
        </w:tc>
        <w:tc>
          <w:tcPr>
            <w:tcW w:w="166" w:type="dxa"/>
            <w:tcBorders/>
            <w:shd w:fill="CFF0FC"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free cash flow for the three and nine months ended September 30, 2023 was driven by higher cash provided by operating activities.</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sets forth our condensed consolidated statements of operations for the periods presented:</w:t>
      </w:r>
    </w:p>
    <w:p>
      <w:pPr>
        <w:pStyle w:val="TextBody"/>
        <w:bidi w:val="0"/>
        <w:jc w:val="left"/>
        <w:rPr/>
      </w:pPr>
      <w:r>
        <w:rPr/>
        <w:t> </w:t>
      </w:r>
    </w:p>
    <w:tbl>
      <w:tblPr>
        <w:tblW w:w="11806" w:type="dxa"/>
        <w:jc w:val="left"/>
        <w:tblInd w:w="0" w:type="dxa"/>
        <w:tblLayout w:type="fixed"/>
        <w:tblCellMar>
          <w:top w:w="28" w:type="dxa"/>
          <w:left w:w="28" w:type="dxa"/>
          <w:bottom w:w="28" w:type="dxa"/>
          <w:right w:w="28" w:type="dxa"/>
        </w:tblCellMar>
      </w:tblPr>
      <w:tblGrid>
        <w:gridCol w:w="1391"/>
        <w:gridCol w:w="146"/>
        <w:gridCol w:w="211"/>
        <w:gridCol w:w="781"/>
        <w:gridCol w:w="271"/>
        <w:gridCol w:w="146"/>
        <w:gridCol w:w="211"/>
        <w:gridCol w:w="781"/>
        <w:gridCol w:w="271"/>
        <w:gridCol w:w="146"/>
        <w:gridCol w:w="211"/>
        <w:gridCol w:w="676"/>
        <w:gridCol w:w="166"/>
        <w:gridCol w:w="146"/>
        <w:gridCol w:w="571"/>
        <w:gridCol w:w="271"/>
        <w:gridCol w:w="146"/>
        <w:gridCol w:w="211"/>
        <w:gridCol w:w="781"/>
        <w:gridCol w:w="271"/>
        <w:gridCol w:w="146"/>
        <w:gridCol w:w="211"/>
        <w:gridCol w:w="781"/>
        <w:gridCol w:w="271"/>
        <w:gridCol w:w="146"/>
        <w:gridCol w:w="211"/>
        <w:gridCol w:w="676"/>
        <w:gridCol w:w="166"/>
        <w:gridCol w:w="146"/>
        <w:gridCol w:w="631"/>
        <w:gridCol w:w="616"/>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06" w:type="dxa"/>
            <w:gridSpan w:val="2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r>
      <w:tr>
        <w:trPr/>
        <w:tc>
          <w:tcPr>
            <w:tcW w:w="1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128,152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449,690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316,840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256,286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37,857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132,850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108,539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w:t>
            </w:r>
          </w:p>
        </w:tc>
        <w:tc>
          <w:tcPr>
            <w:tcW w:w="616" w:type="dxa"/>
            <w:tcBorders/>
            <w:shd w:fill="CFF0FC"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b w:val="false"/>
                <w:i/>
                <w:color w:val="000000"/>
                <w:sz w:val="20"/>
              </w:rPr>
              <w:t xml:space="preserve">Gross margin </w:t>
            </w:r>
            <w:r>
              <w:rPr>
                <w:rFonts w:ascii="Times New Roman" w:hAnsi="Times New Roman"/>
                <w:b w:val="false"/>
                <w:i/>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30.8</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29.5</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29.5</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29.8</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r>
      <w:tr>
        <w:trPr/>
        <w:tc>
          <w:tcPr>
            <w:tcW w:w="1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ind w:left="0" w:right="0" w:firstLine="100"/>
              <w:jc w:val="left"/>
              <w:rPr/>
            </w:pPr>
            <w:r>
              <w:rPr/>
              <w:t> </w:t>
            </w:r>
          </w:p>
        </w:tc>
      </w:tr>
      <w:tr>
        <w:trPr/>
        <w:tc>
          <w:tcPr>
            <w:tcW w:w="1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33,595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6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21,481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6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123,897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6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6,228</w:t>
            </w:r>
          </w:p>
        </w:tc>
        <w:tc>
          <w:tcPr>
            <w:tcW w:w="16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13,466</w:t>
            </w:r>
          </w:p>
        </w:tc>
        <w:tc>
          <w:tcPr>
            <w:tcW w:w="16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616" w:type="dxa"/>
            <w:tcBorders/>
            <w:shd w:fill="FFFFFF" w:val="clear"/>
            <w:vAlign w:val="center"/>
          </w:tcPr>
          <w:p>
            <w:pPr>
              <w:pStyle w:val="TableContents"/>
              <w:bidi w:val="0"/>
              <w:spacing w:before="0" w:after="283"/>
              <w:jc w:val="right"/>
              <w:rPr/>
            </w:pPr>
            <w:r>
              <w:rPr/>
              <w:t> </w:t>
            </w:r>
          </w:p>
        </w:tc>
      </w:tr>
      <w:tr>
        <w:trPr/>
        <w:tc>
          <w:tcPr>
            <w:tcW w:w="1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ind w:left="0" w:right="0" w:firstLine="100"/>
              <w:jc w:val="left"/>
              <w:rPr/>
            </w:pPr>
            <w:r>
              <w:rPr/>
              <w:t> </w:t>
            </w:r>
          </w:p>
        </w:tc>
      </w:tr>
      <w:tr>
        <w:trPr/>
        <w:tc>
          <w:tcPr>
            <w:tcW w:w="13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742.3</w:t>
            </w:r>
          </w:p>
        </w:tc>
        <w:tc>
          <w:tcPr>
            <w:tcW w:w="6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Foreign exchange (loss) gain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616" w:type="dxa"/>
            <w:tcBorders/>
            <w:shd w:fill="CFF0FC" w:val="clear"/>
            <w:vAlign w:val="center"/>
          </w:tcPr>
          <w:p>
            <w:pPr>
              <w:pStyle w:val="TableContents"/>
              <w:bidi w:val="0"/>
              <w:spacing w:before="0" w:after="283"/>
              <w:ind w:left="0" w:right="0" w:firstLine="200"/>
              <w:jc w:val="right"/>
              <w:rPr/>
            </w:pPr>
            <w:r>
              <w:rPr/>
              <w:t> </w:t>
            </w:r>
          </w:p>
        </w:tc>
      </w:tr>
      <w:tr>
        <w:trPr/>
        <w:tc>
          <w:tcPr>
            <w:tcW w:w="1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616" w:type="dxa"/>
            <w:tcBorders/>
            <w:shd w:fill="FFFFFF" w:val="clear"/>
            <w:vAlign w:val="center"/>
          </w:tcPr>
          <w:p>
            <w:pPr>
              <w:pStyle w:val="TableContents"/>
              <w:bidi w:val="0"/>
              <w:spacing w:before="0" w:after="283"/>
              <w:ind w:left="0" w:right="0" w:firstLine="100"/>
              <w:jc w:val="right"/>
              <w:rPr/>
            </w:pPr>
            <w:r>
              <w:rPr/>
              <w:t> </w:t>
            </w:r>
          </w:p>
        </w:tc>
      </w:tr>
      <w:tr>
        <w:trPr/>
        <w:tc>
          <w:tcPr>
            <w:tcW w:w="13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-141.9</w:t>
            </w:r>
          </w:p>
        </w:tc>
        <w:tc>
          <w:tcPr>
            <w:tcW w:w="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616" w:type="dxa"/>
            <w:tcBorders/>
            <w:shd w:fill="FFFFFF" w:val="clear"/>
            <w:vAlign w:val="center"/>
          </w:tcPr>
          <w:p>
            <w:pPr>
              <w:pStyle w:val="TableContents"/>
              <w:bidi w:val="0"/>
              <w:spacing w:before="0" w:after="283"/>
              <w:jc w:val="righ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____________</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Gross margin is calculated as gross profit divided by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the components of our condensed consolidated statements of operations for the periods presented as a percentage of revenue:</w:t>
      </w:r>
    </w:p>
    <w:p>
      <w:pPr>
        <w:pStyle w:val="TextBody"/>
        <w:bidi w:val="0"/>
        <w:jc w:val="both"/>
        <w:rPr/>
      </w:pPr>
      <w:r>
        <w:rPr/>
        <w:t> </w:t>
      </w:r>
    </w:p>
    <w:tbl>
      <w:tblPr>
        <w:tblW w:w="9919" w:type="dxa"/>
        <w:jc w:val="left"/>
        <w:tblInd w:w="0" w:type="dxa"/>
        <w:tblLayout w:type="fixed"/>
        <w:tblCellMar>
          <w:top w:w="28" w:type="dxa"/>
          <w:left w:w="28" w:type="dxa"/>
          <w:bottom w:w="28" w:type="dxa"/>
          <w:right w:w="28" w:type="dxa"/>
        </w:tblCellMar>
      </w:tblPr>
      <w:tblGrid>
        <w:gridCol w:w="3566"/>
        <w:gridCol w:w="146"/>
        <w:gridCol w:w="211"/>
        <w:gridCol w:w="828"/>
        <w:gridCol w:w="393"/>
        <w:gridCol w:w="211"/>
        <w:gridCol w:w="211"/>
        <w:gridCol w:w="828"/>
        <w:gridCol w:w="271"/>
        <w:gridCol w:w="146"/>
        <w:gridCol w:w="204"/>
        <w:gridCol w:w="800"/>
        <w:gridCol w:w="380"/>
        <w:gridCol w:w="204"/>
        <w:gridCol w:w="204"/>
        <w:gridCol w:w="800"/>
        <w:gridCol w:w="516"/>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4" w:type="dxa"/>
            <w:gridSpan w:val="2"/>
            <w:tcBorders/>
            <w:shd w:fill="FFFFFF" w:val="clear"/>
            <w:vAlign w:val="center"/>
          </w:tcPr>
          <w:p>
            <w:pPr>
              <w:pStyle w:val="TableContents"/>
              <w:bidi w:val="0"/>
              <w:spacing w:before="0" w:after="283"/>
              <w:jc w:val="center"/>
              <w:rPr/>
            </w:pPr>
            <w:r>
              <w:rPr/>
              <w:t> </w:t>
            </w:r>
          </w:p>
        </w:tc>
        <w:tc>
          <w:tcPr>
            <w:tcW w:w="380"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04" w:type="dxa"/>
            <w:gridSpan w:val="2"/>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35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3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3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35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Foreign exchange (loss) gain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Benefit from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Revenue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revenue was primarily driven by an increase in the number of transactions processed, which was driven by the implementation of new billers and increased transactions from our existing billers. Revenue increase was also driven by pricing improvements related to our inflation management.</w:t>
      </w:r>
    </w:p>
    <w:p>
      <w:pPr>
        <w:pStyle w:val="TextBody"/>
        <w:bidi w:val="0"/>
        <w:spacing w:before="120" w:after="283"/>
        <w:jc w:val="center"/>
        <w:rPr>
          <w:rFonts w:ascii="Arial" w:hAnsi="Arial"/>
          <w:b w:val="false"/>
          <w:color w:val="000000"/>
          <w:sz w:val="20"/>
        </w:rPr>
      </w:pPr>
      <w:r>
        <w:rPr>
          <w:rFonts w:ascii="Arial" w:hAnsi="Arial"/>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val="false"/>
          <w:i/>
          <w:color w:val="000000"/>
          <w:sz w:val="20"/>
        </w:rPr>
      </w:pPr>
      <w:r>
        <w:rPr>
          <w:rFonts w:ascii="Times New Roman" w:hAnsi="Times New Roman"/>
          <w:b w:val="false"/>
          <w:i/>
          <w:color w:val="000000"/>
          <w:sz w:val="20"/>
        </w:rPr>
        <w:t>Cost of Revenue, Gross Profit and Gross Margin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 These higher costs were partially offset by cost improvement initiatives and deflation in the utility sector during the quarter ended September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Gross margin improved for the three months ended September 30, 2023 due to adjusted pricing for certain existing customers, </w:t>
      </w:r>
      <w:r>
        <w:rPr>
          <w:rFonts w:ascii="Times New Roman" w:hAnsi="Times New Roman"/>
          <w:b w:val="false"/>
          <w:color w:val="1D1C1D"/>
          <w:sz w:val="20"/>
        </w:rPr>
        <w:t xml:space="preserve">cost improvement initiatives and </w:t>
      </w:r>
      <w:r>
        <w:rPr>
          <w:rFonts w:ascii="Times New Roman" w:hAnsi="Times New Roman"/>
          <w:b w:val="false"/>
          <w:color w:val="000000"/>
          <w:sz w:val="20"/>
        </w:rPr>
        <w:t>deflation in the utility sector</w:t>
      </w:r>
      <w:r>
        <w:rPr>
          <w:rFonts w:ascii="Times New Roman" w:hAnsi="Times New Roman"/>
          <w:b w:val="false"/>
          <w:color w:val="1D1C1D"/>
          <w:sz w:val="20"/>
        </w:rPr>
        <w: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increase in research and development expenses was primarily due to increased amortization cost of capitalized internal-use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Sales and Marketing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sales and marketing expenses was primarily due to an increase in employee-related costs, including benefits, as we continued to expand our sales and marketing efforts with additional headcount in order to continue to drive our growth. In addition, we incurred increased agency commissions associated with new billers and favorable margin on existing billers.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decrease in general and administrative expenses was primarily due to lower costs for our directors and officers insurance and corporate premiums, lower acquisition related expenses, lower commercial contract termination costs, and lower legal expenses, which were offset by higher employee-related costs including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Other Income (Expense)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changes in other income (expense) was primarily due to the increase in interest income, net as a result of increases in the Federal Reserve rates which increased interest income on our government issued securities, which are included in cash and cash equivalents on the balance sheet.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 xml:space="preserve">Income Taxes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change in provision for income taxes for the three months ended September 30, 2023 as compared to the same period in the prior year, was primarily due to the change in the pre-tax earnings and the impact of the full valuation allowance.</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Revenue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revenue was primarily driven by an increase in the number of transactions processed, which was driven by the implementation of new billers and increased transactions from our existing billers. Revenue increase was also driven by pricing improvements from customers related to our inflation management.</w:t>
      </w:r>
    </w:p>
    <w:p>
      <w:pPr>
        <w:pStyle w:val="TextBody"/>
        <w:bidi w:val="0"/>
        <w:spacing w:before="120" w:after="120"/>
        <w:jc w:val="both"/>
        <w:rPr>
          <w:rFonts w:ascii="Times New Roman" w:hAnsi="Times New Roman"/>
          <w:b w:val="false"/>
          <w:i/>
          <w:color w:val="000000"/>
          <w:sz w:val="20"/>
        </w:rPr>
      </w:pPr>
      <w:r>
        <w:rPr>
          <w:rFonts w:ascii="Times New Roman" w:hAnsi="Times New Roman"/>
          <w:b w:val="false"/>
          <w:i/>
          <w:color w:val="000000"/>
          <w:sz w:val="20"/>
        </w:rPr>
        <w:t>Cost of Revenue, Gross Profit and Gross Margin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 These higher costs were partially offset by cost improvements resulting from disinflation in the utility sector and certain cost improvement initiatives.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Gross margin decreased for the nine months ended September 30, 2023 due to increases in cost of revenues for other direct costs associated with making our platform available to our billers.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increase in research and development expenses was primarily due to increased amortization cost of capitalized internal-use software development costs and an increase in employee-related costs, including benefits due to an increase in headcount as we continued to invest in developing and adding additional features and functionality to our platform. Additionally, we incurred increased stock-based compensation expense associated with routine and new hire grants.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Sales and Marketing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increase in sales and marketing expenses was primarily due to an increase in employee-related costs, including benefits, as we continued to expand our sales and marketing efforts with additional headcount in order to continue to drive our growth. We also incurred increased stock-based compensation associated with routine and new hire grants. In addition, we incurred increased agency commission associated with new billers and favorable margin on existing billers.</w:t>
      </w:r>
    </w:p>
    <w:p>
      <w:pPr>
        <w:pStyle w:val="TextBody"/>
        <w:bidi w:val="0"/>
        <w:spacing w:before="120" w:after="283"/>
        <w:jc w:val="center"/>
        <w:rPr>
          <w:rFonts w:ascii="Arial" w:hAnsi="Arial"/>
          <w:b w:val="false"/>
          <w:color w:val="000000"/>
          <w:sz w:val="20"/>
        </w:rPr>
      </w:pPr>
      <w:r>
        <w:rPr>
          <w:rFonts w:ascii="Arial" w:hAnsi="Arial"/>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decrease in general and administrative expenses was primarily due to slower hiring, lower costs for our directors and officers insurance premiums, a reduction in lease costs, lower legal expenses, lower acquisition related expenses and lower commercial contract termination costs, which were offset by higher employee-related costs including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Other Income (Expense)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changes in other income (expense) was primarily due to the increase in interest income, net as a result of increases in the Federal Reserve rates which increased interest income on our government issued securities, which are included in cash and cash equivalents on the balance sheet.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 xml:space="preserve">Income Taxes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change in provision for income taxes for the nine months ended September 30, 2023 as compared to the same period in the prior year, was primarily due to the change in the pre-tax earnings and the impact of the full valuation allowance.</w:t>
      </w:r>
    </w:p>
    <w:p>
      <w:pPr>
        <w:pStyle w:val="TextBody"/>
        <w:bidi w:val="0"/>
        <w:spacing w:before="120" w:after="283"/>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and Uses of Funds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we had $162.1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Historical 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table summarizes our condensed consolidated cash flows.</w:t>
      </w:r>
    </w:p>
    <w:tbl>
      <w:tblPr>
        <w:tblW w:w="8222" w:type="dxa"/>
        <w:jc w:val="left"/>
        <w:tblInd w:w="0" w:type="dxa"/>
        <w:tblLayout w:type="fixed"/>
        <w:tblCellMar>
          <w:top w:w="28" w:type="dxa"/>
          <w:left w:w="28" w:type="dxa"/>
          <w:bottom w:w="28" w:type="dxa"/>
          <w:right w:w="28" w:type="dxa"/>
        </w:tblCellMar>
      </w:tblPr>
      <w:tblGrid>
        <w:gridCol w:w="4771"/>
        <w:gridCol w:w="546"/>
        <w:gridCol w:w="248"/>
        <w:gridCol w:w="866"/>
        <w:gridCol w:w="195"/>
        <w:gridCol w:w="171"/>
        <w:gridCol w:w="248"/>
        <w:gridCol w:w="866"/>
        <w:gridCol w:w="311"/>
      </w:tblGrid>
      <w:tr>
        <w:trPr/>
        <w:tc>
          <w:tcPr>
            <w:tcW w:w="47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Net cash provided by (used in)</w:t>
            </w:r>
          </w:p>
        </w:tc>
        <w:tc>
          <w:tcPr>
            <w:tcW w:w="5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1114"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7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44,387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77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(25,850</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(23,668</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7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(1,376</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42,940</w:t>
            </w:r>
          </w:p>
        </w:tc>
        <w:tc>
          <w:tcPr>
            <w:tcW w:w="31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Effects of foreign exchange on cash</w:t>
            </w:r>
          </w:p>
        </w:tc>
        <w:tc>
          <w:tcPr>
            <w:tcW w:w="5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Net increase in cash, cash equivalents and restricted cash</w:t>
            </w:r>
          </w:p>
        </w:tc>
        <w:tc>
          <w:tcPr>
            <w:tcW w:w="5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24,086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i/>
          <w:color w:val="000000"/>
          <w:sz w:val="20"/>
        </w:rPr>
        <w:t>Net Cash Provided by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nine months ended September 30, 2023 was $44.4 million. Net income was $12.9 million, adjusted for non-cash charges of $32.9 million consisting primarily of depreciation and amortization, stock-based compensation, amortization of contract assets and non-cash lease expense, which contributed positively to operating activities. This was decreased by net cash outflows of $1.4 million used by changes in our operating assets and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Net cash provided by operating activities for the nine months ended September 30, 2022 was $5.1 million. Net loss was $1.5 million, adjusted for non-cash charges of $22.0 million consisting primarily of depreciation and amortization, stock-based compensation, and non-cash lease expense, which contributed positively to operating activities. This was offset by net cash outflows of $15.5 million used by changes in our operating assets and liabilities.</w:t>
      </w:r>
      <w:r>
        <w:rPr>
          <w:rFonts w:ascii="Times New Roman" w:hAnsi="Times New Roman"/>
          <w:color w:val="000000"/>
          <w:sz w:val="20"/>
        </w:rPr>
        <w:t xml:space="preserve"> </w:t>
      </w:r>
    </w:p>
    <w:p>
      <w:pPr>
        <w:pStyle w:val="TextBody"/>
        <w:bidi w:val="0"/>
        <w:spacing w:before="120" w:after="283"/>
        <w:jc w:val="center"/>
        <w:rPr>
          <w:rFonts w:ascii="Arial" w:hAnsi="Arial"/>
          <w:b w:val="false"/>
          <w:color w:val="000000"/>
          <w:sz w:val="20"/>
        </w:rPr>
      </w:pPr>
      <w:r>
        <w:rPr>
          <w:rFonts w:ascii="Arial" w:hAnsi="Arial"/>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used in investing activities for the nine months ended September 30, 2023 consisted of $25.3 million of capitalized software development costs and $0.5 million of purchases of property and equipment.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used in investing activities for the nine months ended September 30, 2022 consisted of $22.3 million of capitalized software development costs and $1.2 million for purchases of property and equipment.</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Net Cash (Used in) Provided by Financing Activities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used in financing activities for the nine months ended September 30, 2023 consisted of $1.7 million of payments on other financing obligations, $0.1 million of payments on finance leases and $0.4 million of proceeds from exercise of stock-based awards by employees.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2022 consisted of an increase in financial institution funds in-transit of $44.2 million and proceeds from stock option exercises of $1.5 million, offset by $2.7 million of payments on finance leases and other financing obligations.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2022 Form 10-K. There have been no material changes in our critical accounting policies and estimates since December 31, 2022.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pStyle w:val="TextBody"/>
        <w:bidi w:val="0"/>
        <w:spacing w:before="360" w:after="283"/>
        <w:jc w:val="both"/>
        <w:rPr>
          <w:rFonts w:ascii="Times New Roman" w:hAnsi="Times New Roman"/>
          <w:b/>
          <w:color w:val="000000"/>
          <w:sz w:val="20"/>
        </w:rPr>
      </w:pPr>
      <w:bookmarkStart w:id="14" w:name="item_3_quantitative_and_qualitative"/>
      <w:bookmarkEnd w:id="14"/>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have been no material changes in our exposures to market risk since December 31, 2022. For details on the Company’s interest rate, foreign currency exchange, and inflation risks, see Part I, Item 7A. “Quantitative and Qualitative Information About Market Risk” in our 2022 Form 10-K.</w:t>
      </w:r>
    </w:p>
    <w:p>
      <w:pPr>
        <w:pStyle w:val="TextBody"/>
        <w:bidi w:val="0"/>
        <w:spacing w:before="240" w:after="120"/>
        <w:jc w:val="both"/>
        <w:rPr>
          <w:rFonts w:ascii="Times New Roman" w:hAnsi="Times New Roman"/>
          <w:b/>
          <w:color w:val="000000"/>
          <w:sz w:val="20"/>
        </w:rPr>
      </w:pPr>
      <w:bookmarkStart w:id="15" w:name="item_4_controls_and_procedures"/>
      <w:bookmarkEnd w:id="15"/>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September 30, 2023,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Material Weaknesses in Internal Control over Financial Reporting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September 30, 2023, our material weaknesses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w:t>
      </w:r>
    </w:p>
    <w:p>
      <w:pPr>
        <w:pStyle w:val="TextBody"/>
        <w:bidi w:val="0"/>
        <w:spacing w:before="120" w:after="283"/>
        <w:jc w:val="center"/>
        <w:rPr>
          <w:rFonts w:ascii="Arial" w:hAnsi="Arial"/>
          <w:b w:val="false"/>
          <w:color w:val="000000"/>
          <w:sz w:val="20"/>
        </w:rPr>
      </w:pPr>
      <w:r>
        <w:rPr>
          <w:rFonts w:ascii="Arial" w:hAnsi="Arial"/>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b w:val="false"/>
          <w:color w:val="000000"/>
          <w:sz w:val="20"/>
        </w:rPr>
        <w:t>Additionally, we did not design and maintain effective controls over verifying the appropriate review and approval of journal entries.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Remediation Plan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believe we have made significant progress toward remediation of the material weaknesses described above. We have completed the following remediation measures: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updated the design of our general ledger accounting system to allow for effective restricted access and segregation of duties to govern the preparation and review of journal entries;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implemented management review controls over journal entries and the identification and review of complex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secured the general ledger accounting system by implementing Single Sign-On (SSO);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implemented additional change management and access controls for our relevant IT applications to further restrict privileged access.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 remediation measures are ongoing and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implementing controls to review activities, which may materially affect our financial statements, for those users who have privileged access;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continuing to hire additional personnel with public company experience for our accounting and finance function.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40" w:after="120"/>
        <w:jc w:val="both"/>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240" w:after="283"/>
        <w:jc w:val="both"/>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have been no material changes in the risk factors previously disclosed in Item 1A. of our 2022 Form 10-K and our subsequent Form 10-Qs.</w:t>
      </w:r>
    </w:p>
    <w:p>
      <w:pPr>
        <w:pStyle w:val="TextBody"/>
        <w:bidi w:val="0"/>
        <w:spacing w:before="240" w:after="283"/>
        <w:jc w:val="left"/>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quarter ended September 30, 2023, none of the Company’s directors or officers</w:t>
      </w:r>
      <w:r>
        <w:rPr>
          <w:rFonts w:ascii="Times New Roman" w:hAnsi="Times New Roman"/>
          <w:color w:val="000000"/>
          <w:sz w:val="20"/>
        </w:rPr>
        <w:t xml:space="preserve"> </w:t>
      </w:r>
      <w:r>
        <w:rPr>
          <w:rFonts w:ascii="Times New Roman" w:hAnsi="Times New Roman"/>
          <w:b w:val="false"/>
          <w:color w:val="000000"/>
          <w:sz w:val="20"/>
        </w:rPr>
        <w:t>adopted</w:t>
      </w:r>
      <w:r>
        <w:rPr>
          <w:rFonts w:ascii="Times New Roman" w:hAnsi="Times New Roman"/>
          <w:color w:val="000000"/>
          <w:sz w:val="20"/>
        </w:rPr>
        <w:t xml:space="preserve"> </w:t>
      </w:r>
      <w:r>
        <w:rPr>
          <w:rFonts w:ascii="Times New Roman" w:hAnsi="Times New Roman"/>
          <w:b w:val="false"/>
          <w:color w:val="000000"/>
          <w:sz w:val="20"/>
        </w:rPr>
        <w:t>or terminated</w:t>
      </w:r>
      <w:r>
        <w:rPr>
          <w:rFonts w:ascii="Times New Roman" w:hAnsi="Times New Roman"/>
          <w:color w:val="000000"/>
          <w:sz w:val="20"/>
        </w:rPr>
        <w:t xml:space="preserve"> </w:t>
      </w:r>
      <w:r>
        <w:rPr>
          <w:rFonts w:ascii="Times New Roman" w:hAnsi="Times New Roman"/>
          <w:b w:val="false"/>
          <w:color w:val="000000"/>
          <w:sz w:val="20"/>
        </w:rPr>
        <w:t>a “Rule 10b5-1 trading arrangement” or “non-Rule 10b5-1 trading arrangement,” as such terms are defined in Item 408(a) of Regulation S</w:t>
        <w:noBreakHyphen/>
        <w:t>K.</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87"/>
        <w:gridCol w:w="146"/>
        <w:gridCol w:w="4433"/>
        <w:gridCol w:w="146"/>
        <w:gridCol w:w="526"/>
        <w:gridCol w:w="146"/>
        <w:gridCol w:w="706"/>
        <w:gridCol w:w="146"/>
        <w:gridCol w:w="676"/>
        <w:gridCol w:w="146"/>
        <w:gridCol w:w="1100"/>
        <w:gridCol w:w="146"/>
        <w:gridCol w:w="1101"/>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8"/>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8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0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Filed/</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Furnished Herewith</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19"/>
                  <w:u w:val="single"/>
                </w:rPr>
                <w:t>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May 28, 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Amendment to 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August 7,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19"/>
                  <w:u w:val="single"/>
                </w:rPr>
                <w:t>Amended and Restated Bylaws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November 14, 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pPr>
            <w:hyperlink w:anchor="pay-ex31_1.htm">
              <w:r>
                <w:rPr>
                  <w:rStyle w:val="InternetLink"/>
                  <w:rFonts w:ascii="Times New Roman" w:hAnsi="Times New Roman"/>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X</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pPr>
            <w:hyperlink w:anchor="pay-ex31_2.htm">
              <w:r>
                <w:rPr>
                  <w:rStyle w:val="InternetLink"/>
                  <w:rFonts w:ascii="Times New Roman" w:hAnsi="Times New Roman"/>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X</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pPr>
            <w:hyperlink w:anchor="pay-ex32_1.htm">
              <w:r>
                <w:rPr>
                  <w:rStyle w:val="InternetLink"/>
                  <w:rFonts w:ascii="Times New Roman" w:hAnsi="Times New Roman"/>
                  <w:b w:val="false"/>
                  <w:color w:val="0000FF"/>
                  <w:sz w:val="19"/>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pPr>
            <w:hyperlink w:anchor="pay-ex32_2.htm">
              <w:r>
                <w:rPr>
                  <w:rStyle w:val="InternetLink"/>
                  <w:rFonts w:ascii="Times New Roman" w:hAnsi="Times New Roman"/>
                  <w:b w:val="false"/>
                  <w:color w:val="0000FF"/>
                  <w:sz w:val="19"/>
                  <w:u w:val="single"/>
                </w:rPr>
                <w:t>Certification of Principal Financial Officer Pursuant to 18 U.S.C. Section 1350, as Adopted Pursuant to Section 906 of the Sarbanes-Oxley Act of 2002.</w:t>
              </w:r>
            </w:hyperlink>
            <w:hyperlink w:anchor="pay-ex32_2.htm">
              <w:r>
                <w:rPr>
                  <w:rStyle w:val="InternetLink"/>
                  <w:rFonts w:ascii="Times New Roman" w:hAnsi="Times New Roman"/>
                  <w:color w:val="0000FF"/>
                  <w:sz w:val="19"/>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pStyle w:val="TextBody"/>
        <w:bidi w:val="0"/>
        <w:jc w:val="left"/>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2101"/>
        <w:gridCol w:w="146"/>
        <w:gridCol w:w="406"/>
        <w:gridCol w:w="432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PAYMENTUS HOLDINGS,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3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Dushyant Sharma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Dushyant Sharma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Chairman, President and 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Sanjay Kalra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Sanjay Kalra</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Vice President and 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120" w:after="283"/>
        <w:jc w:val="center"/>
        <w:rPr>
          <w:rFonts w:ascii="Arial" w:hAnsi="Arial"/>
          <w:b w:val="false"/>
          <w:color w:val="000000"/>
          <w:sz w:val="20"/>
        </w:rPr>
      </w:pPr>
      <w:r>
        <w:rPr>
          <w:rFonts w:ascii="Arial" w:hAnsi="Arial"/>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4" w:name="pay-ex31_1.htm"/>
      <w:bookmarkStart w:id="25" w:name="kspayex31_1"/>
      <w:bookmarkEnd w:id="24"/>
      <w:bookmarkEnd w:id="25"/>
      <w:r>
        <w:rPr/>
        <w:t> </w:t>
      </w:r>
      <w:r>
        <w:br w:type="page"/>
      </w:r>
    </w:p>
    <w:p>
      <w:pPr>
        <w:pStyle w:val="TextBody"/>
        <w:bidi w:val="0"/>
        <w:spacing w:before="0" w:after="160"/>
        <w:jc w:val="lef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 OF PRINCIPAL EXECUTIVE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b w:val="false"/>
          <w:color w:val="000000"/>
          <w:sz w:val="18"/>
        </w:rPr>
        <w:t>I, Dushyant Sharma, certify that:</w:t>
      </w:r>
      <w:r>
        <w:rPr>
          <w:rFonts w:ascii="Times New Roman" w:hAnsi="Times New Roman"/>
          <w:color w:val="000000"/>
          <w:sz w:val="20"/>
        </w:rPr>
        <w:t xml:space="preserve"> </w:t>
      </w:r>
    </w:p>
    <w:p>
      <w:pPr>
        <w:pStyle w:val="TextBody"/>
        <w:bidi w:val="0"/>
        <w:spacing w:before="0" w:after="240"/>
        <w:jc w:val="left"/>
        <w:rPr>
          <w:rFonts w:ascii="Arial" w:hAnsi="Arial"/>
          <w:b w:val="false"/>
          <w:color w:val="000000"/>
          <w:sz w:val="18"/>
        </w:rPr>
      </w:pPr>
      <w:r>
        <w:rPr>
          <w:rFonts w:ascii="Arial" w:hAnsi="Arial"/>
          <w:b w:val="false"/>
          <w:color w:val="000000"/>
          <w:sz w:val="18"/>
        </w:rPr>
        <w:t>1.</w:t>
      </w:r>
    </w:p>
    <w:p>
      <w:pPr>
        <w:pStyle w:val="TextBody"/>
        <w:bidi w:val="0"/>
        <w:spacing w:before="0" w:after="240"/>
        <w:jc w:val="left"/>
        <w:rPr>
          <w:rFonts w:ascii="Arial" w:hAnsi="Arial"/>
          <w:b w:val="false"/>
          <w:color w:val="000000"/>
          <w:sz w:val="18"/>
        </w:rPr>
      </w:pPr>
      <w:r>
        <w:rPr>
          <w:rFonts w:ascii="Arial" w:hAnsi="Arial"/>
          <w:b w:val="false"/>
          <w:color w:val="000000"/>
          <w:sz w:val="18"/>
        </w:rPr>
        <w:t>I have reviewed this Quarterly Report on Form 10-Q of Paymentus Holdings, Inc.;</w:t>
      </w:r>
    </w:p>
    <w:p>
      <w:pPr>
        <w:pStyle w:val="TextBody"/>
        <w:bidi w:val="0"/>
        <w:spacing w:before="120" w:after="160"/>
        <w:jc w:val="left"/>
        <w:rPr>
          <w:rFonts w:ascii="Arial" w:hAnsi="Arial"/>
          <w:b w:val="false"/>
          <w:color w:val="000000"/>
          <w:sz w:val="18"/>
        </w:rPr>
      </w:pPr>
      <w:r>
        <w:rPr>
          <w:rFonts w:ascii="Arial" w:hAnsi="Arial"/>
          <w:b w:val="false"/>
          <w:color w:val="000000"/>
          <w:sz w:val="18"/>
        </w:rPr>
        <w:t>2.</w:t>
      </w:r>
    </w:p>
    <w:p>
      <w:pPr>
        <w:pStyle w:val="TextBody"/>
        <w:bidi w:val="0"/>
        <w:spacing w:before="120" w:after="160"/>
        <w:jc w:val="left"/>
        <w:rPr>
          <w:rFonts w:ascii="Arial" w:hAnsi="Arial"/>
          <w:b w:val="false"/>
          <w:color w:val="000000"/>
          <w:sz w:val="18"/>
        </w:rPr>
      </w:pPr>
      <w:r>
        <w:rPr>
          <w:rFonts w:ascii="Arial" w:hAnsi="Arial"/>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b w:val="false"/>
          <w:color w:val="000000"/>
          <w:sz w:val="18"/>
        </w:rPr>
      </w:pPr>
      <w:r>
        <w:rPr>
          <w:rFonts w:ascii="Arial" w:hAnsi="Arial"/>
          <w:b w:val="false"/>
          <w:color w:val="000000"/>
          <w:sz w:val="18"/>
        </w:rPr>
        <w:t>3.</w:t>
      </w:r>
    </w:p>
    <w:p>
      <w:pPr>
        <w:pStyle w:val="TextBody"/>
        <w:bidi w:val="0"/>
        <w:spacing w:before="120" w:after="160"/>
        <w:jc w:val="left"/>
        <w:rPr>
          <w:rFonts w:ascii="Arial" w:hAnsi="Arial"/>
          <w:b w:val="false"/>
          <w:color w:val="000000"/>
          <w:sz w:val="18"/>
        </w:rPr>
      </w:pPr>
      <w:r>
        <w:rPr>
          <w:rFonts w:ascii="Arial" w:hAnsi="Arial"/>
          <w:b w:val="false"/>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b w:val="false"/>
          <w:color w:val="000000"/>
          <w:sz w:val="18"/>
        </w:rPr>
      </w:pPr>
      <w:r>
        <w:rPr>
          <w:rFonts w:ascii="Arial" w:hAnsi="Arial"/>
          <w:b w:val="false"/>
          <w:color w:val="000000"/>
          <w:sz w:val="18"/>
        </w:rPr>
        <w:t>4.</w:t>
      </w:r>
    </w:p>
    <w:p>
      <w:pPr>
        <w:pStyle w:val="TextBody"/>
        <w:bidi w:val="0"/>
        <w:spacing w:before="120" w:after="160"/>
        <w:jc w:val="left"/>
        <w:rPr>
          <w:rFonts w:ascii="Arial" w:hAnsi="Arial"/>
          <w:b w:val="false"/>
          <w:color w:val="000000"/>
          <w:sz w:val="18"/>
        </w:rPr>
      </w:pPr>
      <w:r>
        <w:rPr>
          <w:rFonts w:ascii="Arial" w:hAnsi="Arial"/>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b w:val="false"/>
          <w:color w:val="000000"/>
          <w:sz w:val="18"/>
        </w:rPr>
      </w:pPr>
      <w:r>
        <w:rPr>
          <w:rFonts w:ascii="Arial" w:hAnsi="Arial"/>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b w:val="false"/>
          <w:color w:val="000000"/>
          <w:sz w:val="18"/>
        </w:rPr>
      </w:pPr>
      <w:r>
        <w:rPr>
          <w:rFonts w:ascii="Arial" w:hAnsi="Arial"/>
          <w:b w:val="false"/>
          <w:color w:val="000000"/>
          <w:sz w:val="18"/>
        </w:rPr>
        <w:t>5.</w:t>
      </w:r>
    </w:p>
    <w:p>
      <w:pPr>
        <w:pStyle w:val="TextBody"/>
        <w:bidi w:val="0"/>
        <w:spacing w:before="120" w:after="160"/>
        <w:jc w:val="left"/>
        <w:rPr>
          <w:rFonts w:ascii="Arial" w:hAnsi="Arial"/>
          <w:b w:val="false"/>
          <w:color w:val="000000"/>
          <w:sz w:val="18"/>
        </w:rPr>
      </w:pPr>
      <w:r>
        <w:rPr>
          <w:rFonts w:ascii="Arial" w:hAnsi="Arial"/>
          <w:b w:val="false"/>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b w:val="false"/>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914" w:type="dxa"/>
        <w:jc w:val="left"/>
        <w:tblInd w:w="0" w:type="dxa"/>
        <w:tblLayout w:type="fixed"/>
        <w:tblCellMar>
          <w:top w:w="28" w:type="dxa"/>
          <w:left w:w="28" w:type="dxa"/>
          <w:bottom w:w="28" w:type="dxa"/>
          <w:right w:w="28" w:type="dxa"/>
        </w:tblCellMar>
      </w:tblPr>
      <w:tblGrid>
        <w:gridCol w:w="2116"/>
        <w:gridCol w:w="146"/>
        <w:gridCol w:w="361"/>
        <w:gridCol w:w="42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Date: November 6,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val="false"/>
                <w:color w:val="000000"/>
                <w:sz w:val="18"/>
              </w:rPr>
              <w:t xml:space="preserve">/s/ </w:t>
            </w:r>
            <w:r>
              <w:rPr>
                <w:rFonts w:ascii="Arial" w:hAnsi="Arial"/>
                <w:b w:val="false"/>
                <w:i/>
                <w:color w:val="000000"/>
                <w:sz w:val="18"/>
              </w:rPr>
              <w:t>Dushyant Sharma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 Chief Executive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pay-ex31_2.htm"/>
      <w:bookmarkStart w:id="27" w:name="kspayex31_2"/>
      <w:bookmarkEnd w:id="26"/>
      <w:bookmarkEnd w:id="27"/>
      <w:r>
        <w:rPr/>
        <w:t> </w:t>
      </w:r>
      <w:r>
        <w:br w:type="page"/>
      </w:r>
    </w:p>
    <w:p>
      <w:pPr>
        <w:pStyle w:val="TextBody"/>
        <w:bidi w:val="0"/>
        <w:spacing w:before="0" w:after="160"/>
        <w:jc w:val="right"/>
        <w:rPr>
          <w:rFonts w:ascii="Times New Roman" w:hAnsi="Times New Roman"/>
          <w:sz w:val="20"/>
        </w:rPr>
      </w:pPr>
      <w:r>
        <w:rPr>
          <w:rFonts w:ascii="Arial" w:hAnsi="Arial"/>
          <w:b/>
          <w:color w:val="000000"/>
          <w:sz w:val="18"/>
        </w:rPr>
        <w:t>Exhibit 31.2</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center"/>
        <w:rPr>
          <w:rFonts w:ascii="Arial" w:hAnsi="Arial"/>
          <w:b/>
          <w:color w:val="000000"/>
          <w:sz w:val="18"/>
        </w:rPr>
      </w:pPr>
      <w:r>
        <w:rPr>
          <w:rFonts w:ascii="Arial" w:hAnsi="Arial"/>
          <w:b/>
          <w:color w:val="000000"/>
          <w:sz w:val="18"/>
        </w:rPr>
        <w:t>CERTIFICATION OF PRINCIPAL FINANCIAL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b w:val="false"/>
          <w:color w:val="000000"/>
          <w:sz w:val="18"/>
        </w:rPr>
        <w:t>I, Sanjay Kalra, certify that:</w:t>
      </w:r>
      <w:r>
        <w:rPr>
          <w:rFonts w:ascii="Times New Roman" w:hAnsi="Times New Roman"/>
          <w:color w:val="000000"/>
          <w:sz w:val="20"/>
        </w:rPr>
        <w:t xml:space="preserve"> </w:t>
      </w:r>
    </w:p>
    <w:p>
      <w:pPr>
        <w:pStyle w:val="TextBody"/>
        <w:bidi w:val="0"/>
        <w:spacing w:before="0" w:after="240"/>
        <w:jc w:val="left"/>
        <w:rPr>
          <w:rFonts w:ascii="Arial" w:hAnsi="Arial"/>
          <w:b w:val="false"/>
          <w:color w:val="000000"/>
          <w:sz w:val="18"/>
        </w:rPr>
      </w:pPr>
      <w:r>
        <w:rPr>
          <w:rFonts w:ascii="Arial" w:hAnsi="Arial"/>
          <w:b w:val="false"/>
          <w:color w:val="000000"/>
          <w:sz w:val="18"/>
        </w:rPr>
        <w:t>1.</w:t>
      </w:r>
    </w:p>
    <w:p>
      <w:pPr>
        <w:pStyle w:val="TextBody"/>
        <w:bidi w:val="0"/>
        <w:spacing w:before="0" w:after="240"/>
        <w:jc w:val="left"/>
        <w:rPr>
          <w:rFonts w:ascii="Arial" w:hAnsi="Arial"/>
          <w:b w:val="false"/>
          <w:color w:val="000000"/>
          <w:sz w:val="18"/>
        </w:rPr>
      </w:pPr>
      <w:r>
        <w:rPr>
          <w:rFonts w:ascii="Arial" w:hAnsi="Arial"/>
          <w:b w:val="false"/>
          <w:color w:val="000000"/>
          <w:sz w:val="18"/>
        </w:rPr>
        <w:t>I have reviewed this Quarterly Report on Form 10-Q of Paymentus Holdings, Inc.;</w:t>
      </w:r>
    </w:p>
    <w:p>
      <w:pPr>
        <w:pStyle w:val="TextBody"/>
        <w:bidi w:val="0"/>
        <w:spacing w:before="120" w:after="160"/>
        <w:jc w:val="left"/>
        <w:rPr>
          <w:rFonts w:ascii="Arial" w:hAnsi="Arial"/>
          <w:b w:val="false"/>
          <w:color w:val="000000"/>
          <w:sz w:val="18"/>
        </w:rPr>
      </w:pPr>
      <w:r>
        <w:rPr>
          <w:rFonts w:ascii="Arial" w:hAnsi="Arial"/>
          <w:b w:val="false"/>
          <w:color w:val="000000"/>
          <w:sz w:val="18"/>
        </w:rPr>
        <w:t>2.</w:t>
      </w:r>
    </w:p>
    <w:p>
      <w:pPr>
        <w:pStyle w:val="TextBody"/>
        <w:bidi w:val="0"/>
        <w:spacing w:before="120" w:after="160"/>
        <w:jc w:val="left"/>
        <w:rPr>
          <w:rFonts w:ascii="Arial" w:hAnsi="Arial"/>
          <w:b w:val="false"/>
          <w:color w:val="000000"/>
          <w:sz w:val="18"/>
        </w:rPr>
      </w:pPr>
      <w:r>
        <w:rPr>
          <w:rFonts w:ascii="Arial" w:hAnsi="Arial"/>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b w:val="false"/>
          <w:color w:val="000000"/>
          <w:sz w:val="18"/>
        </w:rPr>
      </w:pPr>
      <w:r>
        <w:rPr>
          <w:rFonts w:ascii="Arial" w:hAnsi="Arial"/>
          <w:b w:val="false"/>
          <w:color w:val="000000"/>
          <w:sz w:val="18"/>
        </w:rPr>
        <w:t>3.</w:t>
      </w:r>
    </w:p>
    <w:p>
      <w:pPr>
        <w:pStyle w:val="TextBody"/>
        <w:bidi w:val="0"/>
        <w:spacing w:before="120" w:after="160"/>
        <w:jc w:val="left"/>
        <w:rPr>
          <w:rFonts w:ascii="Arial" w:hAnsi="Arial"/>
          <w:b w:val="false"/>
          <w:color w:val="000000"/>
          <w:sz w:val="18"/>
        </w:rPr>
      </w:pPr>
      <w:r>
        <w:rPr>
          <w:rFonts w:ascii="Arial" w:hAnsi="Arial"/>
          <w:b w:val="false"/>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b w:val="false"/>
          <w:color w:val="000000"/>
          <w:sz w:val="18"/>
        </w:rPr>
      </w:pPr>
      <w:r>
        <w:rPr>
          <w:rFonts w:ascii="Arial" w:hAnsi="Arial"/>
          <w:b w:val="false"/>
          <w:color w:val="000000"/>
          <w:sz w:val="18"/>
        </w:rPr>
        <w:t>4.</w:t>
      </w:r>
    </w:p>
    <w:p>
      <w:pPr>
        <w:pStyle w:val="TextBody"/>
        <w:bidi w:val="0"/>
        <w:spacing w:before="120" w:after="160"/>
        <w:jc w:val="left"/>
        <w:rPr>
          <w:rFonts w:ascii="Arial" w:hAnsi="Arial"/>
          <w:b w:val="false"/>
          <w:color w:val="000000"/>
          <w:sz w:val="18"/>
        </w:rPr>
      </w:pPr>
      <w:r>
        <w:rPr>
          <w:rFonts w:ascii="Arial" w:hAnsi="Arial"/>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b w:val="false"/>
          <w:color w:val="000000"/>
          <w:sz w:val="18"/>
        </w:rPr>
      </w:pPr>
      <w:r>
        <w:rPr>
          <w:rFonts w:ascii="Arial" w:hAnsi="Arial"/>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b w:val="false"/>
          <w:color w:val="000000"/>
          <w:sz w:val="18"/>
        </w:rPr>
      </w:pPr>
      <w:r>
        <w:rPr>
          <w:rFonts w:ascii="Arial" w:hAnsi="Arial"/>
          <w:b w:val="false"/>
          <w:color w:val="000000"/>
          <w:sz w:val="18"/>
        </w:rPr>
        <w:t>5.</w:t>
      </w:r>
    </w:p>
    <w:p>
      <w:pPr>
        <w:pStyle w:val="TextBody"/>
        <w:bidi w:val="0"/>
        <w:spacing w:before="120" w:after="160"/>
        <w:jc w:val="left"/>
        <w:rPr>
          <w:rFonts w:ascii="Arial" w:hAnsi="Arial"/>
          <w:b w:val="false"/>
          <w:color w:val="000000"/>
          <w:sz w:val="18"/>
        </w:rPr>
      </w:pPr>
      <w:r>
        <w:rPr>
          <w:rFonts w:ascii="Arial" w:hAnsi="Arial"/>
          <w:b w:val="false"/>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b w:val="false"/>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914" w:type="dxa"/>
        <w:jc w:val="left"/>
        <w:tblInd w:w="0" w:type="dxa"/>
        <w:tblLayout w:type="fixed"/>
        <w:tblCellMar>
          <w:top w:w="28" w:type="dxa"/>
          <w:left w:w="28" w:type="dxa"/>
          <w:bottom w:w="28" w:type="dxa"/>
          <w:right w:w="28" w:type="dxa"/>
        </w:tblCellMar>
      </w:tblPr>
      <w:tblGrid>
        <w:gridCol w:w="2116"/>
        <w:gridCol w:w="146"/>
        <w:gridCol w:w="361"/>
        <w:gridCol w:w="42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Date: November 6,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8"/>
              </w:rPr>
            </w:pPr>
            <w:r>
              <w:rPr>
                <w:rFonts w:ascii="Arial" w:hAnsi="Arial"/>
                <w:b w:val="false"/>
                <w:color w:val="000000"/>
                <w:sz w:val="18"/>
              </w:rPr>
              <w:t>/s/ Sanjay Kalra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ay-ex32_1.htm"/>
      <w:bookmarkStart w:id="29" w:name="kspayex32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b w:val="false"/>
          <w:color w:val="000000"/>
          <w:sz w:val="18"/>
        </w:rPr>
      </w:pPr>
      <w:r>
        <w:rPr>
          <w:rFonts w:ascii="Arial" w:hAnsi="Arial"/>
          <w:b w:val="false"/>
          <w:color w:val="000000"/>
          <w:sz w:val="18"/>
        </w:rPr>
        <w:t>In connection with the Quarterly Report on Form 10-Q of Paymentus Holdings, Inc. (the “Company”) for the period ended September 30, 2023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(1)</w:t>
            </w:r>
          </w:p>
        </w:tc>
        <w:tc>
          <w:tcPr>
            <w:tcW w:w="9865"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(2)</w:t>
            </w:r>
          </w:p>
        </w:tc>
        <w:tc>
          <w:tcPr>
            <w:tcW w:w="146" w:type="dxa"/>
            <w:tcBorders/>
            <w:vAlign w:val="center"/>
          </w:tcPr>
          <w:p>
            <w:pPr>
              <w:pStyle w:val="TableContents"/>
              <w:bidi w:val="0"/>
              <w:spacing w:before="240" w:after="283"/>
              <w:jc w:val="left"/>
              <w:rPr/>
            </w:pPr>
            <w:r>
              <w:rPr/>
              <w:t> </w:t>
            </w:r>
          </w:p>
        </w:tc>
        <w:tc>
          <w:tcPr>
            <w:tcW w:w="9738"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The information contained in the Report fairly presents, in all material respects, the financial condition and results of operations of the Company as of and for the periods presented in the Report.</w:t>
            </w:r>
          </w:p>
        </w:tc>
      </w:tr>
    </w:tbl>
    <w:tbl>
      <w:tblPr>
        <w:tblW w:w="5174" w:type="dxa"/>
        <w:jc w:val="left"/>
        <w:tblInd w:w="0" w:type="dxa"/>
        <w:tblLayout w:type="fixed"/>
        <w:tblCellMar>
          <w:top w:w="28" w:type="dxa"/>
          <w:left w:w="28" w:type="dxa"/>
          <w:bottom w:w="28" w:type="dxa"/>
          <w:right w:w="28" w:type="dxa"/>
        </w:tblCellMar>
      </w:tblPr>
      <w:tblGrid>
        <w:gridCol w:w="2116"/>
        <w:gridCol w:w="146"/>
        <w:gridCol w:w="361"/>
        <w:gridCol w:w="255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Date: November 6,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By:</w:t>
            </w:r>
          </w:p>
        </w:tc>
        <w:tc>
          <w:tcPr>
            <w:tcW w:w="25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val="false"/>
                <w:color w:val="000000"/>
                <w:sz w:val="18"/>
              </w:rPr>
              <w:t xml:space="preserve">/s/ </w:t>
            </w:r>
            <w:r>
              <w:rPr>
                <w:rFonts w:ascii="Arial" w:hAnsi="Arial"/>
                <w:b w:val="false"/>
                <w:i/>
                <w:color w:val="000000"/>
                <w:sz w:val="18"/>
              </w:rPr>
              <w:t>Dushyant Sharma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Executive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pay-ex32_2.htm"/>
      <w:bookmarkStart w:id="31" w:name="kspayex32_2"/>
      <w:bookmarkEnd w:id="30"/>
      <w:bookmarkEnd w:id="31"/>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b w:val="false"/>
          <w:color w:val="000000"/>
          <w:sz w:val="18"/>
        </w:rPr>
      </w:pPr>
      <w:r>
        <w:rPr>
          <w:rFonts w:ascii="Arial" w:hAnsi="Arial"/>
          <w:b w:val="false"/>
          <w:color w:val="000000"/>
          <w:sz w:val="18"/>
        </w:rPr>
        <w:t>In connection with the Quarterly Report on Form 10-Q of Paymentus Holdings, Inc. (the “Company”) for the period ended September 30, 2023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(1)</w:t>
            </w:r>
          </w:p>
        </w:tc>
        <w:tc>
          <w:tcPr>
            <w:tcW w:w="9865"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(2)</w:t>
            </w:r>
          </w:p>
        </w:tc>
        <w:tc>
          <w:tcPr>
            <w:tcW w:w="146" w:type="dxa"/>
            <w:tcBorders/>
            <w:vAlign w:val="center"/>
          </w:tcPr>
          <w:p>
            <w:pPr>
              <w:pStyle w:val="TableContents"/>
              <w:bidi w:val="0"/>
              <w:spacing w:before="240" w:after="283"/>
              <w:jc w:val="left"/>
              <w:rPr/>
            </w:pPr>
            <w:r>
              <w:rPr/>
              <w:t> </w:t>
            </w:r>
          </w:p>
        </w:tc>
        <w:tc>
          <w:tcPr>
            <w:tcW w:w="9738" w:type="dxa"/>
            <w:tcBorders/>
            <w:vAlign w:val="center"/>
          </w:tcPr>
          <w:p>
            <w:pPr>
              <w:pStyle w:val="TableContents"/>
              <w:bidi w:val="0"/>
              <w:spacing w:before="240" w:after="283"/>
              <w:jc w:val="left"/>
              <w:rPr>
                <w:rFonts w:ascii="Arial" w:hAnsi="Arial"/>
                <w:b w:val="false"/>
                <w:color w:val="000000"/>
                <w:sz w:val="18"/>
              </w:rPr>
            </w:pPr>
            <w:r>
              <w:rPr>
                <w:rFonts w:ascii="Arial" w:hAnsi="Arial"/>
                <w:b w:val="false"/>
                <w:color w:val="000000"/>
                <w:sz w:val="18"/>
              </w:rPr>
              <w:t>The information contained in the Report fairly presents, in all material respects, the financial condition and results of operations of the Company as of and for the periods presented in the Report.</w:t>
            </w:r>
          </w:p>
        </w:tc>
      </w:tr>
    </w:tbl>
    <w:tbl>
      <w:tblPr>
        <w:tblW w:w="6914" w:type="dxa"/>
        <w:jc w:val="left"/>
        <w:tblInd w:w="0" w:type="dxa"/>
        <w:tblLayout w:type="fixed"/>
        <w:tblCellMar>
          <w:top w:w="28" w:type="dxa"/>
          <w:left w:w="28" w:type="dxa"/>
          <w:bottom w:w="28" w:type="dxa"/>
          <w:right w:w="28" w:type="dxa"/>
        </w:tblCellMar>
      </w:tblPr>
      <w:tblGrid>
        <w:gridCol w:w="2116"/>
        <w:gridCol w:w="146"/>
        <w:gridCol w:w="361"/>
        <w:gridCol w:w="42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Date: November 6,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8"/>
              </w:rPr>
            </w:pPr>
            <w:r>
              <w:rPr>
                <w:rFonts w:ascii="Arial" w:hAnsi="Arial"/>
                <w:b w:val="false"/>
                <w:color w:val="000000"/>
                <w:sz w:val="18"/>
              </w:rPr>
              <w:t>/s/ Sanjay Kalra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156/000156459021030840/ck7045120534-ex31_9.htm" TargetMode="External"/><Relationship Id="rId3" Type="http://schemas.openxmlformats.org/officeDocument/2006/relationships/hyperlink" Target="https://www.sec.gov/Archives/edgar/data/1841156/000095017023039173/pay-ex3_1.htm" TargetMode="External"/><Relationship Id="rId4" Type="http://schemas.openxmlformats.org/officeDocument/2006/relationships/hyperlink" Target="https://www.sec.gov/Archives/edgar/data/1841156/000095017022025091/pay-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14724</Words>
  <Characters>82549</Characters>
  <CharactersWithSpaces>98468</CharactersWithSpaces>
  <Paragraphs>5801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