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60" w:right="1540" w:hanging="3439"/>
        <w:spacing w:after="0" w:line="266"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1"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428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c>
          <w:tcPr>
            <w:tcW w:w="0" w:type="dxa"/>
            <w:vAlign w:val="bottom"/>
          </w:tcPr>
          <w:p>
            <w:pPr>
              <w:spacing w:after="0"/>
              <w:rPr>
                <w:sz w:val="1"/>
                <w:szCs w:val="1"/>
                <w:color w:val="auto"/>
              </w:rPr>
            </w:pPr>
          </w:p>
        </w:tc>
      </w:tr>
      <w:tr>
        <w:trPr>
          <w:trHeight w:val="189"/>
        </w:trPr>
        <w:tc>
          <w:tcPr>
            <w:tcW w:w="4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(State or other jurisdiction of</w:t>
            </w:r>
          </w:p>
        </w:tc>
        <w:tc>
          <w:tcPr>
            <w:tcW w:w="4280" w:type="dxa"/>
            <w:vAlign w:val="bottom"/>
          </w:tcPr>
          <w:p>
            <w:pPr>
              <w:jc w:val="center"/>
              <w:ind w:left="2650"/>
              <w:spacing w:after="0" w:line="189" w:lineRule="exact"/>
              <w:rPr>
                <w:sz w:val="20"/>
                <w:szCs w:val="20"/>
                <w:color w:val="auto"/>
              </w:rPr>
            </w:pPr>
            <w:r>
              <w:rPr>
                <w:rFonts w:ascii="Arial" w:cs="Arial" w:eastAsia="Arial" w:hAnsi="Arial"/>
                <w:sz w:val="18"/>
                <w:szCs w:val="18"/>
                <w:b w:val="1"/>
                <w:bCs w:val="1"/>
                <w:color w:val="auto"/>
                <w:w w:val="99"/>
              </w:rPr>
              <w:t>(I.R.S. Employer</w:t>
            </w:r>
          </w:p>
        </w:tc>
        <w:tc>
          <w:tcPr>
            <w:tcW w:w="0" w:type="dxa"/>
            <w:vAlign w:val="bottom"/>
          </w:tcPr>
          <w:p>
            <w:pPr>
              <w:spacing w:after="0"/>
              <w:rPr>
                <w:sz w:val="1"/>
                <w:szCs w:val="1"/>
                <w:color w:val="auto"/>
              </w:rPr>
            </w:pP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incorporation or organization)</w:t>
            </w:r>
          </w:p>
        </w:tc>
        <w:tc>
          <w:tcPr>
            <w:tcW w:w="428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w w:val="99"/>
              </w:rPr>
              <w:t>Identification No.)</w:t>
            </w:r>
          </w:p>
        </w:tc>
        <w:tc>
          <w:tcPr>
            <w:tcW w:w="0" w:type="dxa"/>
            <w:vAlign w:val="bottom"/>
          </w:tcPr>
          <w:p>
            <w:pPr>
              <w:spacing w:after="0"/>
              <w:rPr>
                <w:sz w:val="1"/>
                <w:szCs w:val="1"/>
                <w:color w:val="auto"/>
              </w:rPr>
            </w:pPr>
          </w:p>
        </w:tc>
      </w:tr>
      <w:tr>
        <w:trPr>
          <w:trHeight w:val="189"/>
        </w:trPr>
        <w:tc>
          <w:tcPr>
            <w:tcW w:w="4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11605 North Community House Road, Suite 300</w:t>
            </w:r>
          </w:p>
        </w:tc>
        <w:tc>
          <w:tcPr>
            <w:tcW w:w="42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Charlotte, NC</w:t>
            </w:r>
          </w:p>
        </w:tc>
        <w:tc>
          <w:tcPr>
            <w:tcW w:w="4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4280" w:type="dxa"/>
            <w:vAlign w:val="bottom"/>
          </w:tcPr>
          <w:p>
            <w:pPr>
              <w:jc w:val="center"/>
              <w:ind w:left="2650"/>
              <w:spacing w:after="0"/>
              <w:rPr>
                <w:sz w:val="20"/>
                <w:szCs w:val="20"/>
                <w:color w:val="auto"/>
              </w:rPr>
            </w:pPr>
            <w:r>
              <w:rPr>
                <w:rFonts w:ascii="Arial" w:cs="Arial" w:eastAsia="Arial" w:hAnsi="Arial"/>
                <w:sz w:val="18"/>
                <w:szCs w:val="18"/>
                <w:b w:val="1"/>
                <w:bCs w:val="1"/>
                <w:color w:val="auto"/>
              </w:rPr>
              <w:t>(Zip Code)</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4280" w:type="dxa"/>
            <w:vAlign w:val="bottom"/>
          </w:tcPr>
          <w:p>
            <w:pPr>
              <w:jc w:val="right"/>
              <w:ind w:right="2870"/>
              <w:spacing w:after="0"/>
              <w:rPr>
                <w:sz w:val="20"/>
                <w:szCs w:val="20"/>
                <w:color w:val="auto"/>
              </w:rPr>
            </w:pPr>
            <w:r>
              <w:rPr>
                <w:rFonts w:ascii="Arial" w:cs="Arial" w:eastAsia="Arial" w:hAnsi="Arial"/>
                <w:sz w:val="18"/>
                <w:szCs w:val="18"/>
                <w:b w:val="1"/>
                <w:bCs w:val="1"/>
                <w:color w:val="auto"/>
              </w:rPr>
              <w:t>(888) 440-4826</w:t>
            </w:r>
          </w:p>
        </w:tc>
        <w:tc>
          <w:tcPr>
            <w:tcW w:w="0" w:type="dxa"/>
            <w:vAlign w:val="bottom"/>
          </w:tcPr>
          <w:p>
            <w:pPr>
              <w:spacing w:after="0"/>
              <w:rPr>
                <w:sz w:val="1"/>
                <w:szCs w:val="1"/>
                <w:color w:val="auto"/>
              </w:rPr>
            </w:pP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r>
      <w:tr>
        <w:trPr>
          <w:trHeight w:val="172"/>
        </w:trPr>
        <w:tc>
          <w:tcPr>
            <w:tcW w:w="4280" w:type="dxa"/>
            <w:vAlign w:val="bottom"/>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PAY</w:t>
            </w:r>
          </w:p>
        </w:tc>
        <w:tc>
          <w:tcPr>
            <w:tcW w:w="100" w:type="dxa"/>
            <w:vAlign w:val="bottom"/>
          </w:tcPr>
          <w:p>
            <w:pPr>
              <w:spacing w:after="0"/>
              <w:rPr>
                <w:sz w:val="14"/>
                <w:szCs w:val="14"/>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97" w:lineRule="exact"/>
        <w:rPr>
          <w:sz w:val="24"/>
          <w:szCs w:val="24"/>
          <w:color w:val="auto"/>
        </w:rPr>
      </w:pPr>
    </w:p>
    <w:p>
      <w:pPr>
        <w:ind w:right="260" w:firstLine="494"/>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700" w:val="left"/>
          <w:tab w:leader="none" w:pos="64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660" w:firstLine="494"/>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100" w:firstLine="494"/>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4"/>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107" w:lineRule="exact"/>
        <w:rPr>
          <w:sz w:val="24"/>
          <w:szCs w:val="24"/>
          <w:color w:val="auto"/>
        </w:rPr>
      </w:pPr>
    </w:p>
    <w:p>
      <w:pPr>
        <w:ind w:right="560" w:firstLine="494"/>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00"/>
        <w:spacing w:after="0" w:line="207" w:lineRule="exact"/>
        <w:tabs>
          <w:tab w:leader="none" w:pos="9720" w:val="left"/>
          <w:tab w:leader="none" w:pos="10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right="900" w:firstLine="494"/>
        <w:spacing w:after="0" w:line="246" w:lineRule="auto"/>
        <w:rPr>
          <w:sz w:val="20"/>
          <w:szCs w:val="20"/>
          <w:color w:val="auto"/>
        </w:rPr>
      </w:pPr>
      <w:r>
        <w:rPr>
          <w:rFonts w:ascii="Arial" w:cs="Arial" w:eastAsia="Arial" w:hAnsi="Arial"/>
          <w:sz w:val="18"/>
          <w:szCs w:val="18"/>
          <w:color w:val="auto"/>
        </w:rPr>
        <w:t>As of November 8, 2022, the registrant had 19,653,961 shares of Class A Common Stock, $0.0001 par value per share and 103,336,337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80" w:type="dxa"/>
            <w:vAlign w:val="bottom"/>
            <w:gridSpan w:val="10"/>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8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Condensed Consolidated Balance 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Condensed Consolidated Statements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Condensed Consolidated Statements of Comprehensive (Loss)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right w:val="single" w:sz="8" w:color="0000EE"/>
            </w:tcBorders>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Condensed Consolidated Statements of Stockholders' 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Condensed Consolidated Statements of Cash Flows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40" w:type="dxa"/>
            <w:vAlign w:val="bottom"/>
            <w:tcBorders>
              <w:left w:val="single" w:sz="8" w:color="auto"/>
            </w:tcBorders>
            <w:gridSpan w:val="5"/>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8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r>
      <w:tr>
        <w:trPr>
          <w:trHeight w:val="36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300" w:type="dxa"/>
            <w:vAlign w:val="bottom"/>
            <w:gridSpan w:val="6"/>
            <w:shd w:val="clear" w:color="auto" w:fill="000000"/>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Defaults Upon Senior Securities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Mine Safety Disclosures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auto"/>
              </w:rPr>
              <w:t>Exhibits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Signatures</w:t>
            </w:r>
          </w:p>
        </w:tc>
        <w:tc>
          <w:tcPr>
            <w:tcW w:w="6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39"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This quarterly report on Form 10-Q for the quarterly period ended September 30, 2022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95"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implement and recognize revenue from new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1020" w:right="96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the COVID-19 pandemic on our operating results, liquidity and financial condition and on our employees, billers, financial institutions, partners, consumers and other key stakeholders;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anticipated trends in our business and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competitive as we continue to scale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 features and enhance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7" w:lineRule="exact"/>
        <w:rPr>
          <w:rFonts w:ascii="Arial" w:cs="Arial" w:eastAsia="Arial" w:hAnsi="Arial"/>
          <w:sz w:val="18"/>
          <w:szCs w:val="18"/>
          <w:color w:val="auto"/>
        </w:rPr>
      </w:pPr>
    </w:p>
    <w:p>
      <w:pPr>
        <w:ind w:left="1020" w:right="88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including inflation, and their impact on us, consumer demand, average bill amounts and interchange fees;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impact of our recent acquisitions of PayVeris LLC, or Payveris, and Finovera, Inc., or Finovera;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acquisitions or strategic investments in complementary companies,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plans and ability to expand internationally; and</w:t>
      </w:r>
    </w:p>
    <w:p>
      <w:pPr>
        <w:spacing w:after="0" w:line="117"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those factors described in the sections titled “Risk Factors" and “Management’s Discussion and Analysis of Financial Conditions and Results of Operations” in our Annual Report on Form 10-K for the year ended December 31, 2021 and the section titled “Management’s Discussion and Analysis of Financial Condition and Results of Operations” in this Quarterly Report.</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13"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 w:name="page4"/>
    <w:bookmarkEnd w:id="3"/>
    <w:p>
      <w:pPr>
        <w:ind w:firstLine="494"/>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26" w:lineRule="exact"/>
        <w:rPr>
          <w:sz w:val="20"/>
          <w:szCs w:val="20"/>
          <w:color w:val="auto"/>
        </w:rPr>
      </w:pPr>
    </w:p>
    <w:p>
      <w:pPr>
        <w:ind w:right="620"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PAYMENTUS HOLDINGS, INC.</w:t>
      </w:r>
    </w:p>
    <w:p>
      <w:pPr>
        <w:jc w:val="center"/>
        <w:spacing w:after="0" w:line="234" w:lineRule="auto"/>
        <w:rPr>
          <w:sz w:val="20"/>
          <w:szCs w:val="20"/>
          <w:color w:val="auto"/>
        </w:rPr>
      </w:pPr>
      <w:r>
        <w:rPr>
          <w:rFonts w:ascii="Arial" w:cs="Arial" w:eastAsia="Arial" w:hAnsi="Arial"/>
          <w:sz w:val="18"/>
          <w:szCs w:val="18"/>
          <w:color w:val="auto"/>
        </w:rPr>
        <w:t>CONDENSED CONSOLIDATED BALANCE SHEETS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5"/>
                <w:szCs w:val="15"/>
                <w:color w:val="auto"/>
              </w:rPr>
            </w:pPr>
          </w:p>
        </w:tc>
        <w:tc>
          <w:tcPr>
            <w:tcW w:w="1320" w:type="dxa"/>
            <w:vAlign w:val="bottom"/>
          </w:tcPr>
          <w:p>
            <w:pPr>
              <w:jc w:val="right"/>
              <w:ind w:right="289"/>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5"/>
                <w:szCs w:val="15"/>
                <w:color w:val="auto"/>
              </w:rPr>
            </w:pPr>
          </w:p>
        </w:tc>
      </w:tr>
      <w:tr>
        <w:trPr>
          <w:trHeight w:val="162"/>
        </w:trPr>
        <w:tc>
          <w:tcPr>
            <w:tcW w:w="77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148,314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168,386</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Restricted funds held for financial institutions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77,601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33,443</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and other receivables, net of allowance of $332 and $102</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62,758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43,935</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2,650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12,318</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303,641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256,436</w:t>
            </w:r>
          </w:p>
        </w:tc>
        <w:tc>
          <w:tcPr>
            <w:tcW w:w="100" w:type="dxa"/>
            <w:vAlign w:val="bottom"/>
          </w:tcPr>
          <w:p>
            <w:pPr>
              <w:spacing w:after="0"/>
              <w:rPr>
                <w:sz w:val="14"/>
                <w:szCs w:val="14"/>
                <w:color w:val="auto"/>
              </w:rPr>
            </w:pPr>
          </w:p>
        </w:tc>
      </w:tr>
      <w:tr>
        <w:trPr>
          <w:trHeight w:val="153"/>
        </w:trPr>
        <w:tc>
          <w:tcPr>
            <w:tcW w:w="772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Property and equipment, net of accumulated depreciation and</w:t>
            </w: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7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amortization of $5,448 and $4,791</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Capitalized internal-use software development costs, net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42,711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30,888</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36,113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42,088</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129,344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129,413</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9,582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7,703</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7,677</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4,207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531,229</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472,942</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27,394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24,748</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16,665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12,491</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Financial institution funds in-transit</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77,601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33,443</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1,389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2,173</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Income tax payable</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r>
      <w:tr>
        <w:trPr>
          <w:trHeight w:val="169"/>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125,097</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74,433</w:t>
            </w: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40" w:type="dxa"/>
            <w:vAlign w:val="bottom"/>
          </w:tcPr>
          <w:p>
            <w:pPr>
              <w:spacing w:after="0"/>
              <w:rPr>
                <w:sz w:val="15"/>
                <w:szCs w:val="15"/>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3,318</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6,463</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2,637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Finance leases and other finance obligations, net of current portion</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137,187</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86,810</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9)</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3"/>
        </w:trPr>
        <w:tc>
          <w:tcPr>
            <w:tcW w:w="77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Preferred stock, $0.0001 par value per share, 5,000,000 shares authorized as of September 30, 2022 and</w:t>
            </w: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December 31, 2021, respectively; none issued and outstanding as of September 30, 2022 and December 31,</w:t>
            </w: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4"/>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2021, respectively</w:t>
            </w:r>
          </w:p>
        </w:tc>
        <w:tc>
          <w:tcPr>
            <w:tcW w:w="24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53"/>
        </w:trPr>
        <w:tc>
          <w:tcPr>
            <w:tcW w:w="7720" w:type="dxa"/>
            <w:vAlign w:val="bottom"/>
          </w:tcPr>
          <w:p>
            <w:pPr>
              <w:ind w:left="200"/>
              <w:spacing w:after="0" w:line="153" w:lineRule="exact"/>
              <w:rPr>
                <w:sz w:val="20"/>
                <w:szCs w:val="20"/>
                <w:color w:val="auto"/>
              </w:rPr>
            </w:pPr>
            <w:r>
              <w:rPr>
                <w:rFonts w:ascii="Arial" w:cs="Arial" w:eastAsia="Arial" w:hAnsi="Arial"/>
                <w:sz w:val="14"/>
                <w:szCs w:val="14"/>
                <w:color w:val="auto"/>
              </w:rPr>
              <w:t>Class A common stock, $0.0001 par value per share, 883,950,000 shares authorized as of September 30, 2022</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720" w:type="dxa"/>
            <w:vAlign w:val="bottom"/>
          </w:tcPr>
          <w:p>
            <w:pPr>
              <w:ind w:left="200"/>
              <w:spacing w:after="0" w:line="149" w:lineRule="exact"/>
              <w:rPr>
                <w:sz w:val="20"/>
                <w:szCs w:val="20"/>
                <w:color w:val="auto"/>
              </w:rPr>
            </w:pPr>
            <w:r>
              <w:rPr>
                <w:rFonts w:ascii="Arial" w:cs="Arial" w:eastAsia="Arial" w:hAnsi="Arial"/>
                <w:sz w:val="14"/>
                <w:szCs w:val="14"/>
                <w:color w:val="auto"/>
              </w:rPr>
              <w:t>and December 31, 2021, respectively;19,653,565 and 17,251,079 shares issued and outstanding as of September</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7720" w:type="dxa"/>
            <w:vAlign w:val="bottom"/>
          </w:tcPr>
          <w:p>
            <w:pPr>
              <w:ind w:left="200"/>
              <w:spacing w:after="0"/>
              <w:rPr>
                <w:sz w:val="20"/>
                <w:szCs w:val="20"/>
                <w:color w:val="auto"/>
              </w:rPr>
            </w:pPr>
            <w:r>
              <w:rPr>
                <w:rFonts w:ascii="Arial" w:cs="Arial" w:eastAsia="Arial" w:hAnsi="Arial"/>
                <w:sz w:val="14"/>
                <w:szCs w:val="14"/>
                <w:color w:val="auto"/>
              </w:rPr>
              <w:t>30, 2022 and December 31, 2021, respectively</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r>
      <w:tr>
        <w:trPr>
          <w:trHeight w:val="153"/>
        </w:trPr>
        <w:tc>
          <w:tcPr>
            <w:tcW w:w="77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Class B common stock, $0.0001 par value per share, 111,050,000 shares authorized as of September 30, 2022</w:t>
            </w: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and December 31, 2021, respectively; 103,336,337 and 103,388,082 shares issued and outstanding as of</w:t>
            </w: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4"/>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September 30, 2022 and December 31, 2021, respectively</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6"/>
                <w:szCs w:val="16"/>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365,632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356,017</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(67 )</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29,935</w:t>
            </w:r>
          </w:p>
        </w:tc>
        <w:tc>
          <w:tcPr>
            <w:tcW w:w="100" w:type="dxa"/>
            <w:vAlign w:val="bottom"/>
          </w:tcPr>
          <w:p>
            <w:pPr>
              <w:spacing w:after="0"/>
              <w:rPr>
                <w:sz w:val="15"/>
                <w:szCs w:val="15"/>
                <w:color w:val="auto"/>
              </w:rPr>
            </w:pPr>
          </w:p>
        </w:tc>
      </w:tr>
      <w:tr>
        <w:trPr>
          <w:trHeight w:val="169"/>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394,042</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386,132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2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531,229</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472,942</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-4474210</wp:posOffset>
            </wp:positionV>
            <wp:extent cx="685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-3479800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-1876425</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360"/>
        <w:spacing w:after="0"/>
        <w:rPr>
          <w:sz w:val="20"/>
          <w:szCs w:val="20"/>
          <w:color w:val="auto"/>
        </w:rPr>
      </w:pPr>
      <w:r>
        <w:rPr>
          <w:rFonts w:ascii="Arial" w:cs="Arial" w:eastAsia="Arial" w:hAnsi="Arial"/>
          <w:sz w:val="18"/>
          <w:szCs w:val="18"/>
          <w:color w:val="auto"/>
        </w:rPr>
        <w:t>PAYMENTUS HOLDINGS, INC.</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CONDENSED CONSOLIDATED STATEMENTS OF OPERATIONS (Unaudited)</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169"/>
        </w:trPr>
        <w:tc>
          <w:tcPr>
            <w:tcW w:w="5920" w:type="dxa"/>
            <w:vAlign w:val="bottom"/>
            <w:shd w:val="clear" w:color="auto" w:fill="CFF0FC"/>
          </w:tcPr>
          <w:p>
            <w:pPr>
              <w:ind w:left="20"/>
              <w:spacing w:after="0" w:line="157" w:lineRule="exact"/>
              <w:rPr>
                <w:sz w:val="20"/>
                <w:szCs w:val="20"/>
                <w:color w:val="auto"/>
              </w:rPr>
            </w:pPr>
            <w:r>
              <w:rPr>
                <w:rFonts w:ascii="Arial" w:cs="Arial" w:eastAsia="Arial" w:hAnsi="Arial"/>
                <w:sz w:val="14"/>
                <w:szCs w:val="14"/>
                <w:color w:val="auto"/>
              </w:rPr>
              <w:t>Revenue</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128,152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101,676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364,825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287,393</w:t>
            </w:r>
          </w:p>
        </w:tc>
        <w:tc>
          <w:tcPr>
            <w:tcW w:w="100" w:type="dxa"/>
            <w:vAlign w:val="bottom"/>
            <w:shd w:val="clear" w:color="auto" w:fill="CFF0FC"/>
          </w:tcPr>
          <w:p>
            <w:pPr>
              <w:spacing w:after="0"/>
              <w:rPr>
                <w:sz w:val="14"/>
                <w:szCs w:val="14"/>
                <w:color w:val="auto"/>
              </w:rPr>
            </w:pPr>
          </w:p>
        </w:tc>
      </w:tr>
      <w:tr>
        <w:trPr>
          <w:trHeight w:val="175"/>
        </w:trPr>
        <w:tc>
          <w:tcPr>
            <w:tcW w:w="59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90,295</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70,512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256,286</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199,754</w:t>
            </w:r>
          </w:p>
        </w:tc>
        <w:tc>
          <w:tcPr>
            <w:tcW w:w="100" w:type="dxa"/>
            <w:vAlign w:val="bottom"/>
          </w:tcPr>
          <w:p>
            <w:pPr>
              <w:spacing w:after="0"/>
              <w:rPr>
                <w:sz w:val="15"/>
                <w:szCs w:val="15"/>
                <w:color w:val="auto"/>
              </w:rPr>
            </w:pPr>
          </w:p>
        </w:tc>
      </w:tr>
      <w:tr>
        <w:trPr>
          <w:trHeight w:val="169"/>
        </w:trPr>
        <w:tc>
          <w:tcPr>
            <w:tcW w:w="5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37,857</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31,164</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108,539</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87,639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9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30,925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24,469</w:t>
            </w:r>
          </w:p>
        </w:tc>
        <w:tc>
          <w:tcPr>
            <w:tcW w:w="100" w:type="dxa"/>
            <w:vAlign w:val="bottom"/>
            <w:shd w:val="clear" w:color="auto" w:fill="CFF0FC"/>
          </w:tcPr>
          <w:p>
            <w:pPr>
              <w:spacing w:after="0"/>
              <w:rPr>
                <w:sz w:val="15"/>
                <w:szCs w:val="15"/>
                <w:color w:val="auto"/>
              </w:rPr>
            </w:pPr>
          </w:p>
        </w:tc>
      </w:tr>
      <w:tr>
        <w:trPr>
          <w:trHeight w:val="175"/>
        </w:trPr>
        <w:tc>
          <w:tcPr>
            <w:tcW w:w="592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19,048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11,314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53,089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29,041</w:t>
            </w:r>
          </w:p>
        </w:tc>
        <w:tc>
          <w:tcPr>
            <w:tcW w:w="100" w:type="dxa"/>
            <w:vAlign w:val="bottom"/>
          </w:tcPr>
          <w:p>
            <w:pPr>
              <w:spacing w:after="0"/>
              <w:rPr>
                <w:sz w:val="15"/>
                <w:szCs w:val="15"/>
                <w:color w:val="auto"/>
              </w:rPr>
            </w:pPr>
          </w:p>
        </w:tc>
      </w:tr>
      <w:tr>
        <w:trPr>
          <w:trHeight w:val="176"/>
        </w:trPr>
        <w:tc>
          <w:tcPr>
            <w:tcW w:w="5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9,376</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9,904</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29,038</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92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30,036</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113,052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77,577</w:t>
            </w:r>
          </w:p>
        </w:tc>
        <w:tc>
          <w:tcPr>
            <w:tcW w:w="100" w:type="dxa"/>
            <w:vAlign w:val="bottom"/>
          </w:tcPr>
          <w:p>
            <w:pPr>
              <w:spacing w:after="0"/>
              <w:rPr>
                <w:sz w:val="14"/>
                <w:szCs w:val="14"/>
                <w:color w:val="auto"/>
              </w:rPr>
            </w:pPr>
          </w:p>
        </w:tc>
      </w:tr>
      <w:tr>
        <w:trPr>
          <w:trHeight w:val="169"/>
        </w:trPr>
        <w:tc>
          <w:tcPr>
            <w:tcW w:w="5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income from operations</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(917 )</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(4,513 )</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10,062</w:t>
            </w:r>
          </w:p>
        </w:tc>
        <w:tc>
          <w:tcPr>
            <w:tcW w:w="100" w:type="dxa"/>
            <w:vAlign w:val="bottom"/>
            <w:shd w:val="clear" w:color="auto" w:fill="CFF0FC"/>
          </w:tcPr>
          <w:p>
            <w:pPr>
              <w:spacing w:after="0"/>
              <w:rPr>
                <w:sz w:val="14"/>
                <w:szCs w:val="14"/>
                <w:color w:val="auto"/>
              </w:rPr>
            </w:pPr>
          </w:p>
        </w:tc>
      </w:tr>
      <w:tr>
        <w:trPr>
          <w:trHeight w:val="176"/>
        </w:trPr>
        <w:tc>
          <w:tcPr>
            <w:tcW w:w="592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 net</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r>
      <w:tr>
        <w:trPr>
          <w:trHeight w:val="175"/>
        </w:trPr>
        <w:tc>
          <w:tcPr>
            <w:tcW w:w="5920" w:type="dxa"/>
            <w:vAlign w:val="bottom"/>
          </w:tcPr>
          <w:p>
            <w:pPr>
              <w:ind w:left="200"/>
              <w:spacing w:after="0"/>
              <w:rPr>
                <w:sz w:val="20"/>
                <w:szCs w:val="20"/>
                <w:color w:val="auto"/>
              </w:rPr>
            </w:pPr>
            <w:r>
              <w:rPr>
                <w:rFonts w:ascii="Arial" w:cs="Arial" w:eastAsia="Arial" w:hAnsi="Arial"/>
                <w:sz w:val="14"/>
                <w:szCs w:val="14"/>
                <w:color w:val="auto"/>
              </w:rPr>
              <w:t>Foreign exchange gain (loss)</w:t>
            </w:r>
          </w:p>
        </w:tc>
        <w:tc>
          <w:tcPr>
            <w:tcW w:w="2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(28 )</w:t>
            </w:r>
          </w:p>
        </w:tc>
        <w:tc>
          <w:tcPr>
            <w:tcW w:w="2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(16 )</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r>
      <w:tr>
        <w:trPr>
          <w:trHeight w:val="20"/>
        </w:trPr>
        <w:tc>
          <w:tcPr>
            <w:tcW w:w="5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income before income taxes</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(441 )</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(3,867 )</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10,058</w:t>
            </w:r>
          </w:p>
        </w:tc>
        <w:tc>
          <w:tcPr>
            <w:tcW w:w="100" w:type="dxa"/>
            <w:vAlign w:val="bottom"/>
            <w:shd w:val="clear" w:color="auto" w:fill="CFF0FC"/>
          </w:tcPr>
          <w:p>
            <w:pPr>
              <w:spacing w:after="0"/>
              <w:rPr>
                <w:sz w:val="14"/>
                <w:szCs w:val="14"/>
                <w:color w:val="auto"/>
              </w:rPr>
            </w:pPr>
          </w:p>
        </w:tc>
      </w:tr>
      <w:tr>
        <w:trPr>
          <w:trHeight w:val="175"/>
        </w:trPr>
        <w:tc>
          <w:tcPr>
            <w:tcW w:w="5920" w:type="dxa"/>
            <w:vAlign w:val="bottom"/>
          </w:tcPr>
          <w:p>
            <w:pPr>
              <w:ind w:left="200"/>
              <w:spacing w:after="0"/>
              <w:rPr>
                <w:sz w:val="20"/>
                <w:szCs w:val="20"/>
                <w:color w:val="auto"/>
              </w:rPr>
            </w:pPr>
            <w:r>
              <w:rPr>
                <w:rFonts w:ascii="Arial" w:cs="Arial" w:eastAsia="Arial" w:hAnsi="Arial"/>
                <w:sz w:val="14"/>
                <w:szCs w:val="14"/>
                <w:color w:val="auto"/>
              </w:rPr>
              <w:t>(Provision for) benefit from income taxes</w:t>
            </w:r>
          </w:p>
        </w:tc>
        <w:tc>
          <w:tcPr>
            <w:tcW w:w="2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(296 )</w:t>
            </w:r>
          </w:p>
        </w:tc>
        <w:tc>
          <w:tcPr>
            <w:tcW w:w="2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(701 )</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2,397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(5,423 )</w:t>
            </w:r>
          </w:p>
        </w:tc>
      </w:tr>
      <w:tr>
        <w:trPr>
          <w:trHeight w:val="20"/>
        </w:trPr>
        <w:tc>
          <w:tcPr>
            <w:tcW w:w="5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income</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(737 )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(1,470 )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4,635</w:t>
            </w:r>
          </w:p>
        </w:tc>
        <w:tc>
          <w:tcPr>
            <w:tcW w:w="100" w:type="dxa"/>
            <w:vAlign w:val="bottom"/>
            <w:shd w:val="clear" w:color="auto" w:fill="CFF0FC"/>
          </w:tcPr>
          <w:p>
            <w:pPr>
              <w:spacing w:after="0"/>
              <w:rPr>
                <w:sz w:val="14"/>
                <w:szCs w:val="14"/>
                <w:color w:val="auto"/>
              </w:rPr>
            </w:pPr>
          </w:p>
        </w:tc>
      </w:tr>
      <w:tr>
        <w:trPr>
          <w:trHeight w:val="176"/>
        </w:trPr>
        <w:tc>
          <w:tcPr>
            <w:tcW w:w="5920" w:type="dxa"/>
            <w:vAlign w:val="bottom"/>
          </w:tcPr>
          <w:p>
            <w:pPr>
              <w:ind w:left="380"/>
              <w:spacing w:after="0"/>
              <w:rPr>
                <w:sz w:val="20"/>
                <w:szCs w:val="20"/>
                <w:color w:val="auto"/>
              </w:rPr>
            </w:pPr>
            <w:r>
              <w:rPr>
                <w:rFonts w:ascii="Arial" w:cs="Arial" w:eastAsia="Arial" w:hAnsi="Arial"/>
                <w:sz w:val="14"/>
                <w:szCs w:val="14"/>
                <w:color w:val="auto"/>
              </w:rPr>
              <w:t>Undeclared dividends on Series A preferred stock</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(2,258 )</w:t>
            </w:r>
          </w:p>
        </w:tc>
      </w:tr>
      <w:tr>
        <w:trPr>
          <w:trHeight w:val="20"/>
        </w:trPr>
        <w:tc>
          <w:tcPr>
            <w:tcW w:w="5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income attributable to common stock</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(737 )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(1,470 )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2,377</w:t>
            </w:r>
          </w:p>
        </w:tc>
        <w:tc>
          <w:tcPr>
            <w:tcW w:w="100" w:type="dxa"/>
            <w:vAlign w:val="bottom"/>
            <w:shd w:val="clear" w:color="auto" w:fill="CFF0FC"/>
          </w:tcPr>
          <w:p>
            <w:pPr>
              <w:spacing w:after="0"/>
              <w:rPr>
                <w:sz w:val="18"/>
                <w:szCs w:val="18"/>
                <w:color w:val="auto"/>
              </w:rPr>
            </w:pPr>
          </w:p>
        </w:tc>
      </w:tr>
      <w:tr>
        <w:trPr>
          <w:trHeight w:val="156"/>
        </w:trPr>
        <w:tc>
          <w:tcPr>
            <w:tcW w:w="5920" w:type="dxa"/>
            <w:vAlign w:val="bottom"/>
            <w:tcBorders>
              <w:top w:val="single" w:sz="8" w:color="CFF0FC"/>
            </w:tcBorders>
          </w:tcPr>
          <w:p>
            <w:pPr>
              <w:ind w:left="200"/>
              <w:spacing w:after="0" w:line="156" w:lineRule="exact"/>
              <w:rPr>
                <w:sz w:val="20"/>
                <w:szCs w:val="20"/>
                <w:color w:val="auto"/>
              </w:rPr>
            </w:pPr>
            <w:r>
              <w:rPr>
                <w:rFonts w:ascii="Arial" w:cs="Arial" w:eastAsia="Arial" w:hAnsi="Arial"/>
                <w:sz w:val="14"/>
                <w:szCs w:val="14"/>
                <w:color w:val="auto"/>
              </w:rPr>
              <w:t>Net (loss) income per share attributable to 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5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(0.01 )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(0.01 )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FF0FC"/>
          </w:tcPr>
          <w:p>
            <w:pPr>
              <w:spacing w:after="0"/>
              <w:rPr>
                <w:sz w:val="15"/>
                <w:szCs w:val="15"/>
                <w:color w:val="auto"/>
              </w:rPr>
            </w:pPr>
          </w:p>
        </w:tc>
      </w:tr>
      <w:tr>
        <w:trPr>
          <w:trHeight w:val="176"/>
        </w:trPr>
        <w:tc>
          <w:tcPr>
            <w:tcW w:w="5920" w:type="dxa"/>
            <w:vAlign w:val="bottom"/>
          </w:tcPr>
          <w:p>
            <w:pPr>
              <w:ind w:left="38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(0.01 )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(0.01 )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r>
      <w:tr>
        <w:trPr>
          <w:trHeight w:val="153"/>
        </w:trPr>
        <w:tc>
          <w:tcPr>
            <w:tcW w:w="59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Weighted-average number of shares used to compute net (loss) income per share</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5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attributable to common stock</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920" w:type="dxa"/>
            <w:vAlign w:val="bottom"/>
          </w:tcPr>
          <w:p>
            <w:pPr>
              <w:ind w:left="3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122,740,982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118,206,073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121,765,509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110,272,583</w:t>
            </w:r>
          </w:p>
        </w:tc>
        <w:tc>
          <w:tcPr>
            <w:tcW w:w="100" w:type="dxa"/>
            <w:vAlign w:val="bottom"/>
          </w:tcPr>
          <w:p>
            <w:pPr>
              <w:spacing w:after="0"/>
              <w:rPr>
                <w:sz w:val="15"/>
                <w:szCs w:val="15"/>
                <w:color w:val="auto"/>
              </w:rPr>
            </w:pPr>
          </w:p>
        </w:tc>
      </w:tr>
      <w:tr>
        <w:trPr>
          <w:trHeight w:val="176"/>
        </w:trPr>
        <w:tc>
          <w:tcPr>
            <w:tcW w:w="5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122,740,982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124,427,777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121,765,509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116,419,674</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-2750820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-2982595</wp:posOffset>
            </wp:positionV>
            <wp:extent cx="6858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-2750820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-2399665</wp:posOffset>
            </wp:positionV>
            <wp:extent cx="7747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-2399665</wp:posOffset>
            </wp:positionV>
            <wp:extent cx="6858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-2399665</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-1945005</wp:posOffset>
            </wp:positionV>
            <wp:extent cx="7747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-1945005</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-1945005</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-788035</wp:posOffset>
            </wp:positionV>
            <wp:extent cx="26657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5730" cy="13716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4360"/>
        <w:spacing w:after="0"/>
        <w:rPr>
          <w:sz w:val="20"/>
          <w:szCs w:val="20"/>
          <w:color w:val="auto"/>
        </w:rPr>
      </w:pPr>
      <w:r>
        <w:rPr>
          <w:rFonts w:ascii="Arial" w:cs="Arial" w:eastAsia="Arial" w:hAnsi="Arial"/>
          <w:sz w:val="18"/>
          <w:szCs w:val="18"/>
          <w:color w:val="auto"/>
        </w:rPr>
        <w:t>PAYMENTUS HOLDINGS, INC.</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CONDENSED CONSOLIDATED STATEMENTS OF COMPREHENSIVE (LOSS) INCOME (Unaudited)</w:t>
      </w:r>
    </w:p>
    <w:p>
      <w:pPr>
        <w:jc w:val="center"/>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620" w:type="dxa"/>
            <w:vAlign w:val="bottom"/>
            <w:gridSpan w:val="5"/>
            <w:vMerge w:val="restart"/>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Nine Months Ended September</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62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income</w:t>
            </w:r>
          </w:p>
        </w:tc>
        <w:tc>
          <w:tcPr>
            <w:tcW w:w="800" w:type="dxa"/>
            <w:vAlign w:val="bottom"/>
            <w:shd w:val="clear" w:color="auto" w:fill="CFF0FC"/>
          </w:tcPr>
          <w:p>
            <w:pPr>
              <w:jc w:val="right"/>
              <w:ind w:right="604"/>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(737 )</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(1,470 )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8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(86 )</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(235 )</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ind w:left="380"/>
              <w:spacing w:after="0"/>
              <w:rPr>
                <w:sz w:val="20"/>
                <w:szCs w:val="20"/>
                <w:color w:val="auto"/>
              </w:rPr>
            </w:pPr>
            <w:r>
              <w:rPr>
                <w:rFonts w:ascii="Arial" w:cs="Arial" w:eastAsia="Arial" w:hAnsi="Arial"/>
                <w:sz w:val="16"/>
                <w:szCs w:val="16"/>
                <w:color w:val="auto"/>
              </w:rPr>
              <w:t>Comprehensive (loss) income</w:t>
            </w:r>
          </w:p>
        </w:tc>
        <w:tc>
          <w:tcPr>
            <w:tcW w:w="80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(823 )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c>
          <w:tcPr>
            <w:tcW w:w="500" w:type="dxa"/>
            <w:vAlign w:val="bottom"/>
            <w:gridSpan w:val="3"/>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(1,705 )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-162560</wp:posOffset>
            </wp:positionV>
            <wp:extent cx="7683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-162560</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-162560</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4360"/>
        <w:spacing w:after="0"/>
        <w:rPr>
          <w:sz w:val="20"/>
          <w:szCs w:val="20"/>
          <w:color w:val="auto"/>
        </w:rPr>
      </w:pPr>
      <w:r>
        <w:rPr>
          <w:rFonts w:ascii="Arial" w:cs="Arial" w:eastAsia="Arial" w:hAnsi="Arial"/>
          <w:sz w:val="18"/>
          <w:szCs w:val="18"/>
          <w:color w:val="auto"/>
        </w:rPr>
        <w:t>PAYMENTUS HOLDINGS, INC.</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CONDENSED CONSOLIDATED STATEMENTS OF STOCKHOLDERS’ EQUITY (Unaudited)</w:t>
      </w: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00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200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7"/>
        </w:trPr>
        <w:tc>
          <w:tcPr>
            <w:tcW w:w="40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Balances at December 31, 2021</w:t>
            </w:r>
          </w:p>
        </w:tc>
        <w:tc>
          <w:tcPr>
            <w:tcW w:w="86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120,639,1</w:t>
            </w: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356,017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29,935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386,132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 for stock-based awards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412,222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(45 )</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60" w:type="dxa"/>
            <w:vAlign w:val="bottom"/>
            <w:tcBorders>
              <w:top w:val="single" w:sz="8" w:color="CFF0FC"/>
            </w:tcBorders>
          </w:tcPr>
          <w:p>
            <w:pPr>
              <w:ind w:left="20"/>
              <w:spacing w:after="0" w:line="147" w:lineRule="exact"/>
              <w:rPr>
                <w:sz w:val="20"/>
                <w:szCs w:val="20"/>
                <w:color w:val="auto"/>
              </w:rPr>
            </w:pPr>
            <w:r>
              <w:rPr>
                <w:rFonts w:ascii="Arial" w:cs="Arial" w:eastAsia="Arial" w:hAnsi="Arial"/>
                <w:sz w:val="14"/>
                <w:szCs w:val="14"/>
                <w:b w:val="1"/>
                <w:bCs w:val="1"/>
                <w:color w:val="auto"/>
              </w:rPr>
              <w:t>Balances at March 31, 2022</w:t>
            </w:r>
          </w:p>
        </w:tc>
        <w:tc>
          <w:tcPr>
            <w:tcW w:w="8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121,051,3</w:t>
            </w:r>
          </w:p>
        </w:tc>
        <w:tc>
          <w:tcPr>
            <w:tcW w:w="2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357,306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31,653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Issuance of Class A common stock for stock-based awards</w:t>
            </w:r>
          </w:p>
        </w:tc>
        <w:tc>
          <w:tcPr>
            <w:tcW w:w="860" w:type="dxa"/>
            <w:vAlign w:val="bottom"/>
          </w:tcPr>
          <w:p>
            <w:pPr>
              <w:jc w:val="right"/>
              <w:spacing w:after="0"/>
              <w:rPr>
                <w:sz w:val="20"/>
                <w:szCs w:val="20"/>
                <w:color w:val="auto"/>
              </w:rPr>
            </w:pPr>
            <w:r>
              <w:rPr>
                <w:rFonts w:ascii="Arial" w:cs="Arial" w:eastAsia="Arial" w:hAnsi="Arial"/>
                <w:sz w:val="14"/>
                <w:szCs w:val="14"/>
                <w:color w:val="auto"/>
              </w:rPr>
              <w:t>1,568,761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(104 )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(2,451 )</w:t>
            </w:r>
          </w:p>
        </w:tc>
        <w:tc>
          <w:tcPr>
            <w:tcW w:w="1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(2,451 )</w:t>
            </w:r>
          </w:p>
        </w:tc>
        <w:tc>
          <w:tcPr>
            <w:tcW w:w="0" w:type="dxa"/>
            <w:vAlign w:val="bottom"/>
          </w:tcPr>
          <w:p>
            <w:pPr>
              <w:spacing w:after="0"/>
              <w:rPr>
                <w:sz w:val="1"/>
                <w:szCs w:val="1"/>
                <w:color w:val="auto"/>
              </w:rPr>
            </w:pPr>
          </w:p>
        </w:tc>
      </w:tr>
      <w:tr>
        <w:trPr>
          <w:trHeight w:val="147"/>
        </w:trPr>
        <w:tc>
          <w:tcPr>
            <w:tcW w:w="40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Balances at June 30, 2022</w:t>
            </w:r>
          </w:p>
        </w:tc>
        <w:tc>
          <w:tcPr>
            <w:tcW w:w="86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122,620,1</w:t>
            </w: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0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358,939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29,202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388,172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Arial" w:cs="Arial" w:eastAsia="Arial" w:hAnsi="Arial"/>
                <w:sz w:val="14"/>
                <w:szCs w:val="14"/>
                <w:color w:val="auto"/>
              </w:rPr>
              <w:t>Issuance of warrant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estimate of warrants expected to vest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 for stock-based awards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369,758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(86 )</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(737 )</w:t>
            </w: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(737 )</w:t>
            </w:r>
          </w:p>
        </w:tc>
        <w:tc>
          <w:tcPr>
            <w:tcW w:w="0" w:type="dxa"/>
            <w:vAlign w:val="bottom"/>
          </w:tcPr>
          <w:p>
            <w:pPr>
              <w:spacing w:after="0"/>
              <w:rPr>
                <w:sz w:val="1"/>
                <w:szCs w:val="1"/>
                <w:color w:val="auto"/>
              </w:rPr>
            </w:pPr>
          </w:p>
        </w:tc>
      </w:tr>
      <w:tr>
        <w:trPr>
          <w:trHeight w:val="147"/>
        </w:trPr>
        <w:tc>
          <w:tcPr>
            <w:tcW w:w="4060" w:type="dxa"/>
            <w:vAlign w:val="bottom"/>
            <w:tcBorders>
              <w:top w:val="single" w:sz="8" w:color="CFF0FC"/>
            </w:tcBorders>
          </w:tcPr>
          <w:p>
            <w:pPr>
              <w:ind w:left="20"/>
              <w:spacing w:after="0" w:line="147" w:lineRule="exact"/>
              <w:rPr>
                <w:sz w:val="20"/>
                <w:szCs w:val="20"/>
                <w:color w:val="auto"/>
              </w:rPr>
            </w:pPr>
            <w:r>
              <w:rPr>
                <w:rFonts w:ascii="Arial" w:cs="Arial" w:eastAsia="Arial" w:hAnsi="Arial"/>
                <w:sz w:val="14"/>
                <w:szCs w:val="14"/>
                <w:b w:val="1"/>
                <w:bCs w:val="1"/>
                <w:color w:val="auto"/>
              </w:rPr>
              <w:t>Balances at September 30, 2022</w:t>
            </w:r>
          </w:p>
        </w:tc>
        <w:tc>
          <w:tcPr>
            <w:tcW w:w="8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122,989,9</w:t>
            </w:r>
          </w:p>
        </w:tc>
        <w:tc>
          <w:tcPr>
            <w:tcW w:w="2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365,632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28,465</w:t>
            </w:r>
          </w:p>
        </w:tc>
        <w:tc>
          <w:tcPr>
            <w:tcW w:w="2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(67 )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394,042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-1988185</wp:posOffset>
            </wp:positionV>
            <wp:extent cx="7683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-1988185</wp:posOffset>
            </wp:positionV>
            <wp:extent cx="7683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-1988185</wp:posOffset>
            </wp:positionV>
            <wp:extent cx="6858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-1988185</wp:posOffset>
            </wp:positionV>
            <wp:extent cx="6858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-1988185</wp:posOffset>
            </wp:positionV>
            <wp:extent cx="6858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-1028065</wp:posOffset>
            </wp:positionV>
            <wp:extent cx="401193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11930" cy="15430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-239395</wp:posOffset>
            </wp:positionV>
            <wp:extent cx="7683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-239395</wp:posOffset>
            </wp:positionV>
            <wp:extent cx="7683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-239395</wp:posOffset>
            </wp:positionV>
            <wp:extent cx="6858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-239395</wp:posOffset>
            </wp:positionV>
            <wp:extent cx="6858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-239395</wp:posOffset>
            </wp:positionV>
            <wp:extent cx="6858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4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w w:val="99"/>
              </w:rPr>
              <w:t>Series A</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4"/>
                <w:szCs w:val="14"/>
                <w:color w:val="auto"/>
              </w:rPr>
            </w:pPr>
          </w:p>
        </w:tc>
        <w:tc>
          <w:tcPr>
            <w:tcW w:w="14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Treasur</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w:t>
            </w:r>
          </w:p>
        </w:tc>
        <w:tc>
          <w:tcPr>
            <w:tcW w:w="840" w:type="dxa"/>
            <w:vAlign w:val="bottom"/>
            <w:gridSpan w:val="3"/>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40" w:type="dxa"/>
            <w:vAlign w:val="bottom"/>
            <w:vMerge w:val="restart"/>
          </w:tcPr>
          <w:p>
            <w:pPr>
              <w:spacing w:after="0"/>
              <w:rPr>
                <w:sz w:val="12"/>
                <w:szCs w:val="12"/>
                <w:color w:val="auto"/>
              </w:rPr>
            </w:pPr>
          </w:p>
        </w:tc>
        <w:tc>
          <w:tcPr>
            <w:tcW w:w="5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Amoun</w:t>
            </w:r>
          </w:p>
        </w:tc>
        <w:tc>
          <w:tcPr>
            <w:tcW w:w="240" w:type="dxa"/>
            <w:vAlign w:val="bottom"/>
          </w:tcPr>
          <w:p>
            <w:pPr>
              <w:spacing w:after="0"/>
              <w:rPr>
                <w:sz w:val="12"/>
                <w:szCs w:val="12"/>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2"/>
                <w:szCs w:val="1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Capital</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vMerge w:val="restart"/>
          </w:tcPr>
          <w:p>
            <w:pPr>
              <w:spacing w:after="0"/>
              <w:rPr>
                <w:sz w:val="12"/>
                <w:szCs w:val="12"/>
                <w:color w:val="auto"/>
              </w:rPr>
            </w:pPr>
          </w:p>
        </w:tc>
        <w:tc>
          <w:tcPr>
            <w:tcW w:w="84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Earning</w:t>
            </w:r>
          </w:p>
        </w:tc>
        <w:tc>
          <w:tcPr>
            <w:tcW w:w="220" w:type="dxa"/>
            <w:vAlign w:val="bottom"/>
          </w:tcPr>
          <w:p>
            <w:pPr>
              <w:spacing w:after="0"/>
              <w:rPr>
                <w:sz w:val="12"/>
                <w:szCs w:val="12"/>
                <w:color w:val="auto"/>
              </w:rPr>
            </w:pPr>
          </w:p>
        </w:tc>
        <w:tc>
          <w:tcPr>
            <w:tcW w:w="10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Income</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Equity</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w:t>
            </w:r>
          </w:p>
        </w:tc>
        <w:tc>
          <w:tcPr>
            <w:tcW w:w="2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w:t>
            </w:r>
          </w:p>
        </w:tc>
        <w:tc>
          <w:tcPr>
            <w:tcW w:w="24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103,479,23</w:t>
            </w:r>
          </w:p>
        </w:tc>
        <w:tc>
          <w:tcPr>
            <w:tcW w:w="520" w:type="dxa"/>
            <w:vAlign w:val="bottom"/>
            <w:gridSpan w:val="2"/>
            <w:vMerge w:val="restart"/>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29,175</w:t>
            </w:r>
          </w:p>
        </w:tc>
        <w:tc>
          <w:tcPr>
            <w:tcW w:w="20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(579 )</w:t>
            </w:r>
          </w:p>
        </w:tc>
        <w:tc>
          <w:tcPr>
            <w:tcW w:w="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55,047</w:t>
            </w:r>
          </w:p>
        </w:tc>
        <w:tc>
          <w:tcPr>
            <w:tcW w:w="2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20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84,376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12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9</w:t>
            </w:r>
          </w:p>
        </w:tc>
        <w:tc>
          <w:tcPr>
            <w:tcW w:w="520" w:type="dxa"/>
            <w:vAlign w:val="bottom"/>
            <w:gridSpan w:val="2"/>
            <w:vMerge w:val="continue"/>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 of related party loan</w:t>
            </w: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receivable</w:t>
            </w:r>
          </w:p>
        </w:tc>
        <w:tc>
          <w:tcPr>
            <w:tcW w:w="82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580" w:type="dxa"/>
            <w:vAlign w:val="bottom"/>
          </w:tcPr>
          <w:p>
            <w:pPr>
              <w:jc w:val="right"/>
              <w:spacing w:after="0"/>
              <w:rPr>
                <w:sz w:val="20"/>
                <w:szCs w:val="20"/>
                <w:color w:val="auto"/>
              </w:rPr>
            </w:pPr>
            <w:r>
              <w:rPr>
                <w:rFonts w:ascii="Arial" w:cs="Arial" w:eastAsia="Arial" w:hAnsi="Arial"/>
                <w:sz w:val="14"/>
                <w:szCs w:val="14"/>
                <w:color w:val="auto"/>
              </w:rPr>
              <w:t>23,01</w:t>
            </w:r>
          </w:p>
        </w:tc>
        <w:tc>
          <w:tcPr>
            <w:tcW w:w="24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103,479,23</w:t>
            </w:r>
          </w:p>
        </w:tc>
        <w:tc>
          <w:tcPr>
            <w:tcW w:w="5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2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30,551</w:t>
            </w:r>
          </w:p>
        </w:tc>
        <w:tc>
          <w:tcPr>
            <w:tcW w:w="2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(579 )</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58,685</w:t>
            </w:r>
          </w:p>
        </w:tc>
        <w:tc>
          <w:tcPr>
            <w:tcW w:w="220" w:type="dxa"/>
            <w:vAlign w:val="bottom"/>
          </w:tcPr>
          <w:p>
            <w:pPr>
              <w:spacing w:after="0"/>
              <w:rPr>
                <w:sz w:val="13"/>
                <w:szCs w:val="13"/>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89,411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w:t>
            </w:r>
          </w:p>
        </w:tc>
        <w:tc>
          <w:tcPr>
            <w:tcW w:w="52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Issuance of Class A common stock in</w:t>
            </w: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connection with initial public offering and</w:t>
            </w: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private placement, net of offering costs,</w:t>
            </w: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272,63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underwriting discounts and commissions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13,880,950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Conversion of common stock to Class B</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common stock in connection with initial</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public offering</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(506 )</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Redemption of Series A preferred stock in</w:t>
            </w: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(23,01</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connection with initial public offering</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3 )</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(23,013 )</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(23,013 )</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Payment of dividends on Series A</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in connection with</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color w:val="auto"/>
              </w:rPr>
              <w:t>redemption upon initial public offering</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(34,412 )</w:t>
            </w:r>
          </w:p>
        </w:tc>
        <w:tc>
          <w:tcPr>
            <w:tcW w:w="2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(34,412 )</w:t>
            </w: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warrant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Retirement of treasury stock in connection</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(579 )</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579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20" w:type="dxa"/>
            <w:vAlign w:val="bottom"/>
          </w:tcPr>
          <w:p>
            <w:pPr>
              <w:ind w:left="20"/>
              <w:spacing w:after="0" w:line="157" w:lineRule="exact"/>
              <w:rPr>
                <w:sz w:val="20"/>
                <w:szCs w:val="20"/>
                <w:color w:val="auto"/>
              </w:rPr>
            </w:pPr>
            <w:r>
              <w:rPr>
                <w:rFonts w:ascii="Arial" w:cs="Arial" w:eastAsia="Arial" w:hAnsi="Arial"/>
                <w:sz w:val="14"/>
                <w:szCs w:val="14"/>
                <w:color w:val="auto"/>
              </w:rPr>
              <w:t>with initial public offering</w:t>
            </w: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(69 )</w:t>
            </w: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2021</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117,360,18</w:t>
            </w:r>
          </w:p>
        </w:tc>
        <w:tc>
          <w:tcPr>
            <w:tcW w:w="5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285,16</w:t>
            </w:r>
          </w:p>
        </w:tc>
        <w:tc>
          <w:tcPr>
            <w:tcW w:w="2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24,848</w:t>
            </w:r>
          </w:p>
        </w:tc>
        <w:tc>
          <w:tcPr>
            <w:tcW w:w="220" w:type="dxa"/>
            <w:vAlign w:val="bottom"/>
          </w:tcPr>
          <w:p>
            <w:pPr>
              <w:spacing w:after="0"/>
              <w:rPr>
                <w:sz w:val="13"/>
                <w:szCs w:val="13"/>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310,192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w:t>
            </w:r>
          </w:p>
        </w:tc>
        <w:tc>
          <w:tcPr>
            <w:tcW w:w="52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Issuance of Class A common stock for</w:t>
            </w: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2,601,579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66,857</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66,857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FF0FC"/>
          </w:tcPr>
          <w:p>
            <w:pPr>
              <w:ind w:left="20"/>
              <w:spacing w:after="0" w:line="157" w:lineRule="exact"/>
              <w:rPr>
                <w:sz w:val="20"/>
                <w:szCs w:val="20"/>
                <w:color w:val="auto"/>
              </w:rPr>
            </w:pPr>
            <w:r>
              <w:rPr>
                <w:rFonts w:ascii="Arial" w:cs="Arial" w:eastAsia="Arial" w:hAnsi="Arial"/>
                <w:sz w:val="14"/>
                <w:szCs w:val="14"/>
                <w:color w:val="auto"/>
              </w:rPr>
              <w:t>acquisitions</w:t>
            </w:r>
          </w:p>
        </w:tc>
        <w:tc>
          <w:tcPr>
            <w:tcW w:w="82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Change in estimate of warrants expected</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ind w:left="20"/>
              <w:spacing w:after="0" w:line="157" w:lineRule="exact"/>
              <w:rPr>
                <w:sz w:val="20"/>
                <w:szCs w:val="20"/>
                <w:color w:val="auto"/>
              </w:rPr>
            </w:pPr>
            <w:r>
              <w:rPr>
                <w:rFonts w:ascii="Arial" w:cs="Arial" w:eastAsia="Arial" w:hAnsi="Arial"/>
                <w:sz w:val="14"/>
                <w:szCs w:val="14"/>
                <w:color w:val="auto"/>
              </w:rPr>
              <w:t>to vest</w:t>
            </w: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4"/>
                <w:szCs w:val="14"/>
                <w:color w:val="auto"/>
              </w:rPr>
              <w:t>Issuance of Class B common stock for</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7,500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20" w:type="dxa"/>
            <w:vAlign w:val="bottom"/>
          </w:tcPr>
          <w:p>
            <w:pPr>
              <w:ind w:left="20"/>
              <w:spacing w:after="0" w:line="157" w:lineRule="exact"/>
              <w:rPr>
                <w:sz w:val="20"/>
                <w:szCs w:val="20"/>
                <w:color w:val="auto"/>
              </w:rPr>
            </w:pPr>
            <w:r>
              <w:rPr>
                <w:rFonts w:ascii="Arial" w:cs="Arial" w:eastAsia="Arial" w:hAnsi="Arial"/>
                <w:sz w:val="14"/>
                <w:szCs w:val="14"/>
                <w:color w:val="auto"/>
              </w:rPr>
              <w:t>stock option exercises</w:t>
            </w: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September 30, 2021</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119,969,26</w:t>
            </w:r>
          </w:p>
        </w:tc>
        <w:tc>
          <w:tcPr>
            <w:tcW w:w="240" w:type="dxa"/>
            <w:vAlign w:val="bottom"/>
            <w:vMerge w:val="restart"/>
            <w:shd w:val="clear" w:color="auto" w:fill="CFF0FC"/>
          </w:tcPr>
          <w:p>
            <w:pPr>
              <w:spacing w:after="0"/>
              <w:rPr>
                <w:sz w:val="13"/>
                <w:szCs w:val="13"/>
                <w:color w:val="auto"/>
              </w:rPr>
            </w:pP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353,07</w:t>
            </w:r>
          </w:p>
        </w:tc>
        <w:tc>
          <w:tcPr>
            <w:tcW w:w="20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25,270</w:t>
            </w:r>
          </w:p>
        </w:tc>
        <w:tc>
          <w:tcPr>
            <w:tcW w:w="2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0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378,535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8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3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w:t>
            </w: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280" w:type="dxa"/>
            <w:vAlign w:val="bottom"/>
            <w:tcBorders>
              <w:bottom w:val="single" w:sz="8" w:color="auto"/>
            </w:tcBorders>
            <w:vMerge w:val="continue"/>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vMerge w:val="continue"/>
            <w:shd w:val="clear" w:color="auto" w:fill="CFF0FC"/>
          </w:tcPr>
          <w:p>
            <w:pPr>
              <w:spacing w:after="0"/>
              <w:rPr>
                <w:sz w:val="17"/>
                <w:szCs w:val="17"/>
                <w:color w:val="auto"/>
              </w:rPr>
            </w:pPr>
          </w:p>
        </w:tc>
        <w:tc>
          <w:tcPr>
            <w:tcW w:w="5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vMerge w:val="continue"/>
            <w:shd w:val="clear" w:color="auto" w:fill="CFF0FC"/>
          </w:tcPr>
          <w:p>
            <w:pPr>
              <w:spacing w:after="0"/>
              <w:rPr>
                <w:sz w:val="17"/>
                <w:szCs w:val="17"/>
                <w:color w:val="auto"/>
              </w:rPr>
            </w:pPr>
          </w:p>
        </w:tc>
        <w:tc>
          <w:tcPr>
            <w:tcW w:w="100" w:type="dxa"/>
            <w:vAlign w:val="bottom"/>
            <w:tcBorders>
              <w:bottom w:val="single" w:sz="8" w:color="auto"/>
            </w:tcBorders>
            <w:vMerge w:val="continue"/>
            <w:shd w:val="clear" w:color="auto" w:fill="CFF0FC"/>
          </w:tcPr>
          <w:p>
            <w:pPr>
              <w:spacing w:after="0"/>
              <w:rPr>
                <w:sz w:val="17"/>
                <w:szCs w:val="17"/>
                <w:color w:val="auto"/>
              </w:rPr>
            </w:pPr>
          </w:p>
        </w:tc>
        <w:tc>
          <w:tcPr>
            <w:tcW w:w="5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6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-3548380</wp:posOffset>
            </wp:positionV>
            <wp:extent cx="7683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-3548380</wp:posOffset>
            </wp:positionV>
            <wp:extent cx="7683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-3548380</wp:posOffset>
            </wp:positionV>
            <wp:extent cx="7683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-3548380</wp:posOffset>
            </wp:positionV>
            <wp:extent cx="7747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-3548380</wp:posOffset>
            </wp:positionV>
            <wp:extent cx="6858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-3548380</wp:posOffset>
            </wp:positionV>
            <wp:extent cx="6858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-3548380</wp:posOffset>
            </wp:positionV>
            <wp:extent cx="6858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-3548380</wp:posOffset>
            </wp:positionV>
            <wp:extent cx="6858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-1431290</wp:posOffset>
            </wp:positionV>
            <wp:extent cx="7683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-1431290</wp:posOffset>
            </wp:positionV>
            <wp:extent cx="76835"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-1431290</wp:posOffset>
            </wp:positionV>
            <wp:extent cx="76835"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-1431290</wp:posOffset>
            </wp:positionV>
            <wp:extent cx="7747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-1431290</wp:posOffset>
            </wp:positionV>
            <wp:extent cx="6858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-1431290</wp:posOffset>
            </wp:positionV>
            <wp:extent cx="6858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-1431290</wp:posOffset>
            </wp:positionV>
            <wp:extent cx="6858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-1431290</wp:posOffset>
            </wp:positionV>
            <wp:extent cx="6858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 w:name="page10"/>
    <w:bookmarkEnd w:id="9"/>
    <w:p>
      <w:pPr>
        <w:ind w:left="4360"/>
        <w:spacing w:after="0"/>
        <w:rPr>
          <w:sz w:val="20"/>
          <w:szCs w:val="20"/>
          <w:color w:val="auto"/>
        </w:rPr>
      </w:pPr>
      <w:r>
        <w:rPr>
          <w:rFonts w:ascii="Arial" w:cs="Arial" w:eastAsia="Arial" w:hAnsi="Arial"/>
          <w:sz w:val="18"/>
          <w:szCs w:val="18"/>
          <w:color w:val="auto"/>
        </w:rPr>
        <w:t>PAYMENTUS HOLDINGS, INC.</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CONDENSED CONSOLIDATED STATEMENTS OF CASH FLOWS (Unaudited)</w:t>
      </w:r>
    </w:p>
    <w:p>
      <w:pPr>
        <w:jc w:val="center"/>
        <w:spacing w:after="0"/>
        <w:rPr>
          <w:sz w:val="20"/>
          <w:szCs w:val="20"/>
          <w:color w:val="auto"/>
        </w:rPr>
      </w:pPr>
      <w:r>
        <w:rPr>
          <w:rFonts w:ascii="Arial" w:cs="Arial" w:eastAsia="Arial" w:hAnsi="Arial"/>
          <w:sz w:val="18"/>
          <w:szCs w:val="18"/>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5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7"/>
        </w:trPr>
        <w:tc>
          <w:tcPr>
            <w:tcW w:w="774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960" w:type="dxa"/>
            <w:vAlign w:val="bottom"/>
          </w:tcPr>
          <w:p>
            <w:pPr>
              <w:jc w:val="right"/>
              <w:ind w:right="785"/>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24"/>
              <w:spacing w:after="0"/>
              <w:rPr>
                <w:sz w:val="20"/>
                <w:szCs w:val="20"/>
                <w:color w:val="auto"/>
              </w:rPr>
            </w:pPr>
            <w:r>
              <w:rPr>
                <w:rFonts w:ascii="Arial" w:cs="Arial" w:eastAsia="Arial" w:hAnsi="Arial"/>
                <w:sz w:val="15"/>
                <w:szCs w:val="15"/>
                <w:color w:val="auto"/>
              </w:rPr>
              <w:t>(1,470 )</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4,635</w:t>
            </w:r>
          </w:p>
        </w:tc>
        <w:tc>
          <w:tcPr>
            <w:tcW w:w="100" w:type="dxa"/>
            <w:vAlign w:val="bottom"/>
          </w:tcPr>
          <w:p>
            <w:pPr>
              <w:spacing w:after="0"/>
              <w:rPr>
                <w:sz w:val="16"/>
                <w:szCs w:val="16"/>
                <w:color w:val="auto"/>
              </w:rPr>
            </w:pPr>
          </w:p>
        </w:tc>
      </w:tr>
      <w:tr>
        <w:trPr>
          <w:trHeight w:val="147"/>
        </w:trPr>
        <w:tc>
          <w:tcPr>
            <w:tcW w:w="7740" w:type="dxa"/>
            <w:vAlign w:val="bottom"/>
            <w:shd w:val="clear" w:color="auto" w:fill="CFF0FC"/>
          </w:tcPr>
          <w:p>
            <w:pPr>
              <w:ind w:left="20"/>
              <w:spacing w:after="0" w:line="148" w:lineRule="exact"/>
              <w:rPr>
                <w:sz w:val="20"/>
                <w:szCs w:val="20"/>
                <w:color w:val="auto"/>
              </w:rPr>
            </w:pPr>
            <w:r>
              <w:rPr>
                <w:rFonts w:ascii="Arial" w:cs="Arial" w:eastAsia="Arial" w:hAnsi="Arial"/>
                <w:sz w:val="15"/>
                <w:szCs w:val="15"/>
                <w:color w:val="auto"/>
              </w:rPr>
              <w:t>Adjustments to reconcile net income to net cash provided by operating</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6"/>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5"/>
                <w:szCs w:val="15"/>
                <w:color w:val="auto"/>
              </w:rPr>
              <w:t>activities</w:t>
            </w:r>
          </w:p>
        </w:tc>
        <w:tc>
          <w:tcPr>
            <w:tcW w:w="9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17,518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8,587</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income taxes</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(3,331 )</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2,691</w:t>
            </w: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4,622</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1,885</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Non-cash lease expense</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1,703</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2,131</w:t>
            </w: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Amortization of contract asset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1,347</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credit losses</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Change in operating assets and liabilities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and other receivables</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(19,143 )</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(7,814 )</w:t>
            </w:r>
          </w:p>
        </w:tc>
      </w:tr>
      <w:tr>
        <w:trPr>
          <w:trHeight w:val="187"/>
        </w:trPr>
        <w:tc>
          <w:tcPr>
            <w:tcW w:w="7740" w:type="dxa"/>
            <w:vAlign w:val="bottom"/>
          </w:tcPr>
          <w:p>
            <w:pPr>
              <w:ind w:left="380"/>
              <w:spacing w:after="0"/>
              <w:rPr>
                <w:sz w:val="20"/>
                <w:szCs w:val="20"/>
                <w:color w:val="auto"/>
              </w:rPr>
            </w:pPr>
            <w:r>
              <w:rPr>
                <w:rFonts w:ascii="Arial" w:cs="Arial" w:eastAsia="Arial" w:hAnsi="Arial"/>
                <w:sz w:val="15"/>
                <w:szCs w:val="15"/>
                <w:color w:val="auto"/>
              </w:rPr>
              <w:t>Prepaid expenses and other current and long-term assets</w:t>
            </w:r>
          </w:p>
        </w:tc>
        <w:tc>
          <w:tcPr>
            <w:tcW w:w="960" w:type="dxa"/>
            <w:vAlign w:val="bottom"/>
          </w:tcPr>
          <w:p>
            <w:pPr>
              <w:spacing w:after="0"/>
              <w:rPr>
                <w:sz w:val="16"/>
                <w:szCs w:val="16"/>
                <w:color w:val="auto"/>
              </w:rPr>
            </w:pPr>
          </w:p>
        </w:tc>
        <w:tc>
          <w:tcPr>
            <w:tcW w:w="860" w:type="dxa"/>
            <w:vAlign w:val="bottom"/>
            <w:gridSpan w:val="2"/>
          </w:tcPr>
          <w:p>
            <w:pPr>
              <w:jc w:val="right"/>
              <w:ind w:right="124"/>
              <w:spacing w:after="0"/>
              <w:rPr>
                <w:sz w:val="20"/>
                <w:szCs w:val="20"/>
                <w:color w:val="auto"/>
              </w:rPr>
            </w:pPr>
            <w:r>
              <w:rPr>
                <w:rFonts w:ascii="Arial" w:cs="Arial" w:eastAsia="Arial" w:hAnsi="Arial"/>
                <w:sz w:val="15"/>
                <w:szCs w:val="15"/>
                <w:color w:val="auto"/>
              </w:rPr>
              <w:t>(854 )</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2,975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7,842</w:t>
            </w: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380"/>
              <w:spacing w:after="0"/>
              <w:rPr>
                <w:sz w:val="20"/>
                <w:szCs w:val="20"/>
                <w:color w:val="auto"/>
              </w:rPr>
            </w:pPr>
            <w:r>
              <w:rPr>
                <w:rFonts w:ascii="Arial" w:cs="Arial" w:eastAsia="Arial" w:hAnsi="Arial"/>
                <w:sz w:val="15"/>
                <w:szCs w:val="15"/>
                <w:color w:val="auto"/>
              </w:rPr>
              <w:t>Accrued liabilities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2,390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liabilities</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(1,398 )</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(2,071 )</w:t>
            </w:r>
          </w:p>
        </w:tc>
      </w:tr>
      <w:tr>
        <w:trPr>
          <w:trHeight w:val="187"/>
        </w:trPr>
        <w:tc>
          <w:tcPr>
            <w:tcW w:w="7740" w:type="dxa"/>
            <w:vAlign w:val="bottom"/>
          </w:tcPr>
          <w:p>
            <w:pPr>
              <w:ind w:left="380"/>
              <w:spacing w:after="0"/>
              <w:rPr>
                <w:sz w:val="20"/>
                <w:szCs w:val="20"/>
                <w:color w:val="auto"/>
              </w:rPr>
            </w:pPr>
            <w:r>
              <w:rPr>
                <w:rFonts w:ascii="Arial" w:cs="Arial" w:eastAsia="Arial" w:hAnsi="Arial"/>
                <w:sz w:val="15"/>
                <w:szCs w:val="15"/>
                <w:color w:val="auto"/>
              </w:rPr>
              <w:t>Contract liabilities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Income taxes receivable, net of payable</w:t>
            </w:r>
          </w:p>
        </w:tc>
        <w:tc>
          <w:tcPr>
            <w:tcW w:w="9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485</w:t>
            </w:r>
          </w:p>
        </w:tc>
        <w:tc>
          <w:tcPr>
            <w:tcW w:w="2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0"/>
        </w:trPr>
        <w:tc>
          <w:tcPr>
            <w:tcW w:w="7740" w:type="dxa"/>
            <w:vAlign w:val="bottom"/>
          </w:tcPr>
          <w:p>
            <w:pPr>
              <w:ind w:left="380"/>
              <w:spacing w:after="0"/>
              <w:rPr>
                <w:sz w:val="20"/>
                <w:szCs w:val="20"/>
                <w:color w:val="auto"/>
              </w:rPr>
            </w:pPr>
            <w:r>
              <w:rPr>
                <w:rFonts w:ascii="Arial" w:cs="Arial" w:eastAsia="Arial" w:hAnsi="Arial"/>
                <w:sz w:val="15"/>
                <w:szCs w:val="15"/>
                <w:color w:val="auto"/>
              </w:rPr>
              <w:t>Net cash provided by operating activities</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5,143</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19,357</w:t>
            </w:r>
          </w:p>
        </w:tc>
        <w:tc>
          <w:tcPr>
            <w:tcW w:w="100" w:type="dxa"/>
            <w:vAlign w:val="bottom"/>
          </w:tcPr>
          <w:p>
            <w:pPr>
              <w:spacing w:after="0"/>
              <w:rPr>
                <w:sz w:val="15"/>
                <w:szCs w:val="15"/>
                <w:color w:val="auto"/>
              </w:rPr>
            </w:pPr>
          </w:p>
        </w:tc>
      </w:tr>
      <w:tr>
        <w:trPr>
          <w:trHeight w:val="187"/>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Business combinations, net of cash and restricted cash acquired</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(57,120 )</w:t>
            </w: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intangible assets acquired</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(248 )</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Purchases of property and equipment</w:t>
            </w:r>
          </w:p>
        </w:tc>
        <w:tc>
          <w:tcPr>
            <w:tcW w:w="960" w:type="dxa"/>
            <w:vAlign w:val="bottom"/>
          </w:tcPr>
          <w:p>
            <w:pPr>
              <w:spacing w:after="0"/>
              <w:rPr>
                <w:sz w:val="16"/>
                <w:szCs w:val="16"/>
                <w:color w:val="auto"/>
              </w:rPr>
            </w:pPr>
          </w:p>
        </w:tc>
        <w:tc>
          <w:tcPr>
            <w:tcW w:w="860" w:type="dxa"/>
            <w:vAlign w:val="bottom"/>
            <w:gridSpan w:val="2"/>
          </w:tcPr>
          <w:p>
            <w:pPr>
              <w:jc w:val="right"/>
              <w:ind w:right="124"/>
              <w:spacing w:after="0"/>
              <w:rPr>
                <w:sz w:val="20"/>
                <w:szCs w:val="20"/>
                <w:color w:val="auto"/>
              </w:rPr>
            </w:pPr>
            <w:r>
              <w:rPr>
                <w:rFonts w:ascii="Arial" w:cs="Arial" w:eastAsia="Arial" w:hAnsi="Arial"/>
                <w:sz w:val="15"/>
                <w:szCs w:val="15"/>
                <w:color w:val="auto"/>
              </w:rPr>
              <w:t>(1,163 )</w:t>
            </w:r>
          </w:p>
        </w:tc>
        <w:tc>
          <w:tcPr>
            <w:tcW w:w="36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(825 )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Capitalized internal-use software development costs</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(22,257 )</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(13,473 )</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0"/>
        </w:trPr>
        <w:tc>
          <w:tcPr>
            <w:tcW w:w="7740" w:type="dxa"/>
            <w:vAlign w:val="bottom"/>
          </w:tcPr>
          <w:p>
            <w:pPr>
              <w:ind w:left="380"/>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Pr>
          <w:p>
            <w:pPr>
              <w:spacing w:after="0"/>
              <w:rPr>
                <w:sz w:val="15"/>
                <w:szCs w:val="15"/>
                <w:color w:val="auto"/>
              </w:rPr>
            </w:pPr>
          </w:p>
        </w:tc>
        <w:tc>
          <w:tcPr>
            <w:tcW w:w="860" w:type="dxa"/>
            <w:vAlign w:val="bottom"/>
            <w:gridSpan w:val="2"/>
          </w:tcPr>
          <w:p>
            <w:pPr>
              <w:jc w:val="right"/>
              <w:ind w:right="124"/>
              <w:spacing w:after="0"/>
              <w:rPr>
                <w:sz w:val="20"/>
                <w:szCs w:val="20"/>
                <w:color w:val="auto"/>
              </w:rPr>
            </w:pPr>
            <w:r>
              <w:rPr>
                <w:rFonts w:ascii="Arial" w:cs="Arial" w:eastAsia="Arial" w:hAnsi="Arial"/>
                <w:sz w:val="15"/>
                <w:szCs w:val="15"/>
                <w:color w:val="auto"/>
              </w:rPr>
              <w:t>(23,668 )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(71,418 )</w:t>
            </w:r>
          </w:p>
        </w:tc>
      </w:tr>
      <w:tr>
        <w:trPr>
          <w:trHeight w:val="187"/>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Proceeds from initial public offering, net of underwriter's discounts and commissions</w:t>
            </w:r>
          </w:p>
        </w:tc>
        <w:tc>
          <w:tcPr>
            <w:tcW w:w="960" w:type="dxa"/>
            <w:vAlign w:val="bottom"/>
          </w:tcPr>
          <w:p>
            <w:pPr>
              <w:spacing w:after="0"/>
              <w:rPr>
                <w:sz w:val="16"/>
                <w:szCs w:val="16"/>
                <w:color w:val="auto"/>
              </w:rPr>
            </w:pPr>
          </w:p>
        </w:tc>
        <w:tc>
          <w:tcPr>
            <w:tcW w:w="86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224,595</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private placement</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Redemption of Series A preferred stock</w:t>
            </w:r>
          </w:p>
        </w:tc>
        <w:tc>
          <w:tcPr>
            <w:tcW w:w="960" w:type="dxa"/>
            <w:vAlign w:val="bottom"/>
          </w:tcPr>
          <w:p>
            <w:pPr>
              <w:spacing w:after="0"/>
              <w:rPr>
                <w:sz w:val="16"/>
                <w:szCs w:val="16"/>
                <w:color w:val="auto"/>
              </w:rPr>
            </w:pPr>
          </w:p>
        </w:tc>
        <w:tc>
          <w:tcPr>
            <w:tcW w:w="86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(23,013 )</w:t>
            </w: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 of dividends on Series A preferred stock</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(34,412 )</w:t>
            </w: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Proceeds from repayment of related party loan</w:t>
            </w:r>
          </w:p>
        </w:tc>
        <w:tc>
          <w:tcPr>
            <w:tcW w:w="960" w:type="dxa"/>
            <w:vAlign w:val="bottom"/>
          </w:tcPr>
          <w:p>
            <w:pPr>
              <w:spacing w:after="0"/>
              <w:rPr>
                <w:sz w:val="16"/>
                <w:szCs w:val="16"/>
                <w:color w:val="auto"/>
              </w:rPr>
            </w:pPr>
          </w:p>
        </w:tc>
        <w:tc>
          <w:tcPr>
            <w:tcW w:w="86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exercise of stock-based awards</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1,469</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Financial institution funds in-transit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44,158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6,612</w:t>
            </w:r>
          </w:p>
        </w:tc>
        <w:tc>
          <w:tcPr>
            <w:tcW w:w="100" w:type="dxa"/>
            <w:vAlign w:val="bottom"/>
          </w:tcPr>
          <w:p>
            <w:pPr>
              <w:spacing w:after="0"/>
              <w:rPr>
                <w:sz w:val="16"/>
                <w:szCs w:val="16"/>
                <w:color w:val="auto"/>
              </w:rPr>
            </w:pP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of deferred offering costs</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(1,961 )</w:t>
            </w: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Payments on other financing obligations</w:t>
            </w:r>
          </w:p>
        </w:tc>
        <w:tc>
          <w:tcPr>
            <w:tcW w:w="960" w:type="dxa"/>
            <w:vAlign w:val="bottom"/>
          </w:tcPr>
          <w:p>
            <w:pPr>
              <w:spacing w:after="0"/>
              <w:rPr>
                <w:sz w:val="16"/>
                <w:szCs w:val="16"/>
                <w:color w:val="auto"/>
              </w:rPr>
            </w:pPr>
          </w:p>
        </w:tc>
        <w:tc>
          <w:tcPr>
            <w:tcW w:w="860" w:type="dxa"/>
            <w:vAlign w:val="bottom"/>
            <w:gridSpan w:val="2"/>
          </w:tcPr>
          <w:p>
            <w:pPr>
              <w:jc w:val="right"/>
              <w:ind w:right="124"/>
              <w:spacing w:after="0"/>
              <w:rPr>
                <w:sz w:val="20"/>
                <w:szCs w:val="20"/>
                <w:color w:val="auto"/>
              </w:rPr>
            </w:pPr>
            <w:r>
              <w:rPr>
                <w:rFonts w:ascii="Arial" w:cs="Arial" w:eastAsia="Arial" w:hAnsi="Arial"/>
                <w:sz w:val="15"/>
                <w:szCs w:val="15"/>
                <w:color w:val="auto"/>
              </w:rPr>
              <w:t>(2,486 )</w:t>
            </w:r>
          </w:p>
        </w:tc>
        <w:tc>
          <w:tcPr>
            <w:tcW w:w="36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(1,482 )</w:t>
            </w:r>
          </w:p>
        </w:tc>
      </w:tr>
      <w:tr>
        <w:trPr>
          <w:trHeight w:val="191"/>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on finance leases</w:t>
            </w:r>
          </w:p>
        </w:tc>
        <w:tc>
          <w:tcPr>
            <w:tcW w:w="9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(201 )</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(204 )</w:t>
            </w:r>
          </w:p>
        </w:tc>
      </w:tr>
      <w:tr>
        <w:trPr>
          <w:trHeight w:val="180"/>
        </w:trPr>
        <w:tc>
          <w:tcPr>
            <w:tcW w:w="7740" w:type="dxa"/>
            <w:vAlign w:val="bottom"/>
          </w:tcPr>
          <w:p>
            <w:pPr>
              <w:ind w:left="380"/>
              <w:spacing w:after="0" w:line="164" w:lineRule="exact"/>
              <w:rPr>
                <w:sz w:val="20"/>
                <w:szCs w:val="20"/>
                <w:color w:val="auto"/>
              </w:rPr>
            </w:pPr>
            <w:r>
              <w:rPr>
                <w:rFonts w:ascii="Arial" w:cs="Arial" w:eastAsia="Arial" w:hAnsi="Arial"/>
                <w:sz w:val="15"/>
                <w:szCs w:val="15"/>
                <w:color w:val="auto"/>
              </w:rPr>
              <w:t>Net cash provided by financing activities</w:t>
            </w:r>
          </w:p>
        </w:tc>
        <w:tc>
          <w:tcPr>
            <w:tcW w:w="9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42,940</w:t>
            </w:r>
          </w:p>
        </w:tc>
        <w:tc>
          <w:tcPr>
            <w:tcW w:w="2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220,948</w:t>
            </w:r>
          </w:p>
        </w:tc>
        <w:tc>
          <w:tcPr>
            <w:tcW w:w="100" w:type="dxa"/>
            <w:vAlign w:val="bottom"/>
          </w:tcPr>
          <w:p>
            <w:pPr>
              <w:spacing w:after="0"/>
              <w:rPr>
                <w:sz w:val="15"/>
                <w:szCs w:val="15"/>
                <w:color w:val="auto"/>
              </w:rPr>
            </w:pPr>
          </w:p>
        </w:tc>
      </w:tr>
      <w:tr>
        <w:trPr>
          <w:trHeight w:val="18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Foreign currency effect on cash, cash equivalents and restricted cash</w:t>
            </w:r>
          </w:p>
        </w:tc>
        <w:tc>
          <w:tcPr>
            <w:tcW w:w="9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(329</w:t>
            </w:r>
          </w:p>
        </w:tc>
        <w:tc>
          <w:tcPr>
            <w:tcW w:w="260" w:type="dxa"/>
            <w:vAlign w:val="bottom"/>
            <w:tcBorders>
              <w:bottom w:val="single" w:sz="8" w:color="CFF0FC"/>
            </w:tcBorders>
            <w:shd w:val="clear" w:color="auto" w:fill="CFF0FC"/>
          </w:tcPr>
          <w:p>
            <w:pPr>
              <w:jc w:val="right"/>
              <w:ind w:right="124"/>
              <w:spacing w:after="0"/>
              <w:rPr>
                <w:sz w:val="20"/>
                <w:szCs w:val="20"/>
                <w:color w:val="auto"/>
              </w:rPr>
            </w:pPr>
            <w:r>
              <w:rPr>
                <w:rFonts w:ascii="Arial" w:cs="Arial" w:eastAsia="Arial" w:hAnsi="Arial"/>
                <w:sz w:val="15"/>
                <w:szCs w:val="15"/>
                <w:color w:val="auto"/>
                <w:w w:val="79"/>
              </w:rPr>
              <w:t>)</w:t>
            </w: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740" w:type="dxa"/>
            <w:vAlign w:val="bottom"/>
          </w:tcPr>
          <w:p>
            <w:pPr>
              <w:ind w:left="380"/>
              <w:spacing w:after="0"/>
              <w:rPr>
                <w:sz w:val="20"/>
                <w:szCs w:val="20"/>
                <w:color w:val="auto"/>
              </w:rPr>
            </w:pPr>
            <w:r>
              <w:rPr>
                <w:rFonts w:ascii="Arial" w:cs="Arial" w:eastAsia="Arial" w:hAnsi="Arial"/>
                <w:sz w:val="15"/>
                <w:szCs w:val="15"/>
                <w:color w:val="auto"/>
              </w:rPr>
              <w:t>Net increase in cash, cash equivalents and restricted cash</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24,086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168,911</w:t>
            </w:r>
          </w:p>
        </w:tc>
        <w:tc>
          <w:tcPr>
            <w:tcW w:w="100" w:type="dxa"/>
            <w:vAlign w:val="bottom"/>
          </w:tcPr>
          <w:p>
            <w:pPr>
              <w:spacing w:after="0"/>
              <w:rPr>
                <w:sz w:val="15"/>
                <w:szCs w:val="15"/>
                <w:color w:val="auto"/>
              </w:rPr>
            </w:pPr>
          </w:p>
        </w:tc>
      </w:tr>
      <w:tr>
        <w:trPr>
          <w:trHeight w:val="191"/>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Beginning of period</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201,829</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46,666</w:t>
            </w:r>
          </w:p>
        </w:tc>
        <w:tc>
          <w:tcPr>
            <w:tcW w:w="100" w:type="dxa"/>
            <w:vAlign w:val="bottom"/>
          </w:tcPr>
          <w:p>
            <w:pPr>
              <w:spacing w:after="0"/>
              <w:rPr>
                <w:sz w:val="16"/>
                <w:szCs w:val="16"/>
                <w:color w:val="auto"/>
              </w:rPr>
            </w:pPr>
          </w:p>
        </w:tc>
      </w:tr>
      <w:tr>
        <w:trPr>
          <w:trHeight w:val="22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End of period</w:t>
            </w:r>
          </w:p>
        </w:tc>
        <w:tc>
          <w:tcPr>
            <w:tcW w:w="96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225,915</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215,577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2"/>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for income taxes, net of refunds</w:t>
            </w:r>
          </w:p>
        </w:tc>
        <w:tc>
          <w:tcPr>
            <w:tcW w:w="96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421</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2,308</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Non-cash investing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Fair value of Class A common stock issued for acquisitions</w:t>
            </w:r>
          </w:p>
        </w:tc>
        <w:tc>
          <w:tcPr>
            <w:tcW w:w="96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66,857</w:t>
            </w:r>
          </w:p>
        </w:tc>
        <w:tc>
          <w:tcPr>
            <w:tcW w:w="100" w:type="dxa"/>
            <w:vAlign w:val="bottom"/>
            <w:shd w:val="clear" w:color="auto" w:fill="CFF0FC"/>
          </w:tcPr>
          <w:p>
            <w:pPr>
              <w:spacing w:after="0"/>
              <w:rPr>
                <w:sz w:val="16"/>
                <w:szCs w:val="16"/>
                <w:color w:val="auto"/>
              </w:rPr>
            </w:pPr>
          </w:p>
        </w:tc>
      </w:tr>
      <w:tr>
        <w:trPr>
          <w:trHeight w:val="187"/>
        </w:trPr>
        <w:tc>
          <w:tcPr>
            <w:tcW w:w="7740" w:type="dxa"/>
            <w:vAlign w:val="bottom"/>
          </w:tcPr>
          <w:p>
            <w:pPr>
              <w:ind w:left="200"/>
              <w:spacing w:after="0"/>
              <w:rPr>
                <w:sz w:val="20"/>
                <w:szCs w:val="20"/>
                <w:color w:val="auto"/>
              </w:rPr>
            </w:pPr>
            <w:r>
              <w:rPr>
                <w:rFonts w:ascii="Arial" w:cs="Arial" w:eastAsia="Arial" w:hAnsi="Arial"/>
                <w:sz w:val="15"/>
                <w:szCs w:val="15"/>
                <w:color w:val="auto"/>
              </w:rPr>
              <w:t>Property and equipment purchases in accounts payable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6"/>
                <w:szCs w:val="16"/>
                <w:color w:val="auto"/>
              </w:rPr>
            </w:pPr>
          </w:p>
        </w:tc>
      </w:tr>
      <w:tr>
        <w:trPr>
          <w:trHeight w:val="147"/>
        </w:trPr>
        <w:tc>
          <w:tcPr>
            <w:tcW w:w="7740" w:type="dxa"/>
            <w:vAlign w:val="bottom"/>
            <w:shd w:val="clear" w:color="auto" w:fill="CFF0FC"/>
          </w:tcPr>
          <w:p>
            <w:pPr>
              <w:ind w:left="200"/>
              <w:spacing w:after="0" w:line="148" w:lineRule="exact"/>
              <w:rPr>
                <w:sz w:val="20"/>
                <w:szCs w:val="20"/>
                <w:color w:val="auto"/>
              </w:rPr>
            </w:pPr>
            <w:r>
              <w:rPr>
                <w:rFonts w:ascii="Arial" w:cs="Arial" w:eastAsia="Arial" w:hAnsi="Arial"/>
                <w:sz w:val="15"/>
                <w:szCs w:val="15"/>
                <w:color w:val="auto"/>
              </w:rPr>
              <w:t>Business acquisition liability in accrued liabilities and finance leases and other finance obligations, net of</w:t>
            </w: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06"/>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current portion</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2,186</w:t>
            </w:r>
          </w:p>
        </w:tc>
        <w:tc>
          <w:tcPr>
            <w:tcW w:w="100" w:type="dxa"/>
            <w:vAlign w:val="bottom"/>
            <w:shd w:val="clear" w:color="auto" w:fill="CFF0FC"/>
          </w:tcPr>
          <w:p>
            <w:pPr>
              <w:spacing w:after="0"/>
              <w:rPr>
                <w:sz w:val="17"/>
                <w:szCs w:val="17"/>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Non-cash financing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Prepaid insurance funded through short-term borrowings</w:t>
            </w:r>
          </w:p>
        </w:tc>
        <w:tc>
          <w:tcPr>
            <w:tcW w:w="96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5,756</w:t>
            </w:r>
          </w:p>
        </w:tc>
        <w:tc>
          <w:tcPr>
            <w:tcW w:w="100" w:type="dxa"/>
            <w:vAlign w:val="bottom"/>
            <w:shd w:val="clear" w:color="auto" w:fill="CFF0FC"/>
          </w:tcPr>
          <w:p>
            <w:pPr>
              <w:spacing w:after="0"/>
              <w:rPr>
                <w:sz w:val="16"/>
                <w:szCs w:val="16"/>
                <w:color w:val="auto"/>
              </w:rPr>
            </w:pPr>
          </w:p>
        </w:tc>
      </w:tr>
      <w:tr>
        <w:trPr>
          <w:trHeight w:val="184"/>
        </w:trPr>
        <w:tc>
          <w:tcPr>
            <w:tcW w:w="7740" w:type="dxa"/>
            <w:vAlign w:val="bottom"/>
          </w:tcPr>
          <w:p>
            <w:pPr>
              <w:ind w:left="200"/>
              <w:spacing w:after="0"/>
              <w:rPr>
                <w:sz w:val="20"/>
                <w:szCs w:val="20"/>
                <w:color w:val="auto"/>
              </w:rPr>
            </w:pPr>
            <w:r>
              <w:rPr>
                <w:rFonts w:ascii="Arial" w:cs="Arial" w:eastAsia="Arial" w:hAnsi="Arial"/>
                <w:sz w:val="15"/>
                <w:szCs w:val="15"/>
                <w:color w:val="auto"/>
              </w:rPr>
              <w:t>Issuance of warrant and change in estimate of warrants expected to vest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3,524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4,802</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-4154170</wp:posOffset>
            </wp:positionV>
            <wp:extent cx="6858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-4154170</wp:posOffset>
            </wp:positionV>
            <wp:extent cx="6858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-3416935</wp:posOffset>
            </wp:positionV>
            <wp:extent cx="685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-3416935</wp:posOffset>
            </wp:positionV>
            <wp:extent cx="68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-1972310</wp:posOffset>
            </wp:positionV>
            <wp:extent cx="125984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5984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-1702435</wp:posOffset>
            </wp:positionV>
            <wp:extent cx="6858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-1702435</wp:posOffset>
            </wp:positionV>
            <wp:extent cx="6858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-1205230</wp:posOffset>
            </wp:positionV>
            <wp:extent cx="123444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4440" cy="14605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4360"/>
        <w:spacing w:after="0"/>
        <w:rPr>
          <w:sz w:val="20"/>
          <w:szCs w:val="20"/>
          <w:color w:val="auto"/>
        </w:rPr>
      </w:pPr>
      <w:r>
        <w:rPr>
          <w:rFonts w:ascii="Arial" w:cs="Arial" w:eastAsia="Arial" w:hAnsi="Arial"/>
          <w:sz w:val="18"/>
          <w:szCs w:val="18"/>
          <w:color w:val="auto"/>
        </w:rPr>
        <w:t>PAYMENTUS HOLDINGS, INC.</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CONDENSED CONSOLIDATED STATEMENTS OF CASH FLOWS (Unaudited) (continued)</w:t>
      </w: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9"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17780</wp:posOffset>
            </wp:positionV>
            <wp:extent cx="2134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5" w:lineRule="exact"/>
        <w:rPr>
          <w:sz w:val="20"/>
          <w:szCs w:val="20"/>
          <w:color w:val="auto"/>
        </w:rPr>
      </w:pPr>
    </w:p>
    <w:p>
      <w:pPr>
        <w:ind w:left="8380"/>
        <w:spacing w:after="0"/>
        <w:tabs>
          <w:tab w:leader="none" w:pos="10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17780</wp:posOffset>
            </wp:positionV>
            <wp:extent cx="21342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49"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(in thousands)</w:t>
      </w:r>
    </w:p>
    <w:p>
      <w:pPr>
        <w:spacing w:after="0" w:line="24" w:lineRule="exact"/>
        <w:rPr>
          <w:sz w:val="20"/>
          <w:szCs w:val="20"/>
          <w:color w:val="auto"/>
        </w:rPr>
      </w:pPr>
    </w:p>
    <w:p>
      <w:pPr>
        <w:jc w:val="both"/>
        <w:ind w:left="20" w:right="3800"/>
        <w:spacing w:after="0" w:line="235" w:lineRule="auto"/>
        <w:rPr>
          <w:sz w:val="20"/>
          <w:szCs w:val="20"/>
          <w:color w:val="auto"/>
        </w:rPr>
      </w:pPr>
      <w:r>
        <w:rPr>
          <w:rFonts w:ascii="Arial" w:cs="Arial" w:eastAsia="Arial" w:hAnsi="Arial"/>
          <w:sz w:val="15"/>
          <w:szCs w:val="15"/>
          <w:b w:val="1"/>
          <w:bCs w:val="1"/>
          <w:color w:val="auto"/>
        </w:rPr>
        <w:t>The below table reconciles cash, cash equivalents, and restricted cash in the condensed consolidated balance sheets to the total of the same amounts shown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3257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778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148,314</w:t>
            </w:r>
          </w:p>
        </w:tc>
        <w:tc>
          <w:tcPr>
            <w:tcW w:w="8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177,506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5"/>
                <w:szCs w:val="15"/>
                <w:color w:val="auto"/>
              </w:rPr>
              <w:t>Restricted funds held for financial institutions</w:t>
            </w:r>
          </w:p>
        </w:tc>
        <w:tc>
          <w:tcPr>
            <w:tcW w:w="5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77,601</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38,071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80" w:type="dxa"/>
            <w:vAlign w:val="bottom"/>
          </w:tcPr>
          <w:p>
            <w:pPr>
              <w:ind w:left="60"/>
              <w:spacing w:after="0" w:line="152" w:lineRule="exact"/>
              <w:rPr>
                <w:sz w:val="20"/>
                <w:szCs w:val="20"/>
                <w:color w:val="auto"/>
              </w:rPr>
            </w:pPr>
            <w:r>
              <w:rPr>
                <w:rFonts w:ascii="Arial" w:cs="Arial" w:eastAsia="Arial" w:hAnsi="Arial"/>
                <w:sz w:val="15"/>
                <w:szCs w:val="15"/>
                <w:color w:val="auto"/>
              </w:rPr>
              <w:t>Total cash, cash equivalents and restricted cash as shown in the condensed consolidated statements of cash</w:t>
            </w:r>
          </w:p>
        </w:tc>
        <w:tc>
          <w:tcPr>
            <w:tcW w:w="520" w:type="dxa"/>
            <w:vAlign w:val="bottom"/>
            <w:vMerge w:val="restart"/>
          </w:tcPr>
          <w:p>
            <w:pPr>
              <w:jc w:val="right"/>
              <w:ind w:right="364"/>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225,915</w:t>
            </w: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215,577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780" w:type="dxa"/>
            <w:vAlign w:val="bottom"/>
          </w:tcPr>
          <w:p>
            <w:pPr>
              <w:ind w:left="20"/>
              <w:spacing w:after="0" w:line="152" w:lineRule="exact"/>
              <w:rPr>
                <w:sz w:val="20"/>
                <w:szCs w:val="20"/>
                <w:color w:val="auto"/>
              </w:rPr>
            </w:pPr>
            <w:r>
              <w:rPr>
                <w:rFonts w:ascii="Arial" w:cs="Arial" w:eastAsia="Arial" w:hAnsi="Arial"/>
                <w:sz w:val="15"/>
                <w:szCs w:val="15"/>
                <w:color w:val="auto"/>
              </w:rPr>
              <w:t>flows</w:t>
            </w:r>
          </w:p>
        </w:tc>
        <w:tc>
          <w:tcPr>
            <w:tcW w:w="5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-231140</wp:posOffset>
            </wp:positionV>
            <wp:extent cx="76835" cy="231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23177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39"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Blacksburg, Virginia, and Delhi and Bangalore (India). On or about September 1, 2022, the Company's headquarters were moved to Charlotte, North Carolina. The Company expects to reestablish its headquarters in or around the Seattle, Washington area in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26"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In May 2021, the Company completed its initial public offering (“IPO”), in which the Company issued and sold 11,500,000 shares of its Class A common stock at $21.00 per share, including 1,500,000 shares issued upon the exercise of the underwriters’ option to purchase additional shares. The Company received net proceeds of $224.6 million after deducting underwriting discounts and commissions of $16.9 million. The Company incurred direct offering expenses of $2.0 million.</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IPO:</w:t>
      </w:r>
    </w:p>
    <w:p>
      <w:pPr>
        <w:spacing w:after="0" w:line="104" w:lineRule="exact"/>
        <w:rPr>
          <w:sz w:val="20"/>
          <w:szCs w:val="20"/>
          <w:color w:val="auto"/>
        </w:rPr>
      </w:pPr>
    </w:p>
    <w:p>
      <w:pPr>
        <w:ind w:left="1020" w:right="500" w:hanging="503"/>
        <w:spacing w:after="0" w:line="246"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103,479,239 shares of the Company’s outstanding common stock automatically converted into an equivalent number of shares of Class B common stock on a one-to-one basis; and</w:t>
      </w:r>
    </w:p>
    <w:p>
      <w:pPr>
        <w:spacing w:after="0" w:line="102" w:lineRule="exact"/>
        <w:rPr>
          <w:rFonts w:ascii="Arial" w:cs="Arial" w:eastAsia="Arial" w:hAnsi="Arial"/>
          <w:sz w:val="18"/>
          <w:szCs w:val="18"/>
          <w:color w:val="auto"/>
        </w:rPr>
      </w:pPr>
    </w:p>
    <w:p>
      <w:pPr>
        <w:ind w:left="1020" w:right="20" w:hanging="503"/>
        <w:spacing w:after="0" w:line="24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spacing w:after="0" w:line="179" w:lineRule="exact"/>
        <w:rPr>
          <w:rFonts w:ascii="Arial" w:cs="Arial" w:eastAsia="Arial" w:hAnsi="Arial"/>
          <w:sz w:val="18"/>
          <w:szCs w:val="18"/>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2021 filed with the SEC on March 3, 2022 (the "2021 Form 10-K").</w:t>
      </w:r>
    </w:p>
    <w:p>
      <w:pPr>
        <w:spacing w:after="0" w:line="111" w:lineRule="exact"/>
        <w:rPr>
          <w:sz w:val="20"/>
          <w:szCs w:val="20"/>
          <w:color w:val="auto"/>
        </w:rPr>
      </w:pPr>
    </w:p>
    <w:p>
      <w:pPr>
        <w:jc w:val="both"/>
        <w:ind w:right="160" w:firstLine="494"/>
        <w:spacing w:after="0"/>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comprehensive income, changes in stockholders' equity and cash flows for the periods presented.</w:t>
      </w:r>
    </w:p>
    <w:p>
      <w:pPr>
        <w:jc w:val="both"/>
        <w:ind w:right="180"/>
        <w:spacing w:after="0" w:line="246" w:lineRule="auto"/>
        <w:rPr>
          <w:sz w:val="20"/>
          <w:szCs w:val="20"/>
          <w:color w:val="auto"/>
        </w:rPr>
      </w:pPr>
      <w:r>
        <w:rPr>
          <w:rFonts w:ascii="Arial" w:cs="Arial" w:eastAsia="Arial" w:hAnsi="Arial"/>
          <w:sz w:val="18"/>
          <w:szCs w:val="18"/>
          <w:color w:val="auto"/>
        </w:rPr>
        <w:t>The results of operations for the three and nine months ended September 30, 2022 and 2021 are not necessarily indicative of the results to be expected for the full year or any other future interim or annual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39"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On May 10, 2021, the Company effected a 5-for-1 forward stock split of its common stock. In connection with the forward stock split, each issued and outstanding share of common stock, automatically and without action on the part of the stockholders, became five shares of common stock. The par value per share of common stock was not adjusted. All share, per share and related information presented in the unaudited interim condensed consolidated financial statements and accompanying notes have been retroactively adjusted, where applicable, to reflect the impact of the stock split.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9" w:lineRule="exact"/>
        <w:rPr>
          <w:sz w:val="20"/>
          <w:szCs w:val="20"/>
          <w:color w:val="auto"/>
        </w:rPr>
      </w:pPr>
    </w:p>
    <w:p>
      <w:pPr>
        <w:ind w:right="560" w:firstLine="494"/>
        <w:spacing w:after="0" w:line="246"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9"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20" w:firstLine="494"/>
        <w:spacing w:after="0" w:line="241"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26"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$55.1 million and $47.4 million as of September 30,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Funds Held for Financial Institutions and Financial Institution Funds In-Transit</w:t>
      </w:r>
    </w:p>
    <w:p>
      <w:pPr>
        <w:spacing w:after="0" w:line="139"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w:t>
      </w:r>
    </w:p>
    <w:p>
      <w:pPr>
        <w:ind w:right="80"/>
        <w:spacing w:after="0" w:line="226" w:lineRule="auto"/>
        <w:rPr>
          <w:sz w:val="20"/>
          <w:szCs w:val="20"/>
          <w:color w:val="auto"/>
        </w:rPr>
      </w:pPr>
      <w:r>
        <w:rPr>
          <w:rFonts w:ascii="Arial" w:cs="Arial" w:eastAsia="Arial" w:hAnsi="Arial"/>
          <w:sz w:val="18"/>
          <w:szCs w:val="18"/>
          <w:color w:val="auto"/>
        </w:rPr>
        <w:t>receivable. The Company maintains its cash and cash equivalents with high-quality financial institutions with investment-grade ratings. For accounts receivable, the Company is exposed to credit risk in the event of nonpayment by customers to the extent of the amounts recorded</w:t>
      </w:r>
    </w:p>
    <w:p>
      <w:pPr>
        <w:spacing w:after="0" w:line="236" w:lineRule="auto"/>
        <w:rPr>
          <w:sz w:val="20"/>
          <w:szCs w:val="20"/>
          <w:color w:val="auto"/>
        </w:rPr>
      </w:pPr>
      <w:r>
        <w:rPr>
          <w:rFonts w:ascii="Arial" w:cs="Arial" w:eastAsia="Arial" w:hAnsi="Arial"/>
          <w:sz w:val="18"/>
          <w:szCs w:val="18"/>
          <w:color w:val="auto"/>
        </w:rPr>
        <w:t>in the consolidated balance sheets. No customer accounted for more than 10% of revenue for either of the three or nine months ended</w:t>
      </w:r>
    </w:p>
    <w:p>
      <w:pPr>
        <w:spacing w:after="0" w:line="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September 30, 2022 and 2021. No customer accounted for more than 10% of accounts receivable as of September 30, 2022, while one customer accounted for more than 10% of accounts receivable as of December 31, 2021.</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5"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39" w:lineRule="exact"/>
        <w:rPr>
          <w:sz w:val="20"/>
          <w:szCs w:val="20"/>
          <w:color w:val="auto"/>
        </w:rPr>
      </w:pPr>
    </w:p>
    <w:p>
      <w:pPr>
        <w:jc w:val="both"/>
        <w:ind w:firstLine="494"/>
        <w:spacing w:after="0" w:line="243"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2021 and 2020 and for the years ended December 31, 2021 and 2020 included in the 2021 Form 10-K. There have been no significant changes to these policies during the three and nine months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w:t>
      </w:r>
    </w:p>
    <w:p>
      <w:pPr>
        <w:jc w:val="center"/>
        <w:ind w:right="140"/>
        <w:spacing w:after="0" w:line="219" w:lineRule="auto"/>
        <w:rPr>
          <w:sz w:val="20"/>
          <w:szCs w:val="20"/>
          <w:color w:val="auto"/>
        </w:rPr>
      </w:pPr>
      <w:r>
        <w:rPr>
          <w:rFonts w:ascii="Arial" w:cs="Arial" w:eastAsia="Arial" w:hAnsi="Arial"/>
          <w:sz w:val="18"/>
          <w:szCs w:val="18"/>
          <w:color w:val="auto"/>
        </w:rPr>
        <w:t>Jumpstart Our Business Startups Act of 2012 either (1) within the same periods as those otherwise applicable to public business entities, or</w:t>
      </w:r>
    </w:p>
    <w:p>
      <w:pPr>
        <w:ind w:right="140" w:firstLine="8"/>
        <w:spacing w:after="0" w:line="235"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1" w:lineRule="exact"/>
        <w:rPr>
          <w:sz w:val="20"/>
          <w:szCs w:val="20"/>
          <w:color w:val="auto"/>
        </w:rPr>
      </w:pPr>
    </w:p>
    <w:p>
      <w:pPr>
        <w:ind w:right="60" w:firstLine="494"/>
        <w:spacing w:after="0" w:line="258"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Contracts with Customers" ("ASU 2021-08")</w:t>
      </w:r>
      <w:r>
        <w:rPr>
          <w:rFonts w:ascii="Arial" w:cs="Arial" w:eastAsia="Arial" w:hAnsi="Arial"/>
          <w:sz w:val="17"/>
          <w:szCs w:val="17"/>
          <w:color w:val="auto"/>
        </w:rPr>
        <w:t>. ASU 2021-08 will require companies to apply the definition of a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under ASU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xml:space="preserve">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for public entities and December 15, 2023 for all other entities, with early adoption permitted. The Company is currently evaluating the impact of this ASU on its condensed consolidated financial statements.</w:t>
      </w:r>
    </w:p>
    <w:p>
      <w:pPr>
        <w:spacing w:after="0" w:line="17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126,373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100,384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359,846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284,029</w:t>
            </w:r>
          </w:p>
        </w:tc>
        <w:tc>
          <w:tcPr>
            <w:tcW w:w="22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18"/>
                <w:szCs w:val="18"/>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128,152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364,825</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26" w:lineRule="exact"/>
        <w:rPr>
          <w:sz w:val="20"/>
          <w:szCs w:val="20"/>
          <w:color w:val="auto"/>
        </w:rPr>
      </w:pPr>
    </w:p>
    <w:p>
      <w:pPr>
        <w:jc w:val="both"/>
        <w:ind w:right="160" w:firstLine="494"/>
        <w:spacing w:after="0" w:line="248" w:lineRule="auto"/>
        <w:rPr>
          <w:sz w:val="20"/>
          <w:szCs w:val="20"/>
          <w:color w:val="auto"/>
        </w:rPr>
      </w:pPr>
      <w:r>
        <w:rPr>
          <w:rFonts w:ascii="Arial" w:cs="Arial" w:eastAsia="Arial" w:hAnsi="Arial"/>
          <w:sz w:val="18"/>
          <w:szCs w:val="18"/>
          <w:color w:val="auto"/>
        </w:rPr>
        <w:t>ASU Topic 606 requires disclosure of the aggregate amount of the transaction price allocated to unsatisfied performance obligations. The purpose of this disclosure is to provide additional information about the amounts and expected timing of revenue to be recognized from the remaining performance obligations in our existing contracts.</w:t>
      </w:r>
    </w:p>
    <w:p>
      <w:pPr>
        <w:spacing w:after="0" w:line="87" w:lineRule="exact"/>
        <w:rPr>
          <w:sz w:val="20"/>
          <w:szCs w:val="20"/>
          <w:color w:val="auto"/>
        </w:rPr>
      </w:pPr>
    </w:p>
    <w:p>
      <w:pPr>
        <w:ind w:right="100" w:firstLine="494"/>
        <w:spacing w:after="0" w:line="248" w:lineRule="auto"/>
        <w:rPr>
          <w:sz w:val="20"/>
          <w:szCs w:val="20"/>
          <w:color w:val="auto"/>
        </w:rPr>
      </w:pPr>
      <w:r>
        <w:rPr>
          <w:rFonts w:ascii="Arial" w:cs="Arial" w:eastAsia="Arial" w:hAnsi="Arial"/>
          <w:sz w:val="18"/>
          <w:szCs w:val="18"/>
          <w:color w:val="auto"/>
        </w:rPr>
        <w:t>As of September 30, 2022, the aggregate amount of transaction price allocated to performance obligations that are unsatisfied or partially unsatisfied was $4.0 million, of which the Company expects to recognize over 80% within the next four years. The timing of revenue recognition within the next year is largely dependent upon the go-live dates of the Company's contracts.</w:t>
      </w:r>
    </w:p>
    <w:p>
      <w:pPr>
        <w:spacing w:after="0" w:line="195" w:lineRule="exact"/>
        <w:rPr>
          <w:sz w:val="20"/>
          <w:szCs w:val="20"/>
          <w:color w:val="auto"/>
        </w:rPr>
      </w:pPr>
    </w:p>
    <w:p>
      <w:pPr>
        <w:ind w:right="480" w:firstLine="494"/>
        <w:spacing w:after="0" w:line="243" w:lineRule="auto"/>
        <w:rPr>
          <w:sz w:val="20"/>
          <w:szCs w:val="20"/>
          <w:color w:val="auto"/>
        </w:rPr>
      </w:pPr>
      <w:r>
        <w:rPr>
          <w:rFonts w:ascii="Arial" w:cs="Arial" w:eastAsia="Arial" w:hAnsi="Arial"/>
          <w:sz w:val="18"/>
          <w:szCs w:val="18"/>
          <w:color w:val="auto"/>
        </w:rPr>
        <w:t>As of September 30, 2022, the Company has contractual rights under its commercial agreements to receive $61.0 million of fixed consideration related to the future minimum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9"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The contract asset balances at September 30, 2022 and December 31, 2021 were $10.1 million and $5.6 million, respectively, of which $2.7 million and $1.7 million was included in prepaid expenses and other current assets and $7.4</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ind w:right="80" w:firstLine="50"/>
        <w:spacing w:after="0" w:line="245" w:lineRule="auto"/>
        <w:rPr>
          <w:sz w:val="20"/>
          <w:szCs w:val="20"/>
          <w:color w:val="auto"/>
        </w:rPr>
      </w:pPr>
      <w:r>
        <w:rPr>
          <w:rFonts w:ascii="Arial" w:cs="Arial" w:eastAsia="Arial" w:hAnsi="Arial"/>
          <w:sz w:val="18"/>
          <w:szCs w:val="18"/>
          <w:color w:val="auto"/>
        </w:rPr>
        <w:t>million and $3.9 million was included in other long-term assets in the condensed consolidated balance sheets, respectively. The increase in the contract asset balance was primarily related to the addition of new warrants, see Note 11 for details. During the three months ended September 30, 2022 and 2021, the Company reduced revenue and the related contract assets by $0.5 million and $0.2 million, respectively and for the nine months ended September 30, 2022 and 2021, revenue and the related contract assets were reduced by $1.3 million and $0.4 million, respectively.</w:t>
      </w:r>
    </w:p>
    <w:p>
      <w:pPr>
        <w:spacing w:after="0" w:line="78" w:lineRule="exact"/>
        <w:rPr>
          <w:sz w:val="20"/>
          <w:szCs w:val="20"/>
          <w:color w:val="auto"/>
        </w:rPr>
      </w:pPr>
    </w:p>
    <w:p>
      <w:pPr>
        <w:jc w:val="both"/>
        <w:ind w:right="60" w:firstLine="494"/>
        <w:spacing w:after="0"/>
        <w:rPr>
          <w:sz w:val="20"/>
          <w:szCs w:val="20"/>
          <w:color w:val="auto"/>
        </w:rPr>
      </w:pPr>
      <w:r>
        <w:rPr>
          <w:rFonts w:ascii="Arial" w:cs="Arial" w:eastAsia="Arial" w:hAnsi="Arial"/>
          <w:sz w:val="17"/>
          <w:szCs w:val="17"/>
          <w:color w:val="auto"/>
        </w:rPr>
        <w:t>The Company recorded $4.0 million and $3.9 million of contract liabilities in the condensed consolidated balance sheets as of September 30, 2022 and December 31, 2021, respectively, which relates to legacy contracts obtained from prior acquisitions associated with</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the Company’s insignificant other revenue stream and other payments the Company received in advance for services. The change in the contract liabilities is primarily related to timing differences between payment from the customer and the Company’s satisfaction of each</w:t>
      </w:r>
    </w:p>
    <w:p>
      <w:pPr>
        <w:spacing w:after="0" w:line="2"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performance obligation. Revenue recognized during the three months ended September 30, 2022 and 2021 that was included in the contract liabilities balance at the beginning of each of the periods was $0.5 million and $0.8 million, respectively. Revenue recognized during the nine months ended September 30, 2022 and 2021 that was included in the contract liabilities balance at the beginning of each respective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 $0.6 million and $1.5 million, respectively.</w:t>
      </w:r>
    </w:p>
    <w:p>
      <w:pPr>
        <w:spacing w:after="0" w:line="19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PayVeris, LLC</w:t>
      </w:r>
    </w:p>
    <w:p>
      <w:pPr>
        <w:spacing w:after="0" w:line="112" w:lineRule="exact"/>
        <w:rPr>
          <w:sz w:val="20"/>
          <w:szCs w:val="20"/>
          <w:color w:val="auto"/>
        </w:rPr>
      </w:pPr>
    </w:p>
    <w:p>
      <w:pPr>
        <w:ind w:right="600" w:firstLine="494"/>
        <w:spacing w:after="0"/>
        <w:rPr>
          <w:sz w:val="20"/>
          <w:szCs w:val="20"/>
          <w:color w:val="auto"/>
        </w:rPr>
      </w:pPr>
      <w:r>
        <w:rPr>
          <w:rFonts w:ascii="Arial" w:cs="Arial" w:eastAsia="Arial" w:hAnsi="Arial"/>
          <w:sz w:val="17"/>
          <w:szCs w:val="17"/>
          <w:color w:val="auto"/>
        </w:rPr>
        <w:t>On September 1, 2021, the Company completed its acquisition of PayVeris, LLC ("Payveris") by acquiring all outstanding equity interests for a total purchase price of approximately $145.5 million, comprised of $85.1 million in cash and 2,364,270 shares of the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Company's Class A common stock with a fair value of approximately $60.4 million. Payveris is a payments processing company for financial institutions. The acquisition is expected to increase the addressable market opportunity for the Company's existing solutions while also</w:t>
      </w:r>
    </w:p>
    <w:p>
      <w:pPr>
        <w:spacing w:after="0" w:line="2"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enhancing Payveris’ platform with real-time capabilities, enhanced electronic bill presentment and additional payment options for banks, credit unions and financial institutions of all sizes.</w:t>
      </w:r>
    </w:p>
    <w:p>
      <w:pPr>
        <w:spacing w:after="0" w:line="94" w:lineRule="exact"/>
        <w:rPr>
          <w:sz w:val="20"/>
          <w:szCs w:val="20"/>
          <w:color w:val="auto"/>
        </w:rPr>
      </w:pPr>
    </w:p>
    <w:p>
      <w:pPr>
        <w:ind w:right="140" w:firstLine="494"/>
        <w:spacing w:after="0" w:line="270"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includes software acquired</w:t>
            </w:r>
          </w:p>
        </w:tc>
        <w:tc>
          <w:tcPr>
            <w:tcW w:w="6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108,950</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Restricted funds held for financial institutions</w:t>
            </w:r>
          </w:p>
        </w:tc>
        <w:tc>
          <w:tcPr>
            <w:tcW w:w="6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institution funds in-transit</w:t>
            </w:r>
          </w:p>
        </w:tc>
        <w:tc>
          <w:tcPr>
            <w:tcW w:w="6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(31,459 )</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(194 )</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(265 )</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(2,805 )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finalization of purchase price allocation did not result in any changes to the preliminary estimate. The Company recorded a measurement period adjustment of $8.5 million during the fourth quarter of 2021 to decrease trademarks and increase goodwill related to the refinement of inputs in the acquisition valuation. There were no measurement period adjustments during the three and nine months ended September 30, 2022.</w:t>
      </w:r>
    </w:p>
    <w:p>
      <w:pPr>
        <w:spacing w:after="0" w:line="107" w:lineRule="exact"/>
        <w:rPr>
          <w:sz w:val="20"/>
          <w:szCs w:val="20"/>
          <w:color w:val="auto"/>
        </w:rPr>
      </w:pPr>
    </w:p>
    <w:p>
      <w:pPr>
        <w:ind w:right="580" w:firstLine="494"/>
        <w:spacing w:after="0" w:line="246"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Payveris and the assembled workforce. The goodwill is deductible for income tax purposes.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4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26,154</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4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4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38,249</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300" w:type="dxa"/>
            <w:vAlign w:val="bottom"/>
            <w:vMerge w:val="restart"/>
          </w:tcPr>
          <w:p>
            <w:pPr>
              <w:jc w:val="right"/>
              <w:ind w:right="221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7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2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-573405</wp:posOffset>
            </wp:positionV>
            <wp:extent cx="7747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b w:val="1"/>
          <w:bCs w:val="1"/>
          <w:i w:val="1"/>
          <w:iCs w:val="1"/>
          <w:color w:val="auto"/>
        </w:rPr>
        <w:t>Finovera, Inc.</w:t>
      </w:r>
    </w:p>
    <w:p>
      <w:pPr>
        <w:spacing w:after="0" w:line="139"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On September 2, 2021, the Company completed its acquisition of Finovera by acquiring all outstanding shares for a total purchase price of approximately $12.9 million, net of cash acquired, comprised of $5.0 million in cash of which $0.8 million is being held back by the Company for a period of twenty-four months following the transaction closing date and is recorded in finance leases and other finance obligations, net of current portion in the condensed consolidated balance sheets, and 293,506 shares of the Company's Class A common stock with a fair value of approximately $7.9 million. Finovera is a bill aggregation technology provider for financial institutions. The acquisition of Finovera is expected to increase the addressable market opportunity for the Company's biller and financial institution solutions by, among other things, increasing the availability of certain bill data.</w:t>
      </w:r>
    </w:p>
    <w:p>
      <w:pPr>
        <w:spacing w:after="0" w:line="98"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(85 )</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(72 )</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(588 )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80" w:firstLine="494"/>
        <w:spacing w:after="0" w:line="246" w:lineRule="auto"/>
        <w:rPr>
          <w:sz w:val="20"/>
          <w:szCs w:val="20"/>
          <w:color w:val="auto"/>
        </w:rPr>
      </w:pPr>
      <w:r>
        <w:rPr>
          <w:rFonts w:ascii="Arial" w:cs="Arial" w:eastAsia="Arial" w:hAnsi="Arial"/>
          <w:sz w:val="18"/>
          <w:szCs w:val="18"/>
          <w:color w:val="auto"/>
        </w:rPr>
        <w:t>The finalization of the purchase price allocation did not result in any changes to the preliminary estimate. There were no measurement period adjustments during the three and nine months ended September 30, 2022.</w:t>
      </w:r>
    </w:p>
    <w:p>
      <w:pPr>
        <w:spacing w:after="0" w:line="89" w:lineRule="exact"/>
        <w:rPr>
          <w:sz w:val="20"/>
          <w:szCs w:val="20"/>
          <w:color w:val="auto"/>
        </w:rPr>
      </w:pPr>
    </w:p>
    <w:p>
      <w:pPr>
        <w:ind w:right="580" w:firstLine="494"/>
        <w:spacing w:after="0" w:line="261"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Finovera and the assembled workforce. The goodwill is not deductible for income tax purposes.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18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-24765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7"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revenue and expenses of the acquired businesses have been included in the Company's condensed consolidated financial results since the acquisition date. Revenues and expenses related to these acquisitions and pro forma results of operations have not been presented for the three and nine months ended September 30, 2021 because the effects of these acquisitions was not material to the Company's overall operations.</w:t>
      </w:r>
    </w:p>
    <w:p>
      <w:pPr>
        <w:spacing w:after="0" w:line="107" w:lineRule="exact"/>
        <w:rPr>
          <w:sz w:val="20"/>
          <w:szCs w:val="20"/>
          <w:color w:val="auto"/>
        </w:rPr>
      </w:pPr>
    </w:p>
    <w:p>
      <w:pPr>
        <w:ind w:right="380" w:firstLine="494"/>
        <w:spacing w:after="0"/>
        <w:rPr>
          <w:sz w:val="20"/>
          <w:szCs w:val="20"/>
          <w:color w:val="auto"/>
        </w:rPr>
      </w:pPr>
      <w:r>
        <w:rPr>
          <w:rFonts w:ascii="Arial" w:cs="Arial" w:eastAsia="Arial" w:hAnsi="Arial"/>
          <w:sz w:val="18"/>
          <w:szCs w:val="18"/>
          <w:color w:val="auto"/>
        </w:rPr>
        <w:t>The Company incurred costs related to these acquisitions of approximately $1.7 million for the year ended December 31, 2021. All acquisition related costs were expensed as incurred and have been recorded in general and administrative expenses in the condensed consolidated statements of operations.</w:t>
      </w:r>
    </w:p>
    <w:p>
      <w:pPr>
        <w:spacing w:after="0" w:line="19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9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(5,448 )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(4,791 )</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29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20" w:type="dxa"/>
            <w:vAlign w:val="bottom"/>
            <w:vMerge w:val="restart"/>
          </w:tcPr>
          <w:p>
            <w:pPr>
              <w:jc w:val="right"/>
              <w:ind w:right="187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6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-582295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6" w:name="page17"/>
    <w:bookmarkEnd w:id="16"/>
    <w:p>
      <w:pPr>
        <w:jc w:val="both"/>
        <w:ind w:right="340" w:firstLine="494"/>
        <w:spacing w:after="0" w:line="248" w:lineRule="auto"/>
        <w:rPr>
          <w:sz w:val="20"/>
          <w:szCs w:val="20"/>
          <w:color w:val="auto"/>
        </w:rPr>
      </w:pPr>
      <w:r>
        <w:rPr>
          <w:rFonts w:ascii="Arial" w:cs="Arial" w:eastAsia="Arial" w:hAnsi="Arial"/>
          <w:sz w:val="18"/>
          <w:szCs w:val="18"/>
          <w:color w:val="auto"/>
        </w:rPr>
        <w:t>Depreciation and amortization expense recorded for property and equipment was $0.3 million and $0.3 million for the three months ended September 30, 2022 and 2021, respectively, and $1.0 million and $0.8 million for the nine months ended September 30, 2022 and 2021, respectively.</w:t>
      </w:r>
    </w:p>
    <w:p>
      <w:pPr>
        <w:spacing w:after="0" w:line="17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Internal-use Software Development Costs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United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States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128,519</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26" w:lineRule="exact"/>
        <w:rPr>
          <w:sz w:val="20"/>
          <w:szCs w:val="20"/>
          <w:color w:val="auto"/>
        </w:rPr>
      </w:pPr>
    </w:p>
    <w:p>
      <w:pPr>
        <w:jc w:val="both"/>
        <w:ind w:right="20" w:firstLine="494"/>
        <w:spacing w:after="0" w:line="226" w:lineRule="auto"/>
        <w:rPr>
          <w:sz w:val="20"/>
          <w:szCs w:val="20"/>
          <w:color w:val="auto"/>
        </w:rPr>
      </w:pPr>
      <w:r>
        <w:rPr>
          <w:rFonts w:ascii="Arial" w:cs="Arial" w:eastAsia="Arial" w:hAnsi="Arial"/>
          <w:sz w:val="18"/>
          <w:szCs w:val="18"/>
          <w:color w:val="auto"/>
        </w:rPr>
        <w:t>The Company capitalizes qualifying internal -use software development costs related to its platform. The costs consist of personnel costs (including related benefits) that are incurred during the application development stage, as well as implementation costs incurred to fulfill</w:t>
      </w:r>
    </w:p>
    <w:p>
      <w:pPr>
        <w:spacing w:after="0" w:line="236" w:lineRule="auto"/>
        <w:rPr>
          <w:sz w:val="20"/>
          <w:szCs w:val="20"/>
          <w:color w:val="auto"/>
        </w:rPr>
      </w:pPr>
      <w:r>
        <w:rPr>
          <w:rFonts w:ascii="Arial" w:cs="Arial" w:eastAsia="Arial" w:hAnsi="Arial"/>
          <w:sz w:val="18"/>
          <w:szCs w:val="18"/>
          <w:color w:val="auto"/>
        </w:rPr>
        <w:t>our contracts with customers as they (1) relate directly to the contract, (2) are expected to generate resources that will be used to satisfy the</w:t>
      </w:r>
    </w:p>
    <w:p>
      <w:pPr>
        <w:spacing w:after="0" w:line="1"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performance obligation under the contract, and (3) are expected to be recovered through revenues generated under the contract. Capitalization of costs begins when two criteria are met: (1) the preliminary project stage is completed, and (2) it is probable that the software</w:t>
      </w:r>
    </w:p>
    <w:p>
      <w:pPr>
        <w:spacing w:after="0" w:line="235" w:lineRule="auto"/>
        <w:rPr>
          <w:sz w:val="20"/>
          <w:szCs w:val="20"/>
          <w:color w:val="auto"/>
        </w:rPr>
      </w:pPr>
      <w:r>
        <w:rPr>
          <w:rFonts w:ascii="Arial" w:cs="Arial" w:eastAsia="Arial" w:hAnsi="Arial"/>
          <w:sz w:val="18"/>
          <w:szCs w:val="18"/>
          <w:color w:val="auto"/>
        </w:rPr>
        <w:t>will be completed and used for its intended function. Capitalization ceases when the software is substantially complete and ready for its</w:t>
      </w:r>
    </w:p>
    <w:p>
      <w:pPr>
        <w:ind w:right="120"/>
        <w:spacing w:after="0" w:line="226" w:lineRule="auto"/>
        <w:rPr>
          <w:sz w:val="20"/>
          <w:szCs w:val="20"/>
          <w:color w:val="auto"/>
        </w:rPr>
      </w:pPr>
      <w:r>
        <w:rPr>
          <w:rFonts w:ascii="Arial" w:cs="Arial" w:eastAsia="Arial" w:hAnsi="Arial"/>
          <w:sz w:val="18"/>
          <w:szCs w:val="18"/>
          <w:color w:val="auto"/>
        </w:rPr>
        <w:t>intended use, including the completion of all significant testing. Costs related to preliminary project activities and post-implementation operating activities are expensed as incurred. During the three months ended September 30, 2022 and 2021, the Company capitalized $7.8</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million and $4.8 million in software development costs, respectively, and during the nine months ended September 30, 2022 and 2021, the Company capitalized $22.3 million and $13.5 million in software development costs, respectively.</w:t>
      </w:r>
    </w:p>
    <w:p>
      <w:pPr>
        <w:spacing w:after="0" w:line="89"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condensed consolidated statement of operations aligned with the internal organizations that are the primary beneficiaries of such assets. During the three months ended September 30, 2022 and 2021, the Company recorded $2.4 million and $1.3 million of amortization expense in cost of revenue, and $1.4 million and $1.2 million of amortization expense in operating expenses, respectively. During the nine months ended September 30, 2022 and 2021, the Company recorded $6.1 million and $3.5 million of amortization expense in cost of revenue, and $4.3 million and $3.3 million of amortization expense in operating expenses,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20,797</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9,666</w:t>
            </w: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License</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(2,479 )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(10,759 )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(596 )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(1,281 )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62,359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(26,246 )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36,113</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8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4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-573405</wp:posOffset>
            </wp:positionV>
            <wp:extent cx="7747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-573405</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-573405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20,837</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12,182</w:t>
            </w: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(2,652 )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(8,021 )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(456 )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(533 )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62,405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(20,317 )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42,088</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2"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Amortization expense of intangible assets was $2.0 million and $1.0 million for the three months ended September 30, 2022 and 2021, respectively, and $6.2 million and $1.1 million for the nine months ended September 30, 2022 and 2021, respectively.</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2022, future expected amortization expense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2022 (remaining three months)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8,082</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60" w:type="dxa"/>
            <w:vAlign w:val="bottom"/>
          </w:tcPr>
          <w:p>
            <w:pPr>
              <w:ind w:left="20"/>
              <w:spacing w:after="0"/>
              <w:rPr>
                <w:sz w:val="20"/>
                <w:szCs w:val="20"/>
                <w:color w:val="auto"/>
              </w:rPr>
            </w:pPr>
            <w:r>
              <w:rPr>
                <w:rFonts w:ascii="Arial" w:cs="Arial" w:eastAsia="Arial" w:hAnsi="Arial"/>
                <w:sz w:val="18"/>
                <w:szCs w:val="18"/>
                <w:color w:val="auto"/>
              </w:rPr>
              <w:t>Total future amortization expense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36,113</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right="240" w:firstLine="499"/>
        <w:spacing w:after="0" w:line="243"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ten years, and often include one or more renewal or termination options. These options are not included in the determination of the lease term at commencement unless it is reasonably certain that the Company will exercise the option.</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56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2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expense</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Arial" w:cs="Arial" w:eastAsia="Arial" w:hAnsi="Arial"/>
                <w:sz w:val="18"/>
                <w:szCs w:val="18"/>
                <w:color w:val="auto"/>
              </w:rPr>
              <w:t>Interest on finance lease liabilities</w:t>
            </w: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0"/>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finance lease cost</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182"/>
        </w:trPr>
        <w:tc>
          <w:tcPr>
            <w:tcW w:w="52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Cash paid for amounts included in the measurement of lease</w:t>
            </w:r>
          </w:p>
        </w:tc>
        <w:tc>
          <w:tcPr>
            <w:tcW w:w="48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3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521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r>
      <w:tr>
        <w:trPr>
          <w:trHeight w:val="188"/>
        </w:trPr>
        <w:tc>
          <w:tcPr>
            <w:tcW w:w="520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Right-of-use assets obtained in exchange of operating lease</w:t>
            </w: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obligations</w:t>
            </w: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8"/>
                <w:szCs w:val="18"/>
                <w:color w:val="auto"/>
              </w:rPr>
            </w:pPr>
          </w:p>
        </w:tc>
      </w:tr>
      <w:tr>
        <w:trPr>
          <w:trHeight w:val="526"/>
        </w:trPr>
        <w:tc>
          <w:tcPr>
            <w:tcW w:w="5200" w:type="dxa"/>
            <w:vAlign w:val="bottom"/>
          </w:tcPr>
          <w:p>
            <w:pPr>
              <w:spacing w:after="0"/>
              <w:rPr>
                <w:sz w:val="24"/>
                <w:szCs w:val="24"/>
                <w:color w:val="auto"/>
              </w:rPr>
            </w:pPr>
          </w:p>
        </w:tc>
        <w:tc>
          <w:tcPr>
            <w:tcW w:w="1300" w:type="dxa"/>
            <w:vAlign w:val="bottom"/>
            <w:gridSpan w:val="2"/>
          </w:tcPr>
          <w:p>
            <w:pPr>
              <w:jc w:val="right"/>
              <w:ind w:right="708"/>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8" w:name="page19"/>
    <w:bookmarkEnd w:id="18"/>
    <w:p>
      <w:pPr>
        <w:ind w:right="100" w:firstLine="494"/>
        <w:spacing w:after="0" w:line="261" w:lineRule="auto"/>
        <w:rPr>
          <w:sz w:val="20"/>
          <w:szCs w:val="20"/>
          <w:color w:val="auto"/>
        </w:rPr>
      </w:pPr>
      <w:r>
        <w:rPr>
          <w:rFonts w:ascii="Arial" w:cs="Arial" w:eastAsia="Arial" w:hAnsi="Arial"/>
          <w:sz w:val="18"/>
          <w:szCs w:val="18"/>
          <w:color w:val="auto"/>
        </w:rPr>
        <w:t>The total remaining lease payments under non-cancelable operating and finance leases as of September 30, 2022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20" w:type="dxa"/>
            <w:vAlign w:val="bottom"/>
          </w:tcPr>
          <w:p>
            <w:pPr>
              <w:spacing w:after="0"/>
              <w:rPr>
                <w:sz w:val="16"/>
                <w:szCs w:val="16"/>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(remaining three months)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 including interest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(1,059 )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5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63"/>
        </w:trPr>
        <w:tc>
          <w:tcPr>
            <w:tcW w:w="7560" w:type="dxa"/>
            <w:vAlign w:val="bottom"/>
          </w:tcPr>
          <w:p>
            <w:pPr>
              <w:spacing w:after="0"/>
              <w:rPr>
                <w:sz w:val="20"/>
                <w:szCs w:val="20"/>
                <w:color w:val="auto"/>
              </w:rPr>
            </w:pPr>
            <w:r>
              <w:rPr>
                <w:rFonts w:ascii="Arial" w:cs="Arial" w:eastAsia="Arial" w:hAnsi="Arial"/>
                <w:sz w:val="18"/>
                <w:szCs w:val="18"/>
                <w:b w:val="1"/>
                <w:bCs w:val="1"/>
                <w:color w:val="auto"/>
              </w:rPr>
              <w:t>8.   Accrued Liabilities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60" w:type="dxa"/>
            <w:vAlign w:val="bottom"/>
          </w:tcPr>
          <w:p>
            <w:pPr>
              <w:ind w:left="500"/>
              <w:spacing w:after="0"/>
              <w:rPr>
                <w:sz w:val="20"/>
                <w:szCs w:val="20"/>
                <w:color w:val="auto"/>
              </w:rPr>
            </w:pPr>
            <w:r>
              <w:rPr>
                <w:rFonts w:ascii="Arial" w:cs="Arial" w:eastAsia="Arial" w:hAnsi="Arial"/>
                <w:sz w:val="18"/>
                <w:szCs w:val="18"/>
                <w:color w:val="auto"/>
              </w:rPr>
              <w:t>Accrued liabilities consisted of the following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9,402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-1645285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-1628140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5" w:lineRule="exact"/>
        <w:rPr>
          <w:sz w:val="20"/>
          <w:szCs w:val="20"/>
          <w:color w:val="auto"/>
        </w:rPr>
      </w:pPr>
    </w:p>
    <w:p>
      <w:pPr>
        <w:ind w:right="420" w:firstLine="499"/>
        <w:spacing w:after="0" w:line="246" w:lineRule="auto"/>
        <w:rPr>
          <w:sz w:val="20"/>
          <w:szCs w:val="20"/>
          <w:color w:val="auto"/>
        </w:rPr>
      </w:pPr>
      <w:r>
        <w:rPr>
          <w:rFonts w:ascii="Arial" w:cs="Arial" w:eastAsia="Arial" w:hAnsi="Arial"/>
          <w:sz w:val="18"/>
          <w:szCs w:val="18"/>
          <w:color w:val="auto"/>
        </w:rPr>
        <w:t>Finance leases and other financing obligations includes the current portion of finance leases related to the acquisition of computer equipment and short-term insurance premium financing arrangements.</w:t>
      </w:r>
    </w:p>
    <w:p>
      <w:pPr>
        <w:spacing w:after="0" w:line="17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26" w:lineRule="exact"/>
        <w:rPr>
          <w:sz w:val="20"/>
          <w:szCs w:val="20"/>
          <w:color w:val="auto"/>
        </w:rPr>
      </w:pPr>
    </w:p>
    <w:p>
      <w:pPr>
        <w:ind w:right="240" w:firstLine="494"/>
        <w:spacing w:after="0" w:line="241"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2021 Form 10-K.</w:t>
      </w:r>
    </w:p>
    <w:p>
      <w:pPr>
        <w:spacing w:after="0" w:line="108"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For the three and nine months ended September 30, 2022, the Company made $0.2 million and $0.6 million of matching contributions to the 401(k) plan, respectively. The Company did not make any matching contributions to the 401(k) plan for the three and nine months ended September 30,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26" w:lineRule="exact"/>
        <w:rPr>
          <w:sz w:val="20"/>
          <w:szCs w:val="20"/>
          <w:color w:val="auto"/>
        </w:rPr>
      </w:pPr>
    </w:p>
    <w:p>
      <w:pPr>
        <w:jc w:val="both"/>
        <w:ind w:right="120" w:firstLine="494"/>
        <w:spacing w:after="0" w:line="243" w:lineRule="auto"/>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While it is not feasible to predict or determine the ultimate outcome of these matters, the Company believes that none of its current claims and legal proceedings will have a material adverse effect on its financial position, results of operations, or cash flows as of and for the three and nine months ended September 30,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39" w:lineRule="exact"/>
        <w:rPr>
          <w:sz w:val="20"/>
          <w:szCs w:val="20"/>
          <w:color w:val="auto"/>
        </w:rPr>
      </w:pPr>
    </w:p>
    <w:p>
      <w:pPr>
        <w:ind w:right="340" w:firstLine="544"/>
        <w:spacing w:after="0" w:line="246" w:lineRule="auto"/>
        <w:rPr>
          <w:sz w:val="20"/>
          <w:szCs w:val="20"/>
          <w:color w:val="auto"/>
        </w:rPr>
      </w:pPr>
      <w:r>
        <w:rPr>
          <w:rFonts w:ascii="Arial" w:cs="Arial" w:eastAsia="Arial" w:hAnsi="Arial"/>
          <w:sz w:val="18"/>
          <w:szCs w:val="18"/>
          <w:color w:val="auto"/>
        </w:rPr>
        <w:t>There have been no material changes to the Company's related party transactions as previously disclosed in the Company's 2021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6"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The Company’s amended and restated certificate of incorporation authorizes the issuance of 5,000,000 shares of undesignated preferred stock with a par value of $0.0001 per share with rights and preferences, including voting rights, designated from time to time by the board of directors. There were no shares of preferred stock issued or outstanding as of September 30,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The Company has two classes of common stock: Class A common stock and Class B common stock. The Company’s amended and restated certificate of incorporation authorizes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condensed consolidated financial statements, unless otherwise noted. Holders of common stock are entitled to receive any dividends as may be declared from time to time by the board of directors.</w:t>
      </w:r>
    </w:p>
    <w:p>
      <w:pPr>
        <w:spacing w:after="0" w:line="98" w:lineRule="exact"/>
        <w:rPr>
          <w:sz w:val="20"/>
          <w:szCs w:val="20"/>
          <w:color w:val="auto"/>
        </w:rPr>
      </w:pPr>
    </w:p>
    <w:p>
      <w:pPr>
        <w:ind w:right="220" w:firstLine="374"/>
        <w:spacing w:after="0" w:line="243"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39" w:lineRule="exact"/>
        <w:rPr>
          <w:sz w:val="20"/>
          <w:szCs w:val="20"/>
          <w:color w:val="auto"/>
        </w:rPr>
      </w:pPr>
    </w:p>
    <w:p>
      <w:pPr>
        <w:ind w:right="480" w:firstLine="374"/>
        <w:spacing w:after="0"/>
        <w:rPr>
          <w:sz w:val="20"/>
          <w:szCs w:val="20"/>
          <w:color w:val="auto"/>
        </w:rPr>
      </w:pPr>
      <w:r>
        <w:rPr>
          <w:rFonts w:ascii="Arial" w:cs="Arial" w:eastAsia="Arial" w:hAnsi="Arial"/>
          <w:sz w:val="18"/>
          <w:szCs w:val="18"/>
          <w:color w:val="auto"/>
        </w:rPr>
        <w:t>Upon completion of the IPO, the Company used approximately $57.4 million of the net proceeds to redeem all of the issued and outstanding shares of Series A preferred stock (including accrued dividends of $34.4 million). As of September 30, 2022, there were no shares of Series A preferred stock issued and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39" w:lineRule="exact"/>
        <w:rPr>
          <w:sz w:val="20"/>
          <w:szCs w:val="20"/>
          <w:color w:val="auto"/>
        </w:rPr>
      </w:pPr>
    </w:p>
    <w:p>
      <w:pPr>
        <w:ind w:firstLine="449"/>
        <w:spacing w:after="0"/>
        <w:rPr>
          <w:sz w:val="20"/>
          <w:szCs w:val="20"/>
          <w:color w:val="auto"/>
        </w:rPr>
      </w:pPr>
      <w:r>
        <w:rPr>
          <w:rFonts w:ascii="Arial" w:cs="Arial" w:eastAsia="Arial" w:hAnsi="Arial"/>
          <w:sz w:val="18"/>
          <w:szCs w:val="18"/>
          <w:color w:val="auto"/>
        </w:rPr>
        <w:t xml:space="preserve">On May 13, 2021, the Company entered into a warrant agreement with JPMC Strategic Investments I Corporation ("JPMC"), an affiliate of J.P. Morgan Securities LLC, an underwriter in the IPO, pursuant to which the Company issued a warrant to JPMC for up to 509,370 shares of Class A common stock upon completion of the IPO at an exercise price of $18.38 per share. Upon completion of the IPO, 382,027 of the warrant shares had vested and are therefore, exercisable. The vesting of the remaining 127,343 shares of Class A common stock underlying the warrant will be subject to the achievement of certain commercial milestones through December 31, 2025 pursuant to a related commercial agreement with JPMorgan Chase Bank, National Association ("JPM Chase"), an affiliate of JPMC. This commercial agreement was amended in August 2022, and the achievement of certain commercial milestones was extended through December 31, 2026 and minimum revenue commitments were set for each of the calendar years through 2026.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07" w:lineRule="exact"/>
        <w:rPr>
          <w:sz w:val="20"/>
          <w:szCs w:val="20"/>
          <w:color w:val="auto"/>
        </w:rPr>
      </w:pPr>
    </w:p>
    <w:p>
      <w:pPr>
        <w:ind w:right="120" w:firstLine="449"/>
        <w:spacing w:after="0" w:line="239" w:lineRule="auto"/>
        <w:rPr>
          <w:sz w:val="20"/>
          <w:szCs w:val="20"/>
          <w:color w:val="auto"/>
        </w:rPr>
      </w:pPr>
      <w:r>
        <w:rPr>
          <w:rFonts w:ascii="Arial" w:cs="Arial" w:eastAsia="Arial" w:hAnsi="Arial"/>
          <w:sz w:val="18"/>
          <w:szCs w:val="18"/>
          <w:color w:val="auto"/>
        </w:rPr>
        <w:t>On August 29, 2022, the Company entered into a warrant agreement with JPMC, in connection with an amendment to the Company's existing commercial agreement with JPM Chase, pursuant to which the Company issued a warrant to JPMC for up to 684,510 shares of Class A common stock at an exercise price of $10.10 per share. Upon signing of the warrant agreement, 171,128 of the warrant shares had vested and are therefore, exercisable. The vesting of the remaining 513,382 shares of Class A common stock underlying the warrant will be subject to the achievement of certain commercial milestones through December 31, 2026 pursuant to the commercial agreement, as amended. Consistent with classification guidance in ASU Topic 606, the Company accounts for the consideration payable in the form of warrants 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20" w:name="page21"/>
    <w:bookmarkEnd w:id="20"/>
    <w:p>
      <w:pPr>
        <w:ind w:right="940"/>
        <w:spacing w:after="0" w:line="261" w:lineRule="auto"/>
        <w:rPr>
          <w:sz w:val="20"/>
          <w:szCs w:val="20"/>
          <w:color w:val="auto"/>
        </w:rPr>
      </w:pPr>
      <w:r>
        <w:rPr>
          <w:rFonts w:ascii="Arial" w:cs="Arial" w:eastAsia="Arial" w:hAnsi="Arial"/>
          <w:sz w:val="18"/>
          <w:szCs w:val="18"/>
          <w:color w:val="auto"/>
        </w:rPr>
        <w:t xml:space="preserve">a customer as a reduction of the transaction price and, therefore, of revenue as the revenue is earned. The warrant fair value was determined using the Black-Scholes pricing model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76"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During 2021, the Company updated the May 2021 warrant value recognized based on the expectation that the probability of achievement of certain milestones would be achieved. The increase was recorded using the fair value determined at the time of grant multiplied by the estimated number of remaining warrants expected to vest. This increase was recorded as additional paid-in capital and as a contract asset included in prepaid expenses and other current assets and other long-term assets in the condensed consolidated balance sheets. The increase made to the valuation in the three and nine months ended September 30, 2022 was not material.</w:t>
      </w:r>
    </w:p>
    <w:p>
      <w:pPr>
        <w:spacing w:after="0" w:line="108" w:lineRule="exact"/>
        <w:rPr>
          <w:sz w:val="20"/>
          <w:szCs w:val="20"/>
          <w:color w:val="auto"/>
        </w:rPr>
      </w:pPr>
    </w:p>
    <w:p>
      <w:pPr>
        <w:ind w:right="720" w:firstLine="494"/>
        <w:spacing w:after="0" w:line="246" w:lineRule="auto"/>
        <w:rPr>
          <w:sz w:val="20"/>
          <w:szCs w:val="20"/>
          <w:color w:val="auto"/>
        </w:rPr>
      </w:pPr>
      <w:r>
        <w:rPr>
          <w:rFonts w:ascii="Arial" w:cs="Arial" w:eastAsia="Arial" w:hAnsi="Arial"/>
          <w:sz w:val="18"/>
          <w:szCs w:val="18"/>
          <w:color w:val="auto"/>
        </w:rPr>
        <w:t>As of September 30, 2022, an aggregate of 569,072 warrants had vested and were exercisable under the outstanding warrant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6"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In May 2021, the Company’s board of directors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2022, pursuant to the Evergreen Addition, 4,825,566 shares of Class A common stock were added to the 2021 Plan issuance reserve. At September 30, 2022, there were 14,075,898 remaining shares available for the Company to grant under the 2021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A summary of the Company’s option activity during the nine months ended September 30, 2022 was as follows (in thousands, except share and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left="300"/>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left="300"/>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5"/>
                <w:szCs w:val="15"/>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5"/>
                <w:szCs w:val="15"/>
                <w:color w:val="auto"/>
              </w:rPr>
            </w:pPr>
          </w:p>
        </w:tc>
      </w:tr>
      <w:tr>
        <w:trPr>
          <w:trHeight w:val="189"/>
        </w:trPr>
        <w:tc>
          <w:tcPr>
            <w:tcW w:w="4360" w:type="dxa"/>
            <w:vAlign w:val="bottom"/>
          </w:tcPr>
          <w:p>
            <w:pPr>
              <w:spacing w:after="0"/>
              <w:rPr>
                <w:sz w:val="16"/>
                <w:szCs w:val="16"/>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tcPr>
          <w:p>
            <w:pPr>
              <w:jc w:val="center"/>
              <w:ind w:left="30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rPr>
              <w:t xml:space="preserve">Life </w:t>
            </w:r>
            <w:r>
              <w:rPr>
                <w:rFonts w:ascii="Arial" w:cs="Arial" w:eastAsia="Arial" w:hAnsi="Arial"/>
                <w:sz w:val="14"/>
                <w:szCs w:val="14"/>
                <w:b w:val="1"/>
                <w:bCs w:val="1"/>
                <w:i w:val="1"/>
                <w:iCs w:val="1"/>
                <w:color w:val="auto"/>
              </w:rPr>
              <w:t>(years)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6,849,910</w:t>
            </w:r>
          </w:p>
        </w:tc>
        <w:tc>
          <w:tcPr>
            <w:tcW w:w="3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4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5.05</w:t>
            </w: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4.98</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205,010</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exercised</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(2,282,645 )</w:t>
            </w: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0.64</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(210,104 )</w:t>
            </w: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8.66</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4,357,161</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94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7.19</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5.88</w:t>
            </w:r>
          </w:p>
        </w:tc>
        <w:tc>
          <w:tcPr>
            <w:tcW w:w="5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360" w:type="dxa"/>
            <w:vAlign w:val="bottom"/>
          </w:tcPr>
          <w:p>
            <w:pPr>
              <w:ind w:left="20"/>
              <w:spacing w:after="0" w:line="196" w:lineRule="exact"/>
              <w:rPr>
                <w:sz w:val="20"/>
                <w:szCs w:val="20"/>
                <w:color w:val="auto"/>
              </w:rPr>
            </w:pPr>
            <w:r>
              <w:rPr>
                <w:rFonts w:ascii="Arial" w:cs="Arial" w:eastAsia="Arial" w:hAnsi="Arial"/>
                <w:sz w:val="18"/>
                <w:szCs w:val="18"/>
                <w:color w:val="auto"/>
              </w:rPr>
              <w:t>Exercisable at September 30, 2022</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3,294,854</w:t>
            </w:r>
          </w:p>
        </w:tc>
        <w:tc>
          <w:tcPr>
            <w:tcW w:w="300" w:type="dxa"/>
            <w:vAlign w:val="bottom"/>
          </w:tcPr>
          <w:p>
            <w:pPr>
              <w:spacing w:after="0"/>
              <w:rPr>
                <w:sz w:val="17"/>
                <w:szCs w:val="17"/>
                <w:color w:val="auto"/>
              </w:rPr>
            </w:pPr>
          </w:p>
        </w:tc>
        <w:tc>
          <w:tcPr>
            <w:tcW w:w="1140" w:type="dxa"/>
            <w:vAlign w:val="bottom"/>
          </w:tcPr>
          <w:p>
            <w:pPr>
              <w:jc w:val="right"/>
              <w:ind w:right="94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6"/>
              </w:rPr>
              <w:t>6.72</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6"/>
              </w:rPr>
              <w:t>5.61</w:t>
            </w:r>
          </w:p>
        </w:tc>
        <w:tc>
          <w:tcPr>
            <w:tcW w:w="5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9,900</w:t>
            </w:r>
          </w:p>
        </w:tc>
        <w:tc>
          <w:tcPr>
            <w:tcW w:w="10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7683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95" w:lineRule="exact"/>
        <w:rPr>
          <w:sz w:val="20"/>
          <w:szCs w:val="20"/>
          <w:color w:val="auto"/>
        </w:rPr>
      </w:pPr>
    </w:p>
    <w:p>
      <w:pPr>
        <w:ind w:right="100" w:firstLine="499"/>
        <w:spacing w:after="0" w:line="243" w:lineRule="auto"/>
        <w:rPr>
          <w:sz w:val="20"/>
          <w:szCs w:val="20"/>
          <w:color w:val="auto"/>
        </w:rPr>
      </w:pPr>
      <w:r>
        <w:rPr>
          <w:rFonts w:ascii="Arial" w:cs="Arial" w:eastAsia="Arial" w:hAnsi="Arial"/>
          <w:sz w:val="18"/>
          <w:szCs w:val="18"/>
          <w:color w:val="auto"/>
        </w:rPr>
        <w:t>There were no options granted during the three or nine months ended September 30, 2022. There were no options granted during the three months ended September 30, 2021. The weighted average grant date fair value of options granted during the nine months ended September 30, 2021 was $7.21. Aggregate intrinsic value represents the difference between the exercise price of the options and the fair value of the Company’s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200" w:firstLine="494"/>
        <w:spacing w:after="0" w:line="248" w:lineRule="auto"/>
        <w:rPr>
          <w:sz w:val="20"/>
          <w:szCs w:val="20"/>
          <w:color w:val="auto"/>
        </w:rPr>
      </w:pPr>
      <w:r>
        <w:rPr>
          <w:rFonts w:ascii="Arial" w:cs="Arial" w:eastAsia="Arial" w:hAnsi="Arial"/>
          <w:sz w:val="18"/>
          <w:szCs w:val="18"/>
          <w:color w:val="auto"/>
        </w:rPr>
        <w:t>There were no options granted during the three months ended September 30, 2021. The fair value of options granted during the nine months ended September 30, 2021 was estimated using the Black-Scholes option-pricing model with the following weighted-average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560" w:type="dxa"/>
            <w:vAlign w:val="bottom"/>
            <w:gridSpan w:val="2"/>
          </w:tcPr>
          <w:p>
            <w:pPr>
              <w:ind w:left="1320"/>
              <w:spacing w:after="0"/>
              <w:rPr>
                <w:sz w:val="20"/>
                <w:szCs w:val="20"/>
                <w:color w:val="auto"/>
              </w:rPr>
            </w:pPr>
            <w:r>
              <w:rPr>
                <w:rFonts w:ascii="Arial" w:cs="Arial" w:eastAsia="Arial" w:hAnsi="Arial"/>
                <w:sz w:val="14"/>
                <w:szCs w:val="14"/>
                <w:b w:val="1"/>
                <w:bCs w:val="1"/>
                <w:color w:val="FFFFFF"/>
              </w:rPr>
              <w:t>Three Months Ended September</w:t>
            </w:r>
          </w:p>
        </w:tc>
        <w:tc>
          <w:tcPr>
            <w:tcW w:w="24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Nine Months Ended September</w:t>
            </w:r>
          </w:p>
        </w:tc>
      </w:tr>
      <w:tr>
        <w:trPr>
          <w:trHeight w:val="176"/>
        </w:trPr>
        <w:tc>
          <w:tcPr>
            <w:tcW w:w="5060" w:type="dxa"/>
            <w:vAlign w:val="bottom"/>
          </w:tcPr>
          <w:p>
            <w:pPr>
              <w:spacing w:after="0"/>
              <w:rPr>
                <w:sz w:val="15"/>
                <w:szCs w:val="15"/>
                <w:color w:val="auto"/>
              </w:rPr>
            </w:pPr>
          </w:p>
        </w:tc>
        <w:tc>
          <w:tcPr>
            <w:tcW w:w="2840" w:type="dxa"/>
            <w:vAlign w:val="bottom"/>
          </w:tcPr>
          <w:p>
            <w:pPr>
              <w:jc w:val="right"/>
              <w:ind w:right="224"/>
              <w:spacing w:after="0"/>
              <w:rPr>
                <w:sz w:val="20"/>
                <w:szCs w:val="20"/>
                <w:color w:val="auto"/>
              </w:rPr>
            </w:pPr>
            <w:r>
              <w:rPr>
                <w:rFonts w:ascii="Arial" w:cs="Arial" w:eastAsia="Arial" w:hAnsi="Arial"/>
                <w:sz w:val="14"/>
                <w:szCs w:val="14"/>
                <w:b w:val="1"/>
                <w:bCs w:val="1"/>
                <w:color w:val="FFFFFF"/>
              </w:rPr>
              <w:t>30,</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57"/>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5060" w:type="dxa"/>
            <w:vAlign w:val="bottom"/>
          </w:tcPr>
          <w:p>
            <w:pPr>
              <w:spacing w:after="0"/>
              <w:rPr>
                <w:sz w:val="14"/>
                <w:szCs w:val="14"/>
                <w:color w:val="auto"/>
              </w:rPr>
            </w:pPr>
          </w:p>
        </w:tc>
        <w:tc>
          <w:tcPr>
            <w:tcW w:w="2840" w:type="dxa"/>
            <w:vAlign w:val="bottom"/>
          </w:tcPr>
          <w:p>
            <w:pPr>
              <w:jc w:val="right"/>
              <w:ind w:right="164"/>
              <w:spacing w:after="0"/>
              <w:rPr>
                <w:sz w:val="20"/>
                <w:szCs w:val="20"/>
                <w:color w:val="auto"/>
              </w:rPr>
            </w:pPr>
            <w:r>
              <w:rPr>
                <w:rFonts w:ascii="Arial" w:cs="Arial" w:eastAsia="Arial" w:hAnsi="Arial"/>
                <w:sz w:val="14"/>
                <w:szCs w:val="14"/>
                <w:b w:val="1"/>
                <w:bCs w:val="1"/>
                <w:color w:val="FFFFFF"/>
              </w:rPr>
              <w:t>2021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25"/>
        </w:trPr>
        <w:tc>
          <w:tcPr>
            <w:tcW w:w="5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17"/>
        </w:trPr>
        <w:tc>
          <w:tcPr>
            <w:tcW w:w="5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0.3 % - 0.8%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0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38.0 %</w:t>
            </w:r>
          </w:p>
        </w:tc>
      </w:tr>
      <w:tr>
        <w:trPr>
          <w:trHeight w:val="796"/>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 (“RSUs”)</w:t>
            </w: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9640" w:type="dxa"/>
            <w:vAlign w:val="bottom"/>
            <w:gridSpan w:val="6"/>
          </w:tcPr>
          <w:p>
            <w:pPr>
              <w:ind w:left="500"/>
              <w:spacing w:after="0"/>
              <w:rPr>
                <w:sz w:val="20"/>
                <w:szCs w:val="20"/>
                <w:color w:val="auto"/>
              </w:rPr>
            </w:pPr>
            <w:r>
              <w:rPr>
                <w:rFonts w:ascii="Arial" w:cs="Arial" w:eastAsia="Arial" w:hAnsi="Arial"/>
                <w:sz w:val="18"/>
                <w:szCs w:val="18"/>
                <w:color w:val="auto"/>
              </w:rPr>
              <w:t>A summary of the Company’s RSU activity during the nine months ended September 30, 2022 was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50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5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Average</w:t>
            </w:r>
          </w:p>
        </w:tc>
      </w:tr>
      <w:tr>
        <w:trPr>
          <w:trHeight w:val="176"/>
        </w:trPr>
        <w:tc>
          <w:tcPr>
            <w:tcW w:w="5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Grant Date</w:t>
            </w:r>
          </w:p>
        </w:tc>
      </w:tr>
      <w:tr>
        <w:trPr>
          <w:trHeight w:val="189"/>
        </w:trPr>
        <w:tc>
          <w:tcPr>
            <w:tcW w:w="5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7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RSU's Outstanding</w:t>
            </w:r>
          </w:p>
        </w:tc>
        <w:tc>
          <w:tcPr>
            <w:tcW w:w="160" w:type="dxa"/>
            <w:vAlign w:val="bottom"/>
          </w:tcPr>
          <w:p>
            <w:pPr>
              <w:spacing w:after="0"/>
              <w:rPr>
                <w:sz w:val="16"/>
                <w:szCs w:val="16"/>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2021</w:t>
            </w:r>
          </w:p>
        </w:tc>
        <w:tc>
          <w:tcPr>
            <w:tcW w:w="28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513,547</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4320" w:type="dxa"/>
            <w:vAlign w:val="bottom"/>
            <w:gridSpan w:val="4"/>
          </w:tcPr>
          <w:p>
            <w:pPr>
              <w:jc w:val="right"/>
              <w:spacing w:after="0"/>
              <w:rPr>
                <w:sz w:val="20"/>
                <w:szCs w:val="20"/>
                <w:color w:val="auto"/>
              </w:rPr>
            </w:pPr>
            <w:r>
              <w:rPr>
                <w:rFonts w:ascii="Arial" w:cs="Arial" w:eastAsia="Arial" w:hAnsi="Arial"/>
                <w:sz w:val="18"/>
                <w:szCs w:val="18"/>
                <w:color w:val="auto"/>
              </w:rPr>
              <w:t>1,142,491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vested</w:t>
            </w:r>
          </w:p>
        </w:tc>
        <w:tc>
          <w:tcPr>
            <w:tcW w:w="2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(68,096 )</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tcPr>
          <w:p>
            <w:pPr>
              <w:ind w:left="280"/>
              <w:spacing w:after="0"/>
              <w:rPr>
                <w:sz w:val="20"/>
                <w:szCs w:val="20"/>
                <w:color w:val="auto"/>
              </w:rPr>
            </w:pPr>
            <w:r>
              <w:rPr>
                <w:rFonts w:ascii="Arial" w:cs="Arial" w:eastAsia="Arial" w:hAnsi="Arial"/>
                <w:sz w:val="18"/>
                <w:szCs w:val="18"/>
                <w:color w:val="auto"/>
              </w:rPr>
              <w:t>Awards forfeited</w:t>
            </w:r>
          </w:p>
        </w:tc>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(150,076 )</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Awarded and unvested at September 30, 2022</w:t>
            </w:r>
          </w:p>
        </w:tc>
        <w:tc>
          <w:tcPr>
            <w:tcW w:w="28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1,437,866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-2528570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right="180" w:firstLine="494"/>
        <w:spacing w:after="0" w:line="248"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ranges between four years and five years from the date of grant, subject to continued employment for employees and provision of services for nonemployees.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was as follows (in thousands):</w:t>
      </w:r>
    </w:p>
    <w:tbl>
      <w:tblPr>
        <w:tblLayout w:type="fixed"/>
        <w:tblInd w:w="0" w:type="dxa"/>
        <w:tblCellMar>
          <w:top w:w="0" w:type="dxa"/>
          <w:left w:w="0" w:type="dxa"/>
          <w:bottom w:w="0" w:type="dxa"/>
          <w:right w:w="0" w:type="dxa"/>
        </w:tblCellMar>
      </w:tblPr>
      <w:tr>
        <w:trPr>
          <w:trHeight w:val="132"/>
        </w:trPr>
        <w:tc>
          <w:tcPr>
            <w:tcW w:w="6100" w:type="dxa"/>
            <w:vAlign w:val="bottom"/>
          </w:tcPr>
          <w:p>
            <w:pPr>
              <w:spacing w:after="0"/>
              <w:rPr>
                <w:sz w:val="11"/>
                <w:szCs w:val="11"/>
                <w:color w:val="auto"/>
              </w:rPr>
            </w:pPr>
          </w:p>
        </w:tc>
        <w:tc>
          <w:tcPr>
            <w:tcW w:w="2420" w:type="dxa"/>
            <w:vAlign w:val="bottom"/>
            <w:gridSpan w:val="5"/>
          </w:tcPr>
          <w:p>
            <w:pPr>
              <w:jc w:val="center"/>
              <w:spacing w:after="0" w:line="132" w:lineRule="exact"/>
              <w:rPr>
                <w:sz w:val="20"/>
                <w:szCs w:val="20"/>
                <w:color w:val="auto"/>
              </w:rPr>
            </w:pPr>
            <w:r>
              <w:rPr>
                <w:rFonts w:ascii="Arial" w:cs="Arial" w:eastAsia="Arial" w:hAnsi="Arial"/>
                <w:sz w:val="14"/>
                <w:szCs w:val="14"/>
                <w:b w:val="1"/>
                <w:bCs w:val="1"/>
                <w:color w:val="auto"/>
              </w:rPr>
              <w:t>Three Months Ended September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gridSpan w:val="4"/>
          </w:tcPr>
          <w:p>
            <w:pPr>
              <w:jc w:val="center"/>
              <w:ind w:right="73"/>
              <w:spacing w:after="0" w:line="132" w:lineRule="exact"/>
              <w:rPr>
                <w:sz w:val="20"/>
                <w:szCs w:val="20"/>
                <w:color w:val="auto"/>
              </w:rPr>
            </w:pPr>
            <w:r>
              <w:rPr>
                <w:rFonts w:ascii="Arial" w:cs="Arial" w:eastAsia="Arial" w:hAnsi="Arial"/>
                <w:sz w:val="14"/>
                <w:szCs w:val="14"/>
                <w:b w:val="1"/>
                <w:bCs w:val="1"/>
                <w:color w:val="auto"/>
              </w:rPr>
              <w:t>Nine Months Ended September</w:t>
            </w:r>
          </w:p>
        </w:tc>
        <w:tc>
          <w:tcPr>
            <w:tcW w:w="100" w:type="dxa"/>
            <w:vAlign w:val="bottom"/>
          </w:tcPr>
          <w:p>
            <w:pPr>
              <w:spacing w:after="0"/>
              <w:rPr>
                <w:sz w:val="11"/>
                <w:szCs w:val="11"/>
                <w:color w:val="auto"/>
              </w:rPr>
            </w:pPr>
          </w:p>
        </w:tc>
      </w:tr>
      <w:tr>
        <w:trPr>
          <w:trHeight w:val="189"/>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4,622</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5" w:lineRule="exact"/>
        <w:rPr>
          <w:sz w:val="20"/>
          <w:szCs w:val="20"/>
          <w:color w:val="auto"/>
        </w:rPr>
      </w:pPr>
    </w:p>
    <w:p>
      <w:pPr>
        <w:ind w:right="320" w:firstLine="494"/>
        <w:spacing w:after="0" w:line="248" w:lineRule="auto"/>
        <w:rPr>
          <w:sz w:val="20"/>
          <w:szCs w:val="20"/>
          <w:color w:val="auto"/>
        </w:rPr>
      </w:pPr>
      <w:r>
        <w:rPr>
          <w:rFonts w:ascii="Arial" w:cs="Arial" w:eastAsia="Arial" w:hAnsi="Arial"/>
          <w:sz w:val="18"/>
          <w:szCs w:val="18"/>
          <w:color w:val="auto"/>
        </w:rPr>
        <w:t>At September 30, 2022, there was $2.8 million of total unrecognized compensation cost related to unvested stock options granted under the 2012 Equity Incentive Plan and the 2021 Plan, which is expected to be recognized over a remaining weighted-average period of 1.6 years.</w:t>
      </w:r>
    </w:p>
    <w:p>
      <w:pPr>
        <w:spacing w:after="0" w:line="87"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At September 30, 2022, there was $24.3 million of total unrecognized compensation cost related to unvested RSUs granted under the 2021 Plan, which is expected to be recognized over a remaining weighted-average period of 3.7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6" w:lineRule="exact"/>
        <w:rPr>
          <w:sz w:val="20"/>
          <w:szCs w:val="20"/>
          <w:color w:val="auto"/>
        </w:rPr>
      </w:pPr>
    </w:p>
    <w:p>
      <w:pPr>
        <w:ind w:right="100" w:firstLine="494"/>
        <w:spacing w:after="0" w:line="260" w:lineRule="auto"/>
        <w:rPr>
          <w:sz w:val="20"/>
          <w:szCs w:val="20"/>
          <w:color w:val="auto"/>
        </w:rPr>
      </w:pPr>
      <w:r>
        <w:rPr>
          <w:rFonts w:ascii="Arial" w:cs="Arial" w:eastAsia="Arial" w:hAnsi="Arial"/>
          <w:sz w:val="17"/>
          <w:szCs w:val="17"/>
          <w:color w:val="auto"/>
        </w:rPr>
        <w:t>The Company computes its tax provision for interim periods by applying the estimated annual effective tax rate to year-to-date income from recurring operations and adjusting for discrete items arising in that quarter. However, if the Company is unable to make a reliable estimate of its annual effective tax rate, then the actual effective tax rate for the year-to-date period may be the best estimate. For the three and nine months ended September 30, 2021, the Company determined that its annual effective tax rate approach would provide a reliable estimate and therefore used its historical method to calculate its tax provision. However, for the three and nine months ended September 30, 2022, the Company used a discrete effective tax rate method as it was determined that the effective tax rate determined using the forecast of</w:t>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2" w:name="page23"/>
    <w:bookmarkEnd w:id="22"/>
    <w:p>
      <w:pPr>
        <w:ind w:right="60"/>
        <w:spacing w:after="0" w:line="261" w:lineRule="auto"/>
        <w:rPr>
          <w:sz w:val="20"/>
          <w:szCs w:val="20"/>
          <w:color w:val="auto"/>
        </w:rPr>
      </w:pPr>
      <w:r>
        <w:rPr>
          <w:rFonts w:ascii="Arial" w:cs="Arial" w:eastAsia="Arial" w:hAnsi="Arial"/>
          <w:sz w:val="18"/>
          <w:szCs w:val="18"/>
          <w:color w:val="auto"/>
        </w:rPr>
        <w:t>ordinary income or loss does not reasonably estimate the effective tax rate to be applied to year-to-date pre-tax (loss) income, and any small changes would result in significant changes in the estimated annual effective tax rate.</w:t>
      </w:r>
    </w:p>
    <w:p>
      <w:pPr>
        <w:spacing w:after="0" w:line="76"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The Company’s effective tax rate for the three and nine months ended September 30, 2022 is (65.2%) and 62.3%, respectively. For the three and nine months ended September 30, 2021, the effective tax rate was 58.0% and 53.9%, respectively. The difference between the Company’s effective tax rate and the U.S. federal statutory rate of 21% in the above periods was primarily the result of excess tax benefits on stock-based compensation, state taxes, foreign income taxed at different rates and permanent tax adjustments related to nondeductible executive compensation.</w:t>
      </w:r>
    </w:p>
    <w:p>
      <w:pPr>
        <w:spacing w:after="0" w:line="108"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As of September 30, 2022, the Company recognized sizable tax deductions for stock-based compensation. These permanent benefits are creating net operating losses that have resulted in a net deferred tax asset. These permanent tax benefits have also created a cumulative history of losses such that the Company has determined that the resulting net deferred tax asset is not more likely than not to be realized. The Company began recording a valuation allowance during the three months ended June 30, 2022 against its U.S. net deferred tax assets. As of September 30, 2022, the Company's valuation allowance was $6.7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Income per Share Attributable to Common Stock</w:t>
      </w:r>
    </w:p>
    <w:p>
      <w:pPr>
        <w:spacing w:after="0" w:line="126" w:lineRule="exact"/>
        <w:rPr>
          <w:sz w:val="20"/>
          <w:szCs w:val="20"/>
          <w:color w:val="auto"/>
        </w:rPr>
      </w:pPr>
    </w:p>
    <w:p>
      <w:pPr>
        <w:ind w:right="80" w:firstLine="494"/>
        <w:spacing w:after="0" w:line="248" w:lineRule="auto"/>
        <w:rPr>
          <w:sz w:val="20"/>
          <w:szCs w:val="20"/>
          <w:color w:val="auto"/>
        </w:rPr>
      </w:pPr>
      <w:r>
        <w:rPr>
          <w:rFonts w:ascii="Arial" w:cs="Arial" w:eastAsia="Arial" w:hAnsi="Arial"/>
          <w:sz w:val="18"/>
          <w:szCs w:val="18"/>
          <w:color w:val="auto"/>
        </w:rPr>
        <w:t>Basic net (loss) income per share attributable to common stockholders is computed by deducting the undeclared dividends on the Series A preferred stock from net (loss) income to arrive at net (loss) income attributable to common stock and dividing the net (loss) income attributable to common stockholders by the weighted-average number of shares of common stock outstanding during the period.</w:t>
      </w:r>
    </w:p>
    <w:p>
      <w:pPr>
        <w:spacing w:after="0" w:line="87" w:lineRule="exact"/>
        <w:rPr>
          <w:sz w:val="20"/>
          <w:szCs w:val="20"/>
          <w:color w:val="auto"/>
        </w:rPr>
      </w:pPr>
    </w:p>
    <w:p>
      <w:pPr>
        <w:ind w:right="200" w:firstLine="494"/>
        <w:spacing w:after="0" w:line="243" w:lineRule="auto"/>
        <w:rPr>
          <w:sz w:val="20"/>
          <w:szCs w:val="20"/>
          <w:color w:val="auto"/>
        </w:rPr>
      </w:pPr>
      <w:r>
        <w:rPr>
          <w:rFonts w:ascii="Arial" w:cs="Arial" w:eastAsia="Arial" w:hAnsi="Arial"/>
          <w:sz w:val="18"/>
          <w:szCs w:val="18"/>
          <w:color w:val="auto"/>
        </w:rPr>
        <w:t>Diluted net (loss) income per share attributable to common stock is computed by giving effect to all potentially dilutive common stock equivalents to the extent they are dilutive. The dilutive effect of outstanding options, RSUs and warrants is reflected in diluted net (loss) income per share attributable to common stock by application of the treasury stock method. The calculation of diluted net (loss) income per share attributable to common stock excludes all anti-dilutive common shares.</w:t>
      </w:r>
    </w:p>
    <w:p>
      <w:pPr>
        <w:spacing w:after="0" w:line="107"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(loss) income per share attributable to common stockholders are, therefore, the same for both Class A and Class B common stock on both an individual and combined basis.</w:t>
      </w:r>
    </w:p>
    <w:p>
      <w:pPr>
        <w:spacing w:after="0" w:line="93" w:lineRule="exact"/>
        <w:rPr>
          <w:sz w:val="20"/>
          <w:szCs w:val="20"/>
          <w:color w:val="auto"/>
        </w:rPr>
      </w:pPr>
    </w:p>
    <w:p>
      <w:pPr>
        <w:ind w:right="680" w:firstLine="494"/>
        <w:spacing w:after="0" w:line="246" w:lineRule="auto"/>
        <w:rPr>
          <w:sz w:val="20"/>
          <w:szCs w:val="20"/>
          <w:color w:val="auto"/>
        </w:rPr>
      </w:pPr>
      <w:r>
        <w:rPr>
          <w:rFonts w:ascii="Arial" w:cs="Arial" w:eastAsia="Arial" w:hAnsi="Arial"/>
          <w:sz w:val="18"/>
          <w:szCs w:val="18"/>
          <w:color w:val="auto"/>
        </w:rPr>
        <w:t>The following table sets forth the computation of basic and diluted net (loss) income per share attributable to common stock (in thousands except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42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(737 )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4,635</w:t>
            </w:r>
          </w:p>
        </w:tc>
        <w:tc>
          <w:tcPr>
            <w:tcW w:w="200" w:type="dxa"/>
            <w:vAlign w:val="bottom"/>
          </w:tcPr>
          <w:p>
            <w:pPr>
              <w:spacing w:after="0"/>
              <w:rPr>
                <w:sz w:val="18"/>
                <w:szCs w:val="18"/>
                <w:color w:val="auto"/>
              </w:rPr>
            </w:pPr>
          </w:p>
        </w:tc>
      </w:tr>
      <w:tr>
        <w:trPr>
          <w:trHeight w:val="216"/>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Undeclared dividends on Series A preferred stock</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(2,258 )</w:t>
            </w:r>
          </w:p>
        </w:tc>
      </w:tr>
      <w:tr>
        <w:trPr>
          <w:trHeight w:val="20"/>
        </w:trPr>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542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(737 )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w:t>
            </w:r>
          </w:p>
        </w:tc>
        <w:tc>
          <w:tcPr>
            <w:tcW w:w="2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6"/>
        </w:trPr>
        <w:tc>
          <w:tcPr>
            <w:tcW w:w="542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 basic</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122,740,982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118,206,073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121,765,509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110,272,583</w:t>
            </w:r>
          </w:p>
        </w:tc>
        <w:tc>
          <w:tcPr>
            <w:tcW w:w="200" w:type="dxa"/>
            <w:vAlign w:val="bottom"/>
          </w:tcPr>
          <w:p>
            <w:pPr>
              <w:spacing w:after="0"/>
              <w:rPr>
                <w:sz w:val="18"/>
                <w:szCs w:val="18"/>
                <w:color w:val="auto"/>
              </w:rPr>
            </w:pPr>
          </w:p>
        </w:tc>
      </w:tr>
      <w:tr>
        <w:trPr>
          <w:trHeight w:val="216"/>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stock options to purchase common stock</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6,076,424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6,077,748</w:t>
            </w:r>
          </w:p>
        </w:tc>
        <w:tc>
          <w:tcPr>
            <w:tcW w:w="200" w:type="dxa"/>
            <w:vAlign w:val="bottom"/>
            <w:shd w:val="clear" w:color="auto" w:fill="CFF0FC"/>
          </w:tcPr>
          <w:p>
            <w:pPr>
              <w:spacing w:after="0"/>
              <w:rPr>
                <w:sz w:val="18"/>
                <w:szCs w:val="18"/>
                <w:color w:val="auto"/>
              </w:rPr>
            </w:pPr>
          </w:p>
        </w:tc>
      </w:tr>
      <w:tr>
        <w:trPr>
          <w:trHeight w:val="216"/>
        </w:trPr>
        <w:tc>
          <w:tcPr>
            <w:tcW w:w="5420" w:type="dxa"/>
            <w:vAlign w:val="bottom"/>
          </w:tcPr>
          <w:p>
            <w:pPr>
              <w:ind w:left="280"/>
              <w:spacing w:after="0"/>
              <w:rPr>
                <w:sz w:val="20"/>
                <w:szCs w:val="20"/>
                <w:color w:val="auto"/>
              </w:rPr>
            </w:pPr>
            <w:r>
              <w:rPr>
                <w:rFonts w:ascii="Arial" w:cs="Arial" w:eastAsia="Arial" w:hAnsi="Arial"/>
                <w:sz w:val="18"/>
                <w:szCs w:val="18"/>
                <w:color w:val="auto"/>
              </w:rPr>
              <w:t>Dilutive effect of RSUs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4,398</w:t>
            </w:r>
          </w:p>
        </w:tc>
        <w:tc>
          <w:tcPr>
            <w:tcW w:w="200" w:type="dxa"/>
            <w:vAlign w:val="bottom"/>
          </w:tcPr>
          <w:p>
            <w:pPr>
              <w:spacing w:after="0"/>
              <w:rPr>
                <w:sz w:val="18"/>
                <w:szCs w:val="18"/>
                <w:color w:val="auto"/>
              </w:rPr>
            </w:pPr>
          </w:p>
        </w:tc>
      </w:tr>
      <w:tr>
        <w:trPr>
          <w:trHeight w:val="216"/>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warrants</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64,945</w:t>
            </w:r>
          </w:p>
        </w:tc>
        <w:tc>
          <w:tcPr>
            <w:tcW w:w="200" w:type="dxa"/>
            <w:vAlign w:val="bottom"/>
            <w:shd w:val="clear" w:color="auto" w:fill="CFF0FC"/>
          </w:tcPr>
          <w:p>
            <w:pPr>
              <w:spacing w:after="0"/>
              <w:rPr>
                <w:sz w:val="18"/>
                <w:szCs w:val="18"/>
                <w:color w:val="auto"/>
              </w:rPr>
            </w:pPr>
          </w:p>
        </w:tc>
      </w:tr>
      <w:tr>
        <w:trPr>
          <w:trHeight w:val="210"/>
        </w:trPr>
        <w:tc>
          <w:tcPr>
            <w:tcW w:w="54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Weighted-average shares of common stock - diluted</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122,740,982</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124,427,777</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121,765,509</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116,419,674</w:t>
            </w:r>
          </w:p>
        </w:tc>
        <w:tc>
          <w:tcPr>
            <w:tcW w:w="200" w:type="dxa"/>
            <w:vAlign w:val="bottom"/>
            <w:tcBorders>
              <w:top w:val="single" w:sz="8" w:color="CFF0FC"/>
            </w:tcBorders>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income per share attributable to common stock</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6"/>
        </w:trPr>
        <w:tc>
          <w:tcPr>
            <w:tcW w:w="5420" w:type="dxa"/>
            <w:vAlign w:val="bottom"/>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r>
      <w:tr>
        <w:trPr>
          <w:trHeight w:val="216"/>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18"/>
                <w:szCs w:val="18"/>
                <w:color w:val="auto"/>
              </w:rPr>
            </w:pPr>
          </w:p>
        </w:tc>
      </w:tr>
      <w:tr>
        <w:trPr>
          <w:trHeight w:val="540"/>
        </w:trPr>
        <w:tc>
          <w:tcPr>
            <w:tcW w:w="5420" w:type="dxa"/>
            <w:vAlign w:val="bottom"/>
          </w:tcPr>
          <w:p>
            <w:pPr>
              <w:spacing w:after="0"/>
              <w:rPr>
                <w:sz w:val="24"/>
                <w:szCs w:val="24"/>
                <w:color w:val="auto"/>
              </w:rPr>
            </w:pPr>
          </w:p>
        </w:tc>
        <w:tc>
          <w:tcPr>
            <w:tcW w:w="1240" w:type="dxa"/>
            <w:vAlign w:val="bottom"/>
            <w:gridSpan w:val="2"/>
          </w:tcPr>
          <w:p>
            <w:pPr>
              <w:jc w:val="right"/>
              <w:ind w:right="853"/>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8"/>
        </w:trPr>
        <w:tc>
          <w:tcPr>
            <w:tcW w:w="54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-1851025</wp:posOffset>
            </wp:positionV>
            <wp:extent cx="7747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-1851025</wp:posOffset>
            </wp:positionV>
            <wp:extent cx="7683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-1851025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-1851025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-993775</wp:posOffset>
            </wp:positionV>
            <wp:extent cx="7747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-993775</wp:posOffset>
            </wp:positionV>
            <wp:extent cx="7683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-993775</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-993775</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140" w:firstLine="494"/>
        <w:spacing w:after="0" w:line="261" w:lineRule="auto"/>
        <w:rPr>
          <w:sz w:val="20"/>
          <w:szCs w:val="20"/>
          <w:color w:val="auto"/>
        </w:rPr>
      </w:pPr>
      <w:r>
        <w:rPr>
          <w:rFonts w:ascii="Arial" w:cs="Arial" w:eastAsia="Arial" w:hAnsi="Arial"/>
          <w:sz w:val="18"/>
          <w:szCs w:val="18"/>
          <w:color w:val="auto"/>
        </w:rPr>
        <w:t>The following table summarizes the securities that were excluded from the computation of diluted net income per share attributable to common stock as their inclusion would have been antidilutive: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4,705,323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5,693,398</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RSUs</w:t>
            </w:r>
          </w:p>
        </w:tc>
        <w:tc>
          <w:tcPr>
            <w:tcW w:w="1140" w:type="dxa"/>
            <w:vAlign w:val="bottom"/>
          </w:tcPr>
          <w:p>
            <w:pPr>
              <w:jc w:val="right"/>
              <w:spacing w:after="0"/>
              <w:rPr>
                <w:sz w:val="20"/>
                <w:szCs w:val="20"/>
                <w:color w:val="auto"/>
              </w:rPr>
            </w:pPr>
            <w:r>
              <w:rPr>
                <w:rFonts w:ascii="Arial" w:cs="Arial" w:eastAsia="Arial" w:hAnsi="Arial"/>
                <w:sz w:val="18"/>
                <w:szCs w:val="18"/>
                <w:color w:val="auto"/>
              </w:rPr>
              <w:t>1,396,810</w:t>
            </w:r>
          </w:p>
        </w:tc>
        <w:tc>
          <w:tcPr>
            <w:tcW w:w="24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860,848</w:t>
            </w:r>
          </w:p>
        </w:tc>
        <w:tc>
          <w:tcPr>
            <w:tcW w:w="22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428,803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418,630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5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125,655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99,544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357,088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281,309</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18"/>
                <w:szCs w:val="18"/>
                <w:color w:val="auto"/>
              </w:rPr>
            </w:pP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128,152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364,825</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comprising property and equipment assets, by geographic area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6"/>
                <w:szCs w:val="16"/>
                <w:color w:val="auto"/>
              </w:rPr>
            </w:pPr>
          </w:p>
        </w:tc>
      </w:tr>
      <w:tr>
        <w:trPr>
          <w:trHeight w:val="196"/>
        </w:trPr>
        <w:tc>
          <w:tcPr>
            <w:tcW w:w="7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80" w:type="dxa"/>
            <w:vAlign w:val="bottom"/>
            <w:gridSpan w:val="2"/>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100" w:firstLine="494"/>
        <w:spacing w:after="0" w:line="242"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1,700 biller business and financial institution clients. Our platform was used by approximately 21 million consumers and businesses in North America in December 2021 to pay their bills, make money movements and engage with our clients. We serve billers of all sizes that primarily provide non-discretionary services across a variety of industry verticals, including utilities, financial services, insurance, government, telecommunications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93"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108"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140" w:firstLine="494"/>
        <w:spacing w:after="0" w:line="245" w:lineRule="auto"/>
        <w:rPr>
          <w:sz w:val="20"/>
          <w:szCs w:val="20"/>
          <w:color w:val="auto"/>
        </w:rPr>
      </w:pPr>
      <w:r>
        <w:rPr>
          <w:rFonts w:ascii="Arial" w:cs="Arial" w:eastAsia="Arial" w:hAnsi="Arial"/>
          <w:sz w:val="18"/>
          <w:szCs w:val="18"/>
          <w:color w:val="auto"/>
        </w:rPr>
        <w:t>We believe 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generally allows us to provide integration, implementation, maintenance and system upgrades at no additional cost to billers.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Economic and Inflationary Trends</w:t>
      </w:r>
    </w:p>
    <w:p>
      <w:pPr>
        <w:spacing w:after="0" w:line="126" w:lineRule="exact"/>
        <w:rPr>
          <w:sz w:val="20"/>
          <w:szCs w:val="20"/>
          <w:color w:val="auto"/>
        </w:rPr>
      </w:pPr>
    </w:p>
    <w:p>
      <w:pPr>
        <w:ind w:right="20" w:firstLine="544"/>
        <w:spacing w:after="0"/>
        <w:rPr>
          <w:sz w:val="20"/>
          <w:szCs w:val="20"/>
          <w:color w:val="auto"/>
        </w:rPr>
      </w:pPr>
      <w:r>
        <w:rPr>
          <w:rFonts w:ascii="Arial" w:cs="Arial" w:eastAsia="Arial" w:hAnsi="Arial"/>
          <w:sz w:val="18"/>
          <w:szCs w:val="18"/>
          <w:color w:val="auto"/>
        </w:rPr>
        <w:t>In 2022, the United States economy has experienced inflationary conditions, increased interest rates and two consecutive quarters of decreased gross domestic product. While we believe our business is resilient and can generally weather unusual levels of inflation, the economic uncertainty and continuing inflationary pressures, which has been particularly acute in the utility sector, have had some impact on our expected 2022 financial performance and will likely have some impact on our 2023 performance. For example, some of our clients have deferred anticipated 2022 implementations into 2023 or are reevaluating the development of technology resources, which will delay expected revenue recognition. Furthermore, inflationary pressure is resulting in higher average bills, particularly in the utility sector, and increased interchange fees. While we are seeking to adjust our prices to address the inflationary pressures, our ability to do so typically lags behind the impact of inflation on our clients, the increase in average bill amounts and increased interchange fees. We intend to continue to manage through this uncertain economic environment by working closely with clients on implementations and price adjustments. In addition, although we are focused on prudent expense management, we are seeing ongoing wage pressure in our current workforce due to the levels of inflation, which is also putting some short-term pressure on our EBITDA margins.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w:t>
      </w:r>
    </w:p>
    <w:p>
      <w:pPr>
        <w:spacing w:after="0" w:line="126"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The COVID-19 pandemic, including its variants, and efforts to control its spread have at times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magnitude and duration of the COVID-19 pandemic and the magnitude and duration of its effect on business activity cannot be predicted with any certainty.</w:t>
      </w:r>
    </w:p>
    <w:p>
      <w:pPr>
        <w:spacing w:after="0" w:line="108"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or maintain significant operations, which policies and restrictions have at times required our employees to work remotely. Even though many of the shelter-in-place policies or other governmental restrictions have been lifted, we are taking, and expect to continue to take, a measured and careful approach to having employees return to offices and travel for business. To the extent our employees are required to work from our offices, we may experience turnover from employees unwilling to return to the office.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delaying potential revenue recognition and potentially inhibiting future growth.</w:t>
      </w:r>
    </w:p>
    <w:p>
      <w:pPr>
        <w:spacing w:after="0" w:line="112"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93" w:lineRule="exact"/>
        <w:rPr>
          <w:sz w:val="20"/>
          <w:szCs w:val="20"/>
          <w:color w:val="auto"/>
        </w:rPr>
      </w:pPr>
    </w:p>
    <w:p>
      <w:pPr>
        <w:ind w:right="20" w:firstLine="494"/>
        <w:spacing w:after="0" w:line="246" w:lineRule="auto"/>
        <w:rPr>
          <w:sz w:val="20"/>
          <w:szCs w:val="20"/>
          <w:color w:val="auto"/>
        </w:rPr>
      </w:pPr>
      <w:r>
        <w:rPr>
          <w:rFonts w:ascii="Arial" w:cs="Arial" w:eastAsia="Arial" w:hAnsi="Arial"/>
          <w:sz w:val="18"/>
          <w:szCs w:val="18"/>
          <w:color w:val="auto"/>
        </w:rPr>
        <w:t>We will continue to evaluate the nature and extent of the COVID-19 pandemic’s potential impact on our business,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100" w:firstLine="494"/>
        <w:spacing w:after="0" w:line="241"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60" w:firstLine="494"/>
        <w:spacing w:after="0" w:line="243" w:lineRule="auto"/>
        <w:rPr>
          <w:sz w:val="20"/>
          <w:szCs w:val="20"/>
          <w:color w:val="auto"/>
        </w:rPr>
      </w:pPr>
      <w:r>
        <w:rPr>
          <w:rFonts w:ascii="Arial" w:cs="Arial" w:eastAsia="Arial" w:hAnsi="Arial"/>
          <w:sz w:val="18"/>
          <w:szCs w:val="18"/>
          <w:color w:val="auto"/>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but it may fluctuate as a percentage of revenue from period to period, as our transaction mix changes and we continue to invest in growing our business across all geographical segments, including through the acquisition of other businesses.</w:t>
      </w:r>
    </w:p>
    <w:p>
      <w:pPr>
        <w:spacing w:after="0" w:line="92"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w:t>
      </w:r>
    </w:p>
    <w:p>
      <w:pPr>
        <w:spacing w:after="0" w:line="108" w:lineRule="exact"/>
        <w:rPr>
          <w:sz w:val="20"/>
          <w:szCs w:val="20"/>
          <w:color w:val="auto"/>
        </w:rPr>
      </w:pPr>
    </w:p>
    <w:p>
      <w:pPr>
        <w:jc w:val="both"/>
        <w:ind w:right="220" w:firstLine="494"/>
        <w:spacing w:after="0"/>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and transactions through our IPN.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35" w:lineRule="exact"/>
        <w:rPr>
          <w:sz w:val="20"/>
          <w:szCs w:val="20"/>
          <w:color w:val="auto"/>
        </w:rPr>
      </w:pPr>
    </w:p>
    <w:p>
      <w:pPr>
        <w:ind w:right="80" w:firstLine="494"/>
        <w:spacing w:after="0" w:line="241" w:lineRule="auto"/>
        <w:rPr>
          <w:sz w:val="20"/>
          <w:szCs w:val="20"/>
          <w:color w:val="auto"/>
        </w:rPr>
      </w:pPr>
      <w:r>
        <w:rPr>
          <w:rFonts w:ascii="Arial" w:cs="Arial" w:eastAsia="Arial" w:hAnsi="Arial"/>
          <w:sz w:val="18"/>
          <w:szCs w:val="18"/>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 of other businesses. We expect our sales and marketing expenses to increase in absolute dollars, but they may fluctuate as a percentage of revenue from period to period.</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and other corporate expenses. We expect to incur additional general and administrative expenses as a result of operating as a public company, and to support the growth in our business. We expect that 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Affecting Our Performance</w:t>
      </w:r>
    </w:p>
    <w:p>
      <w:pPr>
        <w:spacing w:after="0" w:line="126"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2021 or the “2021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26" w:lineRule="exact"/>
        <w:rPr>
          <w:sz w:val="20"/>
          <w:szCs w:val="20"/>
          <w:color w:val="auto"/>
        </w:rPr>
      </w:pPr>
    </w:p>
    <w:p>
      <w:pPr>
        <w:ind w:right="200" w:firstLine="494"/>
        <w:spacing w:after="0" w:line="243"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Acquiring New and Maintaining Existing Billers and Financial Institutions</w:t>
      </w:r>
    </w:p>
    <w:p>
      <w:pPr>
        <w:spacing w:after="0" w:line="139"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Our future growth depends on the continued adoption of our platform by new billers and financial institutions, as well as maintaining our existing billers and financial institutions. We intend to continue investing in our efficient go-to-market strategies, increasing brand awareness and driving adoption of our platform and products. We had more than 1,700 billers and financial institution clients as of December 31, 2021, including billers of all sizes and across numerous vertical markets and financial institutions of all sizes. Our ability to attract new, and maintain existing, billers and financial institutions and drive adoption of our platform will depend on a number of factors, including the effectiveness and pricing of our products, offerings of our competitors and the effectiveness of our marketing efforts. Our growth and performance also depends on our ability to promptly implement and begin recognizing revenues from our new billers and financial institutions.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 and Financial Institutions</w:t>
      </w:r>
    </w:p>
    <w:p>
      <w:pPr>
        <w:spacing w:after="0" w:line="126"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26"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26"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financial institutions, partners and consumers. Given the nature of our biller, financial institution and partner base, our investment in sales and marketing in a given period may not impact results until subsequent periods. We approach sales and marketing spend strategically to maintain efficient biller and partner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26" w:lineRule="exact"/>
        <w:rPr>
          <w:sz w:val="20"/>
          <w:szCs w:val="20"/>
          <w:color w:val="auto"/>
        </w:rPr>
      </w:pPr>
    </w:p>
    <w:p>
      <w:pPr>
        <w:ind w:right="120" w:firstLine="494"/>
        <w:spacing w:after="0" w:line="243" w:lineRule="auto"/>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intend to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39" w:lineRule="exact"/>
        <w:rPr>
          <w:sz w:val="20"/>
          <w:szCs w:val="20"/>
          <w:color w:val="auto"/>
        </w:rPr>
      </w:pPr>
    </w:p>
    <w:p>
      <w:pPr>
        <w:ind w:right="120" w:firstLine="494"/>
        <w:spacing w:after="0" w:line="262" w:lineRule="auto"/>
        <w:rPr>
          <w:sz w:val="20"/>
          <w:szCs w:val="20"/>
          <w:color w:val="auto"/>
        </w:rPr>
      </w:pPr>
      <w:r>
        <w:rPr>
          <w:rFonts w:ascii="Arial" w:cs="Arial" w:eastAsia="Arial" w:hAnsi="Arial"/>
          <w:sz w:val="17"/>
          <w:szCs w:val="17"/>
          <w:color w:val="auto"/>
        </w:rPr>
        <w:t>We use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2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31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6"/>
                <w:szCs w:val="16"/>
                <w:color w:val="auto"/>
              </w:rPr>
            </w:pPr>
          </w:p>
        </w:tc>
      </w:tr>
      <w:tr>
        <w:trPr>
          <w:trHeight w:val="196"/>
        </w:trPr>
        <w:tc>
          <w:tcPr>
            <w:tcW w:w="4580" w:type="dxa"/>
            <w:vAlign w:val="bottom"/>
          </w:tcPr>
          <w:p>
            <w:pPr>
              <w:spacing w:after="0"/>
              <w:rPr>
                <w:sz w:val="17"/>
                <w:szCs w:val="17"/>
                <w:color w:val="auto"/>
              </w:rPr>
            </w:pPr>
          </w:p>
        </w:tc>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Growth</w:t>
            </w:r>
          </w:p>
        </w:tc>
        <w:tc>
          <w:tcPr>
            <w:tcW w:w="160" w:type="dxa"/>
            <w:vAlign w:val="bottom"/>
          </w:tcPr>
          <w:p>
            <w:pPr>
              <w:spacing w:after="0"/>
              <w:rPr>
                <w:sz w:val="17"/>
                <w:szCs w:val="17"/>
                <w:color w:val="auto"/>
              </w:rPr>
            </w:pPr>
          </w:p>
        </w:tc>
      </w:tr>
      <w:tr>
        <w:trPr>
          <w:trHeight w:val="209"/>
        </w:trPr>
        <w:tc>
          <w:tcPr>
            <w:tcW w:w="4580" w:type="dxa"/>
            <w:vAlign w:val="bottom"/>
          </w:tcPr>
          <w:p>
            <w:pPr>
              <w:spacing w:after="0"/>
              <w:rPr>
                <w:sz w:val="18"/>
                <w:szCs w:val="18"/>
                <w:color w:val="auto"/>
              </w:rPr>
            </w:pPr>
          </w:p>
        </w:tc>
        <w:tc>
          <w:tcPr>
            <w:tcW w:w="194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8"/>
                <w:szCs w:val="18"/>
                <w:color w:val="auto"/>
              </w:rPr>
              <w:t>Transactions processed</w:t>
            </w:r>
          </w:p>
        </w:tc>
        <w:tc>
          <w:tcPr>
            <w:tcW w:w="840" w:type="dxa"/>
            <w:vAlign w:val="bottom"/>
          </w:tcPr>
          <w:p>
            <w:pPr>
              <w:jc w:val="right"/>
              <w:spacing w:after="0"/>
              <w:rPr>
                <w:sz w:val="20"/>
                <w:szCs w:val="20"/>
                <w:color w:val="auto"/>
              </w:rPr>
            </w:pPr>
            <w:r>
              <w:rPr>
                <w:rFonts w:ascii="Arial" w:cs="Arial" w:eastAsia="Arial" w:hAnsi="Arial"/>
                <w:sz w:val="18"/>
                <w:szCs w:val="18"/>
                <w:color w:val="auto"/>
              </w:rPr>
              <w:t>92.2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30.6 %</w:t>
            </w:r>
          </w:p>
        </w:tc>
        <w:tc>
          <w:tcPr>
            <w:tcW w:w="820" w:type="dxa"/>
            <w:vAlign w:val="bottom"/>
          </w:tcPr>
          <w:p>
            <w:pPr>
              <w:jc w:val="right"/>
              <w:spacing w:after="0"/>
              <w:rPr>
                <w:sz w:val="20"/>
                <w:szCs w:val="20"/>
                <w:color w:val="auto"/>
              </w:rPr>
            </w:pPr>
            <w:r>
              <w:rPr>
                <w:rFonts w:ascii="Arial" w:cs="Arial" w:eastAsia="Arial" w:hAnsi="Arial"/>
                <w:sz w:val="18"/>
                <w:szCs w:val="18"/>
                <w:color w:val="auto"/>
              </w:rPr>
              <w:t>269.6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7" w:lineRule="exact"/>
        <w:rPr>
          <w:sz w:val="20"/>
          <w:szCs w:val="20"/>
          <w:color w:val="auto"/>
        </w:rPr>
      </w:pPr>
    </w:p>
    <w:p>
      <w:pPr>
        <w:ind w:right="260" w:firstLine="494"/>
        <w:spacing w:after="0"/>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w:t>
      </w:r>
    </w:p>
    <w:p>
      <w:pPr>
        <w:spacing w:after="0" w:line="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27" w:right="279" w:bottom="1440" w:gutter="0" w:footer="0" w:header="0"/>
        </w:sectPr>
      </w:pPr>
    </w:p>
    <w:bookmarkStart w:id="27" w:name="page28"/>
    <w:bookmarkEnd w:id="27"/>
    <w:p>
      <w:pPr>
        <w:ind w:right="160"/>
        <w:spacing w:after="0" w:line="243" w:lineRule="auto"/>
        <w:rPr>
          <w:sz w:val="20"/>
          <w:szCs w:val="20"/>
          <w:color w:val="auto"/>
        </w:rPr>
      </w:pPr>
      <w:r>
        <w:rPr>
          <w:rFonts w:ascii="Arial" w:cs="Arial" w:eastAsia="Arial" w:hAnsi="Arial"/>
          <w:sz w:val="18"/>
          <w:szCs w:val="18"/>
          <w:color w:val="auto"/>
        </w:rPr>
        <w:t>account-to-account and person-to-person transfers. The number of transactions processed during the three and nine months ended September 30, 2022 increased approximately 30.6% and 36.7%, respectively, as compared to the same periods in 2021. The increase was primarily driven by the addition of new billers and financial institutions and increased transactions from our existing billers and financial institutions.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26" w:lineRule="exact"/>
        <w:rPr>
          <w:sz w:val="20"/>
          <w:szCs w:val="20"/>
          <w:color w:val="auto"/>
        </w:rPr>
      </w:pPr>
    </w:p>
    <w:p>
      <w:pPr>
        <w:jc w:val="both"/>
        <w:ind w:right="380" w:firstLine="494"/>
        <w:spacing w:after="0" w:line="248"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122" w:lineRule="exact"/>
        <w:rPr>
          <w:sz w:val="20"/>
          <w:szCs w:val="20"/>
          <w:color w:val="auto"/>
        </w:rPr>
      </w:pPr>
    </w:p>
    <w:p>
      <w:pPr>
        <w:ind w:right="900" w:firstLine="494"/>
        <w:spacing w:after="0" w:line="246"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35" w:lineRule="exact"/>
        <w:rPr>
          <w:sz w:val="20"/>
          <w:szCs w:val="20"/>
          <w:color w:val="auto"/>
        </w:rPr>
      </w:pPr>
    </w:p>
    <w:p>
      <w:pPr>
        <w:ind w:right="300" w:firstLine="494"/>
        <w:spacing w:after="0" w:line="243" w:lineRule="auto"/>
        <w:rPr>
          <w:sz w:val="20"/>
          <w:szCs w:val="20"/>
          <w:color w:val="auto"/>
        </w:rPr>
      </w:pPr>
      <w:r>
        <w:rPr>
          <w:rFonts w:ascii="Arial" w:cs="Arial" w:eastAsia="Arial" w:hAnsi="Arial"/>
          <w:sz w:val="18"/>
          <w:szCs w:val="18"/>
          <w:color w:val="auto"/>
        </w:rPr>
        <w:t>We calculate adjusted EBITDA as net income before other income (expense) (which consists of interest income (expense), net and foreign exchange gain (loss)), depreciation and amortization, income taxes, adjusted to exclude the effects of stock-based compensation expense and certain nonrecurring expenses that management believes are not indicative of ongoing operations, consisting primarily of professional fees and other indirect charges associated with our IPO.</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122" w:lineRule="exact"/>
        <w:rPr>
          <w:sz w:val="20"/>
          <w:szCs w:val="20"/>
          <w:color w:val="auto"/>
        </w:rPr>
      </w:pPr>
    </w:p>
    <w:p>
      <w:pPr>
        <w:ind w:right="840" w:firstLine="494"/>
        <w:spacing w:after="0" w:line="26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and software and capitalized internal-use software development costs.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How we use Non-GAAP Measures</w:t>
      </w:r>
    </w:p>
    <w:p>
      <w:pPr>
        <w:spacing w:after="0" w:line="12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113"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5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37,857</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64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108,539</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Plus: other cost of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25,563</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Contribution profit</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147,243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80" w:firstLine="494"/>
        <w:spacing w:after="0" w:line="241"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including client size, type and industry as well as whether the client is a biller, financial institution or other partner. Contribution profit for the three and nine months ended September 30, 2022 increased approximately 26.0% and 30.1%, respectively, as compared to the same periods in 2021. The increase was primarily driven by the addition of new billers and financial institutions and increased transactions from our existing billers and financial institutions. For the three and nine months ended September 30, 2022, contribution profit increased at a slower rate than transactions due to a continued mix shift to larger, high volume clients.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5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37,857</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6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108,539</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41,043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32,562</w:t>
            </w:r>
          </w:p>
        </w:tc>
        <w:tc>
          <w:tcPr>
            <w:tcW w:w="6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117,114</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91,249</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7747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87" w:lineRule="exact"/>
        <w:rPr>
          <w:sz w:val="20"/>
          <w:szCs w:val="20"/>
          <w:color w:val="auto"/>
        </w:rPr>
      </w:pPr>
    </w:p>
    <w:p>
      <w:pPr>
        <w:ind w:right="200" w:firstLine="494"/>
        <w:spacing w:after="0" w:line="243" w:lineRule="auto"/>
        <w:rPr>
          <w:sz w:val="20"/>
          <w:szCs w:val="20"/>
          <w:color w:val="auto"/>
        </w:rPr>
      </w:pPr>
      <w:r>
        <w:rPr>
          <w:rFonts w:ascii="Arial" w:cs="Arial" w:eastAsia="Arial" w:hAnsi="Arial"/>
          <w:sz w:val="18"/>
          <w:szCs w:val="18"/>
          <w:color w:val="auto"/>
        </w:rPr>
        <w:t>Adjusted gross profit for the three and nine months ended September 30, 2022 increased approximately 26.0% and 28.3%, respectively, as compared to the same periods in 2021. Adjusted gross profit is driven primarily by the same factors that impact gross profit with the exception of excluding the amortization in cost of revenue. The percentage increase in adjusted gross profit is lower than the percentage increase in contribution profit due to additional other cost of revenue recorded related to the PayVeris, LLC or Payveris, and Finovera, Inc., or Finovera, acquisitions. The increase in amortization was driven by additional capitalization of software costs as well as amortization of acquired intangibles associated with our acquisitions of Payveris and Finovera.</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8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169"/>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(1,470 )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Excluding</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(11 )</w:t>
            </w: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(594 )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(2,397 )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line="216" w:lineRule="exact"/>
              <w:rPr>
                <w:sz w:val="20"/>
                <w:szCs w:val="20"/>
                <w:color w:val="auto"/>
              </w:rPr>
            </w:pPr>
            <w:r>
              <w:rPr>
                <w:rFonts w:ascii="Arial" w:cs="Arial" w:eastAsia="Arial" w:hAnsi="Arial"/>
                <w:sz w:val="18"/>
                <w:szCs w:val="18"/>
                <w:color w:val="auto"/>
              </w:rPr>
              <w:t>Other nonrecurring expenses</w:t>
            </w:r>
            <w:r>
              <w:rPr>
                <w:rFonts w:ascii="Arial" w:cs="Arial" w:eastAsia="Arial" w:hAnsi="Arial"/>
                <w:sz w:val="24"/>
                <w:szCs w:val="24"/>
                <w:color w:val="auto"/>
                <w:vertAlign w:val="superscript"/>
              </w:rPr>
              <w:t>(1)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6" w:lineRule="exact"/>
        <w:rPr>
          <w:sz w:val="20"/>
          <w:szCs w:val="20"/>
          <w:color w:val="auto"/>
        </w:rPr>
      </w:pPr>
    </w:p>
    <w:p>
      <w:pPr>
        <w:ind w:left="900" w:right="220" w:hanging="518"/>
        <w:spacing w:after="0" w:line="26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nonrecurring expenses consist of indirect costs incurred associated with our IPO in the nine months ended September 30, 2021 and an estimated liability booked in the three months ended September 30, 2022 related to the potential costs of terminating a commercial contract.</w:t>
      </w:r>
    </w:p>
    <w:p>
      <w:pPr>
        <w:spacing w:after="0" w:line="98"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As adjusted EBITDA is a measure of profitability, it would generally be expected to move in line with revenue, contribution profit, gross profit and adjusted gross profit. Adjusted EBITDA decreased in the nine months ended September 30, 2022 as compared to the same period in 2021 due to our investment in sales and marketing and research and development in order to drive future growth of the business as well as the increased costs associated with being a public company and the impact of the Payveris and Finovera acquisitions.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i w:val="1"/>
          <w:iCs w:val="1"/>
          <w:color w:val="auto"/>
        </w:rPr>
        <w:t>Free Cash Flow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8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7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(1,949 )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Purchases of property and equipment and software</w:t>
            </w:r>
          </w:p>
        </w:tc>
        <w:tc>
          <w:tcPr>
            <w:tcW w:w="2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(368 )</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(261 )</w:t>
            </w:r>
          </w:p>
        </w:tc>
        <w:tc>
          <w:tcPr>
            <w:tcW w:w="36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(1,163 )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(825 )</w:t>
            </w:r>
          </w:p>
        </w:tc>
      </w:tr>
      <w:tr>
        <w:trPr>
          <w:trHeight w:val="216"/>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intangible assets acquired</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(125 )</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(248 )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Capitalized internal-use software development costs</w:t>
            </w:r>
          </w:p>
        </w:tc>
        <w:tc>
          <w:tcPr>
            <w:tcW w:w="2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(7,793 )</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(4,737 )</w:t>
            </w:r>
          </w:p>
        </w:tc>
        <w:tc>
          <w:tcPr>
            <w:tcW w:w="36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(22,257 )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(13,473 )</w:t>
            </w: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80" w:type="dxa"/>
            <w:vAlign w:val="bottom"/>
          </w:tcPr>
          <w:p>
            <w:pPr>
              <w:ind w:left="20"/>
              <w:spacing w:after="0" w:line="197" w:lineRule="exact"/>
              <w:rPr>
                <w:sz w:val="20"/>
                <w:szCs w:val="20"/>
                <w:color w:val="auto"/>
              </w:rPr>
            </w:pPr>
            <w:r>
              <w:rPr>
                <w:rFonts w:ascii="Arial" w:cs="Arial" w:eastAsia="Arial" w:hAnsi="Arial"/>
                <w:sz w:val="17"/>
                <w:szCs w:val="17"/>
                <w:color w:val="auto"/>
              </w:rPr>
              <w:t>Net cash used in investing activities</w:t>
            </w:r>
            <w:r>
              <w:rPr>
                <w:rFonts w:ascii="Arial" w:cs="Arial" w:eastAsia="Arial" w:hAnsi="Arial"/>
                <w:sz w:val="22"/>
                <w:szCs w:val="22"/>
                <w:color w:val="auto"/>
                <w:vertAlign w:val="superscript"/>
              </w:rPr>
              <w:t>(1)</w:t>
            </w:r>
          </w:p>
        </w:tc>
        <w:tc>
          <w:tcPr>
            <w:tcW w:w="260" w:type="dxa"/>
            <w:vAlign w:val="bottom"/>
          </w:tcPr>
          <w:p>
            <w:pPr>
              <w:jc w:val="right"/>
              <w:ind w:right="54"/>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(8,286 )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(62,118 )</w:t>
            </w:r>
          </w:p>
        </w:tc>
        <w:tc>
          <w:tcPr>
            <w:tcW w:w="360" w:type="dxa"/>
            <w:vAlign w:val="bottom"/>
          </w:tcPr>
          <w:p>
            <w:pPr>
              <w:jc w:val="right"/>
              <w:ind w:right="17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(23,668 )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(71,418 )</w:t>
            </w: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220,948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-299720</wp:posOffset>
            </wp:positionV>
            <wp:extent cx="273431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34310" cy="163195"/>
                    </a:xfrm>
                    <a:prstGeom prst="rect">
                      <a:avLst/>
                    </a:prstGeom>
                    <a:noFill/>
                  </pic:spPr>
                </pic:pic>
              </a:graphicData>
            </a:graphic>
          </wp:anchor>
        </w:drawing>
      </w:r>
    </w:p>
    <w:p>
      <w:pPr>
        <w:spacing w:after="0" w:line="76" w:lineRule="exact"/>
        <w:rPr>
          <w:sz w:val="20"/>
          <w:szCs w:val="20"/>
          <w:color w:val="auto"/>
        </w:rPr>
      </w:pPr>
    </w:p>
    <w:p>
      <w:pPr>
        <w:ind w:left="900" w:right="200" w:hanging="518"/>
        <w:spacing w:after="0" w:line="2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and software and costs related to capitalized internal-use software development, which is also included in our calculation of free cash flow.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5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4"/>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(in</w:t>
            </w:r>
          </w:p>
        </w:tc>
        <w:tc>
          <w:tcPr>
            <w:tcW w:w="1420" w:type="dxa"/>
            <w:vAlign w:val="bottom"/>
            <w:gridSpan w:val="3"/>
          </w:tcPr>
          <w:p>
            <w:pPr>
              <w:jc w:val="center"/>
              <w:ind w:right="752"/>
              <w:spacing w:after="0"/>
              <w:rPr>
                <w:sz w:val="20"/>
                <w:szCs w:val="20"/>
                <w:color w:val="auto"/>
              </w:rPr>
            </w:pPr>
            <w:r>
              <w:rPr>
                <w:rFonts w:ascii="Arial" w:cs="Arial" w:eastAsia="Arial" w:hAnsi="Arial"/>
                <w:sz w:val="14"/>
                <w:szCs w:val="14"/>
                <w:b w:val="1"/>
                <w:bCs w:val="1"/>
                <w:color w:val="auto"/>
                <w:w w:val="76"/>
              </w:rPr>
              <w:t>thousands)</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line="216"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256,286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199,754</w:t>
            </w: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87,639</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140"/>
              <w:spacing w:after="0" w:line="21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24,469</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140"/>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19,048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29,041</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140"/>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9,376</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77,577</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1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(28 )</w:t>
            </w:r>
          </w:p>
        </w:tc>
        <w:tc>
          <w:tcPr>
            <w:tcW w:w="280" w:type="dxa"/>
            <w:vAlign w:val="bottom"/>
          </w:tcPr>
          <w:p>
            <w:pPr>
              <w:spacing w:after="0"/>
              <w:rPr>
                <w:sz w:val="18"/>
                <w:szCs w:val="18"/>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10"/>
        </w:trPr>
        <w:tc>
          <w:tcPr>
            <w:tcW w:w="55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(Loss) income before income taxes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(296 )</w:t>
            </w:r>
          </w:p>
        </w:tc>
        <w:tc>
          <w:tcPr>
            <w:tcW w:w="280" w:type="dxa"/>
            <w:vAlign w:val="bottom"/>
          </w:tcPr>
          <w:p>
            <w:pPr>
              <w:spacing w:after="0"/>
              <w:rPr>
                <w:sz w:val="18"/>
                <w:szCs w:val="18"/>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(701 )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(5,423 )</w:t>
            </w: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-1165225</wp:posOffset>
            </wp:positionV>
            <wp:extent cx="76835"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-1165225</wp:posOffset>
            </wp:positionV>
            <wp:extent cx="6858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-1165225</wp:posOffset>
            </wp:positionV>
            <wp:extent cx="6858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-316230</wp:posOffset>
            </wp:positionV>
            <wp:extent cx="7683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6858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wp:posOffset>
            </wp:positionV>
            <wp:extent cx="6858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6" w:lineRule="exact"/>
        <w:rPr>
          <w:sz w:val="20"/>
          <w:szCs w:val="20"/>
          <w:color w:val="auto"/>
        </w:rPr>
      </w:pPr>
    </w:p>
    <w:p>
      <w:pPr>
        <w:ind w:left="880" w:hanging="498"/>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Stock-based compensation expense was allocated in cost of revenue and operating expenses as follows:</w:t>
      </w:r>
    </w:p>
    <w:p>
      <w:pPr>
        <w:sectPr>
          <w:pgSz w:w="11900" w:h="16838" w:orient="portrait"/>
          <w:cols w:equalWidth="0" w:num="1">
            <w:col w:w="11240"/>
          </w:cols>
          <w:pgMar w:left="320" w:top="5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stock-based compensation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168"/>
        </w:trPr>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(in</w:t>
            </w:r>
          </w:p>
        </w:tc>
        <w:tc>
          <w:tcPr>
            <w:tcW w:w="1420" w:type="dxa"/>
            <w:vAlign w:val="bottom"/>
            <w:gridSpan w:val="3"/>
          </w:tcPr>
          <w:p>
            <w:pPr>
              <w:jc w:val="center"/>
              <w:ind w:right="735"/>
              <w:spacing w:after="0"/>
              <w:rPr>
                <w:sz w:val="20"/>
                <w:szCs w:val="20"/>
                <w:color w:val="auto"/>
              </w:rPr>
            </w:pPr>
            <w:r>
              <w:rPr>
                <w:rFonts w:ascii="Arial" w:cs="Arial" w:eastAsia="Arial" w:hAnsi="Arial"/>
                <w:sz w:val="14"/>
                <w:szCs w:val="14"/>
                <w:b w:val="1"/>
                <w:bCs w:val="1"/>
                <w:color w:val="auto"/>
                <w:w w:val="79"/>
              </w:rPr>
              <w:t>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center"/>
              <w:ind w:left="17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7"/>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1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-719455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-445135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713232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539" w:right="3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type w:val="continuous"/>
        </w:sectPr>
      </w:pPr>
    </w:p>
    <w:bookmarkStart w:id="30" w:name="page31"/>
    <w:bookmarkEnd w:id="30"/>
    <w:p>
      <w:pPr>
        <w:ind w:right="260" w:firstLine="494"/>
        <w:spacing w:after="0" w:line="26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8"/>
          </w:tcPr>
          <w:p>
            <w:pPr>
              <w:jc w:val="right"/>
              <w:ind w:right="290"/>
              <w:spacing w:after="0"/>
              <w:rPr>
                <w:sz w:val="20"/>
                <w:szCs w:val="20"/>
                <w:color w:val="auto"/>
              </w:rPr>
            </w:pPr>
            <w:r>
              <w:rPr>
                <w:rFonts w:ascii="Arial" w:cs="Arial" w:eastAsia="Arial" w:hAnsi="Arial"/>
                <w:sz w:val="14"/>
                <w:szCs w:val="14"/>
                <w:b w:val="1"/>
                <w:bCs w:val="1"/>
                <w:color w:val="auto"/>
              </w:rPr>
              <w:t>Three Months Ended September 30,</w:t>
            </w:r>
          </w:p>
        </w:tc>
        <w:tc>
          <w:tcPr>
            <w:tcW w:w="28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84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100.0 %</w:t>
            </w:r>
          </w:p>
        </w:tc>
        <w:tc>
          <w:tcPr>
            <w:tcW w:w="3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ind w:right="95"/>
              <w:spacing w:after="0"/>
              <w:rPr>
                <w:sz w:val="20"/>
                <w:szCs w:val="20"/>
                <w:color w:val="auto"/>
              </w:rPr>
            </w:pPr>
            <w:r>
              <w:rPr>
                <w:rFonts w:ascii="Arial" w:cs="Arial" w:eastAsia="Arial" w:hAnsi="Arial"/>
                <w:sz w:val="18"/>
                <w:szCs w:val="18"/>
                <w:color w:val="auto"/>
              </w:rPr>
              <w:t>(0.2 )</w:t>
            </w:r>
          </w:p>
        </w:tc>
        <w:tc>
          <w:tcPr>
            <w:tcW w:w="380" w:type="dxa"/>
            <w:vAlign w:val="bottom"/>
          </w:tcPr>
          <w:p>
            <w:pPr>
              <w:spacing w:after="0"/>
              <w:rPr>
                <w:sz w:val="18"/>
                <w:szCs w:val="18"/>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8"/>
                <w:szCs w:val="18"/>
                <w:color w:val="auto"/>
              </w:rPr>
              <w:t>(0.7 )</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40" w:type="dxa"/>
            <w:vAlign w:val="bottom"/>
          </w:tcPr>
          <w:p>
            <w:pPr>
              <w:ind w:left="500"/>
              <w:spacing w:after="0"/>
              <w:rPr>
                <w:sz w:val="20"/>
                <w:szCs w:val="20"/>
                <w:color w:val="auto"/>
              </w:rPr>
            </w:pPr>
            <w:r>
              <w:rPr>
                <w:rFonts w:ascii="Arial" w:cs="Arial" w:eastAsia="Arial" w:hAnsi="Arial"/>
                <w:sz w:val="18"/>
                <w:szCs w:val="18"/>
                <w:i w:val="1"/>
                <w:iCs w:val="1"/>
                <w:color w:val="auto"/>
              </w:rPr>
              <w:t>Revenue</w:t>
            </w:r>
          </w:p>
        </w:tc>
        <w:tc>
          <w:tcPr>
            <w:tcW w:w="320" w:type="dxa"/>
            <w:vAlign w:val="bottom"/>
          </w:tcPr>
          <w:p>
            <w:pPr>
              <w:spacing w:after="0"/>
              <w:rPr>
                <w:sz w:val="24"/>
                <w:szCs w:val="24"/>
                <w:color w:val="auto"/>
              </w:rPr>
            </w:pPr>
          </w:p>
        </w:tc>
        <w:tc>
          <w:tcPr>
            <w:tcW w:w="320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540" w:type="dxa"/>
            <w:vAlign w:val="bottom"/>
            <w:tcBorders>
              <w:bottom w:val="single" w:sz="8" w:color="auto"/>
            </w:tcBorders>
            <w:gridSpan w:val="3"/>
          </w:tcPr>
          <w:p>
            <w:pPr>
              <w:spacing w:after="0"/>
              <w:rPr>
                <w:sz w:val="14"/>
                <w:szCs w:val="14"/>
                <w:color w:val="auto"/>
              </w:rPr>
            </w:pP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128,152</w:t>
            </w:r>
          </w:p>
        </w:tc>
        <w:tc>
          <w:tcPr>
            <w:tcW w:w="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860" w:type="dxa"/>
            <w:vAlign w:val="bottom"/>
            <w:gridSpan w:val="2"/>
            <w:shd w:val="clear" w:color="auto" w:fill="CFF0FC"/>
          </w:tcPr>
          <w:p>
            <w:pPr>
              <w:jc w:val="right"/>
              <w:ind w:right="3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26,476</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-2228215</wp:posOffset>
            </wp:positionV>
            <wp:extent cx="7747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-2228215</wp:posOffset>
            </wp:positionV>
            <wp:extent cx="6858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-2228215</wp:posOffset>
            </wp:positionV>
            <wp:extent cx="6858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316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95" w:lineRule="exact"/>
        <w:rPr>
          <w:sz w:val="20"/>
          <w:szCs w:val="20"/>
          <w:color w:val="auto"/>
        </w:rPr>
      </w:pPr>
    </w:p>
    <w:p>
      <w:pPr>
        <w:ind w:right="520" w:firstLine="499"/>
        <w:spacing w:after="0" w:line="248"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increased transactions from our existing billers and additional transactions as a result of the Payveris and Finovera acquisitions, offset by the decrease in revenue we received per transaction on a blended basis.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9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960" w:type="dxa"/>
            <w:vAlign w:val="bottom"/>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20" w:type="dxa"/>
            <w:vAlign w:val="bottom"/>
            <w:gridSpan w:val="6"/>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90,295</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70,512</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37,857</w:t>
            </w:r>
          </w:p>
        </w:tc>
        <w:tc>
          <w:tcPr>
            <w:tcW w:w="3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31,164</w:t>
            </w:r>
          </w:p>
        </w:tc>
        <w:tc>
          <w:tcPr>
            <w:tcW w:w="3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6,693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29.5 %</w:t>
            </w: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30.6 %</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w:t>
      </w:r>
    </w:p>
    <w:p>
      <w:pPr>
        <w:spacing w:after="0" w:line="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interchange fees and processor costs, driven by higher average bill amounts due primarily to inflation, as well as other direct and indirect costs associated with making our platform available to our billers.</w:t>
      </w:r>
    </w:p>
    <w:p>
      <w:pPr>
        <w:spacing w:after="0" w:line="89" w:lineRule="exact"/>
        <w:rPr>
          <w:sz w:val="20"/>
          <w:szCs w:val="20"/>
          <w:color w:val="auto"/>
        </w:rPr>
      </w:pPr>
    </w:p>
    <w:p>
      <w:pPr>
        <w:ind w:right="160" w:firstLine="494"/>
        <w:spacing w:after="0" w:line="261" w:lineRule="auto"/>
        <w:rPr>
          <w:sz w:val="20"/>
          <w:szCs w:val="20"/>
          <w:color w:val="auto"/>
        </w:rPr>
      </w:pPr>
      <w:r>
        <w:rPr>
          <w:rFonts w:ascii="Arial" w:cs="Arial" w:eastAsia="Arial" w:hAnsi="Arial"/>
          <w:sz w:val="18"/>
          <w:szCs w:val="18"/>
          <w:color w:val="auto"/>
        </w:rPr>
        <w:t>Gross margin decreased for the three months ended September 30, 2022 due to an increase in amortization expense included in cost of revenue associated with the Payveris and Finovera acquisitions.</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31" w:name="page32"/>
    <w:bookmarkEnd w:id="31"/>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w:t>
            </w:r>
          </w:p>
        </w:tc>
        <w:tc>
          <w:tcPr>
            <w:tcW w:w="13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thousands)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10,350</w:t>
            </w:r>
          </w:p>
        </w:tc>
        <w:tc>
          <w:tcPr>
            <w:tcW w:w="136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8,818</w:t>
            </w:r>
          </w:p>
        </w:tc>
        <w:tc>
          <w:tcPr>
            <w:tcW w:w="1380" w:type="dxa"/>
            <w:vAlign w:val="bottom"/>
            <w:gridSpan w:val="2"/>
          </w:tcPr>
          <w:p>
            <w:pPr>
              <w:jc w:val="right"/>
              <w:ind w:right="8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1,532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11,314</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7,734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9,376</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9,904</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(528 )</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r>
      <w:tr>
        <w:trPr>
          <w:trHeight w:val="209"/>
        </w:trPr>
        <w:tc>
          <w:tcPr>
            <w:tcW w:w="38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38,774</w:t>
            </w:r>
          </w:p>
        </w:tc>
        <w:tc>
          <w:tcPr>
            <w:tcW w:w="360" w:type="dxa"/>
            <w:vAlign w:val="bottom"/>
          </w:tcPr>
          <w:p>
            <w:pPr>
              <w:spacing w:after="0"/>
              <w:rPr>
                <w:sz w:val="18"/>
                <w:szCs w:val="18"/>
                <w:color w:val="auto"/>
              </w:rPr>
            </w:pPr>
          </w:p>
        </w:tc>
        <w:tc>
          <w:tcPr>
            <w:tcW w:w="1000" w:type="dxa"/>
            <w:vAlign w:val="bottom"/>
            <w:tcBorders>
              <w:top w:val="single" w:sz="8" w:color="auto"/>
            </w:tcBorders>
          </w:tcPr>
          <w:p>
            <w:pPr>
              <w:jc w:val="right"/>
              <w:ind w:right="82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30,036</w:t>
            </w:r>
          </w:p>
        </w:tc>
        <w:tc>
          <w:tcPr>
            <w:tcW w:w="3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8,738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04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041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8.1 %</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8.7 %</w:t>
            </w:r>
          </w:p>
        </w:tc>
        <w:tc>
          <w:tcPr>
            <w:tcW w:w="15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14.9 %</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11.1 %</w:t>
            </w:r>
          </w:p>
        </w:tc>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7.3 %</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9.7 %</w:t>
            </w:r>
          </w:p>
        </w:tc>
        <w:tc>
          <w:tcPr>
            <w:tcW w:w="15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Additionally, we incurred increased hosting costs as we transitioned from data center to the cloud and an increase in stock-based compensation expense associated with routine grants.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35" w:lineRule="exact"/>
        <w:rPr>
          <w:sz w:val="20"/>
          <w:szCs w:val="20"/>
          <w:color w:val="auto"/>
        </w:rPr>
      </w:pPr>
    </w:p>
    <w:p>
      <w:pPr>
        <w:ind w:right="220" w:firstLine="494"/>
        <w:spacing w:after="0" w:line="238"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amortization expense related to the identifiable intangible assets from the Payveris and Finovera acquisitions as well as increased stock-based compensation associated with routine grants.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jc w:val="both"/>
        <w:ind w:right="320" w:firstLine="494"/>
        <w:spacing w:after="0" w:line="248" w:lineRule="auto"/>
        <w:rPr>
          <w:sz w:val="20"/>
          <w:szCs w:val="20"/>
          <w:color w:val="auto"/>
        </w:rPr>
      </w:pPr>
      <w:r>
        <w:rPr>
          <w:rFonts w:ascii="Arial" w:cs="Arial" w:eastAsia="Arial" w:hAnsi="Arial"/>
          <w:sz w:val="18"/>
          <w:szCs w:val="18"/>
          <w:color w:val="auto"/>
        </w:rPr>
        <w:t>The decrease in general and administrative expenses was primarily due to lower costs for our directors and officers insurance and corporate premiums, a reduction in lease cost and a decreases in employee-related costs, primarily from a reduction in executive salaries and our bonus accrual.</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8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Pr>
          <w:p>
            <w:pPr>
              <w:spacing w:after="0"/>
              <w:rPr>
                <w:sz w:val="16"/>
                <w:szCs w:val="16"/>
                <w:color w:val="auto"/>
              </w:rPr>
            </w:pPr>
          </w:p>
        </w:tc>
        <w:tc>
          <w:tcPr>
            <w:tcW w:w="114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8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10"/>
        </w:trPr>
        <w:tc>
          <w:tcPr>
            <w:tcW w:w="3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100" w:type="dxa"/>
            <w:vAlign w:val="bottom"/>
            <w:shd w:val="clear" w:color="auto" w:fill="CFF0FC"/>
          </w:tcPr>
          <w:p>
            <w:pPr>
              <w:jc w:val="right"/>
              <w:ind w:right="90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FF0FC"/>
          </w:tcPr>
          <w:p>
            <w:pPr>
              <w:spacing w:after="0"/>
              <w:rPr>
                <w:sz w:val="18"/>
                <w:szCs w:val="18"/>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1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(28 )</w:t>
            </w:r>
          </w:p>
        </w:tc>
        <w:tc>
          <w:tcPr>
            <w:tcW w:w="9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(16 )</w:t>
            </w:r>
          </w:p>
        </w:tc>
        <w:tc>
          <w:tcPr>
            <w:tcW w:w="1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___________</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n/m – not meaningful</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200" w:firstLine="499"/>
        <w:spacing w:after="0" w:line="248" w:lineRule="auto"/>
        <w:rPr>
          <w:sz w:val="20"/>
          <w:szCs w:val="20"/>
          <w:color w:val="auto"/>
        </w:rPr>
      </w:pPr>
      <w:r>
        <w:rPr>
          <w:rFonts w:ascii="Arial" w:cs="Arial" w:eastAsia="Arial" w:hAnsi="Arial"/>
          <w:sz w:val="18"/>
          <w:szCs w:val="18"/>
          <w:color w:val="auto"/>
        </w:rPr>
        <w:t>The changes in interest income, net was primarily due to the increase in the federal reserve rates which had a positive impact on our included government issued securities, which are included in cash and cash equivalents on the balance sheet. The changes in foreign exchange loss were immaterial.</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Pr>
          <w:p>
            <w:pPr>
              <w:spacing w:after="0"/>
              <w:rPr>
                <w:sz w:val="14"/>
                <w:szCs w:val="14"/>
                <w:color w:val="auto"/>
              </w:rPr>
            </w:pPr>
          </w:p>
        </w:tc>
        <w:tc>
          <w:tcPr>
            <w:tcW w:w="114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(296 )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(701 )</w:t>
            </w:r>
          </w:p>
        </w:tc>
        <w:tc>
          <w:tcPr>
            <w:tcW w:w="118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(57.8 )</w:t>
            </w:r>
          </w:p>
        </w:tc>
      </w:tr>
    </w:tbl>
    <w:p>
      <w:pPr>
        <w:spacing w:after="0" w:line="215" w:lineRule="exact"/>
        <w:rPr>
          <w:sz w:val="20"/>
          <w:szCs w:val="20"/>
          <w:color w:val="auto"/>
        </w:rPr>
      </w:pPr>
    </w:p>
    <w:p>
      <w:pPr>
        <w:ind w:right="40" w:firstLine="499"/>
        <w:spacing w:after="0" w:line="243" w:lineRule="auto"/>
        <w:rPr>
          <w:sz w:val="20"/>
          <w:szCs w:val="20"/>
          <w:color w:val="auto"/>
        </w:rPr>
      </w:pPr>
      <w:r>
        <w:rPr>
          <w:rFonts w:ascii="Arial" w:cs="Arial" w:eastAsia="Arial" w:hAnsi="Arial"/>
          <w:sz w:val="18"/>
          <w:szCs w:val="18"/>
          <w:color w:val="auto"/>
        </w:rPr>
        <w:t>The change in provision for income taxes for the three months ended September 30, 2022 as compared to the same period in the prior year, was primarily due to changes in pre-tax (loss) and income and the result of excess tax benefits on stock-based compensation, state taxes, foreign income taxed at different rates and permanent tax adjustments related to nondeductible executive compensation, in addition to a valuation allowance recorded against the net deferred tax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gridSpan w:val="6"/>
          </w:tcPr>
          <w:p>
            <w:pPr>
              <w:ind w:left="600"/>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364,825</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77,432</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ind w:right="460" w:firstLine="499"/>
        <w:spacing w:after="0" w:line="248"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increased transactions from our existing billers and additional transactions as a result of the Payveris and Finovera acquisitions, offset by the decrease in revenue we received per transaction on a blended basis.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980" w:type="dxa"/>
            <w:vAlign w:val="bottom"/>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09"/>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256,286</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199,754</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108,539</w:t>
            </w:r>
          </w:p>
        </w:tc>
        <w:tc>
          <w:tcPr>
            <w:tcW w:w="3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87,639</w:t>
            </w:r>
          </w:p>
        </w:tc>
        <w:tc>
          <w:tcPr>
            <w:tcW w:w="3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29.8 %</w:t>
            </w: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30.5 %</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ind w:right="380" w:firstLine="499"/>
        <w:spacing w:after="0"/>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driven by higher average bill amounts due primarily to inflation, as well as other direct and indirect costs associated with making our platform available to our billers.</w:t>
      </w:r>
    </w:p>
    <w:p>
      <w:pPr>
        <w:spacing w:after="0" w:line="108"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Gross margin decreased for the nine months ended September 30, 2022 due to an increase in amortization expense included in cost of revenue associated with the Payveris and Finovera acquisitions.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69"/>
        </w:trPr>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30,925</w:t>
            </w: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24,469</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6,456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53,089</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29,041</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29,038</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24,067</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09"/>
        </w:trPr>
        <w:tc>
          <w:tcPr>
            <w:tcW w:w="38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113,052</w:t>
            </w:r>
          </w:p>
        </w:tc>
        <w:tc>
          <w:tcPr>
            <w:tcW w:w="3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77,577</w:t>
            </w:r>
          </w:p>
        </w:tc>
        <w:tc>
          <w:tcPr>
            <w:tcW w:w="3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35,475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041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041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8.5 %</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8.5 %</w:t>
            </w:r>
          </w:p>
        </w:tc>
        <w:tc>
          <w:tcPr>
            <w:tcW w:w="15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14.6 %</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10.1 %</w:t>
            </w:r>
          </w:p>
        </w:tc>
        <w:tc>
          <w:tcPr>
            <w:tcW w:w="15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8.0 %</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8.4 %</w:t>
            </w:r>
          </w:p>
        </w:tc>
        <w:tc>
          <w:tcPr>
            <w:tcW w:w="15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80" w:firstLine="494"/>
        <w:spacing w:after="0" w:line="243"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Additionally, we incurred increased hosting costs as we transitioned from data center to the cloud and an increase in stock-based compensation expense associated with routine grants.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35" w:lineRule="exact"/>
        <w:rPr>
          <w:sz w:val="20"/>
          <w:szCs w:val="20"/>
          <w:color w:val="auto"/>
        </w:rPr>
      </w:pPr>
    </w:p>
    <w:p>
      <w:pPr>
        <w:ind w:right="220" w:firstLine="494"/>
        <w:spacing w:after="0" w:line="238"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In addition, we incurred amortization expense related to the identifiable intangible assets from the Payveris and Finovera acquisitions as well as increased stock-based compensation associated with routine grants.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jc w:val="both"/>
        <w:ind w:right="40" w:firstLine="494"/>
        <w:spacing w:after="0" w:line="248" w:lineRule="auto"/>
        <w:rPr>
          <w:sz w:val="20"/>
          <w:szCs w:val="20"/>
          <w:color w:val="auto"/>
        </w:rPr>
      </w:pPr>
      <w:r>
        <w:rPr>
          <w:rFonts w:ascii="Arial" w:cs="Arial" w:eastAsia="Arial" w:hAnsi="Arial"/>
          <w:sz w:val="18"/>
          <w:szCs w:val="18"/>
          <w:color w:val="auto"/>
        </w:rPr>
        <w:t>The increase in general and administrative expenses was primarily due to increased costs of operating as a public company, including significant increases in our directors and officers insurance premiums, and increases in employee-related costs, including benefits and stock-based compensation, due to an increase in general and administrative headcount.</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196"/>
        </w:trPr>
        <w:tc>
          <w:tcPr>
            <w:tcW w:w="3820" w:type="dxa"/>
            <w:vAlign w:val="bottom"/>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w:t>
            </w:r>
          </w:p>
        </w:tc>
      </w:tr>
      <w:tr>
        <w:trPr>
          <w:trHeight w:val="210"/>
        </w:trPr>
        <w:tc>
          <w:tcPr>
            <w:tcW w:w="3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060" w:type="dxa"/>
            <w:vAlign w:val="bottom"/>
            <w:shd w:val="clear" w:color="auto" w:fill="CFF0FC"/>
          </w:tcPr>
          <w:p>
            <w:pPr>
              <w:jc w:val="right"/>
              <w:ind w:right="88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4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n/m</w:t>
            </w: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(8 )</w:t>
            </w: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9"/>
              </w:rPr>
              <w:t>n/m</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interest income (expense), net and foreign exchange gain were immaterial.</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Pr>
          <w:p>
            <w:pPr>
              <w:spacing w:after="0"/>
              <w:rPr>
                <w:sz w:val="15"/>
                <w:szCs w:val="15"/>
                <w:color w:val="auto"/>
              </w:rPr>
            </w:pPr>
          </w:p>
        </w:tc>
        <w:tc>
          <w:tcPr>
            <w:tcW w:w="122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8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(5,423 )</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7,820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(144.2 )</w:t>
            </w:r>
          </w:p>
        </w:tc>
      </w:tr>
    </w:tbl>
    <w:p>
      <w:pPr>
        <w:spacing w:after="0" w:line="215" w:lineRule="exact"/>
        <w:rPr>
          <w:sz w:val="20"/>
          <w:szCs w:val="20"/>
          <w:color w:val="auto"/>
        </w:rPr>
      </w:pPr>
    </w:p>
    <w:p>
      <w:pPr>
        <w:ind w:right="440" w:firstLine="499"/>
        <w:spacing w:after="0" w:line="243" w:lineRule="auto"/>
        <w:rPr>
          <w:sz w:val="20"/>
          <w:szCs w:val="20"/>
          <w:color w:val="auto"/>
        </w:rPr>
      </w:pPr>
      <w:r>
        <w:rPr>
          <w:rFonts w:ascii="Arial" w:cs="Arial" w:eastAsia="Arial" w:hAnsi="Arial"/>
          <w:sz w:val="18"/>
          <w:szCs w:val="18"/>
          <w:color w:val="auto"/>
        </w:rPr>
        <w:t>The change in benefit from (provision for) income taxes for the nine months ended September 30, 2022 as compared to the same period in the prior year, was primarily due to changes in pre-tax (loss) and income and the result of excess tax benefits on stock-based compensation, state taxes, foreign income taxed at different rates and permanent tax adjustments related to nondeductible executive compensation, in addition to a valuation allowance recorded against the net deferred tax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26"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As of September 30, 2022, we had $148.3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93"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ectPr>
          <w:pgSz w:w="11900" w:h="16838" w:orient="portrait"/>
          <w:cols w:equalWidth="0" w:num="1">
            <w:col w:w="11220"/>
          </w:cols>
          <w:pgMar w:left="320" w:top="535" w:right="3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condensed consolidated cash flows.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086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Effects of foreign exchange on cash</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84"/>
        </w:trPr>
        <w:tc>
          <w:tcPr>
            <w:tcW w:w="340" w:type="dxa"/>
            <w:vAlign w:val="bottom"/>
          </w:tcPr>
          <w:p>
            <w:pPr>
              <w:spacing w:after="0"/>
              <w:rPr>
                <w:sz w:val="15"/>
                <w:szCs w:val="15"/>
                <w:color w:val="auto"/>
              </w:rPr>
            </w:pPr>
          </w:p>
        </w:tc>
        <w:tc>
          <w:tcPr>
            <w:tcW w:w="112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4"/>
              </w:rPr>
              <w:t>thousands)</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5,143</w:t>
            </w:r>
          </w:p>
        </w:tc>
        <w:tc>
          <w:tcPr>
            <w:tcW w:w="280" w:type="dxa"/>
            <w:vAlign w:val="bottom"/>
          </w:tcPr>
          <w:p>
            <w:pPr>
              <w:spacing w:after="0"/>
              <w:rPr>
                <w:sz w:val="24"/>
                <w:szCs w:val="24"/>
                <w:color w:val="auto"/>
              </w:rPr>
            </w:pPr>
          </w:p>
        </w:tc>
        <w:tc>
          <w:tcPr>
            <w:tcW w:w="48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19,357</w:t>
            </w:r>
          </w:p>
        </w:tc>
        <w:tc>
          <w:tcPr>
            <w:tcW w:w="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(23,668 )</w:t>
            </w: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(71,418 )</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42,940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220,948</w:t>
            </w:r>
          </w:p>
        </w:tc>
        <w:tc>
          <w:tcPr>
            <w:tcW w:w="6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(329 )</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168,911</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26" w:lineRule="exact"/>
        <w:rPr>
          <w:sz w:val="20"/>
          <w:szCs w:val="20"/>
          <w:color w:val="auto"/>
        </w:rPr>
      </w:pPr>
    </w:p>
    <w:p>
      <w:pPr>
        <w:sectPr>
          <w:pgSz w:w="11900" w:h="16838" w:orient="portrait"/>
          <w:cols w:equalWidth="0" w:num="2">
            <w:col w:w="7180" w:space="720"/>
            <w:col w:w="3320"/>
          </w:cols>
          <w:pgMar w:left="320" w:top="535" w:right="359" w:bottom="1440" w:gutter="0" w:footer="0" w:header="0"/>
          <w:type w:val="continuous"/>
        </w:sectPr>
      </w:pPr>
    </w:p>
    <w:p>
      <w:pPr>
        <w:ind w:right="120" w:firstLine="494"/>
        <w:spacing w:after="0" w:line="243"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mainly consists of our net income adjusted for certain non-cash items, including depreciation and amortization, stock-based compensation, other non-cash income and expense items, and net changes in operating assets and liabilities.</w:t>
      </w:r>
    </w:p>
    <w:p>
      <w:pPr>
        <w:spacing w:after="0" w:line="107" w:lineRule="exact"/>
        <w:rPr>
          <w:sz w:val="20"/>
          <w:szCs w:val="20"/>
          <w:color w:val="auto"/>
        </w:rPr>
      </w:pPr>
    </w:p>
    <w:p>
      <w:pPr>
        <w:ind w:right="200" w:firstLine="494"/>
        <w:spacing w:after="0" w:line="243" w:lineRule="auto"/>
        <w:rPr>
          <w:sz w:val="20"/>
          <w:szCs w:val="20"/>
          <w:color w:val="auto"/>
        </w:rPr>
      </w:pPr>
      <w:r>
        <w:rPr>
          <w:rFonts w:ascii="Arial" w:cs="Arial" w:eastAsia="Arial" w:hAnsi="Arial"/>
          <w:sz w:val="18"/>
          <w:szCs w:val="18"/>
          <w:color w:val="auto"/>
        </w:rPr>
        <w:t>Net cash provided by operating activities for the nine months ended September 30, 2022 was $5.1 million. Net loss was $1.5 million, adjusted for non-cash charges of $22.0 million consisting primarily of depreciation and amortization, stock-based compensation, and non-cash lease expense, which contributed positively to operating activities. This was offset by net cash outflows of $15.4 million provided by changes in our operating assets and liabilities.</w:t>
      </w:r>
    </w:p>
    <w:p>
      <w:pPr>
        <w:spacing w:after="0" w:line="93" w:lineRule="exact"/>
        <w:rPr>
          <w:sz w:val="20"/>
          <w:szCs w:val="20"/>
          <w:color w:val="auto"/>
        </w:rPr>
      </w:pPr>
    </w:p>
    <w:p>
      <w:pPr>
        <w:ind w:right="100" w:firstLine="494"/>
        <w:spacing w:after="0" w:line="243" w:lineRule="auto"/>
        <w:rPr>
          <w:sz w:val="20"/>
          <w:szCs w:val="20"/>
          <w:color w:val="auto"/>
        </w:rPr>
      </w:pPr>
      <w:r>
        <w:rPr>
          <w:rFonts w:ascii="Arial" w:cs="Arial" w:eastAsia="Arial" w:hAnsi="Arial"/>
          <w:sz w:val="18"/>
          <w:szCs w:val="18"/>
          <w:color w:val="auto"/>
        </w:rPr>
        <w:t>Net cash provided by operating activities for the nine months ended September 30, 2021 was $19.4 million. Net income was $4.6 million, adjusted for non-cash charges of $15.7 million consisting primarily of depreciation and amortization, stock-based compensation, and non-cash lease expense, which contributed positively to operating activities. This was offset by net cash outflows of $1.0 million provided by changes in our operating assets and liabilities.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ind w:right="400" w:firstLine="494"/>
        <w:spacing w:after="0" w:line="261" w:lineRule="auto"/>
        <w:rPr>
          <w:sz w:val="20"/>
          <w:szCs w:val="20"/>
          <w:color w:val="auto"/>
        </w:rPr>
      </w:pPr>
      <w:r>
        <w:rPr>
          <w:rFonts w:ascii="Arial" w:cs="Arial" w:eastAsia="Arial" w:hAnsi="Arial"/>
          <w:sz w:val="18"/>
          <w:szCs w:val="18"/>
          <w:color w:val="auto"/>
        </w:rPr>
        <w:t>Cash used in our investing activities consists primarily of cash paid for acquisitions, capitalized internal-use software development costs, purchases of property and equipment and intangible assets.</w:t>
      </w:r>
    </w:p>
    <w:p>
      <w:pPr>
        <w:spacing w:after="0" w:line="76"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Net cash used in investing activities for the nine months ended September 30, 2022 consisted of $22.3 million of capitalized internal-use software development costs, $1.2 million of purchases of property and equipment and $0.2 of other intangible assets acquired.</w:t>
      </w:r>
    </w:p>
    <w:p>
      <w:pPr>
        <w:spacing w:after="0" w:line="102" w:lineRule="exact"/>
        <w:rPr>
          <w:sz w:val="20"/>
          <w:szCs w:val="20"/>
          <w:color w:val="auto"/>
        </w:rPr>
      </w:pPr>
    </w:p>
    <w:p>
      <w:pPr>
        <w:jc w:val="both"/>
        <w:ind w:right="700" w:firstLine="494"/>
        <w:spacing w:after="0"/>
        <w:rPr>
          <w:sz w:val="20"/>
          <w:szCs w:val="20"/>
          <w:color w:val="auto"/>
        </w:rPr>
      </w:pPr>
      <w:r>
        <w:rPr>
          <w:rFonts w:ascii="Arial" w:cs="Arial" w:eastAsia="Arial" w:hAnsi="Arial"/>
          <w:sz w:val="18"/>
          <w:szCs w:val="18"/>
          <w:color w:val="auto"/>
        </w:rPr>
        <w:t>Net cash used in investing activities for the nine months ended September 30, 2021 consisted of $57.1 million of cash paid for acquisitions, net of cash and restricted cash acquired and contingent consideration, $13.5 million of capitalized internal-use software development costs and $0.8 million of purchases of property and equipment.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type w:val="continuous"/>
        </w:sectPr>
      </w:pPr>
    </w:p>
    <w:bookmarkStart w:id="35" w:name="page36"/>
    <w:bookmarkEnd w:id="35"/>
    <w:p>
      <w:pPr>
        <w:ind w:left="5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35"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Cash provided by financing activities consists primarily of proceeds from the IPO and private placement and proceeds from stock option exercises, changes in financial institution funds in-transit offset by the redemption of the Series A preferred stock, payment of deferred offering costs related to the IPO, and payments on capital lease and other financing arrangements and principal payments on debt.</w:t>
      </w:r>
    </w:p>
    <w:p>
      <w:pPr>
        <w:spacing w:after="0" w:line="10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Net cash provided by financing activities for the nine months ended September 30, 2022 consisted of an increase in financial institution funds in-transit of $44.2 million and proceeds from stock option exercises of $1.5 million, offset by $2.7 million of payments on finance leases and other financing obligations.</w:t>
      </w:r>
    </w:p>
    <w:p>
      <w:pPr>
        <w:spacing w:after="0" w:line="108" w:lineRule="exact"/>
        <w:rPr>
          <w:sz w:val="20"/>
          <w:szCs w:val="20"/>
          <w:color w:val="auto"/>
        </w:rPr>
      </w:pPr>
    </w:p>
    <w:p>
      <w:pPr>
        <w:ind w:right="200" w:firstLine="494"/>
        <w:spacing w:after="0" w:line="241" w:lineRule="auto"/>
        <w:rPr>
          <w:sz w:val="20"/>
          <w:szCs w:val="20"/>
          <w:color w:val="auto"/>
        </w:rPr>
      </w:pPr>
      <w:r>
        <w:rPr>
          <w:rFonts w:ascii="Arial" w:cs="Arial" w:eastAsia="Arial" w:hAnsi="Arial"/>
          <w:sz w:val="18"/>
          <w:szCs w:val="18"/>
          <w:color w:val="auto"/>
        </w:rPr>
        <w:t>Net cash provided financing activities for the nine months ended September 30, 2021 consisted of proceeds from the IPO of $224.6 million, proceeds from the private placement of $50.0 million, increase in financial institution funds in-transit of $6.6 million and proceeds of $0.8 million from the repayment of a related party loan, offset by $23.0 million for the redemption of the Series A preferred stock, $34.4 million for the repayment of dividends on the Series A preferred stock, $1.7 million of payments on finance leases and other financing obligations and $2.0 million of payments of deferred offering costs directly related to our IPO.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9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and assumptions that affect the reported amounts of assets, liabilities, net sales,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93"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disclosed in our 2021 Form 10-K.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580" w:firstLine="494"/>
        <w:spacing w:after="0" w:line="246" w:lineRule="auto"/>
        <w:rPr>
          <w:sz w:val="20"/>
          <w:szCs w:val="20"/>
          <w:color w:val="auto"/>
        </w:rPr>
      </w:pPr>
      <w:r>
        <w:rPr>
          <w:rFonts w:ascii="Arial" w:cs="Arial" w:eastAsia="Arial" w:hAnsi="Arial"/>
          <w:sz w:val="18"/>
          <w:szCs w:val="18"/>
          <w:color w:val="auto"/>
        </w:rPr>
        <w:t>See Note 2 to our condensed consolidated financial statements included elsewhere in this report for more information regarding recently issued accounting pronouncements.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right="100" w:firstLine="494"/>
        <w:spacing w:after="0" w:line="248"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Our cash and cash equivalents consist of bank deposits and money market funds with original maturities of three months or less. Our cash and cash equivalents are held for working capital purposes. We do not enter into investments for trading or speculative purposes. Our cash equivalents and our investment portfolio are subject to market risk due to changes in interest rates. We do not believe, as of September 30, 2022, that a hypothetical 10% increase or decrease in interest rates would have had a material impact on the value of our cash equivalents or investment portfolio.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9" w:lineRule="exact"/>
        <w:rPr>
          <w:sz w:val="20"/>
          <w:szCs w:val="20"/>
          <w:color w:val="auto"/>
        </w:rPr>
      </w:pPr>
    </w:p>
    <w:p>
      <w:pPr>
        <w:ind w:right="120" w:firstLine="494"/>
        <w:spacing w:after="0" w:line="241"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We do not believe, as of September 30, 2022, that a hypothetical 10% increase or decrease in the relative value of the U.S. dollar to other currencies would have had a material effect on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40" w:firstLine="544"/>
        <w:spacing w:after="0" w:line="24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September 30, 2022,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39" w:lineRule="exact"/>
        <w:rPr>
          <w:sz w:val="20"/>
          <w:szCs w:val="20"/>
          <w:color w:val="auto"/>
        </w:rPr>
      </w:pPr>
    </w:p>
    <w:p>
      <w:pPr>
        <w:ind w:right="280" w:firstLine="544"/>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September 30, 2022, our material weaknesses were as follows:</w:t>
      </w:r>
    </w:p>
    <w:p>
      <w:pPr>
        <w:spacing w:after="0" w:line="108" w:lineRule="exact"/>
        <w:rPr>
          <w:sz w:val="20"/>
          <w:szCs w:val="20"/>
          <w:color w:val="auto"/>
        </w:rPr>
      </w:pPr>
    </w:p>
    <w:p>
      <w:pPr>
        <w:ind w:left="1020" w:right="60" w:hanging="503"/>
        <w:spacing w:after="0" w:line="259"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79" w:lineRule="exact"/>
        <w:rPr>
          <w:rFonts w:ascii="Arial" w:cs="Arial" w:eastAsia="Arial" w:hAnsi="Arial"/>
          <w:sz w:val="17"/>
          <w:szCs w:val="17"/>
          <w:color w:val="auto"/>
        </w:rPr>
      </w:pPr>
    </w:p>
    <w:p>
      <w:pPr>
        <w:ind w:left="1020" w:right="2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26" w:lineRule="exact"/>
        <w:rPr>
          <w:sz w:val="20"/>
          <w:szCs w:val="20"/>
          <w:color w:val="auto"/>
        </w:rPr>
      </w:pPr>
    </w:p>
    <w:p>
      <w:pPr>
        <w:ind w:firstLine="544"/>
        <w:spacing w:after="0" w:line="248" w:lineRule="auto"/>
        <w:rPr>
          <w:sz w:val="20"/>
          <w:szCs w:val="20"/>
          <w:color w:val="auto"/>
        </w:rPr>
      </w:pPr>
      <w:r>
        <w:rPr>
          <w:rFonts w:ascii="Arial" w:cs="Arial" w:eastAsia="Arial" w:hAnsi="Arial"/>
          <w:sz w:val="18"/>
          <w:szCs w:val="18"/>
          <w:color w:val="auto"/>
        </w:rPr>
        <w:t>We believe we have made significant progress toward remediation of the material weaknesses described above. We have updated the design of permissions of our general ledger accounting system to allow for effective restricted access and segregation of duties to govern the preparation and review of journal entries. Additional remediation measures are ongoing and include the following:</w:t>
      </w:r>
    </w:p>
    <w:p>
      <w:pPr>
        <w:spacing w:after="0" w:line="8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continuing to hire additional personnel with public company experience for our accounting and finance function;</w:t>
      </w:r>
    </w:p>
    <w:p>
      <w:pPr>
        <w:spacing w:after="0" w:line="117" w:lineRule="exact"/>
        <w:rPr>
          <w:rFonts w:ascii="Arial" w:cs="Arial" w:eastAsia="Arial" w:hAnsi="Arial"/>
          <w:sz w:val="18"/>
          <w:szCs w:val="18"/>
          <w:color w:val="auto"/>
        </w:rPr>
      </w:pPr>
    </w:p>
    <w:p>
      <w:pPr>
        <w:ind w:left="1020" w:right="520" w:hanging="503"/>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enhanced and documented management review controls over journal entries and the identification and review of complex transactions;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secured the general ledger accounting system by implementing Single Sign-On (SSO); and</w:t>
      </w:r>
    </w:p>
    <w:p>
      <w:pPr>
        <w:spacing w:after="0" w:line="10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designing and implementing additional change management and access controls for our relevant IT applications to further restrict privileged access and implementing controls to review activities, which may materially affect our financial statements, for those users who have privileged access.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37" w:name="page38"/>
    <w:bookmarkEnd w:id="37"/>
    <w:p>
      <w:pPr>
        <w:jc w:val="both"/>
        <w:ind w:firstLine="494"/>
        <w:spacing w:after="0" w:line="248" w:lineRule="auto"/>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2022 that have materially affected, or are reasonably likely to materially affect, our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26"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or enforced in a manner adverse to us or our business, including among other things, those with security and privacy laws, we may be subject to enforcement actions, penalties, damages, material limitations on our business and reputational harm. Furthermore, as a public company, we may become subject to stockholder inspection demands under Delaware law and derivative or other similar litigation. Although the results of legal proceedings and claims cannot be predicted with certainty, we are not currently party to any legal proceedings or claims that we believe, if determined adversely to us, would individually or taken together have a material adverse effect on our business, operating results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Investing in our Class A common stock involves a high degree of risk. We operate in a rapidly changing environment that involves a number of risks that could materially affect our business, financial condition or future results, some of which are beyond our control. You should carefully consider the risks described under the heading “Risk Factors” in Part I, Item 1A of our 2021 Form 10-K, the other information in this Quarterly Report on Form 10-Q, including our unaudited condensed consolidated financial statements and the related notes, as well as our other public filings with the SEC, before deciding to invest in our Class A common stock. During the nine months ended September 30, 2022, there were no material changes to the risk factors as described in our 2021 Form 10-K. The occurrence of any of the events described therein could harm our business, financial condition, results of operations, liquidity or prospects. In such an event, the market price of our Class A common stock could decline, and you may lose all or part of your investment. Additional risks and uncertainties not presently known to us or that we currently deem immaterial may also impair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Incorporated by Reference</w:t>
            </w:r>
          </w:p>
        </w:tc>
        <w:tc>
          <w:tcPr>
            <w:tcW w:w="1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35"/>
        </w:trPr>
        <w:tc>
          <w:tcPr>
            <w:tcW w:w="92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Exhibit</w:t>
            </w:r>
          </w:p>
        </w:tc>
        <w:tc>
          <w:tcPr>
            <w:tcW w:w="140" w:type="dxa"/>
            <w:vAlign w:val="bottom"/>
          </w:tcPr>
          <w:p>
            <w:pPr>
              <w:spacing w:after="0"/>
              <w:rPr>
                <w:sz w:val="11"/>
                <w:szCs w:val="11"/>
                <w:color w:val="auto"/>
              </w:rPr>
            </w:pPr>
          </w:p>
        </w:tc>
        <w:tc>
          <w:tcPr>
            <w:tcW w:w="4260" w:type="dxa"/>
            <w:vAlign w:val="bottom"/>
            <w:gridSpan w:val="4"/>
          </w:tcPr>
          <w:p>
            <w:pPr>
              <w:ind w:left="1660"/>
              <w:spacing w:after="0" w:line="135" w:lineRule="exact"/>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Form</w:t>
            </w:r>
          </w:p>
        </w:tc>
        <w:tc>
          <w:tcPr>
            <w:tcW w:w="120" w:type="dxa"/>
            <w:vAlign w:val="bottom"/>
          </w:tcPr>
          <w:p>
            <w:pPr>
              <w:spacing w:after="0"/>
              <w:rPr>
                <w:sz w:val="11"/>
                <w:szCs w:val="11"/>
                <w:color w:val="auto"/>
              </w:rPr>
            </w:pPr>
          </w:p>
        </w:tc>
        <w:tc>
          <w:tcPr>
            <w:tcW w:w="1140" w:type="dxa"/>
            <w:vAlign w:val="bottom"/>
          </w:tcPr>
          <w:p>
            <w:pPr>
              <w:jc w:val="right"/>
              <w:ind w:right="199"/>
              <w:spacing w:after="0" w:line="135" w:lineRule="exact"/>
              <w:rPr>
                <w:sz w:val="20"/>
                <w:szCs w:val="20"/>
                <w:color w:val="auto"/>
              </w:rPr>
            </w:pPr>
            <w:r>
              <w:rPr>
                <w:rFonts w:ascii="Arial" w:cs="Arial" w:eastAsia="Arial" w:hAnsi="Arial"/>
                <w:sz w:val="15"/>
                <w:szCs w:val="15"/>
                <w:b w:val="1"/>
                <w:bCs w:val="1"/>
                <w:color w:val="auto"/>
              </w:rPr>
              <w:t>File No.</w:t>
            </w:r>
          </w:p>
        </w:tc>
        <w:tc>
          <w:tcPr>
            <w:tcW w:w="12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5"/>
                <w:szCs w:val="15"/>
                <w:b w:val="1"/>
                <w:bCs w:val="1"/>
                <w:color w:val="auto"/>
              </w:rPr>
              <w:t>Exhibit</w:t>
            </w:r>
          </w:p>
        </w:tc>
        <w:tc>
          <w:tcPr>
            <w:tcW w:w="1180" w:type="dxa"/>
            <w:vAlign w:val="bottom"/>
          </w:tcPr>
          <w:p>
            <w:pPr>
              <w:ind w:left="180"/>
              <w:spacing w:after="0" w:line="135" w:lineRule="exact"/>
              <w:rPr>
                <w:sz w:val="20"/>
                <w:szCs w:val="20"/>
                <w:color w:val="auto"/>
              </w:rPr>
            </w:pPr>
            <w:r>
              <w:rPr>
                <w:rFonts w:ascii="Arial" w:cs="Arial" w:eastAsia="Arial" w:hAnsi="Arial"/>
                <w:sz w:val="15"/>
                <w:szCs w:val="15"/>
                <w:b w:val="1"/>
                <w:bCs w:val="1"/>
                <w:color w:val="auto"/>
              </w:rPr>
              <w:t>Filing Date</w:t>
            </w:r>
          </w:p>
        </w:tc>
        <w:tc>
          <w:tcPr>
            <w:tcW w:w="1120" w:type="dxa"/>
            <w:vAlign w:val="bottom"/>
          </w:tcPr>
          <w:p>
            <w:pPr>
              <w:jc w:val="center"/>
              <w:ind w:left="21"/>
              <w:spacing w:after="0" w:line="135" w:lineRule="exact"/>
              <w:rPr>
                <w:sz w:val="20"/>
                <w:szCs w:val="20"/>
                <w:color w:val="auto"/>
              </w:rPr>
            </w:pPr>
            <w:r>
              <w:rPr>
                <w:rFonts w:ascii="Arial" w:cs="Arial" w:eastAsia="Arial" w:hAnsi="Arial"/>
                <w:sz w:val="15"/>
                <w:szCs w:val="15"/>
                <w:b w:val="1"/>
                <w:bCs w:val="1"/>
                <w:color w:val="auto"/>
              </w:rPr>
              <w:t>Filed/</w:t>
            </w:r>
          </w:p>
        </w:tc>
      </w:tr>
      <w:tr>
        <w:trPr>
          <w:trHeight w:val="171"/>
        </w:trPr>
        <w:tc>
          <w:tcPr>
            <w:tcW w:w="9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Furnished</w:t>
            </w:r>
          </w:p>
        </w:tc>
      </w:tr>
      <w:tr>
        <w:trPr>
          <w:trHeight w:val="215"/>
        </w:trPr>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rPr>
              <w:t>Herewith</w:t>
            </w:r>
          </w:p>
        </w:tc>
      </w:tr>
      <w:tr>
        <w:trPr>
          <w:trHeight w:val="148"/>
        </w:trPr>
        <w:tc>
          <w:tcPr>
            <w:tcW w:w="920" w:type="dxa"/>
            <w:vAlign w:val="bottom"/>
          </w:tcPr>
          <w:p>
            <w:pPr>
              <w:jc w:val="right"/>
              <w:ind w:right="499"/>
              <w:spacing w:after="0" w:line="148" w:lineRule="exact"/>
              <w:rPr>
                <w:sz w:val="20"/>
                <w:szCs w:val="20"/>
                <w:color w:val="auto"/>
              </w:rPr>
            </w:pPr>
            <w:r>
              <w:rPr>
                <w:rFonts w:ascii="Arial" w:cs="Arial" w:eastAsia="Arial" w:hAnsi="Arial"/>
                <w:sz w:val="17"/>
                <w:szCs w:val="17"/>
                <w:color w:val="auto"/>
                <w:w w:val="96"/>
              </w:rPr>
              <w:t>10.1</w:t>
            </w:r>
          </w:p>
        </w:tc>
        <w:tc>
          <w:tcPr>
            <w:tcW w:w="140" w:type="dxa"/>
            <w:vAlign w:val="bottom"/>
          </w:tcPr>
          <w:p>
            <w:pPr>
              <w:spacing w:after="0"/>
              <w:rPr>
                <w:sz w:val="12"/>
                <w:szCs w:val="12"/>
                <w:color w:val="auto"/>
              </w:rPr>
            </w:pPr>
          </w:p>
        </w:tc>
        <w:tc>
          <w:tcPr>
            <w:tcW w:w="4260" w:type="dxa"/>
            <w:vAlign w:val="bottom"/>
            <w:gridSpan w:val="4"/>
          </w:tcPr>
          <w:p>
            <w:pPr>
              <w:spacing w:after="0" w:line="148" w:lineRule="exact"/>
              <w:rPr>
                <w:sz w:val="20"/>
                <w:szCs w:val="20"/>
                <w:color w:val="auto"/>
              </w:rPr>
            </w:pPr>
            <w:r>
              <w:rPr>
                <w:rFonts w:ascii="Arial" w:cs="Arial" w:eastAsia="Arial" w:hAnsi="Arial"/>
                <w:sz w:val="17"/>
                <w:szCs w:val="17"/>
                <w:color w:val="0000FF"/>
              </w:rPr>
              <w:t>Warrant Agreement, dated as of August 29, 2022, by</w:t>
            </w:r>
          </w:p>
        </w:tc>
        <w:tc>
          <w:tcPr>
            <w:tcW w:w="12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7"/>
                <w:szCs w:val="17"/>
                <w:color w:val="auto"/>
              </w:rPr>
              <w:t>8-K</w:t>
            </w:r>
          </w:p>
        </w:tc>
        <w:tc>
          <w:tcPr>
            <w:tcW w:w="120" w:type="dxa"/>
            <w:vAlign w:val="bottom"/>
          </w:tcPr>
          <w:p>
            <w:pPr>
              <w:spacing w:after="0"/>
              <w:rPr>
                <w:sz w:val="12"/>
                <w:szCs w:val="12"/>
                <w:color w:val="auto"/>
              </w:rPr>
            </w:pPr>
          </w:p>
        </w:tc>
        <w:tc>
          <w:tcPr>
            <w:tcW w:w="1140" w:type="dxa"/>
            <w:vAlign w:val="bottom"/>
          </w:tcPr>
          <w:p>
            <w:pPr>
              <w:jc w:val="right"/>
              <w:ind w:right="239"/>
              <w:spacing w:after="0" w:line="148" w:lineRule="exact"/>
              <w:rPr>
                <w:sz w:val="20"/>
                <w:szCs w:val="20"/>
                <w:color w:val="auto"/>
              </w:rPr>
            </w:pPr>
            <w:r>
              <w:rPr>
                <w:rFonts w:ascii="Arial" w:cs="Arial" w:eastAsia="Arial" w:hAnsi="Arial"/>
                <w:sz w:val="17"/>
                <w:szCs w:val="17"/>
                <w:color w:val="auto"/>
                <w:w w:val="98"/>
              </w:rPr>
              <w:t>001-40429</w:t>
            </w:r>
          </w:p>
        </w:tc>
        <w:tc>
          <w:tcPr>
            <w:tcW w:w="120" w:type="dxa"/>
            <w:vAlign w:val="bottom"/>
          </w:tcPr>
          <w:p>
            <w:pPr>
              <w:spacing w:after="0"/>
              <w:rPr>
                <w:sz w:val="12"/>
                <w:szCs w:val="12"/>
                <w:color w:val="auto"/>
              </w:rPr>
            </w:pPr>
          </w:p>
        </w:tc>
        <w:tc>
          <w:tcPr>
            <w:tcW w:w="880" w:type="dxa"/>
            <w:vAlign w:val="bottom"/>
          </w:tcPr>
          <w:p>
            <w:pPr>
              <w:jc w:val="right"/>
              <w:ind w:right="199"/>
              <w:spacing w:after="0" w:line="148"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2"/>
                <w:szCs w:val="12"/>
                <w:color w:val="auto"/>
              </w:rPr>
            </w:pPr>
          </w:p>
        </w:tc>
        <w:tc>
          <w:tcPr>
            <w:tcW w:w="1180" w:type="dxa"/>
            <w:vAlign w:val="bottom"/>
          </w:tcPr>
          <w:p>
            <w:pPr>
              <w:ind w:left="160"/>
              <w:spacing w:after="0" w:line="148" w:lineRule="exact"/>
              <w:rPr>
                <w:sz w:val="20"/>
                <w:szCs w:val="20"/>
                <w:color w:val="auto"/>
              </w:rPr>
            </w:pPr>
            <w:r>
              <w:rPr>
                <w:rFonts w:ascii="Arial" w:cs="Arial" w:eastAsia="Arial" w:hAnsi="Arial"/>
                <w:sz w:val="17"/>
                <w:szCs w:val="17"/>
                <w:color w:val="auto"/>
              </w:rPr>
              <w:t>August 30,</w:t>
            </w:r>
          </w:p>
        </w:tc>
        <w:tc>
          <w:tcPr>
            <w:tcW w:w="1120" w:type="dxa"/>
            <w:vAlign w:val="bottom"/>
          </w:tcPr>
          <w:p>
            <w:pPr>
              <w:spacing w:after="0"/>
              <w:rPr>
                <w:sz w:val="12"/>
                <w:szCs w:val="12"/>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20" w:type="dxa"/>
            <w:vAlign w:val="bottom"/>
            <w:tcBorders>
              <w:top w:val="single" w:sz="8" w:color="0000FF"/>
            </w:tcBorders>
            <w:gridSpan w:val="3"/>
          </w:tcPr>
          <w:p>
            <w:pPr>
              <w:spacing w:after="0" w:line="155" w:lineRule="exact"/>
              <w:rPr>
                <w:sz w:val="20"/>
                <w:szCs w:val="20"/>
                <w:color w:val="auto"/>
              </w:rPr>
            </w:pPr>
            <w:r>
              <w:rPr>
                <w:rFonts w:ascii="Arial" w:cs="Arial" w:eastAsia="Arial" w:hAnsi="Arial"/>
                <w:sz w:val="17"/>
                <w:szCs w:val="17"/>
                <w:color w:val="0000FF"/>
              </w:rPr>
              <w:t>and between Paymentus Holdings, Inc. and JPMC</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18"/>
              <w:spacing w:after="0" w:line="155" w:lineRule="exact"/>
              <w:rPr>
                <w:sz w:val="20"/>
                <w:szCs w:val="20"/>
                <w:color w:val="auto"/>
              </w:rPr>
            </w:pPr>
            <w:r>
              <w:rPr>
                <w:rFonts w:ascii="Arial" w:cs="Arial" w:eastAsia="Arial" w:hAnsi="Arial"/>
                <w:sz w:val="17"/>
                <w:szCs w:val="17"/>
                <w:color w:val="auto"/>
              </w:rPr>
              <w:t>2022</w:t>
            </w:r>
          </w:p>
        </w:tc>
        <w:tc>
          <w:tcPr>
            <w:tcW w:w="112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7"/>
                <w:szCs w:val="17"/>
                <w:color w:val="0000FF"/>
              </w:rPr>
              <w:t>Strategic Investments | Corporation.</w:t>
            </w:r>
          </w:p>
        </w:tc>
        <w:tc>
          <w:tcPr>
            <w:tcW w:w="4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535" w:right="439" w:bottom="1440" w:gutter="0" w:footer="0" w:header="0"/>
        </w:sectPr>
      </w:pPr>
    </w:p>
    <w:p>
      <w:pPr>
        <w:ind w:left="140"/>
        <w:spacing w:after="0"/>
        <w:tabs>
          <w:tab w:leader="none" w:pos="11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u w:val="single" w:color="auto"/>
          <w:color w:val="0000FF"/>
        </w:rPr>
        <w:t>Confirmatory Employment Letter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-3810</wp:posOffset>
            </wp:positionV>
            <wp:extent cx="23882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88235" cy="889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u w:val="single" w:color="auto"/>
          <w:color w:val="0000FF"/>
        </w:rPr>
        <w:t>Paymentus Holdings, Inc. and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-16510</wp:posOffset>
            </wp:positionV>
            <wp:extent cx="21532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ind w:left="140"/>
        <w:spacing w:after="0" w:line="224" w:lineRule="auto"/>
        <w:tabs>
          <w:tab w:leader="none" w:pos="11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FF"/>
        </w:rPr>
        <w:t>Certification of Principal Executive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-3810</wp:posOffset>
            </wp:positionV>
            <wp:extent cx="26028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ind w:left="1160"/>
        <w:spacing w:after="0" w:line="215" w:lineRule="auto"/>
        <w:rPr>
          <w:sz w:val="20"/>
          <w:szCs w:val="20"/>
          <w:color w:val="auto"/>
        </w:rPr>
      </w:pPr>
      <w:r>
        <w:rPr>
          <w:rFonts w:ascii="Arial" w:cs="Arial" w:eastAsia="Arial" w:hAnsi="Arial"/>
          <w:sz w:val="17"/>
          <w:szCs w:val="17"/>
          <w:u w:val="single" w:color="auto"/>
          <w:color w:val="0000FF"/>
        </w:rPr>
        <w:t>Rules 13a-14(a) and 15d-14(a)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-3810</wp:posOffset>
            </wp:positionV>
            <wp:extent cx="25146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14600" cy="8255"/>
                    </a:xfrm>
                    <a:prstGeom prst="rect">
                      <a:avLst/>
                    </a:prstGeom>
                    <a:noFill/>
                  </pic:spPr>
                </pic:pic>
              </a:graphicData>
            </a:graphic>
          </wp:anchor>
        </w:drawing>
      </w:r>
    </w:p>
    <w:p>
      <w:pPr>
        <w:ind w:left="1160"/>
        <w:spacing w:after="0" w:line="216" w:lineRule="auto"/>
        <w:rPr>
          <w:sz w:val="20"/>
          <w:szCs w:val="20"/>
          <w:color w:val="auto"/>
        </w:rPr>
      </w:pPr>
      <w:r>
        <w:rPr>
          <w:rFonts w:ascii="Arial" w:cs="Arial" w:eastAsia="Arial" w:hAnsi="Arial"/>
          <w:sz w:val="17"/>
          <w:szCs w:val="17"/>
          <w:u w:val="single" w:color="auto"/>
          <w:color w:val="0000FF"/>
        </w:rPr>
        <w:t>Exchange Act of 1934, as Adopted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-3810</wp:posOffset>
            </wp:positionV>
            <wp:extent cx="26777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77795"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u w:val="single" w:color="auto"/>
          <w:color w:val="0000FF"/>
        </w:rPr>
        <w:t>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-16510</wp:posOffset>
            </wp:positionV>
            <wp:extent cx="18999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99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27" w:lineRule="exact"/>
        <w:rPr>
          <w:sz w:val="20"/>
          <w:szCs w:val="20"/>
          <w:color w:val="auto"/>
        </w:rPr>
      </w:pPr>
    </w:p>
    <w:p>
      <w:pPr>
        <w:sectPr>
          <w:pgSz w:w="11900" w:h="16838" w:orient="portrait"/>
          <w:cols w:equalWidth="0" w:num="2">
            <w:col w:w="9840" w:space="720"/>
            <w:col w:w="580"/>
          </w:cols>
          <w:pgMar w:left="320" w:top="535" w:right="439" w:bottom="1440" w:gutter="0" w:footer="0" w:header="0"/>
          <w:type w:val="continuous"/>
        </w:sectPr>
      </w:pPr>
    </w:p>
    <w:tbl>
      <w:tblPr>
        <w:tblLayout w:type="fixed"/>
        <w:tblInd w:w="140" w:type="dxa"/>
        <w:tblCellMar>
          <w:top w:w="0" w:type="dxa"/>
          <w:left w:w="0" w:type="dxa"/>
          <w:bottom w:w="0" w:type="dxa"/>
          <w:right w:w="0" w:type="dxa"/>
        </w:tblCellMar>
      </w:tblPr>
      <w:tr>
        <w:trPr>
          <w:trHeight w:val="175"/>
        </w:trPr>
        <w:tc>
          <w:tcPr>
            <w:tcW w:w="1020" w:type="dxa"/>
            <w:vAlign w:val="bottom"/>
          </w:tcPr>
          <w:p>
            <w:pPr>
              <w:spacing w:after="0" w:line="176" w:lineRule="exact"/>
              <w:rPr>
                <w:sz w:val="20"/>
                <w:szCs w:val="20"/>
                <w:color w:val="auto"/>
              </w:rPr>
            </w:pPr>
            <w:r>
              <w:rPr>
                <w:rFonts w:ascii="Arial" w:cs="Arial" w:eastAsia="Arial" w:hAnsi="Arial"/>
                <w:sz w:val="17"/>
                <w:szCs w:val="17"/>
                <w:color w:val="auto"/>
              </w:rPr>
              <w:t>31.2</w:t>
            </w:r>
          </w:p>
        </w:tc>
        <w:tc>
          <w:tcPr>
            <w:tcW w:w="4260" w:type="dxa"/>
            <w:vAlign w:val="bottom"/>
            <w:gridSpan w:val="13"/>
          </w:tcPr>
          <w:p>
            <w:pPr>
              <w:spacing w:after="0" w:line="176" w:lineRule="exact"/>
              <w:rPr>
                <w:sz w:val="20"/>
                <w:szCs w:val="20"/>
                <w:color w:val="auto"/>
              </w:rPr>
            </w:pPr>
            <w:r>
              <w:rPr>
                <w:rFonts w:ascii="Arial" w:cs="Arial" w:eastAsia="Arial" w:hAnsi="Arial"/>
                <w:sz w:val="17"/>
                <w:szCs w:val="17"/>
                <w:color w:val="0000FF"/>
              </w:rPr>
              <w:t>Certification of Principal Financial Officer Pursuant to</w:t>
            </w:r>
          </w:p>
        </w:tc>
        <w:tc>
          <w:tcPr>
            <w:tcW w:w="5260" w:type="dxa"/>
            <w:vAlign w:val="bottom"/>
          </w:tcPr>
          <w:p>
            <w:pPr>
              <w:ind w:left="5140"/>
              <w:spacing w:after="0" w:line="176" w:lineRule="exact"/>
              <w:rPr>
                <w:sz w:val="20"/>
                <w:szCs w:val="20"/>
                <w:color w:val="auto"/>
              </w:rPr>
            </w:pPr>
            <w:r>
              <w:rPr>
                <w:rFonts w:ascii="Arial" w:cs="Arial" w:eastAsia="Arial" w:hAnsi="Arial"/>
                <w:sz w:val="17"/>
                <w:szCs w:val="17"/>
                <w:color w:val="auto"/>
                <w:w w:val="87"/>
              </w:rPr>
              <w:t>X</w:t>
            </w: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7"/>
          </w:tcPr>
          <w:p>
            <w:pPr>
              <w:spacing w:after="0" w:line="155" w:lineRule="exact"/>
              <w:rPr>
                <w:sz w:val="20"/>
                <w:szCs w:val="20"/>
                <w:color w:val="auto"/>
              </w:rPr>
            </w:pPr>
            <w:r>
              <w:rPr>
                <w:rFonts w:ascii="Arial" w:cs="Arial" w:eastAsia="Arial" w:hAnsi="Arial"/>
                <w:sz w:val="17"/>
                <w:szCs w:val="17"/>
                <w:color w:val="0000FF"/>
              </w:rPr>
              <w:t>Rules 13a-14(a) and 15d-14(a) under the Securities</w:t>
            </w: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6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12"/>
          </w:tcPr>
          <w:p>
            <w:pPr>
              <w:spacing w:after="0" w:line="155" w:lineRule="exact"/>
              <w:rPr>
                <w:sz w:val="20"/>
                <w:szCs w:val="20"/>
                <w:color w:val="auto"/>
              </w:rPr>
            </w:pPr>
            <w:r>
              <w:rPr>
                <w:rFonts w:ascii="Arial" w:cs="Arial" w:eastAsia="Arial" w:hAnsi="Arial"/>
                <w:sz w:val="17"/>
                <w:szCs w:val="17"/>
                <w:color w:val="0000FF"/>
              </w:rPr>
              <w:t>Exchange Act of 1934, as Adopted Pursuant to Section</w:t>
            </w:r>
          </w:p>
        </w:tc>
        <w:tc>
          <w:tcPr>
            <w:tcW w:w="526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98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7"/>
                <w:szCs w:val="17"/>
                <w:color w:val="0000FF"/>
                <w:w w:val="99"/>
              </w:rPr>
              <w:t>302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120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5260" w:type="dxa"/>
            <w:vAlign w:val="bottom"/>
          </w:tcPr>
          <w:p>
            <w:pPr>
              <w:spacing w:after="0"/>
              <w:rPr>
                <w:sz w:val="13"/>
                <w:szCs w:val="13"/>
                <w:color w:val="auto"/>
              </w:rPr>
            </w:pPr>
          </w:p>
        </w:tc>
      </w:tr>
      <w:tr>
        <w:trPr>
          <w:trHeight w:val="183"/>
        </w:trPr>
        <w:tc>
          <w:tcPr>
            <w:tcW w:w="1020" w:type="dxa"/>
            <w:vAlign w:val="bottom"/>
          </w:tcPr>
          <w:p>
            <w:pPr>
              <w:spacing w:after="0" w:line="169" w:lineRule="exact"/>
              <w:rPr>
                <w:sz w:val="20"/>
                <w:szCs w:val="20"/>
                <w:color w:val="auto"/>
              </w:rPr>
            </w:pPr>
            <w:r>
              <w:rPr>
                <w:rFonts w:ascii="Arial" w:cs="Arial" w:eastAsia="Arial" w:hAnsi="Arial"/>
                <w:sz w:val="17"/>
                <w:szCs w:val="17"/>
                <w:color w:val="auto"/>
              </w:rPr>
              <w:t>32.1*</w:t>
            </w:r>
          </w:p>
        </w:tc>
        <w:tc>
          <w:tcPr>
            <w:tcW w:w="4260" w:type="dxa"/>
            <w:vAlign w:val="bottom"/>
            <w:gridSpan w:val="13"/>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w:t>
            </w:r>
          </w:p>
        </w:tc>
        <w:tc>
          <w:tcPr>
            <w:tcW w:w="5260" w:type="dxa"/>
            <w:vAlign w:val="bottom"/>
          </w:tcPr>
          <w:p>
            <w:pPr>
              <w:ind w:left="5140"/>
              <w:spacing w:after="0" w:line="169" w:lineRule="exact"/>
              <w:rPr>
                <w:sz w:val="20"/>
                <w:szCs w:val="20"/>
                <w:color w:val="auto"/>
              </w:rPr>
            </w:pPr>
            <w:r>
              <w:rPr>
                <w:rFonts w:ascii="Arial" w:cs="Arial" w:eastAsia="Arial" w:hAnsi="Arial"/>
                <w:sz w:val="18"/>
                <w:szCs w:val="18"/>
                <w:color w:val="auto"/>
                <w:w w:val="82"/>
              </w:rPr>
              <w:t>X</w:t>
            </w:r>
          </w:p>
        </w:tc>
      </w:tr>
      <w:tr>
        <w:trPr>
          <w:trHeight w:val="156"/>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0"/>
          </w:tcPr>
          <w:p>
            <w:pPr>
              <w:spacing w:after="0" w:line="155" w:lineRule="exact"/>
              <w:rPr>
                <w:sz w:val="20"/>
                <w:szCs w:val="20"/>
                <w:color w:val="auto"/>
              </w:rPr>
            </w:pPr>
            <w:r>
              <w:rPr>
                <w:rFonts w:ascii="Arial" w:cs="Arial" w:eastAsia="Arial" w:hAnsi="Arial"/>
                <w:sz w:val="17"/>
                <w:szCs w:val="17"/>
                <w:color w:val="0000FF"/>
              </w:rPr>
              <w:t>18 U.S.C. Section 1350, as Adopted Pursuant to</w:t>
            </w:r>
          </w:p>
        </w:tc>
        <w:tc>
          <w:tcPr>
            <w:tcW w:w="140" w:type="dxa"/>
            <w:vAlign w:val="bottom"/>
            <w:gridSpan w:val="2"/>
          </w:tcPr>
          <w:p>
            <w:pPr>
              <w:spacing w:after="0"/>
              <w:rPr>
                <w:sz w:val="13"/>
                <w:szCs w:val="13"/>
                <w:color w:val="auto"/>
              </w:rPr>
            </w:pPr>
          </w:p>
        </w:tc>
        <w:tc>
          <w:tcPr>
            <w:tcW w:w="526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600" w:type="dxa"/>
            <w:vAlign w:val="bottom"/>
            <w:tcBorders>
              <w:top w:val="single" w:sz="8" w:color="0000FF"/>
              <w:bottom w:val="single" w:sz="8" w:color="0000FF"/>
            </w:tcBorders>
            <w:gridSpan w:val="4"/>
          </w:tcPr>
          <w:p>
            <w:pPr>
              <w:spacing w:after="0" w:line="155" w:lineRule="exact"/>
              <w:rPr>
                <w:sz w:val="20"/>
                <w:szCs w:val="20"/>
                <w:color w:val="auto"/>
              </w:rPr>
            </w:pPr>
            <w:r>
              <w:rPr>
                <w:rFonts w:ascii="Arial" w:cs="Arial" w:eastAsia="Arial" w:hAnsi="Arial"/>
                <w:sz w:val="17"/>
                <w:szCs w:val="17"/>
                <w:color w:val="0000FF"/>
                <w:w w:val="99"/>
              </w:rPr>
              <w:t>Section 906 of the Sarbanes-Oxley Act of 2002.</w:t>
            </w:r>
          </w:p>
        </w:tc>
        <w:tc>
          <w:tcPr>
            <w:tcW w:w="20" w:type="dxa"/>
            <w:vAlign w:val="bottom"/>
            <w:tcBorders>
              <w:top w:val="single" w:sz="8" w:color="0000FF"/>
              <w:bottom w:val="single" w:sz="8" w:color="0000EE"/>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5260" w:type="dxa"/>
            <w:vAlign w:val="bottom"/>
          </w:tcPr>
          <w:p>
            <w:pPr>
              <w:spacing w:after="0"/>
              <w:rPr>
                <w:sz w:val="13"/>
                <w:szCs w:val="13"/>
                <w:color w:val="auto"/>
              </w:rPr>
            </w:pPr>
          </w:p>
        </w:tc>
      </w:tr>
      <w:tr>
        <w:trPr>
          <w:trHeight w:val="183"/>
        </w:trPr>
        <w:tc>
          <w:tcPr>
            <w:tcW w:w="1020" w:type="dxa"/>
            <w:vAlign w:val="bottom"/>
          </w:tcPr>
          <w:p>
            <w:pPr>
              <w:spacing w:after="0" w:line="169" w:lineRule="exact"/>
              <w:rPr>
                <w:sz w:val="20"/>
                <w:szCs w:val="20"/>
                <w:color w:val="auto"/>
              </w:rPr>
            </w:pPr>
            <w:r>
              <w:rPr>
                <w:rFonts w:ascii="Arial" w:cs="Arial" w:eastAsia="Arial" w:hAnsi="Arial"/>
                <w:sz w:val="17"/>
                <w:szCs w:val="17"/>
                <w:color w:val="auto"/>
              </w:rPr>
              <w:t>32.2*</w:t>
            </w:r>
          </w:p>
        </w:tc>
        <w:tc>
          <w:tcPr>
            <w:tcW w:w="4260" w:type="dxa"/>
            <w:vAlign w:val="bottom"/>
            <w:gridSpan w:val="13"/>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18</w:t>
            </w:r>
          </w:p>
        </w:tc>
        <w:tc>
          <w:tcPr>
            <w:tcW w:w="5260" w:type="dxa"/>
            <w:vAlign w:val="bottom"/>
          </w:tcPr>
          <w:p>
            <w:pPr>
              <w:ind w:left="5140"/>
              <w:spacing w:after="0" w:line="169" w:lineRule="exact"/>
              <w:rPr>
                <w:sz w:val="20"/>
                <w:szCs w:val="20"/>
                <w:color w:val="auto"/>
              </w:rPr>
            </w:pPr>
            <w:r>
              <w:rPr>
                <w:rFonts w:ascii="Arial" w:cs="Arial" w:eastAsia="Arial" w:hAnsi="Arial"/>
                <w:sz w:val="18"/>
                <w:szCs w:val="18"/>
                <w:color w:val="auto"/>
                <w:w w:val="82"/>
              </w:rPr>
              <w:t>X</w:t>
            </w:r>
          </w:p>
        </w:tc>
      </w:tr>
      <w:tr>
        <w:trPr>
          <w:trHeight w:val="155"/>
        </w:trPr>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2"/>
          </w:tcPr>
          <w:p>
            <w:pPr>
              <w:spacing w:after="0" w:line="155" w:lineRule="exact"/>
              <w:rPr>
                <w:sz w:val="20"/>
                <w:szCs w:val="20"/>
                <w:color w:val="auto"/>
              </w:rPr>
            </w:pPr>
            <w:r>
              <w:rPr>
                <w:rFonts w:ascii="Arial" w:cs="Arial" w:eastAsia="Arial" w:hAnsi="Arial"/>
                <w:sz w:val="17"/>
                <w:szCs w:val="17"/>
                <w:color w:val="0000FF"/>
              </w:rPr>
              <w:t>U.S.C. Section 1350, as Adopted Pursuant to Section</w:t>
            </w:r>
          </w:p>
        </w:tc>
        <w:tc>
          <w:tcPr>
            <w:tcW w:w="526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020" w:type="dxa"/>
            <w:vAlign w:val="bottom"/>
            <w:tcBorders>
              <w:top w:val="single" w:sz="8" w:color="0000FF"/>
              <w:bottom w:val="single" w:sz="8" w:color="0000EE"/>
            </w:tcBorders>
            <w:gridSpan w:val="3"/>
          </w:tcPr>
          <w:p>
            <w:pPr>
              <w:spacing w:after="0" w:line="155" w:lineRule="exact"/>
              <w:rPr>
                <w:sz w:val="20"/>
                <w:szCs w:val="20"/>
                <w:color w:val="auto"/>
              </w:rPr>
            </w:pPr>
            <w:r>
              <w:rPr>
                <w:rFonts w:ascii="Arial" w:cs="Arial" w:eastAsia="Arial" w:hAnsi="Arial"/>
                <w:sz w:val="17"/>
                <w:szCs w:val="17"/>
                <w:color w:val="0000FF"/>
              </w:rPr>
              <w:t>906 of the Sarbanes-Oxley Act of 2002.</w:t>
            </w:r>
          </w:p>
        </w:tc>
        <w:tc>
          <w:tcPr>
            <w:tcW w:w="106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5260" w:type="dxa"/>
            <w:vAlign w:val="bottom"/>
          </w:tcPr>
          <w:p>
            <w:pPr>
              <w:spacing w:after="0"/>
              <w:rPr>
                <w:sz w:val="13"/>
                <w:szCs w:val="13"/>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7"/>
                <w:szCs w:val="17"/>
                <w:color w:val="auto"/>
              </w:rPr>
              <w:t>101.INS</w:t>
            </w:r>
          </w:p>
        </w:tc>
        <w:tc>
          <w:tcPr>
            <w:tcW w:w="4260" w:type="dxa"/>
            <w:vAlign w:val="bottom"/>
            <w:gridSpan w:val="13"/>
          </w:tcPr>
          <w:p>
            <w:pPr>
              <w:spacing w:after="0" w:line="190" w:lineRule="exact"/>
              <w:rPr>
                <w:sz w:val="20"/>
                <w:szCs w:val="20"/>
                <w:color w:val="auto"/>
              </w:rPr>
            </w:pPr>
            <w:r>
              <w:rPr>
                <w:rFonts w:ascii="Arial" w:cs="Arial" w:eastAsia="Arial" w:hAnsi="Arial"/>
                <w:sz w:val="17"/>
                <w:szCs w:val="17"/>
                <w:color w:val="auto"/>
              </w:rPr>
              <w:t>Inline XBRL Instance Document – the instance</w:t>
            </w:r>
          </w:p>
        </w:tc>
        <w:tc>
          <w:tcPr>
            <w:tcW w:w="5260" w:type="dxa"/>
            <w:vAlign w:val="bottom"/>
          </w:tcPr>
          <w:p>
            <w:pPr>
              <w:spacing w:after="0"/>
              <w:rPr>
                <w:sz w:val="16"/>
                <w:szCs w:val="16"/>
                <w:color w:val="auto"/>
              </w:rPr>
            </w:pPr>
          </w:p>
        </w:tc>
      </w:tr>
      <w:tr>
        <w:trPr>
          <w:trHeight w:val="175"/>
        </w:trPr>
        <w:tc>
          <w:tcPr>
            <w:tcW w:w="1020" w:type="dxa"/>
            <w:vAlign w:val="bottom"/>
          </w:tcPr>
          <w:p>
            <w:pPr>
              <w:spacing w:after="0"/>
              <w:rPr>
                <w:sz w:val="15"/>
                <w:szCs w:val="15"/>
                <w:color w:val="auto"/>
              </w:rPr>
            </w:pPr>
          </w:p>
        </w:tc>
        <w:tc>
          <w:tcPr>
            <w:tcW w:w="4260" w:type="dxa"/>
            <w:vAlign w:val="bottom"/>
            <w:gridSpan w:val="13"/>
          </w:tcPr>
          <w:p>
            <w:pPr>
              <w:spacing w:after="0" w:line="176" w:lineRule="exact"/>
              <w:rPr>
                <w:sz w:val="20"/>
                <w:szCs w:val="20"/>
                <w:color w:val="auto"/>
              </w:rPr>
            </w:pPr>
            <w:r>
              <w:rPr>
                <w:rFonts w:ascii="Arial" w:cs="Arial" w:eastAsia="Arial" w:hAnsi="Arial"/>
                <w:sz w:val="17"/>
                <w:szCs w:val="17"/>
                <w:color w:val="auto"/>
              </w:rPr>
              <w:t>document does not appear in the Interactive Data File</w:t>
            </w:r>
          </w:p>
        </w:tc>
        <w:tc>
          <w:tcPr>
            <w:tcW w:w="5260" w:type="dxa"/>
            <w:vAlign w:val="bottom"/>
          </w:tcPr>
          <w:p>
            <w:pPr>
              <w:spacing w:after="0"/>
              <w:rPr>
                <w:sz w:val="15"/>
                <w:szCs w:val="15"/>
                <w:color w:val="auto"/>
              </w:rPr>
            </w:pPr>
          </w:p>
        </w:tc>
      </w:tr>
      <w:tr>
        <w:trPr>
          <w:trHeight w:val="175"/>
        </w:trPr>
        <w:tc>
          <w:tcPr>
            <w:tcW w:w="1020" w:type="dxa"/>
            <w:vAlign w:val="bottom"/>
          </w:tcPr>
          <w:p>
            <w:pPr>
              <w:spacing w:after="0"/>
              <w:rPr>
                <w:sz w:val="15"/>
                <w:szCs w:val="15"/>
                <w:color w:val="auto"/>
              </w:rPr>
            </w:pPr>
          </w:p>
        </w:tc>
        <w:tc>
          <w:tcPr>
            <w:tcW w:w="4260" w:type="dxa"/>
            <w:vAlign w:val="bottom"/>
            <w:gridSpan w:val="13"/>
          </w:tcPr>
          <w:p>
            <w:pPr>
              <w:spacing w:after="0" w:line="176" w:lineRule="exact"/>
              <w:rPr>
                <w:sz w:val="20"/>
                <w:szCs w:val="20"/>
                <w:color w:val="auto"/>
              </w:rPr>
            </w:pPr>
            <w:r>
              <w:rPr>
                <w:rFonts w:ascii="Arial" w:cs="Arial" w:eastAsia="Arial" w:hAnsi="Arial"/>
                <w:sz w:val="17"/>
                <w:szCs w:val="17"/>
                <w:color w:val="auto"/>
              </w:rPr>
              <w:t>because XBRL tags are embedded within the Inline</w:t>
            </w:r>
          </w:p>
        </w:tc>
        <w:tc>
          <w:tcPr>
            <w:tcW w:w="5260" w:type="dxa"/>
            <w:vAlign w:val="bottom"/>
          </w:tcPr>
          <w:p>
            <w:pPr>
              <w:spacing w:after="0"/>
              <w:rPr>
                <w:sz w:val="15"/>
                <w:szCs w:val="15"/>
                <w:color w:val="auto"/>
              </w:rPr>
            </w:pPr>
          </w:p>
        </w:tc>
      </w:tr>
      <w:tr>
        <w:trPr>
          <w:trHeight w:val="203"/>
        </w:trPr>
        <w:tc>
          <w:tcPr>
            <w:tcW w:w="1020" w:type="dxa"/>
            <w:vAlign w:val="bottom"/>
          </w:tcPr>
          <w:p>
            <w:pPr>
              <w:spacing w:after="0"/>
              <w:rPr>
                <w:sz w:val="17"/>
                <w:szCs w:val="17"/>
                <w:color w:val="auto"/>
              </w:rPr>
            </w:pPr>
          </w:p>
        </w:tc>
        <w:tc>
          <w:tcPr>
            <w:tcW w:w="4260" w:type="dxa"/>
            <w:vAlign w:val="bottom"/>
            <w:gridSpan w:val="13"/>
          </w:tcPr>
          <w:p>
            <w:pPr>
              <w:spacing w:after="0"/>
              <w:rPr>
                <w:sz w:val="20"/>
                <w:szCs w:val="20"/>
                <w:color w:val="auto"/>
              </w:rPr>
            </w:pPr>
            <w:r>
              <w:rPr>
                <w:rFonts w:ascii="Arial" w:cs="Arial" w:eastAsia="Arial" w:hAnsi="Arial"/>
                <w:sz w:val="17"/>
                <w:szCs w:val="17"/>
                <w:color w:val="auto"/>
              </w:rPr>
              <w:t>XBRL document.</w:t>
            </w:r>
          </w:p>
        </w:tc>
        <w:tc>
          <w:tcPr>
            <w:tcW w:w="5260" w:type="dxa"/>
            <w:vAlign w:val="bottom"/>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4260" w:type="dxa"/>
            <w:vAlign w:val="bottom"/>
            <w:gridSpan w:val="13"/>
          </w:tcPr>
          <w:p>
            <w:pPr>
              <w:spacing w:after="0"/>
              <w:rPr>
                <w:sz w:val="20"/>
                <w:szCs w:val="20"/>
                <w:color w:val="auto"/>
              </w:rPr>
            </w:pPr>
            <w:r>
              <w:rPr>
                <w:rFonts w:ascii="Arial" w:cs="Arial" w:eastAsia="Arial" w:hAnsi="Arial"/>
                <w:sz w:val="17"/>
                <w:szCs w:val="17"/>
                <w:color w:val="auto"/>
              </w:rPr>
              <w:t>Inline XBRL Taxonomy Extension Schema Document</w:t>
            </w:r>
          </w:p>
        </w:tc>
        <w:tc>
          <w:tcPr>
            <w:tcW w:w="5260" w:type="dxa"/>
            <w:vAlign w:val="bottom"/>
          </w:tcPr>
          <w:p>
            <w:pPr>
              <w:spacing w:after="0"/>
              <w:rPr>
                <w:sz w:val="17"/>
                <w:szCs w:val="17"/>
                <w:color w:val="auto"/>
              </w:rPr>
            </w:pPr>
          </w:p>
        </w:tc>
      </w:tr>
      <w:tr>
        <w:trPr>
          <w:trHeight w:val="362"/>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4260" w:type="dxa"/>
            <w:vAlign w:val="bottom"/>
            <w:gridSpan w:val="13"/>
          </w:tcPr>
          <w:p>
            <w:pPr>
              <w:spacing w:after="0"/>
              <w:rPr>
                <w:sz w:val="20"/>
                <w:szCs w:val="20"/>
                <w:color w:val="auto"/>
              </w:rPr>
            </w:pPr>
            <w:r>
              <w:rPr>
                <w:rFonts w:ascii="Arial" w:cs="Arial" w:eastAsia="Arial" w:hAnsi="Arial"/>
                <w:sz w:val="17"/>
                <w:szCs w:val="17"/>
                <w:color w:val="auto"/>
              </w:rPr>
              <w:t>Inline XBRL Taxonomy Extension Calculation Linkbase</w:t>
            </w:r>
          </w:p>
        </w:tc>
        <w:tc>
          <w:tcPr>
            <w:tcW w:w="5260" w:type="dxa"/>
            <w:vAlign w:val="bottom"/>
          </w:tcPr>
          <w:p>
            <w:pPr>
              <w:spacing w:after="0"/>
              <w:rPr>
                <w:sz w:val="24"/>
                <w:szCs w:val="24"/>
                <w:color w:val="auto"/>
              </w:rPr>
            </w:pPr>
          </w:p>
        </w:tc>
      </w:tr>
      <w:tr>
        <w:trPr>
          <w:trHeight w:val="205"/>
        </w:trPr>
        <w:tc>
          <w:tcPr>
            <w:tcW w:w="1020" w:type="dxa"/>
            <w:vAlign w:val="bottom"/>
          </w:tcPr>
          <w:p>
            <w:pPr>
              <w:spacing w:after="0"/>
              <w:rPr>
                <w:sz w:val="17"/>
                <w:szCs w:val="17"/>
                <w:color w:val="auto"/>
              </w:rPr>
            </w:pPr>
          </w:p>
        </w:tc>
        <w:tc>
          <w:tcPr>
            <w:tcW w:w="4260" w:type="dxa"/>
            <w:vAlign w:val="bottom"/>
            <w:gridSpan w:val="13"/>
          </w:tcPr>
          <w:p>
            <w:pPr>
              <w:spacing w:after="0"/>
              <w:rPr>
                <w:sz w:val="20"/>
                <w:szCs w:val="20"/>
                <w:color w:val="auto"/>
              </w:rPr>
            </w:pPr>
            <w:r>
              <w:rPr>
                <w:rFonts w:ascii="Arial" w:cs="Arial" w:eastAsia="Arial" w:hAnsi="Arial"/>
                <w:sz w:val="17"/>
                <w:szCs w:val="17"/>
                <w:color w:val="auto"/>
              </w:rPr>
              <w:t>Document</w:t>
            </w:r>
          </w:p>
        </w:tc>
        <w:tc>
          <w:tcPr>
            <w:tcW w:w="5260" w:type="dxa"/>
            <w:vAlign w:val="bottom"/>
          </w:tcPr>
          <w:p>
            <w:pPr>
              <w:spacing w:after="0"/>
              <w:rPr>
                <w:sz w:val="17"/>
                <w:szCs w:val="17"/>
                <w:color w:val="auto"/>
              </w:rPr>
            </w:pPr>
          </w:p>
        </w:tc>
      </w:tr>
      <w:tr>
        <w:trPr>
          <w:trHeight w:val="187"/>
        </w:trPr>
        <w:tc>
          <w:tcPr>
            <w:tcW w:w="1020" w:type="dxa"/>
            <w:vAlign w:val="bottom"/>
          </w:tcPr>
          <w:p>
            <w:pPr>
              <w:spacing w:after="0" w:line="187" w:lineRule="exact"/>
              <w:rPr>
                <w:sz w:val="20"/>
                <w:szCs w:val="20"/>
                <w:color w:val="auto"/>
              </w:rPr>
            </w:pPr>
            <w:r>
              <w:rPr>
                <w:rFonts w:ascii="Arial" w:cs="Arial" w:eastAsia="Arial" w:hAnsi="Arial"/>
                <w:sz w:val="17"/>
                <w:szCs w:val="17"/>
                <w:color w:val="auto"/>
              </w:rPr>
              <w:t>101.DEF</w:t>
            </w:r>
          </w:p>
        </w:tc>
        <w:tc>
          <w:tcPr>
            <w:tcW w:w="4260" w:type="dxa"/>
            <w:vAlign w:val="bottom"/>
            <w:gridSpan w:val="13"/>
          </w:tcPr>
          <w:p>
            <w:pPr>
              <w:spacing w:after="0" w:line="187" w:lineRule="exact"/>
              <w:rPr>
                <w:sz w:val="20"/>
                <w:szCs w:val="20"/>
                <w:color w:val="auto"/>
              </w:rPr>
            </w:pPr>
            <w:r>
              <w:rPr>
                <w:rFonts w:ascii="Arial" w:cs="Arial" w:eastAsia="Arial" w:hAnsi="Arial"/>
                <w:sz w:val="17"/>
                <w:szCs w:val="17"/>
                <w:color w:val="auto"/>
              </w:rPr>
              <w:t>Inline XBRL Taxonomy Extension Definition Linkbase</w:t>
            </w:r>
          </w:p>
        </w:tc>
        <w:tc>
          <w:tcPr>
            <w:tcW w:w="5260" w:type="dxa"/>
            <w:vAlign w:val="bottom"/>
          </w:tcPr>
          <w:p>
            <w:pPr>
              <w:spacing w:after="0"/>
              <w:rPr>
                <w:sz w:val="16"/>
                <w:szCs w:val="16"/>
                <w:color w:val="auto"/>
              </w:rPr>
            </w:pPr>
          </w:p>
        </w:tc>
      </w:tr>
      <w:tr>
        <w:trPr>
          <w:trHeight w:val="205"/>
        </w:trPr>
        <w:tc>
          <w:tcPr>
            <w:tcW w:w="1020" w:type="dxa"/>
            <w:vAlign w:val="bottom"/>
          </w:tcPr>
          <w:p>
            <w:pPr>
              <w:spacing w:after="0"/>
              <w:rPr>
                <w:sz w:val="17"/>
                <w:szCs w:val="17"/>
                <w:color w:val="auto"/>
              </w:rPr>
            </w:pPr>
          </w:p>
        </w:tc>
        <w:tc>
          <w:tcPr>
            <w:tcW w:w="4260" w:type="dxa"/>
            <w:vAlign w:val="bottom"/>
            <w:gridSpan w:val="13"/>
          </w:tcPr>
          <w:p>
            <w:pPr>
              <w:spacing w:after="0"/>
              <w:rPr>
                <w:sz w:val="20"/>
                <w:szCs w:val="20"/>
                <w:color w:val="auto"/>
              </w:rPr>
            </w:pPr>
            <w:r>
              <w:rPr>
                <w:rFonts w:ascii="Arial" w:cs="Arial" w:eastAsia="Arial" w:hAnsi="Arial"/>
                <w:sz w:val="17"/>
                <w:szCs w:val="17"/>
                <w:color w:val="auto"/>
              </w:rPr>
              <w:t>Document</w:t>
            </w:r>
          </w:p>
        </w:tc>
        <w:tc>
          <w:tcPr>
            <w:tcW w:w="5260" w:type="dxa"/>
            <w:vAlign w:val="bottom"/>
          </w:tcPr>
          <w:p>
            <w:pPr>
              <w:spacing w:after="0"/>
              <w:rPr>
                <w:sz w:val="17"/>
                <w:szCs w:val="17"/>
                <w:color w:val="auto"/>
              </w:rPr>
            </w:pPr>
          </w:p>
        </w:tc>
      </w:tr>
      <w:tr>
        <w:trPr>
          <w:trHeight w:val="187"/>
        </w:trPr>
        <w:tc>
          <w:tcPr>
            <w:tcW w:w="1020" w:type="dxa"/>
            <w:vAlign w:val="bottom"/>
          </w:tcPr>
          <w:p>
            <w:pPr>
              <w:spacing w:after="0" w:line="187" w:lineRule="exact"/>
              <w:rPr>
                <w:sz w:val="20"/>
                <w:szCs w:val="20"/>
                <w:color w:val="auto"/>
              </w:rPr>
            </w:pPr>
            <w:r>
              <w:rPr>
                <w:rFonts w:ascii="Arial" w:cs="Arial" w:eastAsia="Arial" w:hAnsi="Arial"/>
                <w:sz w:val="17"/>
                <w:szCs w:val="17"/>
                <w:color w:val="auto"/>
              </w:rPr>
              <w:t>101.LAB</w:t>
            </w:r>
          </w:p>
        </w:tc>
        <w:tc>
          <w:tcPr>
            <w:tcW w:w="4260" w:type="dxa"/>
            <w:vAlign w:val="bottom"/>
            <w:gridSpan w:val="13"/>
          </w:tcPr>
          <w:p>
            <w:pPr>
              <w:spacing w:after="0" w:line="187" w:lineRule="exact"/>
              <w:rPr>
                <w:sz w:val="20"/>
                <w:szCs w:val="20"/>
                <w:color w:val="auto"/>
              </w:rPr>
            </w:pPr>
            <w:r>
              <w:rPr>
                <w:rFonts w:ascii="Arial" w:cs="Arial" w:eastAsia="Arial" w:hAnsi="Arial"/>
                <w:sz w:val="17"/>
                <w:szCs w:val="17"/>
                <w:color w:val="auto"/>
              </w:rPr>
              <w:t>Inline XBRL Taxonomy Extension Label Linkbase</w:t>
            </w:r>
          </w:p>
        </w:tc>
        <w:tc>
          <w:tcPr>
            <w:tcW w:w="5260" w:type="dxa"/>
            <w:vAlign w:val="bottom"/>
          </w:tcPr>
          <w:p>
            <w:pPr>
              <w:spacing w:after="0"/>
              <w:rPr>
                <w:sz w:val="16"/>
                <w:szCs w:val="16"/>
                <w:color w:val="auto"/>
              </w:rPr>
            </w:pPr>
          </w:p>
        </w:tc>
      </w:tr>
      <w:tr>
        <w:trPr>
          <w:trHeight w:val="205"/>
        </w:trPr>
        <w:tc>
          <w:tcPr>
            <w:tcW w:w="1020" w:type="dxa"/>
            <w:vAlign w:val="bottom"/>
          </w:tcPr>
          <w:p>
            <w:pPr>
              <w:spacing w:after="0"/>
              <w:rPr>
                <w:sz w:val="17"/>
                <w:szCs w:val="17"/>
                <w:color w:val="auto"/>
              </w:rPr>
            </w:pPr>
          </w:p>
        </w:tc>
        <w:tc>
          <w:tcPr>
            <w:tcW w:w="4260" w:type="dxa"/>
            <w:vAlign w:val="bottom"/>
            <w:gridSpan w:val="13"/>
          </w:tcPr>
          <w:p>
            <w:pPr>
              <w:spacing w:after="0"/>
              <w:rPr>
                <w:sz w:val="20"/>
                <w:szCs w:val="20"/>
                <w:color w:val="auto"/>
              </w:rPr>
            </w:pPr>
            <w:r>
              <w:rPr>
                <w:rFonts w:ascii="Arial" w:cs="Arial" w:eastAsia="Arial" w:hAnsi="Arial"/>
                <w:sz w:val="17"/>
                <w:szCs w:val="17"/>
                <w:color w:val="auto"/>
              </w:rPr>
              <w:t>Document</w:t>
            </w:r>
          </w:p>
        </w:tc>
        <w:tc>
          <w:tcPr>
            <w:tcW w:w="5260" w:type="dxa"/>
            <w:vAlign w:val="bottom"/>
          </w:tcPr>
          <w:p>
            <w:pPr>
              <w:spacing w:after="0"/>
              <w:rPr>
                <w:sz w:val="17"/>
                <w:szCs w:val="17"/>
                <w:color w:val="auto"/>
              </w:rPr>
            </w:pPr>
          </w:p>
        </w:tc>
      </w:tr>
      <w:tr>
        <w:trPr>
          <w:trHeight w:val="187"/>
        </w:trPr>
        <w:tc>
          <w:tcPr>
            <w:tcW w:w="1020" w:type="dxa"/>
            <w:vAlign w:val="bottom"/>
          </w:tcPr>
          <w:p>
            <w:pPr>
              <w:spacing w:after="0" w:line="187" w:lineRule="exact"/>
              <w:rPr>
                <w:sz w:val="20"/>
                <w:szCs w:val="20"/>
                <w:color w:val="auto"/>
              </w:rPr>
            </w:pPr>
            <w:r>
              <w:rPr>
                <w:rFonts w:ascii="Arial" w:cs="Arial" w:eastAsia="Arial" w:hAnsi="Arial"/>
                <w:sz w:val="17"/>
                <w:szCs w:val="17"/>
                <w:color w:val="auto"/>
              </w:rPr>
              <w:t>101.PRE</w:t>
            </w:r>
          </w:p>
        </w:tc>
        <w:tc>
          <w:tcPr>
            <w:tcW w:w="4260" w:type="dxa"/>
            <w:vAlign w:val="bottom"/>
            <w:gridSpan w:val="13"/>
          </w:tcPr>
          <w:p>
            <w:pPr>
              <w:spacing w:after="0" w:line="187" w:lineRule="exact"/>
              <w:rPr>
                <w:sz w:val="20"/>
                <w:szCs w:val="20"/>
                <w:color w:val="auto"/>
              </w:rPr>
            </w:pPr>
            <w:r>
              <w:rPr>
                <w:rFonts w:ascii="Arial" w:cs="Arial" w:eastAsia="Arial" w:hAnsi="Arial"/>
                <w:sz w:val="17"/>
                <w:szCs w:val="17"/>
                <w:color w:val="auto"/>
              </w:rPr>
              <w:t>Inline XBRL Taxonomy Extension Presentation</w:t>
            </w:r>
          </w:p>
        </w:tc>
        <w:tc>
          <w:tcPr>
            <w:tcW w:w="5260" w:type="dxa"/>
            <w:vAlign w:val="bottom"/>
          </w:tcPr>
          <w:p>
            <w:pPr>
              <w:spacing w:after="0"/>
              <w:rPr>
                <w:sz w:val="16"/>
                <w:szCs w:val="16"/>
                <w:color w:val="auto"/>
              </w:rPr>
            </w:pPr>
          </w:p>
        </w:tc>
      </w:tr>
      <w:tr>
        <w:trPr>
          <w:trHeight w:val="205"/>
        </w:trPr>
        <w:tc>
          <w:tcPr>
            <w:tcW w:w="1020" w:type="dxa"/>
            <w:vAlign w:val="bottom"/>
          </w:tcPr>
          <w:p>
            <w:pPr>
              <w:spacing w:after="0"/>
              <w:rPr>
                <w:sz w:val="17"/>
                <w:szCs w:val="17"/>
                <w:color w:val="auto"/>
              </w:rPr>
            </w:pPr>
          </w:p>
        </w:tc>
        <w:tc>
          <w:tcPr>
            <w:tcW w:w="4260" w:type="dxa"/>
            <w:vAlign w:val="bottom"/>
            <w:gridSpan w:val="13"/>
          </w:tcPr>
          <w:p>
            <w:pPr>
              <w:spacing w:after="0"/>
              <w:rPr>
                <w:sz w:val="20"/>
                <w:szCs w:val="20"/>
                <w:color w:val="auto"/>
              </w:rPr>
            </w:pPr>
            <w:r>
              <w:rPr>
                <w:rFonts w:ascii="Arial" w:cs="Arial" w:eastAsia="Arial" w:hAnsi="Arial"/>
                <w:sz w:val="17"/>
                <w:szCs w:val="17"/>
                <w:color w:val="auto"/>
              </w:rPr>
              <w:t>Linkbase Document</w:t>
            </w:r>
          </w:p>
        </w:tc>
        <w:tc>
          <w:tcPr>
            <w:tcW w:w="5260" w:type="dxa"/>
            <w:vAlign w:val="bottom"/>
          </w:tcPr>
          <w:p>
            <w:pPr>
              <w:spacing w:after="0"/>
              <w:rPr>
                <w:sz w:val="17"/>
                <w:szCs w:val="17"/>
                <w:color w:val="auto"/>
              </w:rPr>
            </w:pPr>
          </w:p>
        </w:tc>
      </w:tr>
    </w:tbl>
    <w:p>
      <w:pPr>
        <w:spacing w:after="0" w:line="11" w:lineRule="exact"/>
        <w:rPr>
          <w:sz w:val="20"/>
          <w:szCs w:val="20"/>
          <w:color w:val="auto"/>
        </w:rPr>
      </w:pPr>
    </w:p>
    <w:p>
      <w:pPr>
        <w:ind w:left="1160" w:right="6000" w:hanging="1024"/>
        <w:spacing w:after="0" w:line="233" w:lineRule="auto"/>
        <w:tabs>
          <w:tab w:leader="none" w:pos="11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38" w:lineRule="exact"/>
        <w:rPr>
          <w:rFonts w:ascii="Arial" w:cs="Arial" w:eastAsia="Arial" w:hAnsi="Arial"/>
          <w:sz w:val="17"/>
          <w:szCs w:val="17"/>
          <w:color w:val="auto"/>
        </w:rPr>
      </w:pPr>
    </w:p>
    <w:p>
      <w:pPr>
        <w:ind w:left="480" w:hanging="436"/>
        <w:spacing w:after="0"/>
        <w:tabs>
          <w:tab w:leader="none" w:pos="480" w:val="left"/>
        </w:tabs>
        <w:numPr>
          <w:ilvl w:val="1"/>
          <w:numId w:val="17"/>
        </w:numPr>
        <w:rPr>
          <w:rFonts w:ascii="Arial" w:cs="Arial" w:eastAsia="Arial" w:hAnsi="Arial"/>
          <w:sz w:val="14"/>
          <w:szCs w:val="14"/>
          <w:color w:val="auto"/>
        </w:rPr>
      </w:pPr>
      <w:r>
        <w:rPr>
          <w:rFonts w:ascii="Arial" w:cs="Arial" w:eastAsia="Arial" w:hAnsi="Arial"/>
          <w:sz w:val="18"/>
          <w:szCs w:val="18"/>
          <w:color w:val="auto"/>
        </w:rPr>
        <w:t>Indicates a management contract or compensatory plan or arrangement.</w:t>
      </w:r>
    </w:p>
    <w:p>
      <w:pPr>
        <w:spacing w:after="0" w:line="103" w:lineRule="exact"/>
        <w:rPr>
          <w:rFonts w:ascii="Arial" w:cs="Arial" w:eastAsia="Arial" w:hAnsi="Arial"/>
          <w:sz w:val="14"/>
          <w:szCs w:val="14"/>
          <w:color w:val="auto"/>
        </w:rPr>
      </w:pPr>
    </w:p>
    <w:p>
      <w:pPr>
        <w:ind w:right="20" w:firstLine="36"/>
        <w:spacing w:after="0" w:line="243" w:lineRule="auto"/>
        <w:rPr>
          <w:rFonts w:ascii="Arial" w:cs="Arial" w:eastAsia="Arial" w:hAnsi="Arial"/>
          <w:sz w:val="14"/>
          <w:szCs w:val="14"/>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5" w:right="439" w:bottom="1440" w:gutter="0" w:footer="0" w:header="0"/>
          <w:type w:val="continuous"/>
        </w:sectPr>
      </w:pPr>
    </w:p>
    <w:bookmarkStart w:id="39" w:name="page40"/>
    <w:bookmarkEnd w:id="39"/>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PAYMENTUS HOLDINGS, INC.</w:t>
      </w:r>
    </w:p>
    <w:p>
      <w:pPr>
        <w:spacing w:after="0" w:line="216"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20"/>
        <w:spacing w:after="0" w:line="234" w:lineRule="auto"/>
        <w:rPr>
          <w:sz w:val="20"/>
          <w:szCs w:val="20"/>
          <w:color w:val="auto"/>
        </w:rPr>
      </w:pPr>
      <w:r>
        <w:rPr>
          <w:rFonts w:ascii="Arial" w:cs="Arial" w:eastAsia="Arial" w:hAnsi="Arial"/>
          <w:sz w:val="18"/>
          <w:szCs w:val="18"/>
          <w:b w:val="1"/>
          <w:bCs w:val="1"/>
          <w:color w:val="auto"/>
        </w:rPr>
        <w:t>Chairman, President and 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Executive Officer)</w:t>
      </w:r>
    </w:p>
    <w:p>
      <w:pPr>
        <w:spacing w:after="0" w:line="194"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Seamon</w:t>
      </w:r>
    </w:p>
    <w:p>
      <w:pPr>
        <w:spacing w:after="0" w:line="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ind w:left="6120"/>
        <w:spacing w:after="0" w:line="234" w:lineRule="auto"/>
        <w:rPr>
          <w:sz w:val="20"/>
          <w:szCs w:val="20"/>
          <w:color w:val="auto"/>
        </w:rPr>
      </w:pPr>
      <w:r>
        <w:rPr>
          <w:rFonts w:ascii="Arial" w:cs="Arial" w:eastAsia="Arial" w:hAnsi="Arial"/>
          <w:sz w:val="18"/>
          <w:szCs w:val="18"/>
          <w:b w:val="1"/>
          <w:bCs w:val="1"/>
          <w:color w:val="auto"/>
        </w:rPr>
        <w:t>Interim 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3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19" w:right="7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273685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3225800</wp:posOffset>
            </wp:positionH>
            <wp:positionV relativeFrom="page">
              <wp:posOffset>217805</wp:posOffset>
            </wp:positionV>
            <wp:extent cx="1062990" cy="2571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257175"/>
                    </a:xfrm>
                    <a:prstGeom prst="rect">
                      <a:avLst/>
                    </a:prstGeom>
                    <a:noFill/>
                  </pic:spPr>
                </pic:pic>
              </a:graphicData>
            </a:graphic>
          </wp:anchor>
        </w:drawing>
        <w:t>November 10,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Paul Seamon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Andrew:</w:t>
      </w:r>
    </w:p>
    <w:p>
      <w:pPr>
        <w:spacing w:after="0" w:line="21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Paul Seamon (“</w:t>
      </w:r>
      <w:r>
        <w:rPr>
          <w:rFonts w:ascii="Arial" w:cs="Arial" w:eastAsia="Arial" w:hAnsi="Arial"/>
          <w:sz w:val="19"/>
          <w:szCs w:val="19"/>
          <w:b w:val="1"/>
          <w:bCs w:val="1"/>
          <w:color w:val="auto"/>
        </w:rPr>
        <w:t>you</w:t>
      </w:r>
      <w:r>
        <w:rPr>
          <w:rFonts w:ascii="Arial" w:cs="Arial" w:eastAsia="Arial" w:hAnsi="Arial"/>
          <w:sz w:val="19"/>
          <w:szCs w:val="19"/>
          <w:color w:val="auto"/>
        </w:rPr>
        <w:t>”) and Paymentus Holdings,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w:t>
      </w:r>
    </w:p>
    <w:p>
      <w:pPr>
        <w:spacing w:after="0" w:line="117" w:lineRule="exact"/>
        <w:rPr>
          <w:sz w:val="20"/>
          <w:szCs w:val="20"/>
          <w:color w:val="auto"/>
        </w:rPr>
      </w:pPr>
    </w:p>
    <w:p>
      <w:pPr>
        <w:jc w:val="both"/>
        <w:ind w:firstLine="757"/>
        <w:spacing w:after="0" w:line="243" w:lineRule="auto"/>
        <w:tabs>
          <w:tab w:leader="none" w:pos="1309"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Title and Position</w:t>
      </w:r>
      <w:r>
        <w:rPr>
          <w:rFonts w:ascii="Arial" w:cs="Arial" w:eastAsia="Arial" w:hAnsi="Arial"/>
          <w:sz w:val="22"/>
          <w:szCs w:val="22"/>
          <w:color w:val="auto"/>
        </w:rPr>
        <w:t>. You will continue to serve as the Company’s Vice President of Finance and Strategy, and as</w:t>
      </w:r>
      <w:r>
        <w:rPr>
          <w:rFonts w:ascii="Arial" w:cs="Arial" w:eastAsia="Arial" w:hAnsi="Arial"/>
          <w:sz w:val="22"/>
          <w:szCs w:val="22"/>
          <w:b w:val="1"/>
          <w:bCs w:val="1"/>
          <w:color w:val="auto"/>
        </w:rPr>
        <w:t xml:space="preserve"> </w:t>
      </w:r>
      <w:r>
        <w:rPr>
          <w:rFonts w:ascii="Arial" w:cs="Arial" w:eastAsia="Arial" w:hAnsi="Arial"/>
          <w:sz w:val="22"/>
          <w:szCs w:val="22"/>
          <w:color w:val="auto"/>
        </w:rPr>
        <w:t>of September 9, 2022, Interim Chief Financial Officer. You also will continue to report to the Company’s Chief Executive Officer (“CEO”) and will perform the duties and responsibilities customary for such position and such other related duties as are reasonably assigned by the CEO.</w:t>
      </w:r>
    </w:p>
    <w:p>
      <w:pPr>
        <w:spacing w:after="0" w:line="190" w:lineRule="exact"/>
        <w:rPr>
          <w:sz w:val="20"/>
          <w:szCs w:val="20"/>
          <w:color w:val="auto"/>
        </w:rPr>
      </w:pPr>
    </w:p>
    <w:p>
      <w:pPr>
        <w:jc w:val="both"/>
        <w:ind w:firstLine="757"/>
        <w:spacing w:after="0" w:line="287" w:lineRule="auto"/>
        <w:tabs>
          <w:tab w:leader="none" w:pos="1309"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Base Salary</w:t>
      </w:r>
      <w:r>
        <w:rPr>
          <w:rFonts w:ascii="Arial" w:cs="Arial" w:eastAsia="Arial" w:hAnsi="Arial"/>
          <w:sz w:val="19"/>
          <w:szCs w:val="19"/>
          <w:color w:val="auto"/>
        </w:rPr>
        <w:t>. As of the Effective Date, your annual base salary will be $335,000 (“</w:t>
      </w:r>
      <w:r>
        <w:rPr>
          <w:rFonts w:ascii="Arial" w:cs="Arial" w:eastAsia="Arial" w:hAnsi="Arial"/>
          <w:sz w:val="19"/>
          <w:szCs w:val="19"/>
          <w:b w:val="1"/>
          <w:bCs w:val="1"/>
          <w:color w:val="auto"/>
        </w:rPr>
        <w:t>Salary</w:t>
      </w:r>
      <w:r>
        <w:rPr>
          <w:rFonts w:ascii="Arial" w:cs="Arial" w:eastAsia="Arial" w:hAnsi="Arial"/>
          <w:sz w:val="19"/>
          <w:szCs w:val="19"/>
          <w:color w:val="auto"/>
        </w:rPr>
        <w:t>”), which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less any applicable withholdings, in accordance with the Company’s normal payroll practices. Your base salary will be subject to review and adjustment from time to time by the CEO, in his sole discretion, provided however, while you serve as Interim Chief Financial Officer, your base salary will be subject to review and adjustment from time to time by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or its Compensation Committee (the “</w:t>
      </w:r>
      <w:r>
        <w:rPr>
          <w:rFonts w:ascii="Arial" w:cs="Arial" w:eastAsia="Arial" w:hAnsi="Arial"/>
          <w:sz w:val="19"/>
          <w:szCs w:val="19"/>
          <w:b w:val="1"/>
          <w:bCs w:val="1"/>
          <w:color w:val="auto"/>
        </w:rPr>
        <w:t>Committee</w:t>
      </w:r>
      <w:r>
        <w:rPr>
          <w:rFonts w:ascii="Arial" w:cs="Arial" w:eastAsia="Arial" w:hAnsi="Arial"/>
          <w:sz w:val="19"/>
          <w:szCs w:val="19"/>
          <w:color w:val="auto"/>
        </w:rPr>
        <w:t>”), as applicable, in its sole discretion.</w:t>
      </w:r>
    </w:p>
    <w:p>
      <w:pPr>
        <w:spacing w:after="0" w:line="151" w:lineRule="exact"/>
        <w:rPr>
          <w:rFonts w:ascii="Arial" w:cs="Arial" w:eastAsia="Arial" w:hAnsi="Arial"/>
          <w:sz w:val="19"/>
          <w:szCs w:val="19"/>
          <w:color w:val="auto"/>
        </w:rPr>
      </w:pPr>
    </w:p>
    <w:p>
      <w:pPr>
        <w:jc w:val="both"/>
        <w:ind w:firstLine="757"/>
        <w:spacing w:after="0" w:line="283" w:lineRule="auto"/>
        <w:tabs>
          <w:tab w:leader="none" w:pos="1309"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Annual Bonus</w:t>
      </w:r>
      <w:r>
        <w:rPr>
          <w:rFonts w:ascii="Arial" w:cs="Arial" w:eastAsia="Arial" w:hAnsi="Arial"/>
          <w:sz w:val="19"/>
          <w:szCs w:val="19"/>
          <w:color w:val="auto"/>
        </w:rPr>
        <w:t>. For the Company’s 2023 fiscal year, you will be eligible for a target annual cash bonus</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equal to $150,000. Any annual bonus will be subject to (i) performance and other criteria established by CEO, in his sole discretion, provided however, while you serve as Interim Chief Financial Officer, any annual bonus will be subject to performance and other criteria established by the Board or the Committee, as applicable, in its sole discretion, and (ii) your continued employment through the date that bonus is paid to you. The CEO, Board or the Committee, as applicable and in his or its sole discretion, may approve that the Company grant additional discretionary bonus amounts to you.</w:t>
      </w:r>
    </w:p>
    <w:p>
      <w:pPr>
        <w:spacing w:after="0" w:line="155" w:lineRule="exact"/>
        <w:rPr>
          <w:rFonts w:ascii="Arial" w:cs="Arial" w:eastAsia="Arial" w:hAnsi="Arial"/>
          <w:sz w:val="19"/>
          <w:szCs w:val="19"/>
          <w:color w:val="auto"/>
        </w:rPr>
      </w:pPr>
    </w:p>
    <w:p>
      <w:pPr>
        <w:jc w:val="both"/>
        <w:ind w:firstLine="757"/>
        <w:spacing w:after="0" w:line="249" w:lineRule="auto"/>
        <w:tabs>
          <w:tab w:leader="none" w:pos="1309"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 You will be eligible to receive awards of stock options or other equity awards pursuant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plans or arrangements the Company may have in effect from time to time, as approved by the Board or Committee, as applicable, in its sole discretion.</w:t>
      </w:r>
    </w:p>
    <w:p>
      <w:pPr>
        <w:spacing w:after="0" w:line="171" w:lineRule="exact"/>
        <w:rPr>
          <w:rFonts w:ascii="Arial" w:cs="Arial" w:eastAsia="Arial" w:hAnsi="Arial"/>
          <w:sz w:val="22"/>
          <w:szCs w:val="22"/>
          <w:color w:val="auto"/>
        </w:rPr>
      </w:pPr>
    </w:p>
    <w:p>
      <w:pPr>
        <w:jc w:val="both"/>
        <w:ind w:firstLine="757"/>
        <w:spacing w:after="0" w:line="249" w:lineRule="auto"/>
        <w:tabs>
          <w:tab w:leader="none" w:pos="1309"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You will continue to be eligible to participate in the benefit plans and programs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for its employees from time to time, subject to their applicable terms and conditions, including without limitation any eligibility requirements.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22"/>
          <w:szCs w:val="22"/>
          <w:color w:val="auto"/>
        </w:rPr>
        <w:t>Company reserves the right to modify, amend, suspend or terminate the benefit plans, programs, and arrangements it offers to its employees at any time.</w:t>
      </w:r>
    </w:p>
    <w:p>
      <w:pPr>
        <w:spacing w:after="0" w:line="155" w:lineRule="exact"/>
        <w:rPr>
          <w:sz w:val="20"/>
          <w:szCs w:val="20"/>
          <w:color w:val="auto"/>
        </w:rPr>
      </w:pPr>
    </w:p>
    <w:p>
      <w:pPr>
        <w:jc w:val="both"/>
        <w:ind w:firstLine="757"/>
        <w:spacing w:after="0" w:line="308" w:lineRule="auto"/>
        <w:tabs>
          <w:tab w:leader="none" w:pos="1309"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Severance</w:t>
      </w:r>
      <w:r>
        <w:rPr>
          <w:rFonts w:ascii="Arial" w:cs="Arial" w:eastAsia="Arial" w:hAnsi="Arial"/>
          <w:sz w:val="19"/>
          <w:szCs w:val="19"/>
          <w:color w:val="auto"/>
        </w:rPr>
        <w:t>. Subject to approval by the Board and/or Compensation Committee of the Board, you will be eligible</w:t>
      </w:r>
      <w:r>
        <w:rPr>
          <w:rFonts w:ascii="Arial" w:cs="Arial" w:eastAsia="Arial" w:hAnsi="Arial"/>
          <w:sz w:val="19"/>
          <w:szCs w:val="19"/>
          <w:b w:val="1"/>
          <w:bCs w:val="1"/>
          <w:color w:val="auto"/>
        </w:rPr>
        <w:t xml:space="preserve"> </w:t>
      </w:r>
      <w:r>
        <w:rPr>
          <w:rFonts w:ascii="Arial" w:cs="Arial" w:eastAsia="Arial" w:hAnsi="Arial"/>
          <w:sz w:val="19"/>
          <w:szCs w:val="19"/>
          <w:color w:val="auto"/>
        </w:rPr>
        <w:t>to participate in the Company’s Change in Control and Severance Agreement (the “</w:t>
      </w:r>
      <w:r>
        <w:rPr>
          <w:rFonts w:ascii="Arial" w:cs="Arial" w:eastAsia="Arial" w:hAnsi="Arial"/>
          <w:sz w:val="19"/>
          <w:szCs w:val="19"/>
          <w:b w:val="1"/>
          <w:bCs w:val="1"/>
          <w:color w:val="auto"/>
        </w:rPr>
        <w:t>CIC Agreement</w:t>
      </w:r>
      <w:r>
        <w:rPr>
          <w:rFonts w:ascii="Arial" w:cs="Arial" w:eastAsia="Arial" w:hAnsi="Arial"/>
          <w:sz w:val="19"/>
          <w:szCs w:val="19"/>
          <w:color w:val="auto"/>
        </w:rPr>
        <w:t>”) established, and as may be in effect from time to time, for senior-level employees that is applicable to you consistent with your position within the Company.</w:t>
      </w:r>
    </w:p>
    <w:p>
      <w:pPr>
        <w:spacing w:after="0" w:line="117" w:lineRule="exact"/>
        <w:rPr>
          <w:rFonts w:ascii="Arial" w:cs="Arial" w:eastAsia="Arial" w:hAnsi="Arial"/>
          <w:sz w:val="19"/>
          <w:szCs w:val="19"/>
          <w:color w:val="auto"/>
        </w:rPr>
      </w:pPr>
    </w:p>
    <w:p>
      <w:pPr>
        <w:jc w:val="both"/>
        <w:ind w:firstLine="757"/>
        <w:spacing w:after="0" w:line="249" w:lineRule="auto"/>
        <w:tabs>
          <w:tab w:leader="none" w:pos="1309"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Your acceptance of this Agreement confirms that the terms of the Employment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Covenants Agreement between you and the Company dated August 14, 2020,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71" w:lineRule="exact"/>
        <w:rPr>
          <w:rFonts w:ascii="Arial" w:cs="Arial" w:eastAsia="Arial" w:hAnsi="Arial"/>
          <w:sz w:val="22"/>
          <w:szCs w:val="22"/>
          <w:color w:val="auto"/>
        </w:rPr>
      </w:pPr>
    </w:p>
    <w:p>
      <w:pPr>
        <w:jc w:val="both"/>
        <w:ind w:firstLine="757"/>
        <w:spacing w:after="0" w:line="260" w:lineRule="exact"/>
        <w:tabs>
          <w:tab w:leader="none" w:pos="1309"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This Agreement does not imply any right to your continued employment for any period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or any of its affiliates. Your employment with the Company is for no specified period and will continue to constitute at</w:t>
      </w:r>
      <w:r>
        <w:rPr>
          <w:rFonts w:ascii="MS PGothic" w:cs="MS PGothic" w:eastAsia="MS PGothic" w:hAnsi="MS PGothic"/>
          <w:sz w:val="22"/>
          <w:szCs w:val="22"/>
          <w:color w:val="auto"/>
        </w:rPr>
        <w:t>‑</w:t>
      </w:r>
      <w:r>
        <w:rPr>
          <w:rFonts w:ascii="Arial" w:cs="Arial" w:eastAsia="Arial" w:hAnsi="Arial"/>
          <w:sz w:val="22"/>
          <w:szCs w:val="22"/>
          <w:color w:val="auto"/>
        </w:rPr>
        <w:t>will employment.</w:t>
      </w:r>
    </w:p>
    <w:p>
      <w:pPr>
        <w:spacing w:after="0" w:line="194" w:lineRule="exact"/>
        <w:rPr>
          <w:rFonts w:ascii="Arial" w:cs="Arial" w:eastAsia="Arial" w:hAnsi="Arial"/>
          <w:sz w:val="22"/>
          <w:szCs w:val="22"/>
          <w:color w:val="auto"/>
        </w:rPr>
      </w:pPr>
    </w:p>
    <w:p>
      <w:pPr>
        <w:jc w:val="both"/>
        <w:ind w:firstLine="757"/>
        <w:spacing w:after="0" w:line="277" w:lineRule="auto"/>
        <w:tabs>
          <w:tab w:leader="none" w:pos="1309"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Company (or its affiliate, as applicable) will have the right and authority to deduct from any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or benefits under this Agreement or require you to remit to the Company (prior to providing any such payments or benefits), all applicable federal, 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64" w:lineRule="exact"/>
        <w:rPr>
          <w:rFonts w:ascii="Arial" w:cs="Arial" w:eastAsia="Arial" w:hAnsi="Arial"/>
          <w:sz w:val="19"/>
          <w:szCs w:val="19"/>
          <w:color w:val="auto"/>
        </w:rPr>
      </w:pPr>
    </w:p>
    <w:p>
      <w:pPr>
        <w:jc w:val="both"/>
        <w:ind w:firstLine="757"/>
        <w:spacing w:after="0" w:line="249" w:lineRule="auto"/>
        <w:tabs>
          <w:tab w:leader="none" w:pos="1309"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Protected Activity Not Prohibited</w:t>
      </w:r>
      <w:r>
        <w:rPr>
          <w:rFonts w:ascii="Arial" w:cs="Arial" w:eastAsia="Arial" w:hAnsi="Arial"/>
          <w:sz w:val="21"/>
          <w:szCs w:val="21"/>
          <w:color w:val="auto"/>
        </w:rPr>
        <w:t>. Notwithstanding any contrary provision of the Agreement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21"/>
          <w:szCs w:val="21"/>
          <w:b w:val="1"/>
          <w:bCs w:val="1"/>
          <w:color w:val="auto"/>
        </w:rPr>
        <w:t>Protected Activity</w:t>
      </w:r>
      <w:r>
        <w:rPr>
          <w:rFonts w:ascii="Arial" w:cs="Arial" w:eastAsia="Arial" w:hAnsi="Arial"/>
          <w:sz w:val="21"/>
          <w:szCs w:val="21"/>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21"/>
          <w:szCs w:val="21"/>
          <w:b w:val="1"/>
          <w:bCs w:val="1"/>
          <w:color w:val="auto"/>
        </w:rPr>
        <w:t>Governmental</w:t>
      </w:r>
      <w:r>
        <w:rPr>
          <w:rFonts w:ascii="Arial" w:cs="Arial" w:eastAsia="Arial" w:hAnsi="Arial"/>
          <w:sz w:val="21"/>
          <w:szCs w:val="21"/>
          <w:color w:val="auto"/>
        </w:rPr>
        <w:t xml:space="preserve"> </w:t>
      </w:r>
      <w:r>
        <w:rPr>
          <w:rFonts w:ascii="Arial" w:cs="Arial" w:eastAsia="Arial" w:hAnsi="Arial"/>
          <w:sz w:val="21"/>
          <w:szCs w:val="21"/>
          <w:b w:val="1"/>
          <w:bCs w:val="1"/>
          <w:color w:val="auto"/>
        </w:rPr>
        <w:t>Entity</w:t>
      </w:r>
      <w:r>
        <w:rPr>
          <w:rFonts w:ascii="Arial" w:cs="Arial" w:eastAsia="Arial" w:hAnsi="Arial"/>
          <w:sz w:val="21"/>
          <w:szCs w:val="21"/>
          <w:color w:val="auto"/>
        </w:rPr>
        <w:t>”) with respect to possible violations of any U.S. federal, state or local law or regulation, or otherwise making disclosures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any Governmental Entity, in each case, that are protected under the whistleblower provisions of any such law or regulation; </w:t>
      </w:r>
      <w:r>
        <w:rPr>
          <w:rFonts w:ascii="Arial" w:cs="Arial" w:eastAsia="Arial" w:hAnsi="Arial"/>
          <w:sz w:val="21"/>
          <w:szCs w:val="21"/>
          <w:u w:val="single" w:color="auto"/>
          <w:color w:val="auto"/>
        </w:rPr>
        <w:t>provided that</w:t>
      </w:r>
      <w:r>
        <w:rPr>
          <w:rFonts w:ascii="Arial" w:cs="Arial" w:eastAsia="Arial" w:hAnsi="Arial"/>
          <w:sz w:val="21"/>
          <w:szCs w:val="21"/>
          <w:color w:val="auto"/>
        </w:rPr>
        <w:t>, in each case, such communications and disclosures are consistent with applicable law. Notwithstanding the foregoing, you agree to take all reasonable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9"/>
          <w:szCs w:val="19"/>
          <w:color w:val="auto"/>
        </w:rPr>
        <w:t>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63" w:lineRule="exact"/>
        <w:rPr>
          <w:sz w:val="20"/>
          <w:szCs w:val="20"/>
          <w:color w:val="auto"/>
        </w:rPr>
      </w:pPr>
    </w:p>
    <w:p>
      <w:pPr>
        <w:jc w:val="both"/>
        <w:ind w:firstLine="757"/>
        <w:spacing w:after="0" w:line="239" w:lineRule="auto"/>
        <w:tabs>
          <w:tab w:leader="none" w:pos="1309"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 This Agreement, together with the Confidentiality Agreement, your CIC Agreement dated on or</w:t>
      </w:r>
      <w:r>
        <w:rPr>
          <w:rFonts w:ascii="Arial" w:cs="Arial" w:eastAsia="Arial" w:hAnsi="Arial"/>
          <w:sz w:val="22"/>
          <w:szCs w:val="22"/>
          <w:b w:val="1"/>
          <w:bCs w:val="1"/>
          <w:color w:val="auto"/>
        </w:rPr>
        <w:t xml:space="preserve"> </w:t>
      </w:r>
      <w:r>
        <w:rPr>
          <w:rFonts w:ascii="Arial" w:cs="Arial" w:eastAsia="Arial" w:hAnsi="Arial"/>
          <w:sz w:val="22"/>
          <w:szCs w:val="22"/>
          <w:color w:val="auto"/>
        </w:rPr>
        <w:t>about the date hereof, and 2021 Equity Incentive Plan and award agreements governing the equity awards granted to you by the Company, constitute the entire agreement between you and the Company regarding the material terms and conditions of your employment, and they supersede and replace all prior representations or agreements between you and the Company. This Agreement will be governed by the laws of the State of North Carolina but without regard to the conflicts of law provision. This Agreement may be modified only by a written agreement signed by a duly authorized officer of the Company (other than yourself) and you.</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44" w:name="page45"/>
    <w:bookmarkEnd w:id="44"/>
    <w:p>
      <w:pPr>
        <w:ind w:firstLine="749"/>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PAYMENTUS HOLDINGS,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 /s/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-17780</wp:posOffset>
            </wp:positionV>
            <wp:extent cx="19621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62150" cy="8890"/>
                    </a:xfrm>
                    <a:prstGeom prst="rect">
                      <a:avLst/>
                    </a:prstGeom>
                    <a:noFill/>
                  </pic:spPr>
                </pic:pic>
              </a:graphicData>
            </a:graphic>
          </wp:anchor>
        </w:drawing>
      </w:r>
    </w:p>
    <w:p>
      <w:pPr>
        <w:ind w:left="5620"/>
        <w:spacing w:after="0" w:line="238" w:lineRule="auto"/>
        <w:rPr>
          <w:sz w:val="20"/>
          <w:szCs w:val="20"/>
          <w:color w:val="auto"/>
        </w:rPr>
      </w:pPr>
      <w:r>
        <w:rPr>
          <w:rFonts w:ascii="Arial" w:cs="Arial" w:eastAsia="Arial" w:hAnsi="Arial"/>
          <w:sz w:val="22"/>
          <w:szCs w:val="22"/>
          <w:color w:val="auto"/>
        </w:rPr>
        <w:t>Dushyant Sharma</w:t>
      </w:r>
    </w:p>
    <w:p>
      <w:pPr>
        <w:ind w:left="5620"/>
        <w:spacing w:after="0"/>
        <w:rPr>
          <w:sz w:val="20"/>
          <w:szCs w:val="20"/>
          <w:color w:val="auto"/>
        </w:rPr>
      </w:pPr>
      <w:r>
        <w:rPr>
          <w:rFonts w:ascii="Arial" w:cs="Arial" w:eastAsia="Arial" w:hAnsi="Arial"/>
          <w:sz w:val="22"/>
          <w:szCs w:val="22"/>
          <w:color w:val="auto"/>
        </w:rPr>
        <w:t>President and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972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Paul Seamon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45" w:name="page46"/>
    <w:bookmarkEnd w:id="45"/>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0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08"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60" w:hanging="372"/>
        <w:spacing w:after="0" w:line="253"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6"/>
          <w:szCs w:val="16"/>
          <w:color w:val="auto"/>
        </w:rPr>
      </w:pPr>
    </w:p>
    <w:p>
      <w:pPr>
        <w:ind w:left="380" w:right="500" w:hanging="372"/>
        <w:spacing w:after="0" w:line="260"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6"/>
          <w:szCs w:val="16"/>
          <w:color w:val="auto"/>
        </w:rPr>
      </w:pPr>
    </w:p>
    <w:p>
      <w:pPr>
        <w:ind w:left="380" w:right="680" w:hanging="372"/>
        <w:spacing w:after="0" w:line="260"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27" w:lineRule="exact"/>
        <w:rPr>
          <w:rFonts w:ascii="Arial" w:cs="Arial" w:eastAsia="Arial" w:hAnsi="Arial"/>
          <w:sz w:val="16"/>
          <w:szCs w:val="16"/>
          <w:color w:val="auto"/>
        </w:rPr>
      </w:pPr>
    </w:p>
    <w:p>
      <w:pPr>
        <w:ind w:left="1060" w:right="160" w:hanging="678"/>
        <w:spacing w:after="0" w:line="244" w:lineRule="auto"/>
        <w:tabs>
          <w:tab w:leader="none" w:pos="7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060" w:right="400" w:hanging="678"/>
        <w:spacing w:after="0" w:line="260" w:lineRule="auto"/>
        <w:tabs>
          <w:tab w:leader="none" w:pos="7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6"/>
          <w:szCs w:val="16"/>
          <w:color w:val="auto"/>
        </w:rPr>
      </w:pPr>
    </w:p>
    <w:p>
      <w:pPr>
        <w:ind w:left="1060" w:hanging="678"/>
        <w:spacing w:after="0" w:line="253" w:lineRule="auto"/>
        <w:tabs>
          <w:tab w:leader="none" w:pos="7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6"/>
          <w:szCs w:val="16"/>
          <w:color w:val="auto"/>
        </w:rPr>
      </w:pPr>
    </w:p>
    <w:p>
      <w:pPr>
        <w:ind w:left="380" w:right="440" w:hanging="372"/>
        <w:spacing w:after="0" w:line="260"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6"/>
          <w:szCs w:val="16"/>
          <w:color w:val="auto"/>
        </w:rPr>
      </w:pPr>
    </w:p>
    <w:p>
      <w:pPr>
        <w:ind w:left="1060" w:right="340" w:hanging="678"/>
        <w:spacing w:after="0" w:line="260" w:lineRule="auto"/>
        <w:tabs>
          <w:tab w:leader="none" w:pos="7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060" w:right="280" w:hanging="678"/>
        <w:spacing w:after="0" w:line="242" w:lineRule="auto"/>
        <w:tabs>
          <w:tab w:leader="none" w:pos="7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5640" w:val="left"/>
          <w:tab w:leader="none" w:pos="782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6" w:name="page47"/>
    <w:bookmarkEnd w:id="46"/>
    <w:p>
      <w:pPr>
        <w:ind w:left="1030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ind w:right="-19"/>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Paul Seamon, certify that:</w:t>
      </w:r>
    </w:p>
    <w:p>
      <w:pPr>
        <w:spacing w:after="0" w:line="208"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60" w:hanging="372"/>
        <w:spacing w:after="0" w:line="253"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6"/>
          <w:szCs w:val="16"/>
          <w:color w:val="auto"/>
        </w:rPr>
      </w:pPr>
    </w:p>
    <w:p>
      <w:pPr>
        <w:ind w:left="380" w:right="500" w:hanging="372"/>
        <w:spacing w:after="0" w:line="260"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6"/>
          <w:szCs w:val="16"/>
          <w:color w:val="auto"/>
        </w:rPr>
      </w:pPr>
    </w:p>
    <w:p>
      <w:pPr>
        <w:ind w:left="380" w:right="680" w:hanging="372"/>
        <w:spacing w:after="0" w:line="260"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27" w:lineRule="exact"/>
        <w:rPr>
          <w:rFonts w:ascii="Arial" w:cs="Arial" w:eastAsia="Arial" w:hAnsi="Arial"/>
          <w:sz w:val="16"/>
          <w:szCs w:val="16"/>
          <w:color w:val="auto"/>
        </w:rPr>
      </w:pPr>
    </w:p>
    <w:p>
      <w:pPr>
        <w:ind w:left="1060" w:right="160" w:hanging="678"/>
        <w:spacing w:after="0" w:line="244"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060" w:right="400" w:hanging="678"/>
        <w:spacing w:after="0" w:line="260"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6"/>
          <w:szCs w:val="16"/>
          <w:color w:val="auto"/>
        </w:rPr>
      </w:pPr>
    </w:p>
    <w:p>
      <w:pPr>
        <w:ind w:left="1060" w:hanging="678"/>
        <w:spacing w:after="0" w:line="253"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6"/>
          <w:szCs w:val="16"/>
          <w:color w:val="auto"/>
        </w:rPr>
      </w:pPr>
    </w:p>
    <w:p>
      <w:pPr>
        <w:ind w:left="380" w:right="440" w:hanging="372"/>
        <w:spacing w:after="0" w:line="260"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6"/>
          <w:szCs w:val="16"/>
          <w:color w:val="auto"/>
        </w:rPr>
      </w:pPr>
    </w:p>
    <w:p>
      <w:pPr>
        <w:ind w:left="1060" w:right="340" w:hanging="678"/>
        <w:spacing w:after="0" w:line="260"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060" w:right="280" w:hanging="678"/>
        <w:spacing w:after="0" w:line="242"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5640" w:val="left"/>
          <w:tab w:leader="none" w:pos="800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Paul Seamon</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Interim Chief Financial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20" w:firstLine="578"/>
        <w:spacing w:after="0" w:line="244"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September 30, 2022 as filed with the Securities and Exchange Commission on the date hereof (the “Report”), I certify, pursuant to 18 U.S.C. § 1350, as adopted pursuant to § 906 of the Sarbanes-Oxley Act of 2002, that:</w:t>
      </w:r>
    </w:p>
    <w:p>
      <w:pPr>
        <w:spacing w:after="0" w:line="222" w:lineRule="exact"/>
        <w:rPr>
          <w:sz w:val="20"/>
          <w:szCs w:val="20"/>
          <w:color w:val="auto"/>
        </w:rPr>
      </w:pPr>
    </w:p>
    <w:p>
      <w:pPr>
        <w:ind w:left="1020" w:hanging="999"/>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20" w:right="800" w:hanging="899"/>
        <w:spacing w:after="0" w:line="242"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5640" w:val="left"/>
          <w:tab w:leader="none" w:pos="786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20" w:firstLine="578"/>
        <w:spacing w:after="0" w:line="244"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September 30, 2022 as filed with the Securities and Exchange Commission on the date hereof (the “Report”), I certify, pursuant to 18 U.S.C. § 1350, as adopted pursuant to § 906 of the Sarbanes-Oxley Act of 2002, that:</w:t>
      </w:r>
    </w:p>
    <w:p>
      <w:pPr>
        <w:spacing w:after="0" w:line="222" w:lineRule="exact"/>
        <w:rPr>
          <w:sz w:val="20"/>
          <w:szCs w:val="20"/>
          <w:color w:val="auto"/>
        </w:rPr>
      </w:pPr>
    </w:p>
    <w:p>
      <w:pPr>
        <w:ind w:left="1020" w:hanging="999"/>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right="680" w:hanging="1019"/>
        <w:spacing w:after="0" w:line="2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20955</wp:posOffset>
            </wp:positionV>
            <wp:extent cx="33172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Paul Seamon</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Interim Chief Financial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lvl w:ilvl="1">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2022-11-10T19:40:03Z</dcterms:created>
  <dcterms:modified xsi:type="dcterms:W3CDTF">2022-11-10T19:40:03Z</dcterms:modified>
</cp:coreProperties>
</file>