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8176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176895"/>
                    </a:xfrm>
                    <a:prstGeom prst="rect">
                      <a:avLst/>
                    </a:prstGeom>
                    <a:noFill/>
                  </pic:spPr>
                </pic:pic>
              </a:graphicData>
            </a:graphic>
          </wp:anchor>
        </w:drawing>
      </w:r>
    </w:p>
    <w:p>
      <w:pPr>
        <w:spacing w:after="0" w:line="1017" w:lineRule="exact"/>
        <w:rPr>
          <w:sz w:val="24"/>
          <w:szCs w:val="24"/>
          <w:color w:val="auto"/>
        </w:rPr>
      </w:pPr>
    </w:p>
    <w:p>
      <w:pPr>
        <w:sectPr>
          <w:pgSz w:w="11900" w:h="16894" w:orient="portrait"/>
          <w:cols w:equalWidth="0" w:num="2">
            <w:col w:w="2300" w:space="40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vMerge w:val="restart"/>
          </w:tcPr>
          <w:p>
            <w:pPr>
              <w:ind w:left="20"/>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Palumbo Robert</w:t>
              </w:r>
            </w:hyperlink>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7"/>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Paymentus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vMerge w:val="restart"/>
          </w:tcPr>
          <w:p>
            <w:pPr>
              <w:jc w:val="center"/>
              <w:ind w:left="62"/>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60" w:type="dxa"/>
            <w:vAlign w:val="bottom"/>
            <w:gridSpan w:val="7"/>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ACCEL-KKR</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11/19/2025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4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   CA</w:t>
            </w: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gridSpan w:val="2"/>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1020" w:type="dxa"/>
            <w:vAlign w:val="bottom"/>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5"/>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8"/>
          </w:tcPr>
          <w:p>
            <w:pPr>
              <w:ind w:left="10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92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60" w:type="dxa"/>
            <w:vAlign w:val="bottom"/>
          </w:tcPr>
          <w:p>
            <w:pPr>
              <w:jc w:val="center"/>
              <w:ind w:right="187"/>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9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jc w:val="center"/>
              <w:ind w:right="187"/>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4"/>
          </w:tcPr>
          <w:p>
            <w:pPr>
              <w:spacing w:after="0"/>
              <w:rPr>
                <w:sz w:val="6"/>
                <w:szCs w:val="6"/>
                <w:color w:val="auto"/>
              </w:rPr>
            </w:pPr>
          </w:p>
        </w:tc>
        <w:tc>
          <w:tcPr>
            <w:tcW w:w="2060" w:type="dxa"/>
            <w:vAlign w:val="bottom"/>
            <w:tcBorders>
              <w:bottom w:val="single" w:sz="8" w:color="2C2C2C"/>
            </w:tcBorders>
            <w:gridSpan w:val="5"/>
          </w:tcPr>
          <w:p>
            <w:pPr>
              <w:spacing w:after="0"/>
              <w:rPr>
                <w:sz w:val="6"/>
                <w:szCs w:val="6"/>
                <w:color w:val="auto"/>
              </w:rPr>
            </w:pPr>
          </w:p>
        </w:tc>
        <w:tc>
          <w:tcPr>
            <w:tcW w:w="2140" w:type="dxa"/>
            <w:vAlign w:val="bottom"/>
            <w:tcBorders>
              <w:bottom w:val="single" w:sz="8" w:color="2C2C2C"/>
            </w:tcBorders>
            <w:gridSpan w:val="6"/>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7"/>
          </w:tcPr>
          <w:p>
            <w:pPr>
              <w:jc w:val="center"/>
              <w:ind w:right="1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6"/>
          </w:tcPr>
          <w:p>
            <w:pPr>
              <w:jc w:val="center"/>
              <w:ind w:left="41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and 4)</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jc w:val="center"/>
              <w:ind w:right="740"/>
              <w:spacing w:after="0" w:line="124"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Exercisable</w:t>
            </w: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4"/>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1,000,000</w:t>
            </w: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11/19/2025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1,000,000</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4,364,707</w:t>
            </w:r>
          </w:p>
        </w:tc>
        <w:tc>
          <w:tcPr>
            <w:tcW w:w="60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60"/>
              <w:spacing w:after="0" w:line="23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gridSpan w:val="3"/>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21,395,285</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restart"/>
          </w:tcPr>
          <w:p>
            <w:pPr>
              <w:jc w:val="center"/>
              <w:ind w:right="2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21,395,285</w:t>
            </w:r>
          </w:p>
        </w:tc>
        <w:tc>
          <w:tcPr>
            <w:tcW w:w="600" w:type="dxa"/>
            <w:vAlign w:val="bottom"/>
            <w:vMerge w:val="restart"/>
          </w:tcPr>
          <w:p>
            <w:pPr>
              <w:jc w:val="center"/>
              <w:ind w:left="42"/>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CV III,</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center"/>
              <w:ind w:right="2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1,183,406</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1,183,406</w:t>
            </w:r>
          </w:p>
        </w:tc>
        <w:tc>
          <w:tcPr>
            <w:tcW w:w="600" w:type="dxa"/>
            <w:vAlign w:val="bottom"/>
          </w:tcPr>
          <w:p>
            <w:pPr>
              <w:jc w:val="center"/>
              <w:ind w:left="42"/>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Members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60"/>
              <w:spacing w:after="0" w:line="222"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78"/>
              <w:spacing w:after="0" w:line="174" w:lineRule="exact"/>
              <w:rPr>
                <w:sz w:val="20"/>
                <w:szCs w:val="20"/>
                <w:color w:val="auto"/>
              </w:rPr>
            </w:pPr>
            <w:r>
              <w:rPr>
                <w:rFonts w:ascii="Times New Roman" w:cs="Times New Roman" w:eastAsia="Times New Roman" w:hAnsi="Times New Roman"/>
                <w:sz w:val="16"/>
                <w:szCs w:val="16"/>
                <w:color w:val="0000FF"/>
                <w:w w:val="99"/>
              </w:rPr>
              <w:t>900,687</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restart"/>
          </w:tcPr>
          <w:p>
            <w:pPr>
              <w:jc w:val="center"/>
              <w:ind w:right="2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900,687</w:t>
            </w:r>
          </w:p>
        </w:tc>
        <w:tc>
          <w:tcPr>
            <w:tcW w:w="600" w:type="dxa"/>
            <w:vAlign w:val="bottom"/>
            <w:vMerge w:val="restart"/>
          </w:tcPr>
          <w:p>
            <w:pPr>
              <w:jc w:val="center"/>
              <w:ind w:left="42"/>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2"/>
                <w:szCs w:val="2"/>
                <w:color w:val="0000FF"/>
              </w:rPr>
              <w:t>Capital</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24"/>
                <w:szCs w:val="24"/>
                <w:color w:val="0000FF"/>
                <w:w w:val="93"/>
                <w:vertAlign w:val="subscript"/>
              </w:rPr>
              <w:t>III, LP</w:t>
            </w:r>
            <w:r>
              <w:rPr>
                <w:rFonts w:ascii="Times New Roman" w:cs="Times New Roman" w:eastAsia="Times New Roman" w:hAnsi="Times New Roman"/>
                <w:sz w:val="10"/>
                <w:szCs w:val="10"/>
                <w:color w:val="008000"/>
                <w:w w:val="93"/>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78"/>
              <w:spacing w:after="0"/>
              <w:rPr>
                <w:sz w:val="20"/>
                <w:szCs w:val="20"/>
                <w:color w:val="auto"/>
              </w:rPr>
            </w:pPr>
            <w:r>
              <w:rPr>
                <w:rFonts w:ascii="Times New Roman" w:cs="Times New Roman" w:eastAsia="Times New Roman" w:hAnsi="Times New Roman"/>
                <w:sz w:val="16"/>
                <w:szCs w:val="16"/>
                <w:color w:val="0000FF"/>
                <w:w w:val="99"/>
              </w:rPr>
              <w:t>30,184</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30,184</w:t>
            </w:r>
          </w:p>
        </w:tc>
        <w:tc>
          <w:tcPr>
            <w:tcW w:w="60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Partners II</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right w:val="single" w:sz="8" w:color="2C2C2C"/>
            </w:tcBorders>
            <w:gridSpan w:val="3"/>
          </w:tcPr>
          <w:p>
            <w:pPr>
              <w:ind w:left="160"/>
              <w:spacing w:after="0" w:line="161" w:lineRule="exact"/>
              <w:rPr>
                <w:sz w:val="20"/>
                <w:szCs w:val="20"/>
                <w:color w:val="auto"/>
              </w:rPr>
            </w:pPr>
            <w:r>
              <w:rPr>
                <w:rFonts w:ascii="Times New Roman" w:cs="Times New Roman" w:eastAsia="Times New Roman" w:hAnsi="Times New Roman"/>
                <w:sz w:val="11"/>
                <w:szCs w:val="11"/>
                <w:color w:val="0000FF"/>
              </w:rPr>
              <w:t>Fund, LP</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78"/>
              <w:spacing w:after="0" w:line="174" w:lineRule="exact"/>
              <w:rPr>
                <w:sz w:val="20"/>
                <w:szCs w:val="20"/>
                <w:color w:val="auto"/>
              </w:rPr>
            </w:pPr>
            <w:r>
              <w:rPr>
                <w:rFonts w:ascii="Times New Roman" w:cs="Times New Roman" w:eastAsia="Times New Roman" w:hAnsi="Times New Roman"/>
                <w:sz w:val="16"/>
                <w:szCs w:val="16"/>
                <w:color w:val="0000FF"/>
                <w:w w:val="99"/>
              </w:rPr>
              <w:t>355,825</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restart"/>
          </w:tcPr>
          <w:p>
            <w:pPr>
              <w:jc w:val="center"/>
              <w:ind w:right="2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355,825</w:t>
            </w:r>
          </w:p>
        </w:tc>
        <w:tc>
          <w:tcPr>
            <w:tcW w:w="600" w:type="dxa"/>
            <w:vAlign w:val="bottom"/>
            <w:vMerge w:val="restart"/>
          </w:tcPr>
          <w:p>
            <w:pPr>
              <w:jc w:val="center"/>
              <w:ind w:left="42"/>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2"/>
                <w:szCs w:val="2"/>
                <w:color w:val="0000FF"/>
              </w:rPr>
              <w:t>Capital</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Partners II,</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AKKR SC</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78"/>
              <w:spacing w:after="0" w:line="174" w:lineRule="exact"/>
              <w:rPr>
                <w:sz w:val="20"/>
                <w:szCs w:val="20"/>
                <w:color w:val="auto"/>
              </w:rPr>
            </w:pPr>
            <w:r>
              <w:rPr>
                <w:rFonts w:ascii="Times New Roman" w:cs="Times New Roman" w:eastAsia="Times New Roman" w:hAnsi="Times New Roman"/>
                <w:sz w:val="16"/>
                <w:szCs w:val="16"/>
                <w:color w:val="0000FF"/>
                <w:w w:val="99"/>
              </w:rPr>
              <w:t>820,762</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GPI</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80" w:type="dxa"/>
            <w:vAlign w:val="bottom"/>
            <w:vMerge w:val="restart"/>
          </w:tcPr>
          <w:p>
            <w:pPr>
              <w:jc w:val="center"/>
              <w:ind w:right="2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820,762</w:t>
            </w:r>
          </w:p>
        </w:tc>
        <w:tc>
          <w:tcPr>
            <w:tcW w:w="600" w:type="dxa"/>
            <w:vAlign w:val="bottom"/>
            <w:vMerge w:val="restart"/>
          </w:tcPr>
          <w:p>
            <w:pPr>
              <w:jc w:val="center"/>
              <w:ind w:left="42"/>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2"/>
                <w:szCs w:val="2"/>
                <w:color w:val="0000FF"/>
              </w:rPr>
              <w:t>HoldCo</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6,572,937</w:t>
            </w:r>
            <w:r>
              <w:rPr>
                <w:rFonts w:ascii="Times New Roman" w:cs="Times New Roman" w:eastAsia="Times New Roman" w:hAnsi="Times New Roman"/>
                <w:sz w:val="20"/>
                <w:szCs w:val="20"/>
                <w:color w:val="008000"/>
                <w:w w:val="95"/>
                <w:vertAlign w:val="superscript"/>
              </w:rPr>
              <w:t>(5)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80" w:type="dxa"/>
            <w:vAlign w:val="bottom"/>
          </w:tcPr>
          <w:p>
            <w:pPr>
              <w:jc w:val="center"/>
              <w:ind w:righ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6,572,937</w:t>
            </w:r>
          </w:p>
        </w:tc>
        <w:tc>
          <w:tcPr>
            <w:tcW w:w="600" w:type="dxa"/>
            <w:vAlign w:val="bottom"/>
          </w:tcPr>
          <w:p>
            <w:pPr>
              <w:jc w:val="center"/>
              <w:ind w:left="42"/>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-5642610</wp:posOffset>
            </wp:positionV>
            <wp:extent cx="28575" cy="5648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564832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16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Class B Common Stock is convertible at any time, at the holder's election and automatically in connection with certain transfers and upon certain other events, into an equal number of shares of Class A Common Stock and has no expiration date.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In-kind pro rata distribution from the Reporting Person to its partners, without consideration.</w:t>
      </w:r>
    </w:p>
    <w:p>
      <w:pPr>
        <w:spacing w:after="0" w:line="47" w:lineRule="exact"/>
        <w:rPr>
          <w:rFonts w:ascii="Times New Roman" w:cs="Times New Roman" w:eastAsia="Times New Roman" w:hAnsi="Times New Roman"/>
          <w:sz w:val="12"/>
          <w:szCs w:val="12"/>
          <w:color w:val="008000"/>
        </w:rPr>
      </w:pPr>
    </w:p>
    <w:p>
      <w:pPr>
        <w:jc w:val="both"/>
        <w:ind w:left="40" w:right="2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Accel-KKR Holdings GP, LLC ,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w:t>
      </w:r>
    </w:p>
    <w:p>
      <w:pPr>
        <w:sectPr>
          <w:pgSz w:w="11900" w:h="16894" w:orient="portrait"/>
          <w:cols w:equalWidth="0" w:num="1">
            <w:col w:w="11080"/>
          </w:cols>
          <w:pgMar w:left="460" w:top="213" w:right="359" w:bottom="0" w:gutter="0" w:footer="0" w:header="0"/>
          <w:type w:val="continuous"/>
        </w:sectPr>
      </w:pPr>
    </w:p>
    <w:bookmarkStart w:id="1" w:name="page2"/>
    <w:bookmarkEnd w:id="1"/>
    <w:p>
      <w:pPr>
        <w:ind w:left="4" w:right="500"/>
        <w:spacing w:after="0" w:line="275" w:lineRule="auto"/>
        <w:rPr>
          <w:sz w:val="20"/>
          <w:szCs w:val="20"/>
          <w:color w:val="auto"/>
        </w:rPr>
      </w:pPr>
      <w:r>
        <w:rPr>
          <w:rFonts w:ascii="Times New Roman" w:cs="Times New Roman" w:eastAsia="Times New Roman" w:hAnsi="Times New Roman"/>
          <w:sz w:val="12"/>
          <w:szCs w:val="12"/>
          <w:color w:val="008000"/>
        </w:rPr>
        <w:t>Capital Partners II, LP, or GC II; (v) Accel-KKR Members Fund, LLC, or Members Fund; (vi) AKKR Strategic Capital LP, or SC; and (vii) AKKR SC GPI HoldCo LP, or SC GPI. AKKR Fund III Management Company CV, LP, or CV III GP, is the sole general partner of CV III. AKKR Growth Capital Management Company III, LP, or GC III GP, is the sole general partner of GC II</w:t>
      </w:r>
    </w:p>
    <w:p>
      <w:pPr>
        <w:spacing w:after="0" w:line="5" w:lineRule="exact"/>
        <w:rPr>
          <w:sz w:val="20"/>
          <w:szCs w:val="20"/>
          <w:color w:val="auto"/>
        </w:rPr>
      </w:pPr>
    </w:p>
    <w:p>
      <w:pPr>
        <w:ind w:left="4" w:hanging="4"/>
        <w:spacing w:after="0" w:line="246"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Each of the foregoing entities and Mr. Barnds have separately filed Form 4s reporting their interests.</w:t>
      </w:r>
    </w:p>
    <w:p>
      <w:pPr>
        <w:spacing w:after="0" w:line="22"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152,515 shares received in distributions described in footnote 2. Such shares were previously reported as indirectly owned through the entities effecting such distributions.</w:t>
      </w:r>
    </w:p>
    <w:p>
      <w:pPr>
        <w:spacing w:after="0" w:line="62"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Robert Palumbo, /s/ Thomas</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5"/>
              </w:rPr>
              <w:t>11/21/2025</w:t>
            </w:r>
          </w:p>
        </w:tc>
        <w:tc>
          <w:tcPr>
            <w:tcW w:w="0" w:type="dxa"/>
            <w:vAlign w:val="bottom"/>
          </w:tcPr>
          <w:p>
            <w:pPr>
              <w:spacing w:after="0"/>
              <w:rPr>
                <w:sz w:val="1"/>
                <w:szCs w:val="1"/>
                <w:color w:val="auto"/>
              </w:rPr>
            </w:pPr>
          </w:p>
        </w:tc>
      </w:tr>
      <w:tr>
        <w:trPr>
          <w:trHeight w:val="79"/>
        </w:trPr>
        <w:tc>
          <w:tcPr>
            <w:tcW w:w="2020" w:type="dxa"/>
            <w:vAlign w:val="bottom"/>
            <w:tcBorders>
              <w:top w:val="single" w:sz="8" w:color="auto"/>
            </w:tcBorders>
            <w:gridSpan w:val="2"/>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C. Barnds, as attorney-in-fact</w:t>
            </w:r>
          </w:p>
        </w:tc>
        <w:tc>
          <w:tcPr>
            <w:tcW w:w="80" w:type="dxa"/>
            <w:vAlign w:val="bottom"/>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20" w:type="dxa"/>
            <w:vAlign w:val="bottom"/>
            <w:tcBorders>
              <w:top w:val="single" w:sz="8" w:color="auto"/>
            </w:tcBorders>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20" w:type="dxa"/>
            <w:vAlign w:val="bottom"/>
            <w:gridSpan w:val="2"/>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60" w:hanging="4"/>
        <w:spacing w:after="0" w:line="32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5179"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2025-11-21T16:11:25Z</dcterms:created>
  <dcterms:modified xsi:type="dcterms:W3CDTF">2025-11-21T16:11:25Z</dcterms:modified>
</cp:coreProperties>
</file>