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Barnds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Paymentus Holdings, Inc.</w:t>
              </w:r>
            </w:hyperlink>
            <w:r>
              <w:rPr/>
              <w:t xml:space="preserve"> [ </w:t>
            </w:r>
            <w:r>
              <w:rPr>
                <w:rFonts w:ascii="Times;serif" w:hAnsi="Times;serif"/>
                <w:color w:val="0000FF"/>
                <w:sz w:val="24"/>
                <w:shd w:fill="FFFFFF" w:val="clear"/>
              </w:rPr>
              <w:t>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4"/>
        <w:gridCol w:w="930"/>
        <w:gridCol w:w="799"/>
        <w:gridCol w:w="618"/>
        <w:gridCol w:w="344"/>
        <w:gridCol w:w="920"/>
        <w:gridCol w:w="426"/>
        <w:gridCol w:w="595"/>
        <w:gridCol w:w="1265"/>
        <w:gridCol w:w="977"/>
        <w:gridCol w:w="13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94,546</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Growth Capital Partners III, LP</w:t>
            </w:r>
            <w:r>
              <w:rPr>
                <w:rFonts w:ascii="Times;serif" w:hAnsi="Times;serif"/>
                <w:color w:val="008000"/>
                <w:position w:val="7"/>
                <w:sz w:val="16"/>
                <w:sz w:val="20"/>
                <w:shd w:fill="FFFFFF" w:val="clear"/>
              </w:rPr>
              <w:t>(2)(3)(4)</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2,245,886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Capital Partners CV III, LP</w:t>
            </w:r>
            <w:r>
              <w:rPr>
                <w:rFonts w:ascii="Times;serif" w:hAnsi="Times;serif"/>
                <w:color w:val="008000"/>
                <w:position w:val="7"/>
                <w:sz w:val="16"/>
                <w:sz w:val="20"/>
                <w:shd w:fill="FFFFFF" w:val="clear"/>
              </w:rPr>
              <w:t>(2)(3)(4)</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10,845</w:t>
            </w:r>
            <w:r>
              <w:rPr>
                <w:rFonts w:ascii="Times;serif" w:hAnsi="Times;serif"/>
                <w:color w:val="008000"/>
                <w:position w:val="7"/>
                <w:sz w:val="16"/>
                <w:sz w:val="20"/>
                <w:shd w:fill="FFFFFF" w:val="clear"/>
              </w:rPr>
              <w:t>(5)(6)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AKKR Strategic Capital LP</w:t>
            </w:r>
            <w:r>
              <w:rPr>
                <w:rFonts w:ascii="Times;serif" w:hAnsi="Times;serif"/>
                <w:color w:val="008000"/>
                <w:position w:val="7"/>
                <w:sz w:val="16"/>
                <w:sz w:val="20"/>
                <w:shd w:fill="FFFFFF" w:val="clear"/>
              </w:rPr>
              <w:t>(2)(3)(4)</w:t>
            </w:r>
          </w:p>
        </w:tc>
      </w:tr>
      <w:tr>
        <w:trPr/>
        <w:tc>
          <w:tcPr>
            <w:tcW w:w="20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72,142</w:t>
            </w:r>
            <w:r>
              <w:rPr>
                <w:rFonts w:ascii="Times;serif" w:hAnsi="Times;serif"/>
                <w:color w:val="008000"/>
                <w:position w:val="7"/>
                <w:sz w:val="16"/>
                <w:sz w:val="20"/>
                <w:shd w:fill="FFFFFF" w:val="clear"/>
              </w:rPr>
              <w:t>(7)</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bl>
    <w:tbl>
      <w:tblPr>
        <w:tblW w:w="1322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221"/>
        <w:gridCol w:w="801"/>
        <w:gridCol w:w="1131"/>
        <w:gridCol w:w="831"/>
        <w:gridCol w:w="1086"/>
      </w:tblGrid>
      <w:tr>
        <w:trPr>
          <w:tblHeader w:val="true"/>
        </w:trPr>
        <w:tc>
          <w:tcPr>
            <w:tcW w:w="132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9,736,723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9,736,723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146,020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Capital Partners CV III, LP</w:t>
            </w:r>
            <w:r>
              <w:rPr>
                <w:rFonts w:ascii="Times;serif" w:hAnsi="Times;serif"/>
                <w:color w:val="008000"/>
                <w:position w:val="7"/>
                <w:sz w:val="16"/>
                <w:sz w:val="20"/>
                <w:shd w:fill="FFFFFF" w:val="clear"/>
              </w:rPr>
              <w:t>(2)(3)(4)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416,038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416,038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Growth Capital Partners III, LP</w:t>
            </w:r>
            <w:r>
              <w:rPr>
                <w:rFonts w:ascii="Times;serif" w:hAnsi="Times;serif"/>
                <w:color w:val="008000"/>
                <w:position w:val="7"/>
                <w:sz w:val="16"/>
                <w:sz w:val="20"/>
                <w:shd w:fill="FFFFFF" w:val="clear"/>
              </w:rPr>
              <w:t>(2)(3)(4)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607,024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Members Fund, LLC</w:t>
            </w:r>
            <w:r>
              <w:rPr>
                <w:rFonts w:ascii="Times;serif" w:hAnsi="Times;serif"/>
                <w:color w:val="008000"/>
                <w:position w:val="7"/>
                <w:sz w:val="16"/>
                <w:sz w:val="20"/>
                <w:shd w:fill="FFFFFF" w:val="clear"/>
              </w:rPr>
              <w:t>(2)(3)(4)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2,489,787</w:t>
            </w:r>
            <w:r>
              <w:rPr>
                <w:rFonts w:ascii="Times;serif" w:hAnsi="Times;serif"/>
                <w:color w:val="008000"/>
                <w:position w:val="7"/>
                <w:sz w:val="16"/>
                <w:sz w:val="20"/>
                <w:shd w:fill="FFFFFF" w:val="clear"/>
              </w:rPr>
              <w:t>(10)(11)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AKKR Strategic Capital LP</w:t>
            </w:r>
            <w:r>
              <w:rPr>
                <w:rFonts w:ascii="Times;serif" w:hAnsi="Times;serif"/>
                <w:color w:val="008000"/>
                <w:position w:val="7"/>
                <w:sz w:val="16"/>
                <w:sz w:val="20"/>
                <w:shd w:fill="FFFFFF" w:val="clear"/>
              </w:rPr>
              <w:t>(2)(3)(4)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10,116,936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10,116,936</w:t>
            </w:r>
            <w:r>
              <w:rPr>
                <w:rFonts w:ascii="Times;serif" w:hAnsi="Times;serif"/>
                <w:color w:val="008000"/>
                <w:position w:val="7"/>
                <w:sz w:val="16"/>
                <w:sz w:val="20"/>
                <w:shd w:fill="FFFFFF" w:val="clear"/>
              </w:rPr>
              <w:t>(12)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(8)</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In-kind pro rata distribution from the Reporting Person to its partners, without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Accel-KKR Holdings GP, LLC, or Topco GP (for which decision making is controlled by Mr. Palumbo and Mr. Barnds), has voting and investment power over the shares of Common Stock of the Issuer owned by (i) Accel-KKR Capital Partners CV III, LP, or CV III; (ii) Accel-KKR Growth Capital Partners III, LP, or GC III; (iii) Accel-KKR Growth Capital Partners II Strategic Fund, LP, or GC II Strategic; (iv) Accel-KKR Growth Capital Partners II, LP, or GC II; (v) (v) Accel-KKR Members Fund, LLC, or Members Fund; (vi) AKKR Strategic Capital LP, or SC; and (vii) AKKR SC GPI HoldCo LP, or SC GPI.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AKKR Fund III Management Company CV, LP, or CV III GP, is the sole general partner of CV III. AKKR Growth Capital Management Company III, LP, or GC III GP, is the sole general partner of GC III. AKKR Growth Capital Management Company II, LP, or GC II GP, is the sole general partner of GC II Strategic and GC II. AKKR Strategic Capital GP, or SC GP, is the sole general partner of SC. AKKR Management Company, LLC, or UGP, is the sole managing member of Members Fund and the sole general partner of CV III GP, GC III GP, GC II GP, SC GP and SC GPI. Topco GP, is the sole managing member of UGP. AKKR Fund II Management Company,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or the Management Company, is the sole management company of each of the Accel-KKR Funds, and UGP is the general partner of the Management Company. Each of the Reporting Persons disclaims beneficial ownership of the reported securities except to the extent of such Reporting Person's pecuniary interest therein. Each of the foregoing entities and Mr. Palumbo have separately filed Form 4s reporting their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2,583 shares received from certain of the other Reporting Persons in the distribution described in footnote 1. Such shares were previously reported as indirectly owned through the entities effecting such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total reported in Column 5 of Table I reflects a transfer from SC GPI to SC. The transfer was exempt from reporting under Section 16 of the Securities Exchange Act of 1934 (the "Exchange Act"), as amended, pursuant to Rule 16a-13 under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5,894 shares received from certain of the other Reporting Persons in the distribution described in footnote 1. Such shares were previously reported as indirectly owned through the entities effecting such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held by the Barnds Living Trust dtd 6/23/2003.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Class B Common Stock is convertible at any time, at the holder's election and automatically in connection with certain transfers and upon certain other events, into an equal number of shares of Class A Common Stock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Includes 1,002,627 shares received from certain of the other Reporting Persons in the distribution described in footnote 1. Such shares were previously reported as indirectly owned through the entities effecting such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total reported in Column 9 of Table II reflects a transfer from SC GPI to SC. The transfer was exempt from reporting under Section 16 of the Exchange Act pursuant to Rule 16a-13 under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Includes 1,341,593 shares received from certain of the other Reporting Persons in the distribution described in footnote 1. Such shares were previously reported as indirectly owned through the entities effecting such distributions.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C. Barnds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4980" TargetMode="External"/><Relationship Id="rId5" Type="http://schemas.openxmlformats.org/officeDocument/2006/relationships/hyperlink" Target="http://www.sec.gov/cgi-bin/browse-edgar?action=getcompany&amp;CIK=00018411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1297</Words>
  <Characters>6769</Characters>
  <CharactersWithSpaces>7914</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