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pay-20260224.htm"/>
      <w:bookmarkStart w:id="1" w:name="kspay20260224"/>
      <w:bookmarkEnd w:id="0"/>
      <w:bookmarkEnd w:id="1"/>
      <w:r>
        <w:rPr/>
        <w:t> </w:t>
      </w:r>
    </w:p>
    <w:p>
      <w:pPr>
        <w:pStyle w:val="TextBody"/>
        <w:bidi w:val="0"/>
        <w:spacing w:before="0" w:after="120"/>
        <w:jc w:val="center"/>
        <w:rPr>
          <w:rFonts w:ascii="Times New Roman" w:hAnsi="Times New Roman"/>
          <w:b/>
          <w:color w:val="000000"/>
          <w:sz w:val="20"/>
        </w:rPr>
      </w:pPr>
      <w:bookmarkStart w:id="2" w:name="edgar_cover"/>
      <w:bookmarkEnd w:id="2"/>
      <w:r>
        <w:rPr>
          <w:rFonts w:ascii="Times New Roman" w:hAnsi="Times New Roman"/>
          <w:b/>
          <w:color w:val="000000"/>
          <w:sz w:val="20"/>
        </w:rPr>
        <w:t>As filed with the Securities and Exchange Commission on February 24, 2026</w:t>
      </w:r>
    </w:p>
    <w:p>
      <w:pPr>
        <w:pStyle w:val="TextBody"/>
        <w:bidi w:val="0"/>
        <w:spacing w:before="0" w:after="14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tbl>
      <w:tblPr>
        <w:tblW w:w="326" w:type="dxa"/>
        <w:jc w:val="left"/>
        <w:tblInd w:w="0" w:type="dxa"/>
        <w:tblLayout w:type="fixed"/>
        <w:tblCellMar>
          <w:top w:w="28" w:type="dxa"/>
          <w:left w:w="28" w:type="dxa"/>
          <w:bottom w:w="28" w:type="dxa"/>
          <w:right w:w="28" w:type="dxa"/>
        </w:tblCellMar>
      </w:tblPr>
      <w:tblGrid>
        <w:gridCol w:w="326"/>
      </w:tblGrid>
      <w:tr>
        <w:trPr/>
        <w:tc>
          <w:tcPr>
            <w:tcW w:w="326"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26" w:type="dxa"/>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pPr>
            <w:r>
              <w:rPr/>
              <w:t> </w:t>
            </w:r>
          </w:p>
        </w:tc>
      </w:tr>
    </w:tbl>
    <w:p>
      <w:pPr>
        <w:pStyle w:val="TextBody"/>
        <w:bidi w:val="0"/>
        <w:spacing w:before="10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140"/>
        <w:jc w:val="center"/>
        <w:rPr>
          <w:rFonts w:ascii="Times New Roman" w:hAnsi="Times New Roman"/>
          <w:b/>
          <w:color w:val="000000"/>
          <w:sz w:val="20"/>
        </w:rPr>
      </w:pPr>
      <w:r>
        <w:rPr>
          <w:rFonts w:ascii="Times New Roman" w:hAnsi="Times New Roman"/>
          <w:b/>
          <w:color w:val="000000"/>
          <w:sz w:val="20"/>
        </w:rPr>
        <w:t>WASHINGTON, D.C. 20549</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sz w:val="20"/>
        </w:rPr>
      </w:pPr>
      <w:r>
        <w:rPr>
          <w:rFonts w:ascii="Times New Roman" w:hAnsi="Times New Roman"/>
          <w:b/>
          <w:color w:val="000000"/>
          <w:sz w:val="20"/>
        </w:rPr>
        <w:t xml:space="preserve">REGISTRATION STATEMENT </w:t>
        <w:br/>
      </w:r>
      <w:r>
        <w:rPr>
          <w:rFonts w:ascii="Times New Roman" w:hAnsi="Times New Roman"/>
          <w:b/>
          <w:i/>
          <w:color w:val="000000"/>
          <w:sz w:val="20"/>
        </w:rPr>
        <w:t xml:space="preserve">UNDER </w:t>
        <w:br/>
        <w:t>THE SECURITIES ACT OF 1933</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PAYMENTUS HOLDINGS, INC.</w:t>
      </w:r>
    </w:p>
    <w:p>
      <w:pPr>
        <w:pStyle w:val="TextBody"/>
        <w:bidi w:val="0"/>
        <w:spacing w:before="0" w:after="14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4378" w:type="dxa"/>
        <w:jc w:val="left"/>
        <w:tblInd w:w="0" w:type="dxa"/>
        <w:tblLayout w:type="fixed"/>
        <w:tblCellMar>
          <w:top w:w="28" w:type="dxa"/>
          <w:left w:w="28" w:type="dxa"/>
          <w:bottom w:w="28" w:type="dxa"/>
          <w:right w:w="28" w:type="dxa"/>
        </w:tblCellMar>
      </w:tblPr>
      <w:tblGrid>
        <w:gridCol w:w="2581"/>
        <w:gridCol w:w="146"/>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5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45-3188251</w:t>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5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11605 N. Community House Road, Suite 300</w:t>
      </w:r>
    </w:p>
    <w:p>
      <w:pPr>
        <w:pStyle w:val="TextBody"/>
        <w:bidi w:val="0"/>
        <w:jc w:val="center"/>
        <w:rPr>
          <w:rFonts w:ascii="Times New Roman" w:hAnsi="Times New Roman"/>
          <w:b/>
          <w:color w:val="000000"/>
          <w:sz w:val="20"/>
        </w:rPr>
      </w:pPr>
      <w:r>
        <w:rPr>
          <w:rFonts w:ascii="Times New Roman" w:hAnsi="Times New Roman"/>
          <w:b/>
          <w:color w:val="000000"/>
          <w:sz w:val="20"/>
        </w:rPr>
        <w:t>Charlotte, NC 28277</w:t>
      </w:r>
    </w:p>
    <w:p>
      <w:pPr>
        <w:pStyle w:val="TextBody"/>
        <w:bidi w:val="0"/>
        <w:spacing w:before="0" w:after="140"/>
        <w:jc w:val="center"/>
        <w:rPr>
          <w:rFonts w:ascii="Times New Roman" w:hAnsi="Times New Roman"/>
          <w:color w:val="000000"/>
          <w:sz w:val="20"/>
        </w:rPr>
      </w:pPr>
      <w:r>
        <w:rPr>
          <w:rFonts w:ascii="Times New Roman" w:hAnsi="Times New Roman"/>
          <w:color w:val="000000"/>
          <w:sz w:val="20"/>
        </w:rPr>
        <w:t>(Address of Principal Executive Offices) (Zip Code)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2021 Equity Incentive Plan</w:t>
      </w:r>
    </w:p>
    <w:p>
      <w:pPr>
        <w:pStyle w:val="TextBody"/>
        <w:bidi w:val="0"/>
        <w:spacing w:before="0" w:after="140"/>
        <w:jc w:val="center"/>
        <w:rPr>
          <w:rFonts w:ascii="Times New Roman" w:hAnsi="Times New Roman"/>
          <w:color w:val="000000"/>
          <w:sz w:val="20"/>
        </w:rPr>
      </w:pPr>
      <w:r>
        <w:rPr>
          <w:rFonts w:ascii="Times New Roman" w:hAnsi="Times New Roman"/>
          <w:color w:val="000000"/>
          <w:sz w:val="20"/>
        </w:rPr>
        <w:t>(Full title of the plan)</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Dushyant Sharma</w:t>
      </w:r>
    </w:p>
    <w:p>
      <w:pPr>
        <w:pStyle w:val="TextBody"/>
        <w:bidi w:val="0"/>
        <w:jc w:val="center"/>
        <w:rPr>
          <w:rFonts w:ascii="Times New Roman" w:hAnsi="Times New Roman"/>
          <w:b/>
          <w:color w:val="000000"/>
          <w:sz w:val="20"/>
        </w:rPr>
      </w:pPr>
      <w:r>
        <w:rPr>
          <w:rFonts w:ascii="Times New Roman" w:hAnsi="Times New Roman"/>
          <w:b/>
          <w:color w:val="000000"/>
          <w:sz w:val="20"/>
        </w:rPr>
        <w:t>11605 N. Community House Road, Suite 300</w:t>
      </w:r>
    </w:p>
    <w:p>
      <w:pPr>
        <w:pStyle w:val="TextBody"/>
        <w:bidi w:val="0"/>
        <w:jc w:val="center"/>
        <w:rPr>
          <w:rFonts w:ascii="Times New Roman" w:hAnsi="Times New Roman"/>
          <w:b/>
          <w:color w:val="000000"/>
          <w:sz w:val="20"/>
        </w:rPr>
      </w:pPr>
      <w:r>
        <w:rPr>
          <w:rFonts w:ascii="Times New Roman" w:hAnsi="Times New Roman"/>
          <w:b/>
          <w:color w:val="000000"/>
          <w:sz w:val="20"/>
        </w:rPr>
        <w:t>Charlotte, NC 28277</w:t>
      </w:r>
    </w:p>
    <w:p>
      <w:pPr>
        <w:pStyle w:val="TextBody"/>
        <w:bidi w:val="0"/>
        <w:jc w:val="center"/>
        <w:rPr>
          <w:rFonts w:ascii="Times New Roman" w:hAnsi="Times New Roman"/>
          <w:b/>
          <w:color w:val="000000"/>
          <w:sz w:val="20"/>
        </w:rPr>
      </w:pPr>
      <w:r>
        <w:rPr>
          <w:rFonts w:ascii="Times New Roman" w:hAnsi="Times New Roman"/>
          <w:b/>
          <w:color w:val="000000"/>
          <w:sz w:val="20"/>
        </w:rPr>
        <w:t>(888) 440-4826</w:t>
      </w:r>
    </w:p>
    <w:p>
      <w:pPr>
        <w:pStyle w:val="TextBody"/>
        <w:bidi w:val="0"/>
        <w:jc w:val="center"/>
        <w:rPr>
          <w:rFonts w:ascii="Times New Roman" w:hAnsi="Times New Roman"/>
          <w:color w:val="000000"/>
          <w:sz w:val="20"/>
        </w:rPr>
      </w:pPr>
      <w:r>
        <w:rPr>
          <w:rFonts w:ascii="Times New Roman" w:hAnsi="Times New Roman"/>
          <w:color w:val="000000"/>
          <w:sz w:val="20"/>
        </w:rPr>
        <w:t>(Name and address of agent for service) (Telephone number, including area code, of agent for service)</w:t>
      </w:r>
    </w:p>
    <w:p>
      <w:pPr>
        <w:pStyle w:val="TextBody"/>
        <w:bidi w:val="0"/>
        <w:spacing w:before="120" w:after="140"/>
        <w:jc w:val="center"/>
        <w:rPr>
          <w:rFonts w:ascii="Times New Roman" w:hAnsi="Times New Roman"/>
          <w:b/>
          <w:i/>
          <w:color w:val="000000"/>
          <w:sz w:val="20"/>
        </w:rPr>
      </w:pPr>
      <w:r>
        <w:rPr>
          <w:rFonts w:ascii="Times New Roman" w:hAnsi="Times New Roman"/>
          <w:b/>
          <w:i/>
          <w:color w:val="000000"/>
          <w:sz w:val="20"/>
        </w:rPr>
        <w:t>Copies to:</w:t>
      </w:r>
    </w:p>
    <w:tbl>
      <w:tblPr>
        <w:tblW w:w="7243" w:type="dxa"/>
        <w:jc w:val="left"/>
        <w:tblInd w:w="0" w:type="dxa"/>
        <w:tblLayout w:type="fixed"/>
        <w:tblCellMar>
          <w:top w:w="28" w:type="dxa"/>
          <w:left w:w="28" w:type="dxa"/>
          <w:bottom w:w="28" w:type="dxa"/>
          <w:right w:w="28" w:type="dxa"/>
        </w:tblCellMar>
      </w:tblPr>
      <w:tblGrid>
        <w:gridCol w:w="3856"/>
        <w:gridCol w:w="146"/>
        <w:gridCol w:w="324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Andrew A. Gerber</w:t>
            </w:r>
          </w:p>
          <w:p>
            <w:pPr>
              <w:pStyle w:val="TableContents"/>
              <w:bidi w:val="0"/>
              <w:jc w:val="center"/>
              <w:rPr>
                <w:rFonts w:ascii="Times New Roman" w:hAnsi="Times New Roman"/>
                <w:b/>
                <w:color w:val="000000"/>
                <w:sz w:val="20"/>
              </w:rPr>
            </w:pPr>
            <w:r>
              <w:rPr>
                <w:rFonts w:ascii="Times New Roman" w:hAnsi="Times New Roman"/>
                <w:b/>
                <w:color w:val="000000"/>
                <w:sz w:val="20"/>
              </w:rPr>
              <w:t>Meredith P. Burbank</w:t>
            </w:r>
          </w:p>
          <w:p>
            <w:pPr>
              <w:pStyle w:val="TableContents"/>
              <w:bidi w:val="0"/>
              <w:jc w:val="center"/>
              <w:rPr>
                <w:rFonts w:ascii="Times New Roman" w:hAnsi="Times New Roman"/>
                <w:b/>
                <w:color w:val="000000"/>
                <w:sz w:val="20"/>
              </w:rPr>
            </w:pPr>
            <w:r>
              <w:rPr>
                <w:rFonts w:ascii="Times New Roman" w:hAnsi="Times New Roman"/>
                <w:b/>
                <w:color w:val="000000"/>
                <w:sz w:val="20"/>
              </w:rPr>
              <w:t>Paymentus Holdings, Inc.</w:t>
            </w:r>
          </w:p>
          <w:p>
            <w:pPr>
              <w:pStyle w:val="TableContents"/>
              <w:bidi w:val="0"/>
              <w:jc w:val="center"/>
              <w:rPr>
                <w:rFonts w:ascii="Times New Roman" w:hAnsi="Times New Roman"/>
                <w:b/>
                <w:color w:val="000000"/>
                <w:sz w:val="20"/>
              </w:rPr>
            </w:pPr>
            <w:r>
              <w:rPr>
                <w:rFonts w:ascii="Times New Roman" w:hAnsi="Times New Roman"/>
                <w:b/>
                <w:color w:val="000000"/>
                <w:sz w:val="20"/>
              </w:rPr>
              <w:t>11605 N. Community House Road, Suite 300</w:t>
            </w:r>
          </w:p>
          <w:p>
            <w:pPr>
              <w:pStyle w:val="TableContents"/>
              <w:bidi w:val="0"/>
              <w:jc w:val="center"/>
              <w:rPr>
                <w:rFonts w:ascii="Times New Roman" w:hAnsi="Times New Roman"/>
                <w:b/>
                <w:color w:val="000000"/>
                <w:sz w:val="20"/>
              </w:rPr>
            </w:pPr>
            <w:r>
              <w:rPr>
                <w:rFonts w:ascii="Times New Roman" w:hAnsi="Times New Roman"/>
                <w:b/>
                <w:color w:val="000000"/>
                <w:sz w:val="20"/>
              </w:rPr>
              <w:t>Charlotte, NC 28277</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(888) 440-4826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2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Timothy W. Gregg</w:t>
            </w:r>
          </w:p>
          <w:p>
            <w:pPr>
              <w:pStyle w:val="TableContents"/>
              <w:bidi w:val="0"/>
              <w:jc w:val="center"/>
              <w:rPr>
                <w:rFonts w:ascii="Times New Roman" w:hAnsi="Times New Roman"/>
                <w:b/>
                <w:color w:val="000000"/>
                <w:sz w:val="20"/>
              </w:rPr>
            </w:pPr>
            <w:r>
              <w:rPr>
                <w:rFonts w:ascii="Times New Roman" w:hAnsi="Times New Roman"/>
                <w:b/>
                <w:color w:val="000000"/>
                <w:sz w:val="20"/>
              </w:rPr>
              <w:t>Maynard Nexsen PC</w:t>
            </w:r>
          </w:p>
          <w:p>
            <w:pPr>
              <w:pStyle w:val="TableContents"/>
              <w:bidi w:val="0"/>
              <w:jc w:val="center"/>
              <w:rPr>
                <w:rFonts w:ascii="Times New Roman" w:hAnsi="Times New Roman"/>
                <w:b/>
                <w:color w:val="000000"/>
                <w:sz w:val="20"/>
              </w:rPr>
            </w:pPr>
            <w:r>
              <w:rPr>
                <w:rFonts w:ascii="Times New Roman" w:hAnsi="Times New Roman"/>
                <w:b/>
                <w:color w:val="000000"/>
                <w:sz w:val="20"/>
              </w:rPr>
              <w:t>1901 Sixth Avenue North, Suite 1700</w:t>
            </w:r>
          </w:p>
          <w:p>
            <w:pPr>
              <w:pStyle w:val="TableContents"/>
              <w:bidi w:val="0"/>
              <w:jc w:val="center"/>
              <w:rPr>
                <w:rFonts w:ascii="Times New Roman" w:hAnsi="Times New Roman"/>
                <w:b/>
                <w:color w:val="000000"/>
                <w:sz w:val="20"/>
              </w:rPr>
            </w:pPr>
            <w:r>
              <w:rPr>
                <w:rFonts w:ascii="Times New Roman" w:hAnsi="Times New Roman"/>
                <w:b/>
                <w:color w:val="000000"/>
                <w:sz w:val="20"/>
              </w:rPr>
              <w:t>Birmingham, AL 35203</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(206) 883-2500</w:t>
            </w:r>
          </w:p>
        </w:tc>
      </w:tr>
    </w:tbl>
    <w:p>
      <w:pPr>
        <w:pStyle w:val="TextBody"/>
        <w:bidi w:val="0"/>
        <w:spacing w:before="60" w:after="14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0"/>
        <w:gridCol w:w="756"/>
        <w:gridCol w:w="4776"/>
        <w:gridCol w:w="363"/>
      </w:tblGrid>
      <w:tr>
        <w:trPr/>
        <w:tc>
          <w:tcPr>
            <w:tcW w:w="431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7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3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Large accelerated filer</w:t>
            </w:r>
          </w:p>
        </w:tc>
        <w:tc>
          <w:tcPr>
            <w:tcW w:w="75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4776" w:type="dxa"/>
            <w:tcBorders/>
            <w:tcMar>
              <w:top w:w="0" w:type="dxa"/>
              <w:left w:w="0" w:type="dxa"/>
              <w:bottom w:w="0" w:type="dxa"/>
              <w:right w:w="0" w:type="dxa"/>
            </w:tcMar>
            <w:vAlign w:val="center"/>
          </w:tcPr>
          <w:p>
            <w:pPr>
              <w:pStyle w:val="TableContents"/>
              <w:bidi w:val="0"/>
              <w:spacing w:before="40" w:after="40"/>
              <w:jc w:val="both"/>
              <w:rPr>
                <w:rFonts w:ascii="Times New Roman" w:hAnsi="Times New Roman"/>
                <w:color w:val="000000"/>
                <w:sz w:val="20"/>
              </w:rPr>
            </w:pPr>
            <w:r>
              <w:rPr>
                <w:rFonts w:ascii="Times New Roman" w:hAnsi="Times New Roman"/>
                <w:color w:val="000000"/>
                <w:sz w:val="20"/>
              </w:rPr>
              <w:t>Accelerated filer</w:t>
            </w:r>
          </w:p>
        </w:tc>
        <w:tc>
          <w:tcPr>
            <w:tcW w:w="363"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r>
      <w:tr>
        <w:trPr/>
        <w:tc>
          <w:tcPr>
            <w:tcW w:w="431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Non-accelerated filer</w:t>
            </w:r>
          </w:p>
        </w:tc>
        <w:tc>
          <w:tcPr>
            <w:tcW w:w="75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47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Smaller reporting company</w:t>
            </w:r>
          </w:p>
        </w:tc>
        <w:tc>
          <w:tcPr>
            <w:tcW w:w="363"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r>
      <w:tr>
        <w:trPr/>
        <w:tc>
          <w:tcPr>
            <w:tcW w:w="4310" w:type="dxa"/>
            <w:tcBorders/>
            <w:tcMar>
              <w:top w:w="0" w:type="dxa"/>
              <w:left w:w="0" w:type="dxa"/>
              <w:bottom w:w="0" w:type="dxa"/>
              <w:right w:w="0" w:type="dxa"/>
            </w:tcMar>
            <w:vAlign w:val="center"/>
          </w:tcPr>
          <w:p>
            <w:pPr>
              <w:pStyle w:val="TableContents"/>
              <w:bidi w:val="0"/>
              <w:spacing w:before="40" w:after="40"/>
              <w:jc w:val="left"/>
              <w:rPr/>
            </w:pPr>
            <w:r>
              <w:rPr/>
              <w:t> </w:t>
            </w:r>
          </w:p>
        </w:tc>
        <w:tc>
          <w:tcPr>
            <w:tcW w:w="756" w:type="dxa"/>
            <w:tcBorders/>
            <w:tcMar>
              <w:top w:w="0" w:type="dxa"/>
              <w:left w:w="0" w:type="dxa"/>
              <w:bottom w:w="0" w:type="dxa"/>
              <w:right w:w="0" w:type="dxa"/>
            </w:tcMar>
            <w:vAlign w:val="center"/>
          </w:tcPr>
          <w:p>
            <w:pPr>
              <w:pStyle w:val="TableContents"/>
              <w:bidi w:val="0"/>
              <w:spacing w:before="40" w:after="40"/>
              <w:jc w:val="left"/>
              <w:rPr/>
            </w:pPr>
            <w:r>
              <w:rPr/>
              <w:t> </w:t>
            </w:r>
          </w:p>
        </w:tc>
        <w:tc>
          <w:tcPr>
            <w:tcW w:w="47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Emerging growth company</w:t>
            </w:r>
          </w:p>
        </w:tc>
        <w:tc>
          <w:tcPr>
            <w:tcW w:w="363"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r>
      <w:tr>
        <w:trPr/>
        <w:tc>
          <w:tcPr>
            <w:tcW w:w="9842" w:type="dxa"/>
            <w:gridSpan w:val="3"/>
            <w:tcBorders/>
            <w:tcMar>
              <w:top w:w="0" w:type="dxa"/>
              <w:left w:w="0" w:type="dxa"/>
              <w:bottom w:w="0" w:type="dxa"/>
              <w:right w:w="0" w:type="dxa"/>
            </w:tcMar>
            <w:vAlign w:val="center"/>
          </w:tcPr>
          <w:p>
            <w:pPr>
              <w:pStyle w:val="TableContents"/>
              <w:bidi w:val="0"/>
              <w:spacing w:before="40" w:after="40"/>
              <w:jc w:val="left"/>
              <w:rPr/>
            </w:pPr>
            <w:r>
              <w:rPr/>
              <w:t> </w:t>
            </w:r>
          </w:p>
          <w:p>
            <w:pPr>
              <w:pStyle w:val="TableContents"/>
              <w:bidi w:val="0"/>
              <w:spacing w:before="0" w:after="4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w:t>
            </w:r>
          </w:p>
        </w:tc>
        <w:tc>
          <w:tcPr>
            <w:tcW w:w="363"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br/>
        <w:t>REGISTRATION OF ADDITIONAL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Registration Statement on Form S-8 (the “Registration Statement”) is being filed to register an additional 5,023,249 shares of Class A common stock of Paymentus Holdings, Inc. (the “Registrant”) to be issued pursuant to the Registrant’s 2021 Equity Incentive Plan (the “2021 Plan”) as a result of an evergreen provision in the 2021 Plan providing that the total number of shares of Class A common stock reserved for issuance under the 2021 Plan will be automatically increased as of the first day of each fiscal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additional shares of Class A common stock are securities of the same class as other securities for which previous Registration Statements on Form S-8 were filed by the Registrant with the Securities and Exchange Commission (the “Commission”) on May 26, 2021 (File No. 333-256505), March 4, 2022 (File No. 333-263274), March 3, 2023 (File No. 333-270283), March 5, 2024 (File No. 333-277669) and March 11, 2025 (File No. 333-285695) (collectively, the “Previous Registration Statements”). In accordance with General Instruction E of Form S-8, the contents of the Previous Registration Statements, including periodic reports filed after the Previous Registration Statements to maintain current information about the Registrant, are incorporated by reference into this Registration Statement.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II</w:t>
        <w:br/>
        <w:t>INFORMATION REQUIRED IN THE REGISTRATION STATEMENT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 hereby incorporates by reference into this Registration Statement the following documents previously filed with the Commission: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 xml:space="preserve">The Registrant’s </w:t>
      </w:r>
      <w:hyperlink r:id="rId2">
        <w:r>
          <w:rPr>
            <w:rStyle w:val="InternetLink"/>
            <w:rFonts w:ascii="Times New Roman" w:hAnsi="Times New Roman"/>
            <w:color w:val="0000FF"/>
            <w:sz w:val="20"/>
            <w:u w:val="single"/>
          </w:rPr>
          <w:t>Annual Report on Form 10-K for the fiscal year ended December 31, 2025</w:t>
        </w:r>
      </w:hyperlink>
      <w:r>
        <w:rPr>
          <w:rFonts w:ascii="Times New Roman" w:hAnsi="Times New Roman"/>
          <w:color w:val="000000"/>
          <w:sz w:val="20"/>
        </w:rPr>
        <w:t>, filed with the Commission on February 23, 2026;</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All other reports filed by the Registrant with the Commission pursuant to Section 13(a) or 15(d) of the Securities Exchange Act of 1934, as amended (the “Exchange Act”), since the end of the fiscal year covered by the Annual Report on Form 10-K referred to in (a) above; and</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The description of the Registrant’s Class A common stock contained in </w:t>
      </w:r>
      <w:hyperlink r:id="rId3">
        <w:r>
          <w:rPr>
            <w:rStyle w:val="InternetLink"/>
            <w:rFonts w:ascii="Times New Roman" w:hAnsi="Times New Roman"/>
            <w:color w:val="0000FF"/>
            <w:sz w:val="20"/>
            <w:u w:val="single"/>
          </w:rPr>
          <w:t>Exhibit 4.3 to the Registrant's Annual Report on Form 10-K for the fiscal year ended December 31, 2022</w:t>
        </w:r>
      </w:hyperlink>
      <w:r>
        <w:rPr>
          <w:rFonts w:ascii="Times New Roman" w:hAnsi="Times New Roman"/>
          <w:color w:val="000000"/>
          <w:sz w:val="20"/>
        </w:rPr>
        <w:t>, filed with the Commission on March 3, 2023, including any amendment or report filed for the purpose of updating such description.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146"/>
        <w:gridCol w:w="3526"/>
        <w:gridCol w:w="146"/>
        <w:gridCol w:w="586"/>
        <w:gridCol w:w="146"/>
        <w:gridCol w:w="844"/>
        <w:gridCol w:w="146"/>
        <w:gridCol w:w="736"/>
        <w:gridCol w:w="146"/>
        <w:gridCol w:w="821"/>
        <w:gridCol w:w="146"/>
        <w:gridCol w:w="326"/>
        <w:gridCol w:w="346"/>
        <w:gridCol w:w="109"/>
        <w:gridCol w:w="146"/>
        <w:gridCol w:w="886"/>
        <w:gridCol w:w="192"/>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88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811" w:type="dxa"/>
            <w:vMerge w:val="restart"/>
            <w:tcBorders>
              <w:bottom w:val="single" w:sz="8" w:space="0" w:color="000000"/>
            </w:tcBorders>
            <w:tcMar>
              <w:top w:w="0" w:type="dxa"/>
              <w:left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Exhibit</w:t>
              <w:br/>
              <w:t>Number</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40" w:after="2"/>
              <w:jc w:val="left"/>
              <w:rPr/>
            </w:pPr>
            <w:r>
              <w:rPr/>
              <w:t> </w:t>
            </w:r>
          </w:p>
        </w:tc>
        <w:tc>
          <w:tcPr>
            <w:tcW w:w="3526" w:type="dxa"/>
            <w:vMerge w:val="restart"/>
            <w:tcBorders>
              <w:bottom w:val="single" w:sz="8" w:space="0" w:color="000000"/>
            </w:tcBorders>
            <w:tcMar>
              <w:top w:w="0" w:type="dxa"/>
              <w:left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Exhibit Description</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40" w:after="2"/>
              <w:jc w:val="left"/>
              <w:rPr/>
            </w:pPr>
            <w:r>
              <w:rPr/>
              <w:t> </w:t>
            </w:r>
          </w:p>
        </w:tc>
        <w:tc>
          <w:tcPr>
            <w:tcW w:w="38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88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81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35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30" w:type="dxa"/>
            <w:gridSpan w:val="7"/>
            <w:tcBorders>
              <w:top w:val="single" w:sz="8" w:space="0" w:color="000000"/>
              <w:bottom w:val="single" w:sz="8" w:space="0" w:color="000000"/>
            </w:tcBorders>
            <w:tcMar>
              <w:left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op w:val="single" w:sz="8" w:space="0" w:color="000000"/>
            </w:tcBorders>
            <w:tcMar>
              <w:left w:w="0" w:type="dxa"/>
              <w:bottom w:w="0" w:type="dxa"/>
              <w:right w:w="0" w:type="dxa"/>
            </w:tcMar>
            <w:vAlign w:val="center"/>
          </w:tcPr>
          <w:p>
            <w:pPr>
              <w:pStyle w:val="TableContents"/>
              <w:bidi w:val="0"/>
              <w:spacing w:before="40" w:after="2"/>
              <w:jc w:val="left"/>
              <w:rPr/>
            </w:pPr>
            <w:r>
              <w:rPr/>
              <w:t> </w:t>
            </w:r>
          </w:p>
        </w:tc>
        <w:tc>
          <w:tcPr>
            <w:tcW w:w="886" w:type="dxa"/>
            <w:vMerge w:val="restart"/>
            <w:tcBorders>
              <w:top w:val="single" w:sz="8" w:space="0" w:color="000000"/>
              <w:bottom w:val="single" w:sz="8" w:space="0" w:color="000000"/>
            </w:tcBorders>
            <w:tcMar>
              <w:left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Filed</w:t>
              <w:br/>
              <w:t>Herewith</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81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35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586" w:type="dxa"/>
            <w:tcBorders>
              <w:bottom w:val="single" w:sz="8" w:space="0" w:color="000000"/>
            </w:tcBorders>
            <w:tcMar>
              <w:top w:w="0" w:type="dxa"/>
              <w:left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File No.</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b/>
                <w:color w:val="000000"/>
                <w:sz w:val="20"/>
              </w:rPr>
            </w:pPr>
            <w:r>
              <w:rPr>
                <w:rFonts w:ascii="Times New Roman" w:hAnsi="Times New Roman"/>
                <w:b/>
                <w:color w:val="000000"/>
                <w:sz w:val="20"/>
              </w:rPr>
              <w:t>Filing Date</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ind w:left="0" w:right="0" w:firstLine="180"/>
              <w:jc w:val="left"/>
              <w:rPr/>
            </w:pPr>
            <w:r>
              <w:rPr/>
              <w:t> </w:t>
            </w:r>
          </w:p>
        </w:tc>
        <w:tc>
          <w:tcPr>
            <w:tcW w:w="3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886"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180"/>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r:id="rId4">
              <w:r>
                <w:rPr>
                  <w:rStyle w:val="InternetLink"/>
                  <w:rFonts w:ascii="Times New Roman" w:hAnsi="Times New Roman"/>
                  <w:color w:val="0000FF"/>
                  <w:sz w:val="20"/>
                  <w:u w:val="single"/>
                </w:rPr>
                <w:t>Form of Class A Common Stock Certificate</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38"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op w:val="single" w:sz="8" w:space="0" w:color="000000"/>
            </w:tcBorders>
            <w:tcMar>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333-255683</w:t>
            </w:r>
          </w:p>
        </w:tc>
        <w:tc>
          <w:tcPr>
            <w:tcW w:w="146" w:type="dxa"/>
            <w:tcBorders>
              <w:top w:val="single" w:sz="8" w:space="0" w:color="000000"/>
            </w:tcBorders>
            <w:tcMar>
              <w:left w:w="0" w:type="dxa"/>
              <w:bottom w:w="0" w:type="dxa"/>
              <w:right w:w="0" w:type="dxa"/>
            </w:tcMar>
            <w:vAlign w:val="center"/>
          </w:tcPr>
          <w:p>
            <w:pPr>
              <w:pStyle w:val="TableContents"/>
              <w:bidi w:val="0"/>
              <w:spacing w:before="40" w:after="2"/>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4.1</w:t>
            </w:r>
          </w:p>
        </w:tc>
        <w:tc>
          <w:tcPr>
            <w:tcW w:w="146" w:type="dxa"/>
            <w:tcBorders>
              <w:top w:val="single" w:sz="8" w:space="0" w:color="000000"/>
            </w:tcBorders>
            <w:tcMar>
              <w:left w:w="0" w:type="dxa"/>
              <w:bottom w:w="0" w:type="dxa"/>
              <w:right w:w="0" w:type="dxa"/>
            </w:tcMar>
            <w:vAlign w:val="center"/>
          </w:tcPr>
          <w:p>
            <w:pPr>
              <w:pStyle w:val="TableContents"/>
              <w:bidi w:val="0"/>
              <w:spacing w:before="40" w:after="2"/>
              <w:jc w:val="left"/>
              <w:rPr/>
            </w:pPr>
            <w:r>
              <w:rPr/>
              <w:t> </w:t>
            </w:r>
          </w:p>
        </w:tc>
        <w:tc>
          <w:tcPr>
            <w:tcW w:w="821" w:type="dxa"/>
            <w:tcBorders>
              <w:top w:val="single" w:sz="8" w:space="0" w:color="000000"/>
            </w:tcBorders>
            <w:tcMar>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May 13, 2021</w:t>
            </w:r>
          </w:p>
        </w:tc>
        <w:tc>
          <w:tcPr>
            <w:tcW w:w="146" w:type="dxa"/>
            <w:tcBorders>
              <w:top w:val="single" w:sz="8" w:space="0" w:color="000000"/>
            </w:tcBorders>
            <w:tcMar>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180"/>
              <w:jc w:val="left"/>
              <w:rPr>
                <w:color w:val="000000"/>
              </w:rPr>
            </w:pPr>
            <w:r>
              <w:rPr>
                <w:color w:val="000000"/>
              </w:rPr>
              <w:t>  </w:t>
            </w: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w:anchor="pay-ex5_1.htm">
              <w:r>
                <w:rPr>
                  <w:rStyle w:val="InternetLink"/>
                  <w:rFonts w:ascii="Times New Roman" w:hAnsi="Times New Roman"/>
                  <w:color w:val="0000FF"/>
                  <w:sz w:val="20"/>
                  <w:u w:val="single"/>
                </w:rPr>
                <w:t>Opinion of Maynard Nexsen PC</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center"/>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X</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w:anchor="pay-ex23_1.htm">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center"/>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X</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w:anchor="pay-ex5_1.htm">
              <w:r>
                <w:rPr>
                  <w:rStyle w:val="InternetLink"/>
                  <w:rFonts w:ascii="Times New Roman" w:hAnsi="Times New Roman"/>
                  <w:color w:val="0000FF"/>
                  <w:sz w:val="20"/>
                  <w:u w:val="single"/>
                </w:rPr>
                <w:t>Consent of Maynard Nexsen PC (contained in Exhibit 5.1 hereto)</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center"/>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X</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w:anchor="signatures">
              <w:r>
                <w:rPr>
                  <w:rStyle w:val="InternetLink"/>
                  <w:rFonts w:ascii="Times New Roman" w:hAnsi="Times New Roman"/>
                  <w:color w:val="0000FF"/>
                  <w:sz w:val="20"/>
                  <w:u w:val="single"/>
                </w:rPr>
                <w:t>Powers of Attorney (contained on signature page hereto)</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center"/>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X</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r:id="rId5">
              <w:r>
                <w:rPr>
                  <w:rStyle w:val="InternetLink"/>
                  <w:rFonts w:ascii="Times New Roman" w:hAnsi="Times New Roman"/>
                  <w:color w:val="0000FF"/>
                  <w:sz w:val="20"/>
                  <w:u w:val="single"/>
                </w:rPr>
                <w:t>2021 Equity Incentive Plan</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38"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March 3, 2022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6">
              <w:r>
                <w:rPr>
                  <w:rStyle w:val="InternetLink"/>
                  <w:rFonts w:ascii="Times New Roman" w:hAnsi="Times New Roman"/>
                  <w:color w:val="0000FF"/>
                  <w:sz w:val="20"/>
                  <w:u w:val="single"/>
                </w:rPr>
                <w:t>Form of Stock Option Award Agreement under the 2021 Equity Incentive Plan</w:t>
              </w:r>
            </w:hyperlink>
          </w:p>
          <w:p>
            <w:pPr>
              <w:pStyle w:val="TableContents"/>
              <w:bidi w:val="0"/>
              <w:spacing w:before="38"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38"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March 3, 2022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7">
              <w:r>
                <w:rPr>
                  <w:rStyle w:val="InternetLink"/>
                  <w:rFonts w:ascii="Times New Roman" w:hAnsi="Times New Roman"/>
                  <w:color w:val="0000FF"/>
                  <w:sz w:val="20"/>
                  <w:u w:val="single"/>
                </w:rPr>
                <w:t>Form of Restricted Stock Unit Award Agreement under the 2021 Equity Incentive Plan</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38"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March 3, 2023</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8">
              <w:r>
                <w:rPr>
                  <w:rStyle w:val="InternetLink"/>
                  <w:rFonts w:ascii="Times New Roman" w:hAnsi="Times New Roman"/>
                  <w:color w:val="0000FF"/>
                  <w:sz w:val="20"/>
                  <w:u w:val="single"/>
                </w:rPr>
                <w:t>Form of Restricted Stock Unit Award Agreement for Outside Directors under the 2021 Equity Incentive Plan</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May 6, 2022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9">
              <w:r>
                <w:rPr>
                  <w:rStyle w:val="InternetLink"/>
                  <w:rFonts w:ascii="Times New Roman" w:hAnsi="Times New Roman"/>
                  <w:color w:val="0000FF"/>
                  <w:sz w:val="20"/>
                  <w:u w:val="single"/>
                </w:rPr>
                <w:t>Form of Restricted Stock Unit Award Agreement for Independent Contractors under the 2021 Equity Incentive Plan</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May 7, 2025</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10">
              <w:r>
                <w:rPr>
                  <w:rStyle w:val="InternetLink"/>
                  <w:rFonts w:ascii="Times New Roman" w:hAnsi="Times New Roman"/>
                  <w:color w:val="0000FF"/>
                  <w:sz w:val="20"/>
                  <w:u w:val="single"/>
                </w:rPr>
                <w:t>Form of Restricted Stock Award Agreement under the 2021 Equity Incentive Plan</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May 7, 2025</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0" w:after="2"/>
              <w:jc w:val="left"/>
              <w:rPr/>
            </w:pPr>
            <w:hyperlink r:id="rId11">
              <w:r>
                <w:rPr>
                  <w:rStyle w:val="InternetLink"/>
                  <w:rFonts w:ascii="Times New Roman" w:hAnsi="Times New Roman"/>
                  <w:color w:val="0000FF"/>
                  <w:sz w:val="20"/>
                  <w:u w:val="single"/>
                </w:rPr>
                <w:t>Form of Restricted Stock Unit Award Agreement under the 2021 Equity Incentive Plan for Dushyant Sharma</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001-40429</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rFonts w:ascii="Times New Roman" w:hAnsi="Times New Roman"/>
                <w:color w:val="000000"/>
                <w:sz w:val="20"/>
              </w:rPr>
            </w:pPr>
            <w:r>
              <w:rPr>
                <w:rFonts w:ascii="Times New Roman" w:hAnsi="Times New Roman"/>
                <w:color w:val="000000"/>
                <w:sz w:val="20"/>
              </w:rPr>
              <w:t>July 2, 2025</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
              <w:ind w:left="0" w:right="0" w:firstLine="20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526" w:type="dxa"/>
            <w:tcBorders/>
            <w:tcMar>
              <w:top w:w="0" w:type="dxa"/>
              <w:left w:w="0" w:type="dxa"/>
              <w:bottom w:w="0" w:type="dxa"/>
              <w:right w:w="0" w:type="dxa"/>
            </w:tcMar>
            <w:vAlign w:val="center"/>
          </w:tcPr>
          <w:p>
            <w:pPr>
              <w:pStyle w:val="TableContents"/>
              <w:bidi w:val="0"/>
              <w:spacing w:before="40" w:after="2"/>
              <w:jc w:val="left"/>
              <w:rPr/>
            </w:pPr>
            <w:hyperlink w:anchor="pay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586" w:type="dxa"/>
            <w:tcBorders/>
            <w:tcMar>
              <w:top w:w="0" w:type="dxa"/>
              <w:left w:w="0" w:type="dxa"/>
              <w:bottom w:w="0" w:type="dxa"/>
              <w:right w:w="0" w:type="dxa"/>
            </w:tcMar>
            <w:vAlign w:val="center"/>
          </w:tcPr>
          <w:p>
            <w:pPr>
              <w:pStyle w:val="TableContents"/>
              <w:bidi w:val="0"/>
              <w:spacing w:before="40" w:after="2"/>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
              <w:jc w:val="center"/>
              <w:rPr/>
            </w:pPr>
            <w:r>
              <w:rPr/>
              <w:t> </w:t>
            </w:r>
          </w:p>
        </w:tc>
        <w:tc>
          <w:tcPr>
            <w:tcW w:w="844"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736"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821" w:type="dxa"/>
            <w:tcBorders/>
            <w:tcMar>
              <w:top w:w="0" w:type="dxa"/>
              <w:left w:w="0" w:type="dxa"/>
              <w:bottom w:w="0" w:type="dxa"/>
              <w:right w:w="0" w:type="dxa"/>
            </w:tcMar>
            <w:vAlign w:val="center"/>
          </w:tcPr>
          <w:p>
            <w:pPr>
              <w:pStyle w:val="TableContents"/>
              <w:bidi w:val="0"/>
              <w:spacing w:before="40" w:after="2"/>
              <w:jc w:val="left"/>
              <w:rPr/>
            </w:pPr>
            <w:r>
              <w:rPr/>
              <w:t> </w:t>
            </w:r>
          </w:p>
        </w:tc>
        <w:tc>
          <w:tcPr>
            <w:tcW w:w="146" w:type="dxa"/>
            <w:tcBorders/>
            <w:tcMar>
              <w:top w:w="0" w:type="dxa"/>
              <w:left w:w="0" w:type="dxa"/>
              <w:bottom w:w="0" w:type="dxa"/>
              <w:right w:w="0" w:type="dxa"/>
            </w:tcMar>
            <w:vAlign w:val="center"/>
          </w:tcPr>
          <w:p>
            <w:pPr>
              <w:pStyle w:val="TableContents"/>
              <w:bidi w:val="0"/>
              <w:spacing w:before="40" w:after="2"/>
              <w:jc w:val="left"/>
              <w:rPr/>
            </w:pPr>
            <w:r>
              <w:rPr/>
              <w:t> </w:t>
            </w:r>
          </w:p>
        </w:tc>
        <w:tc>
          <w:tcPr>
            <w:tcW w:w="326" w:type="dxa"/>
            <w:tcBorders/>
            <w:tcMar>
              <w:top w:w="0" w:type="dxa"/>
              <w:left w:w="0" w:type="dxa"/>
              <w:bottom w:w="0" w:type="dxa"/>
              <w:right w:w="0" w:type="dxa"/>
            </w:tcMar>
            <w:vAlign w:val="center"/>
          </w:tcPr>
          <w:p>
            <w:pPr>
              <w:pStyle w:val="TableContents"/>
              <w:bidi w:val="0"/>
              <w:spacing w:before="40" w:after="2"/>
              <w:jc w:val="center"/>
              <w:rPr>
                <w:rFonts w:ascii="Times New Roman" w:hAnsi="Times New Roman"/>
                <w:color w:val="000000"/>
                <w:sz w:val="20"/>
              </w:rPr>
            </w:pPr>
            <w:r>
              <w:rPr>
                <w:rFonts w:ascii="Times New Roman" w:hAnsi="Times New Roman"/>
                <w:color w:val="000000"/>
                <w:sz w:val="20"/>
              </w:rPr>
              <w:t>X</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 w:name="signatures"/>
      <w:bookmarkEnd w:id="3"/>
      <w:r>
        <w:rPr>
          <w:rFonts w:ascii="Times New Roman" w:hAnsi="Times New Roman"/>
          <w:b/>
          <w:color w:val="000000"/>
          <w:sz w:val="20"/>
        </w:rPr>
        <w:t>SIGNATURES</w:t>
      </w:r>
    </w:p>
    <w:p>
      <w:pPr>
        <w:pStyle w:val="TextBody"/>
        <w:bidi w:val="0"/>
        <w:spacing w:before="0" w:after="38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Charlotte, State of North Carolina, on the 24th day of February, 2026.</w:t>
      </w:r>
    </w:p>
    <w:tbl>
      <w:tblPr>
        <w:tblW w:w="4637" w:type="dxa"/>
        <w:jc w:val="left"/>
        <w:tblInd w:w="0" w:type="dxa"/>
        <w:tblLayout w:type="fixed"/>
        <w:tblCellMar>
          <w:top w:w="28" w:type="dxa"/>
          <w:left w:w="28" w:type="dxa"/>
          <w:bottom w:w="28" w:type="dxa"/>
          <w:right w:w="28" w:type="dxa"/>
        </w:tblCellMar>
      </w:tblPr>
      <w:tblGrid>
        <w:gridCol w:w="481"/>
        <w:gridCol w:w="4156"/>
      </w:tblGrid>
      <w:tr>
        <w:trPr/>
        <w:tc>
          <w:tcPr>
            <w:tcW w:w="48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ind w:left="0" w:right="0" w:firstLine="60"/>
              <w:jc w:val="left"/>
              <w:rPr>
                <w:sz w:val="4"/>
                <w:szCs w:val="4"/>
              </w:rPr>
            </w:pPr>
            <w:r>
              <w:rPr>
                <w:sz w:val="4"/>
                <w:szCs w:val="4"/>
              </w:rPr>
            </w:r>
          </w:p>
        </w:tc>
      </w:tr>
      <w:tr>
        <w:trPr/>
        <w:tc>
          <w:tcPr>
            <w:tcW w:w="4637" w:type="dxa"/>
            <w:gridSpan w:val="2"/>
            <w:tcBorders/>
            <w:tcMar>
              <w:top w:w="0" w:type="dxa"/>
              <w:left w:w="0" w:type="dxa"/>
              <w:bottom w:w="0" w:type="dxa"/>
              <w:right w:w="0" w:type="dxa"/>
            </w:tcMar>
            <w:vAlign w:val="center"/>
          </w:tcPr>
          <w:p>
            <w:pPr>
              <w:pStyle w:val="TableContents"/>
              <w:bidi w:val="0"/>
              <w:spacing w:before="40" w:after="40"/>
              <w:ind w:left="0" w:right="0" w:firstLine="60"/>
              <w:jc w:val="left"/>
              <w:rPr>
                <w:rFonts w:ascii="Times New Roman" w:hAnsi="Times New Roman"/>
                <w:b/>
                <w:color w:val="000000"/>
                <w:sz w:val="20"/>
              </w:rPr>
            </w:pPr>
            <w:r>
              <w:rPr>
                <w:rFonts w:ascii="Times New Roman" w:hAnsi="Times New Roman"/>
                <w:b/>
                <w:color w:val="000000"/>
                <w:sz w:val="20"/>
              </w:rPr>
              <w:t>PAYMENTUS HOLDINGS, INC.</w:t>
            </w:r>
          </w:p>
        </w:tc>
      </w:tr>
      <w:tr>
        <w:trPr/>
        <w:tc>
          <w:tcPr>
            <w:tcW w:w="481" w:type="dxa"/>
            <w:tcBorders/>
            <w:tcMar>
              <w:top w:w="0" w:type="dxa"/>
              <w:left w:w="0" w:type="dxa"/>
              <w:bottom w:w="0" w:type="dxa"/>
              <w:right w:w="0" w:type="dxa"/>
            </w:tcMar>
            <w:vAlign w:val="center"/>
          </w:tcPr>
          <w:p>
            <w:pPr>
              <w:pStyle w:val="TableContents"/>
              <w:bidi w:val="0"/>
              <w:spacing w:before="40" w:after="40"/>
              <w:jc w:val="left"/>
              <w:rPr/>
            </w:pPr>
            <w:r>
              <w:rPr/>
              <w:t> </w:t>
            </w:r>
          </w:p>
        </w:tc>
        <w:tc>
          <w:tcPr>
            <w:tcW w:w="415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40" w:after="40"/>
              <w:ind w:left="0" w:right="0" w:firstLine="60"/>
              <w:jc w:val="left"/>
              <w:rPr>
                <w:rFonts w:ascii="Times New Roman" w:hAnsi="Times New Roman"/>
                <w:color w:val="000000"/>
                <w:sz w:val="20"/>
              </w:rPr>
            </w:pPr>
            <w:r>
              <w:rPr>
                <w:rFonts w:ascii="Times New Roman" w:hAnsi="Times New Roman"/>
                <w:color w:val="000000"/>
                <w:sz w:val="20"/>
              </w:rPr>
              <w:t>By:</w:t>
            </w:r>
          </w:p>
        </w:tc>
        <w:tc>
          <w:tcPr>
            <w:tcW w:w="4156" w:type="dxa"/>
            <w:tcBorders/>
            <w:tcMar>
              <w:top w:w="0" w:type="dxa"/>
              <w:left w:w="0" w:type="dxa"/>
              <w:bottom w:w="0" w:type="dxa"/>
              <w:right w:w="0" w:type="dxa"/>
            </w:tcMar>
            <w:vAlign w:val="center"/>
          </w:tcPr>
          <w:p>
            <w:pPr>
              <w:pStyle w:val="TableContents"/>
              <w:bidi w:val="0"/>
              <w:spacing w:before="40" w:after="40"/>
              <w:ind w:left="0" w:right="0" w:firstLine="60"/>
              <w:jc w:val="left"/>
              <w:rPr>
                <w:rFonts w:ascii="Times New Roman" w:hAnsi="Times New Roman"/>
                <w:color w:val="000000"/>
                <w:sz w:val="20"/>
              </w:rPr>
            </w:pPr>
            <w:r>
              <w:rPr>
                <w:rFonts w:ascii="Times New Roman" w:hAnsi="Times New Roman"/>
                <w:color w:val="000000"/>
                <w:sz w:val="20"/>
              </w:rPr>
              <w:t>/s/ Dushyant Sharma</w:t>
            </w:r>
          </w:p>
        </w:tc>
      </w:tr>
      <w:tr>
        <w:trPr/>
        <w:tc>
          <w:tcPr>
            <w:tcW w:w="481"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4156" w:type="dxa"/>
            <w:tcBorders>
              <w:top w:val="single" w:sz="8" w:space="0" w:color="000000"/>
            </w:tcBorders>
            <w:tcMar>
              <w:left w:w="0" w:type="dxa"/>
              <w:bottom w:w="0" w:type="dxa"/>
              <w:right w:w="0" w:type="dxa"/>
            </w:tcMar>
            <w:vAlign w:val="center"/>
          </w:tcPr>
          <w:p>
            <w:pPr>
              <w:pStyle w:val="TableContents"/>
              <w:bidi w:val="0"/>
              <w:spacing w:before="40" w:after="40"/>
              <w:ind w:left="0" w:right="0" w:firstLine="60"/>
              <w:jc w:val="left"/>
              <w:rPr>
                <w:rFonts w:ascii="Times New Roman" w:hAnsi="Times New Roman"/>
                <w:color w:val="000000"/>
                <w:sz w:val="20"/>
              </w:rPr>
            </w:pPr>
            <w:r>
              <w:rPr>
                <w:rFonts w:ascii="Times New Roman" w:hAnsi="Times New Roman"/>
                <w:color w:val="000000"/>
                <w:sz w:val="20"/>
              </w:rPr>
              <w:t>Dushyant Sharma</w:t>
            </w:r>
          </w:p>
        </w:tc>
      </w:tr>
      <w:tr>
        <w:trPr/>
        <w:tc>
          <w:tcPr>
            <w:tcW w:w="481"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4156" w:type="dxa"/>
            <w:tcBorders/>
            <w:tcMar>
              <w:top w:w="0" w:type="dxa"/>
              <w:left w:w="0" w:type="dxa"/>
              <w:bottom w:w="0" w:type="dxa"/>
              <w:right w:w="0" w:type="dxa"/>
            </w:tcMar>
            <w:vAlign w:val="center"/>
          </w:tcPr>
          <w:p>
            <w:pPr>
              <w:pStyle w:val="TableContents"/>
              <w:bidi w:val="0"/>
              <w:spacing w:before="40" w:after="40"/>
              <w:ind w:left="0" w:right="0" w:firstLine="60"/>
              <w:jc w:val="left"/>
              <w:rPr>
                <w:rFonts w:ascii="Times New Roman" w:hAnsi="Times New Roman"/>
                <w:color w:val="000000"/>
                <w:sz w:val="20"/>
              </w:rPr>
            </w:pPr>
            <w:r>
              <w:rPr>
                <w:rFonts w:ascii="Times New Roman" w:hAnsi="Times New Roman"/>
                <w:color w:val="000000"/>
                <w:sz w:val="20"/>
              </w:rPr>
              <w:t>Chairman, President and Chief Executive Officer</w:t>
            </w:r>
          </w:p>
        </w:tc>
      </w:tr>
    </w:tbl>
    <w:p>
      <w:pPr>
        <w:pStyle w:val="TextBody"/>
        <w:bidi w:val="0"/>
        <w:spacing w:before="300" w:after="240"/>
        <w:jc w:val="center"/>
        <w:rPr>
          <w:rFonts w:ascii="Times New Roman" w:hAnsi="Times New Roman"/>
          <w:b/>
          <w:color w:val="000000"/>
          <w:sz w:val="20"/>
        </w:rPr>
      </w:pPr>
      <w:bookmarkStart w:id="4" w:name="power_of_attorney"/>
      <w:bookmarkEnd w:id="4"/>
      <w:r>
        <w:rPr>
          <w:rFonts w:ascii="Times New Roman" w:hAnsi="Times New Roman"/>
          <w:b/>
          <w:color w:val="000000"/>
          <w:sz w:val="20"/>
        </w:rPr>
        <w:t>POWER OF ATTORNEY</w:t>
      </w:r>
    </w:p>
    <w:p>
      <w:pPr>
        <w:pStyle w:val="TextBody"/>
        <w:bidi w:val="0"/>
        <w:spacing w:before="0" w:after="38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Dushyant Sharma, Sanjay Kalra and Andrew A. Gerber as his true and lawful attorney-in-fact and agent, with full power of substitution and resubstitution, for him and in his name, place and stead, in any and all capacities (including his capacity as a director or officer of the Registrant) to sign any or all amendments (including post-effective amendments) to this Registration Statement,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as fully to all intents and purposes as they or he might or could do in person, hereby ratifying and confirming all the said attorney-in-fact and agent or his substitute or substitutes, may lawfully do or cause to be done by virtue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6"/>
        <w:gridCol w:w="206"/>
        <w:gridCol w:w="6016"/>
        <w:gridCol w:w="346"/>
        <w:gridCol w:w="1771"/>
      </w:tblGrid>
      <w:tr>
        <w:trPr/>
        <w:tc>
          <w:tcPr>
            <w:tcW w:w="1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ind w:left="0" w:right="0" w:firstLine="60"/>
              <w:jc w:val="left"/>
              <w:rPr>
                <w:sz w:val="4"/>
                <w:szCs w:val="4"/>
              </w:rPr>
            </w:pPr>
            <w:r>
              <w:rPr>
                <w:sz w:val="4"/>
                <w:szCs w:val="4"/>
              </w:rPr>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b/>
                <w:color w:val="000000"/>
                <w:sz w:val="16"/>
              </w:rPr>
            </w:pPr>
            <w:r>
              <w:rPr>
                <w:rFonts w:ascii="Times New Roman" w:hAnsi="Times New Roman"/>
                <w:b/>
                <w:color w:val="000000"/>
                <w:sz w:val="16"/>
              </w:rPr>
              <w:t>Signatures</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pPr>
            <w:r>
              <w:rPr/>
              <w:t> </w:t>
            </w:r>
          </w:p>
        </w:tc>
        <w:tc>
          <w:tcPr>
            <w:tcW w:w="601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b/>
                <w:color w:val="000000"/>
                <w:sz w:val="16"/>
              </w:rPr>
            </w:pPr>
            <w:r>
              <w:rPr>
                <w:rFonts w:ascii="Times New Roman" w:hAnsi="Times New Roman"/>
                <w:b/>
                <w:color w:val="000000"/>
                <w:sz w:val="16"/>
              </w:rPr>
              <w:t>Title</w:t>
            </w:r>
          </w:p>
        </w:tc>
        <w:tc>
          <w:tcPr>
            <w:tcW w:w="34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pPr>
            <w:r>
              <w:rPr/>
              <w:t> </w:t>
            </w:r>
          </w:p>
        </w:tc>
        <w:tc>
          <w:tcPr>
            <w:tcW w:w="1771"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b/>
                <w:color w:val="000000"/>
                <w:sz w:val="16"/>
              </w:rPr>
            </w:pPr>
            <w:r>
              <w:rPr>
                <w:rFonts w:ascii="Times New Roman" w:hAnsi="Times New Roman"/>
                <w:b/>
                <w:color w:val="000000"/>
                <w:sz w:val="16"/>
              </w:rPr>
              <w:t>Date</w:t>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Dushyant Sharma</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0" w:after="40"/>
              <w:ind w:left="0" w:right="0" w:firstLine="60"/>
              <w:jc w:val="center"/>
              <w:rPr>
                <w:rFonts w:ascii="Times New Roman" w:hAnsi="Times New Roman"/>
                <w:color w:val="000000"/>
                <w:sz w:val="20"/>
              </w:rPr>
            </w:pPr>
            <w:r>
              <w:rPr>
                <w:rFonts w:ascii="Times New Roman" w:hAnsi="Times New Roman"/>
                <w:color w:val="000000"/>
                <w:sz w:val="20"/>
              </w:rPr>
              <w:t>Chairman, President and Chief Executive Officer (Principal Executive Officer)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Dushyant Sharma</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Sanjay Kalra</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283"/>
              <w:ind w:left="0" w:right="0" w:firstLine="60"/>
              <w:jc w:val="center"/>
              <w:rPr>
                <w:rFonts w:ascii="Times New Roman" w:hAnsi="Times New Roman"/>
                <w:color w:val="000000"/>
                <w:sz w:val="20"/>
              </w:rPr>
            </w:pPr>
            <w:r>
              <w:rPr>
                <w:rFonts w:ascii="Times New Roman" w:hAnsi="Times New Roman"/>
                <w:color w:val="000000"/>
                <w:sz w:val="20"/>
              </w:rPr>
              <w:t>Senior Vice President and Chief Financial Officer</w:t>
            </w:r>
          </w:p>
          <w:p>
            <w:pPr>
              <w:pStyle w:val="TableContents"/>
              <w:bidi w:val="0"/>
              <w:spacing w:before="0" w:after="40"/>
              <w:ind w:left="0" w:right="0" w:firstLine="60"/>
              <w:jc w:val="center"/>
              <w:rPr>
                <w:rFonts w:ascii="Times New Roman" w:hAnsi="Times New Roman"/>
                <w:color w:val="000000"/>
                <w:sz w:val="20"/>
              </w:rPr>
            </w:pPr>
            <w:r>
              <w:rPr>
                <w:rFonts w:ascii="Times New Roman" w:hAnsi="Times New Roman"/>
                <w:color w:val="000000"/>
                <w:sz w:val="20"/>
              </w:rPr>
              <w:t xml:space="preserve">(Principal Financial and Accounting Officer) </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Sanjay Kalra</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Jody Davids</w:t>
            </w:r>
          </w:p>
        </w:tc>
        <w:tc>
          <w:tcPr>
            <w:tcW w:w="20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Jody Davids</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20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601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r>
      <w:tr>
        <w:trPr/>
        <w:tc>
          <w:tcPr>
            <w:tcW w:w="186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William Ingram</w:t>
            </w:r>
          </w:p>
        </w:tc>
        <w:tc>
          <w:tcPr>
            <w:tcW w:w="20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William Ingram</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Jason Klein</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Jason Klein</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Adam Malinowski</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Adam Malinowski</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Arun Oberoi</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Arun Oberoi</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ind w:left="0" w:right="0" w:firstLine="20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pPr>
            <w:r>
              <w:rPr/>
              <w:t> </w:t>
            </w:r>
          </w:p>
        </w:tc>
        <w:tc>
          <w:tcPr>
            <w:tcW w:w="20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601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1771"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r>
      <w:tr>
        <w:trPr/>
        <w:tc>
          <w:tcPr>
            <w:tcW w:w="186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/s/ Robert Palumbo</w:t>
            </w:r>
          </w:p>
        </w:tc>
        <w:tc>
          <w:tcPr>
            <w:tcW w:w="206" w:type="dxa"/>
            <w:tcBorders>
              <w:bottom w:val="single" w:sz="8"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Robert Palumbo</w:t>
            </w:r>
          </w:p>
        </w:tc>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ind w:left="0" w:right="0" w:firstLine="200"/>
              <w:jc w:val="left"/>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pPr>
            <w:r>
              <w:rPr/>
              <w:t> </w:t>
            </w:r>
          </w:p>
        </w:tc>
        <w:tc>
          <w:tcPr>
            <w:tcW w:w="20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601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1771" w:type="dxa"/>
            <w:tcBorders/>
            <w:tcMar>
              <w:top w:w="0" w:type="dxa"/>
              <w:left w:w="0" w:type="dxa"/>
              <w:bottom w:w="0" w:type="dxa"/>
              <w:right w:w="0" w:type="dxa"/>
            </w:tcMar>
            <w:vAlign w:val="center"/>
          </w:tcPr>
          <w:p>
            <w:pPr>
              <w:pStyle w:val="TableContents"/>
              <w:bidi w:val="0"/>
              <w:spacing w:before="40" w:after="40"/>
              <w:ind w:left="0" w:right="0" w:firstLine="200"/>
              <w:jc w:val="center"/>
              <w:rPr/>
            </w:pPr>
            <w:r>
              <w:rPr/>
              <w:t> </w:t>
            </w:r>
          </w:p>
        </w:tc>
      </w:tr>
      <w:tr>
        <w:trPr/>
        <w:tc>
          <w:tcPr>
            <w:tcW w:w="1866" w:type="dxa"/>
            <w:tcBorders>
              <w:bottom w:val="single" w:sz="4" w:space="0" w:color="000000"/>
            </w:tcBorders>
            <w:tcMar>
              <w:top w:w="0" w:type="dxa"/>
              <w:left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/s/ Gary Trainor</w:t>
            </w:r>
          </w:p>
        </w:tc>
        <w:tc>
          <w:tcPr>
            <w:tcW w:w="20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pPr>
            <w:r>
              <w:rPr/>
              <w:t> </w:t>
            </w:r>
          </w:p>
        </w:tc>
        <w:tc>
          <w:tcPr>
            <w:tcW w:w="6016" w:type="dxa"/>
            <w:vMerge w:val="restart"/>
            <w:tcBorders/>
            <w:tcMar>
              <w:top w:w="0" w:type="dxa"/>
              <w:left w:w="0" w:type="dxa"/>
              <w:bottom w:w="0" w:type="dxa"/>
              <w:right w:w="0" w:type="dxa"/>
            </w:tcMar>
            <w:vAlign w:val="center"/>
          </w:tcPr>
          <w:p>
            <w:pPr>
              <w:pStyle w:val="TableContents"/>
              <w:bidi w:val="0"/>
              <w:spacing w:before="40" w:after="40"/>
              <w:ind w:left="0" w:right="0" w:firstLine="60"/>
              <w:jc w:val="center"/>
              <w:rPr>
                <w:rFonts w:ascii="Times New Roman" w:hAnsi="Times New Roman"/>
                <w:color w:val="000000"/>
                <w:sz w:val="20"/>
              </w:rPr>
            </w:pPr>
            <w:r>
              <w:rPr>
                <w:rFonts w:ascii="Times New Roman" w:hAnsi="Times New Roman"/>
                <w:color w:val="000000"/>
                <w:sz w:val="20"/>
              </w:rPr>
              <w:t>Director</w:t>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1771" w:type="dxa"/>
            <w:vMerge w:val="restart"/>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February 24, 2026</w:t>
            </w:r>
          </w:p>
        </w:tc>
      </w:tr>
      <w:tr>
        <w:trPr/>
        <w:tc>
          <w:tcPr>
            <w:tcW w:w="1866" w:type="dxa"/>
            <w:tcBorders/>
            <w:tcMar>
              <w:top w:w="0" w:type="dxa"/>
              <w:left w:w="0" w:type="dxa"/>
              <w:bottom w:w="0" w:type="dxa"/>
              <w:right w:w="0" w:type="dxa"/>
            </w:tcMar>
            <w:vAlign w:val="center"/>
          </w:tcPr>
          <w:p>
            <w:pPr>
              <w:pStyle w:val="TableContents"/>
              <w:bidi w:val="0"/>
              <w:spacing w:before="40" w:after="40"/>
              <w:ind w:left="0" w:right="0" w:firstLine="200"/>
              <w:jc w:val="center"/>
              <w:rPr>
                <w:rFonts w:ascii="Times New Roman" w:hAnsi="Times New Roman"/>
                <w:color w:val="000000"/>
                <w:sz w:val="20"/>
              </w:rPr>
            </w:pPr>
            <w:r>
              <w:rPr>
                <w:rFonts w:ascii="Times New Roman" w:hAnsi="Times New Roman"/>
                <w:color w:val="000000"/>
                <w:sz w:val="20"/>
              </w:rPr>
              <w:t>Gary Trainor</w:t>
            </w:r>
          </w:p>
        </w:tc>
        <w:tc>
          <w:tcPr>
            <w:tcW w:w="206" w:type="dxa"/>
            <w:tcBorders/>
            <w:tcMar>
              <w:top w:w="0" w:type="dxa"/>
              <w:left w:w="0" w:type="dxa"/>
              <w:bottom w:w="0" w:type="dxa"/>
              <w:right w:w="0" w:type="dxa"/>
            </w:tcMar>
            <w:vAlign w:val="center"/>
          </w:tcPr>
          <w:p>
            <w:pPr>
              <w:pStyle w:val="TableContents"/>
              <w:bidi w:val="0"/>
              <w:spacing w:before="40" w:after="40"/>
              <w:ind w:left="0" w:right="0" w:firstLine="60"/>
              <w:jc w:val="left"/>
              <w:rPr/>
            </w:pPr>
            <w:r>
              <w:rPr/>
              <w:t> </w:t>
            </w:r>
          </w:p>
        </w:tc>
        <w:tc>
          <w:tcPr>
            <w:tcW w:w="6016" w:type="dxa"/>
            <w:vMerge w:val="continue"/>
            <w:tcBorders/>
            <w:tcMar>
              <w:top w:w="0" w:type="dxa"/>
              <w:left w:w="0" w:type="dxa"/>
              <w:bottom w:w="0" w:type="dxa"/>
              <w:right w:w="0" w:type="dxa"/>
            </w:tcMar>
            <w:vAlign w:val="center"/>
          </w:tcPr>
          <w:p>
            <w:pPr>
              <w:pStyle w:val="Normal"/>
              <w:bidi w:val="0"/>
              <w:jc w:val="left"/>
              <w:rPr/>
            </w:pPr>
            <w:r>
              <w:rPr/>
            </w:r>
          </w:p>
        </w:tc>
        <w:tc>
          <w:tcPr>
            <w:tcW w:w="346" w:type="dxa"/>
            <w:tcBorders/>
            <w:tcMar>
              <w:top w:w="0" w:type="dxa"/>
              <w:left w:w="0" w:type="dxa"/>
              <w:bottom w:w="0" w:type="dxa"/>
              <w:right w:w="0" w:type="dxa"/>
            </w:tcMar>
            <w:vAlign w:val="center"/>
          </w:tcPr>
          <w:p>
            <w:pPr>
              <w:pStyle w:val="TableContents"/>
              <w:bidi w:val="0"/>
              <w:spacing w:before="40" w:after="40"/>
              <w:ind w:left="0" w:right="0" w:firstLine="60"/>
              <w:jc w:val="center"/>
              <w:rPr/>
            </w:pPr>
            <w:r>
              <w:rPr/>
              <w:t> </w:t>
            </w:r>
          </w:p>
        </w:tc>
        <w:tc>
          <w:tcPr>
            <w:tcW w:w="177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pay-ex5_1.htm"/>
      <w:bookmarkStart w:id="6" w:name="kspayex5_1"/>
      <w:bookmarkEnd w:id="5"/>
      <w:bookmarkEnd w:id="6"/>
      <w:r>
        <w:rPr>
          <w:rFonts w:ascii="Times New Roman" w:hAnsi="Times New Roman"/>
          <w:b/>
          <w:color w:val="000000"/>
          <w:sz w:val="20"/>
        </w:rPr>
        <w:t>Exhibit 5.1</w:t>
      </w:r>
      <w:r>
        <w:br w:type="page"/>
      </w:r>
    </w:p>
    <w:p>
      <w:pPr>
        <w:pStyle w:val="TextBody"/>
        <w:bidi w:val="0"/>
        <w:jc w:val="left"/>
        <w:rPr/>
      </w:pPr>
      <w:r>
        <w:rPr/>
        <w:drawing>
          <wp:inline distT="0" distB="0" distL="0" distR="0">
            <wp:extent cx="20574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057400" cy="590550"/>
                    </a:xfrm>
                    <a:prstGeom prst="rect">
                      <a:avLst/>
                    </a:prstGeom>
                  </pic:spPr>
                </pic:pic>
              </a:graphicData>
            </a:graphic>
          </wp:inline>
        </w:drawing>
      </w:r>
      <w:r>
        <w:rPr>
          <w:color w:val="000000"/>
        </w:rPr>
        <w:t xml:space="preserve"> </w:t>
      </w:r>
    </w:p>
    <w:p>
      <w:pPr>
        <w:pStyle w:val="TextBody"/>
        <w:bidi w:val="0"/>
        <w:jc w:val="right"/>
        <w:rPr>
          <w:rFonts w:ascii="Times New Roman" w:hAnsi="Times New Roman"/>
          <w:color w:val="000000"/>
          <w:sz w:val="21"/>
        </w:rPr>
      </w:pPr>
      <w:r>
        <w:rPr>
          <w:rFonts w:ascii="Times New Roman" w:hAnsi="Times New Roman"/>
          <w:color w:val="000000"/>
          <w:sz w:val="21"/>
        </w:rPr>
        <w:t>Maynard Nexsen PC</w:t>
      </w:r>
    </w:p>
    <w:p>
      <w:pPr>
        <w:pStyle w:val="TextBody"/>
        <w:bidi w:val="0"/>
        <w:jc w:val="right"/>
        <w:rPr>
          <w:rFonts w:ascii="Times New Roman" w:hAnsi="Times New Roman"/>
          <w:color w:val="000000"/>
          <w:sz w:val="21"/>
        </w:rPr>
      </w:pPr>
      <w:r>
        <w:rPr>
          <w:rFonts w:ascii="Times New Roman" w:hAnsi="Times New Roman"/>
          <w:color w:val="000000"/>
          <w:sz w:val="21"/>
        </w:rPr>
        <w:t>1901 Sixth Avenue North, Suite 1700</w:t>
      </w:r>
    </w:p>
    <w:p>
      <w:pPr>
        <w:pStyle w:val="TextBody"/>
        <w:bidi w:val="0"/>
        <w:jc w:val="right"/>
        <w:rPr>
          <w:rFonts w:ascii="Times New Roman" w:hAnsi="Times New Roman"/>
          <w:color w:val="000000"/>
          <w:sz w:val="21"/>
        </w:rPr>
      </w:pPr>
      <w:r>
        <w:rPr>
          <w:rFonts w:ascii="Times New Roman" w:hAnsi="Times New Roman"/>
          <w:color w:val="000000"/>
          <w:sz w:val="21"/>
        </w:rPr>
        <w:t>Birmingham, AL 35203</w:t>
      </w:r>
    </w:p>
    <w:p>
      <w:pPr>
        <w:pStyle w:val="TextBody"/>
        <w:bidi w:val="0"/>
        <w:jc w:val="right"/>
        <w:rPr>
          <w:rFonts w:ascii="Times New Roman" w:hAnsi="Times New Roman"/>
          <w:color w:val="000000"/>
          <w:sz w:val="21"/>
        </w:rPr>
      </w:pPr>
      <w:r>
        <w:rPr>
          <w:rFonts w:ascii="Times New Roman" w:hAnsi="Times New Roman"/>
          <w:color w:val="000000"/>
          <w:sz w:val="21"/>
        </w:rPr>
        <w:t>T: 205-254-1000</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February 24, 2026</w:t>
      </w:r>
    </w:p>
    <w:p>
      <w:pPr>
        <w:pStyle w:val="TextBody"/>
        <w:bidi w:val="0"/>
        <w:jc w:val="left"/>
        <w:rPr/>
      </w:pPr>
      <w:bookmarkStart w:id="7" w:name="ole_link3"/>
      <w:bookmarkStart w:id="8" w:name="ole_link4"/>
      <w:bookmarkEnd w:id="7"/>
      <w:bookmarkEnd w:id="8"/>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Paymentus Holdings, Inc.</w:t>
      </w:r>
    </w:p>
    <w:p>
      <w:pPr>
        <w:pStyle w:val="TextBody"/>
        <w:bidi w:val="0"/>
        <w:jc w:val="both"/>
        <w:rPr>
          <w:rFonts w:ascii="Times New Roman" w:hAnsi="Times New Roman"/>
          <w:color w:val="000000"/>
          <w:sz w:val="22"/>
        </w:rPr>
      </w:pPr>
      <w:r>
        <w:rPr>
          <w:rFonts w:ascii="Times New Roman" w:hAnsi="Times New Roman"/>
          <w:color w:val="000000"/>
          <w:sz w:val="22"/>
        </w:rPr>
        <w:t>11605 N. Community House Road, Suite 300</w:t>
      </w:r>
    </w:p>
    <w:p>
      <w:pPr>
        <w:pStyle w:val="TextBody"/>
        <w:bidi w:val="0"/>
        <w:jc w:val="both"/>
        <w:rPr>
          <w:rFonts w:ascii="Times New Roman" w:hAnsi="Times New Roman"/>
          <w:color w:val="000000"/>
          <w:sz w:val="22"/>
        </w:rPr>
      </w:pPr>
      <w:r>
        <w:rPr>
          <w:rFonts w:ascii="Times New Roman" w:hAnsi="Times New Roman"/>
          <w:color w:val="000000"/>
          <w:sz w:val="22"/>
        </w:rPr>
        <w:t>Charlotte, NC 28277</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 Registration Statement on Form S-8</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Ladies and Gentlemen: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acted as counsel to Paymentus Holdings, Inc., a Delaware corporation (the “Company”), in connection with a registration statement on Form S-8 (the “Registration Statement”) being filed by the Company on or about the date hereof with the Securities and Exchange Commission (the “Commission”) pursuant to the Securities Act of 1933, as amended (the “Act”), for the registration of the offer and sale under the Act of an aggregate of 5,023,249 shares of Class A common stock, par value $0.0001 per share, of the Company (the “Shares”), reserved for issuance under the Company’s 2021 Equity Incentive Plan (the “Plan”). This opinion is being furnished in accordance with the requirements of Item 8 of Form S</w:t>
        <w:noBreakHyphen/>
        <w:t>8 and Item 601(b)(5)(i) of Regulation S-K, as promulgated by the Commission.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participated in the preparation of the Registration Statement and have reviewed originals or copies certified or otherwise identified to our satisfaction of (i) the Company’s Certificate of Incorporation and Bylaws, (ii) the corporate proceedings of the Company in connection with the filing of the Registration Statement, the approval of the Plan and the issuance of the Shares, (iii) the Plan, and (iv) other documents and instruments as we have deemed appropriate as a basis for the opinions expressed below. Based on the foregoing, we are of the opinion that when the Registration Statement has become effective under the Act and the Shares have been duly issued in the manner referred to in the Plan, the Shares will be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rendering the opinion expressed above,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opinion is limited to the General Corporation Law of the State of Delaware, and we express no opinion as to the effect of the laws of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hereby consent to the filing of this opinion letter as an exhibit to the Registration Statement and to the use of our name wherever appearing in the Registration Statement and any amendments thereto. In giving such consent, we do not thereby admit that we are “experts” within the meaning of the Act or the rules and regulations of the Commission issued thereunder with respect to any part of the Registration Statement.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left"/>
        <w:rPr>
          <w:rFonts w:ascii="Times New Roman" w:hAnsi="Times New Roman"/>
          <w:color w:val="000000"/>
          <w:sz w:val="22"/>
        </w:rPr>
      </w:pPr>
      <w:r>
        <w:rPr>
          <w:rFonts w:ascii="Times New Roman" w:hAnsi="Times New Roman"/>
          <w:color w:val="000000"/>
          <w:sz w:val="22"/>
        </w:rPr>
        <w:t>Sincerely,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Maynard Nexsen PC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Maynard Nexsen PC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pay-ex23_1.htm"/>
      <w:bookmarkStart w:id="10" w:name="kspayex23_1"/>
      <w:bookmarkEnd w:id="9"/>
      <w:bookmarkEnd w:id="10"/>
      <w:r>
        <w:rPr>
          <w:rFonts w:ascii="Times New Roman" w:hAnsi="Times New Roman"/>
          <w:b/>
          <w:color w:val="000000"/>
          <w:sz w:val="20"/>
        </w:rPr>
        <w:t>Exhibit 23.1</w:t>
      </w:r>
      <w:r>
        <w:br w:type="page"/>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Georgia;serif" w:hAnsi="Georgia;serif"/>
          <w:color w:val="000000"/>
          <w:sz w:val="20"/>
        </w:rPr>
      </w:pPr>
      <w:r>
        <w:rPr>
          <w:rFonts w:ascii="Georgia;serif" w:hAnsi="Georgia;serif"/>
          <w:color w:val="000000"/>
          <w:sz w:val="20"/>
        </w:rPr>
        <w:t>We hereby consent to the incorporation by reference in this Registration Statement on Form S-8 of Paymentus Holdings, Inc. of our report dated February 23, 2026, relating to the financial statements and the effectiveness of internal control over financial reporting, which appears in Paymentus Holdings, Inc.'s Annual Report on Form 10-K for the year ended December 31, 2025.</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br/>
        <w:t xml:space="preserve">Charlotte, North Carolina </w:t>
        <w:br/>
        <w:t>February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 w:name="pay_exfilingfees.htm"/>
      <w:bookmarkStart w:id="12" w:name="kspay_exfilingfees"/>
      <w:bookmarkEnd w:id="11"/>
      <w:bookmarkEnd w:id="12"/>
      <w:r>
        <w:rPr>
          <w:rFonts w:ascii="Times New Roman" w:hAnsi="Times New Roman"/>
          <w:b/>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4"/>
        </w:rPr>
        <w:t>Calculation of Filing Fee</w:t>
      </w:r>
      <w:r>
        <w:rPr>
          <w:rFonts w:ascii="Times New Roman" w:hAnsi="Times New Roman"/>
          <w:color w:val="000000"/>
          <w:sz w:val="20"/>
        </w:rPr>
        <w:t xml:space="preserve"> </w:t>
      </w:r>
      <w:r>
        <w:rPr>
          <w:rFonts w:ascii="Times New Roman" w:hAnsi="Times New Roman"/>
          <w:b/>
          <w:color w:val="000000"/>
          <w:sz w:val="24"/>
        </w:rPr>
        <w:t>Tables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Paymentus Holdings,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
        <w:gridCol w:w="1704"/>
        <w:gridCol w:w="1174"/>
        <w:gridCol w:w="1222"/>
        <w:gridCol w:w="1278"/>
        <w:gridCol w:w="1441"/>
        <w:gridCol w:w="1179"/>
        <w:gridCol w:w="1333"/>
      </w:tblGrid>
      <w:tr>
        <w:trPr/>
        <w:tc>
          <w:tcPr>
            <w:tcW w:w="87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bottom w:val="single" w:sz="4" w:space="0" w:color="000000"/>
            </w:tcBorders>
            <w:tcMar>
              <w:top w:w="0" w:type="dxa"/>
              <w:left w:w="0" w:type="dxa"/>
              <w:right w:w="0" w:type="dxa"/>
            </w:tcMar>
            <w:vAlign w:val="center"/>
          </w:tcPr>
          <w:p>
            <w:pPr>
              <w:pStyle w:val="TableContents"/>
              <w:bidi w:val="0"/>
              <w:spacing w:before="240" w:after="240"/>
              <w:jc w:val="center"/>
              <w:rPr>
                <w:rFonts w:ascii="Times New Roman" w:hAnsi="Times New Roman"/>
                <w:b/>
                <w:color w:val="000000"/>
                <w:sz w:val="20"/>
              </w:rPr>
            </w:pPr>
            <w:r>
              <w:rPr>
                <w:rFonts w:ascii="Times New Roman" w:hAnsi="Times New Roman"/>
                <w:b/>
                <w:color w:val="000000"/>
                <w:sz w:val="20"/>
              </w:rPr>
              <w:t>Table 1 – Newly Registered Securities</w:t>
            </w:r>
          </w:p>
        </w:tc>
      </w:tr>
      <w:tr>
        <w:trPr/>
        <w:tc>
          <w:tcPr>
            <w:tcW w:w="8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Type</w:t>
            </w:r>
          </w:p>
        </w:tc>
        <w:tc>
          <w:tcPr>
            <w:tcW w:w="17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Class Title</w:t>
            </w:r>
          </w:p>
        </w:tc>
        <w:tc>
          <w:tcPr>
            <w:tcW w:w="11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Calculation Rule</w:t>
            </w:r>
          </w:p>
        </w:tc>
        <w:tc>
          <w:tcPr>
            <w:tcW w:w="122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Amount Registered(1)</w:t>
            </w:r>
          </w:p>
          <w:p>
            <w:pPr>
              <w:pStyle w:val="TableContents"/>
              <w:bidi w:val="0"/>
              <w:spacing w:before="0" w:after="283"/>
              <w:jc w:val="center"/>
              <w:rPr/>
            </w:pPr>
            <w:r>
              <w:rPr/>
              <w:t> </w:t>
            </w:r>
          </w:p>
        </w:tc>
        <w:tc>
          <w:tcPr>
            <w:tcW w:w="12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Proposed Maximum Offering Price Per Unit</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Aggregate Offering Price</w:t>
            </w:r>
          </w:p>
        </w:tc>
        <w:tc>
          <w:tcPr>
            <w:tcW w:w="1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Rate</w:t>
            </w:r>
          </w:p>
        </w:tc>
        <w:tc>
          <w:tcPr>
            <w:tcW w:w="13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Registration Fee</w:t>
            </w:r>
          </w:p>
        </w:tc>
      </w:tr>
      <w:tr>
        <w:trPr/>
        <w:tc>
          <w:tcPr>
            <w:tcW w:w="8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7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per share, reserved for issuance under the 2021 Equity Incentive Plan</w:t>
            </w:r>
          </w:p>
        </w:tc>
        <w:tc>
          <w:tcPr>
            <w:tcW w:w="11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2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5,023,249 (2)</w:t>
            </w:r>
          </w:p>
        </w:tc>
        <w:tc>
          <w:tcPr>
            <w:tcW w:w="12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$23.315(3)</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$117,117,050</w:t>
            </w:r>
          </w:p>
        </w:tc>
        <w:tc>
          <w:tcPr>
            <w:tcW w:w="1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$138.10 per $1,000,000</w:t>
            </w:r>
          </w:p>
        </w:tc>
        <w:tc>
          <w:tcPr>
            <w:tcW w:w="13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w:t>
            </w:r>
          </w:p>
        </w:tc>
      </w:tr>
      <w:tr>
        <w:trPr/>
        <w:tc>
          <w:tcPr>
            <w:tcW w:w="4974"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Offering Amounts</w:t>
            </w:r>
          </w:p>
        </w:tc>
        <w:tc>
          <w:tcPr>
            <w:tcW w:w="12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$117,117,050</w:t>
            </w:r>
          </w:p>
        </w:tc>
        <w:tc>
          <w:tcPr>
            <w:tcW w:w="1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w:t>
            </w:r>
          </w:p>
        </w:tc>
      </w:tr>
      <w:tr>
        <w:trPr/>
        <w:tc>
          <w:tcPr>
            <w:tcW w:w="4974"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Fee Offsets</w:t>
            </w:r>
          </w:p>
        </w:tc>
        <w:tc>
          <w:tcPr>
            <w:tcW w:w="12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color w:val="000000"/>
              </w:rPr>
            </w:pPr>
            <w:r>
              <w:rPr>
                <w:color w:val="000000"/>
              </w:rPr>
              <w:t>—</w:t>
            </w:r>
          </w:p>
        </w:tc>
      </w:tr>
      <w:tr>
        <w:trPr/>
        <w:tc>
          <w:tcPr>
            <w:tcW w:w="4974"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Fee Due</w:t>
            </w:r>
          </w:p>
        </w:tc>
        <w:tc>
          <w:tcPr>
            <w:tcW w:w="12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$16,174</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Rule 416(a) of the Securities Act of 1933, as amended (the “Securities Act”), this Registration Statement shall also cover any additional shares of the Registrant’s Class A common stock that become issuable under the 2021 Equity Incentive Plan (the “2021 Plan”) by reason of any stock dividend, stock split, recapitalization or other similar transaction effected without receipt of consideration that increases the number of the Registrant’s outstanding shares of Class A common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additional shares of Class A common stock reserved for issuance as a result of an annual evergreen increase provided for in the 2021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Estimated in accordance with Rules 457(c) and 457(h) of the Securities Act solely for the purpose of calculating the registration fee on the basis of $23.315 per share, which is the average of the high and low prices of the Registrant’s Class A common stock as reported on the New York Stock Exchange on February 17,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19312526064510/pay-20251231.htm" TargetMode="External"/><Relationship Id="rId3" Type="http://schemas.openxmlformats.org/officeDocument/2006/relationships/hyperlink" Target="https://www.sec.gov/Archives/edgar/data/1841156/000095017023005995/pay-ex4_3.htm" TargetMode="External"/><Relationship Id="rId4" Type="http://schemas.openxmlformats.org/officeDocument/2006/relationships/hyperlink" Target="https://www.sec.gov/Archives/edgar/data/1841156/000156459021027416/ck7045120534-ex41_105.htm" TargetMode="External"/><Relationship Id="rId5" Type="http://schemas.openxmlformats.org/officeDocument/2006/relationships/hyperlink" Target="https://www.sec.gov/Archives/edgar/data/1841156/000095017022002823/pay-ex10_16.htm" TargetMode="External"/><Relationship Id="rId6" Type="http://schemas.openxmlformats.org/officeDocument/2006/relationships/hyperlink" Target="https://www.sec.gov/Archives/edgar/data/1841156/000095017022002823/pay-ex10_17.htm" TargetMode="External"/><Relationship Id="rId7" Type="http://schemas.openxmlformats.org/officeDocument/2006/relationships/hyperlink" Target="https://www.sec.gov/Archives/edgar/data/1841156/000095017023005995/pay-ex10_14.htm" TargetMode="External"/><Relationship Id="rId8" Type="http://schemas.openxmlformats.org/officeDocument/2006/relationships/hyperlink" Target="https://www.sec.gov/Archives/edgar/data/1841156/000095017022008141/pay-ex10_1.htm" TargetMode="External"/><Relationship Id="rId9" Type="http://schemas.openxmlformats.org/officeDocument/2006/relationships/hyperlink" Target="https://www.sec.gov/Archives/edgar/data/1841156/000095017025064979/pay-ex10_1.htm" TargetMode="External"/><Relationship Id="rId10" Type="http://schemas.openxmlformats.org/officeDocument/2006/relationships/hyperlink" Target="https://www.sec.gov/Archives/edgar/data/1841156/000095017025064979/pay-ex10_2.htm" TargetMode="External"/><Relationship Id="rId11" Type="http://schemas.openxmlformats.org/officeDocument/2006/relationships/hyperlink" Target="https://www.sec.gov/Archives/edgar/data/1841156/000095017025092988/pay-ex10_1.htm" TargetMode="External"/><Relationship Id="rId12" Type="http://schemas.openxmlformats.org/officeDocument/2006/relationships/image" Target="media/image1.gif"/><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2230</Words>
  <Characters>11939</Characters>
  <CharactersWithSpaces>14227</CharactersWithSpaces>
  <Paragraphs>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