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920" w:right="2760" w:hanging="3899"/>
        <w:spacing w:after="0" w:line="314" w:lineRule="auto"/>
        <w:tabs>
          <w:tab w:leader="none" w:pos="483"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99"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5" w:lineRule="exact"/>
        <w:rPr>
          <w:sz w:val="24"/>
          <w:szCs w:val="24"/>
          <w:color w:val="auto"/>
        </w:rPr>
      </w:pPr>
    </w:p>
    <w:p>
      <w:pPr>
        <w:ind w:left="3720"/>
        <w:spacing w:after="0"/>
        <w:tabs>
          <w:tab w:leader="none" w:pos="65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001-40429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tbl>
      <w:tblPr>
        <w:tblLayout w:type="fixed"/>
        <w:tblInd w:w="720" w:type="dxa"/>
        <w:tblCellMar>
          <w:top w:w="0" w:type="dxa"/>
          <w:left w:w="0" w:type="dxa"/>
          <w:bottom w:w="0" w:type="dxa"/>
          <w:right w:w="0" w:type="dxa"/>
        </w:tblCellMar>
      </w:tblPr>
      <w:tr>
        <w:trPr>
          <w:trHeight w:val="223"/>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4700" w:type="dxa"/>
            <w:vAlign w:val="bottom"/>
          </w:tcPr>
          <w:p>
            <w:pPr>
              <w:jc w:val="right"/>
              <w:ind w:right="739"/>
              <w:spacing w:after="0"/>
              <w:rPr>
                <w:sz w:val="20"/>
                <w:szCs w:val="20"/>
                <w:color w:val="auto"/>
              </w:rPr>
            </w:pPr>
            <w:r>
              <w:rPr>
                <w:rFonts w:ascii="Arial" w:cs="Arial" w:eastAsia="Arial" w:hAnsi="Arial"/>
                <w:sz w:val="16"/>
                <w:szCs w:val="16"/>
                <w:b w:val="1"/>
                <w:bCs w:val="1"/>
                <w:color w:val="auto"/>
              </w:rPr>
              <w:t>45-3188251</w:t>
            </w:r>
          </w:p>
        </w:tc>
      </w:tr>
      <w:tr>
        <w:trPr>
          <w:trHeight w:val="263"/>
        </w:trPr>
        <w:tc>
          <w:tcPr>
            <w:tcW w:w="4260" w:type="dxa"/>
            <w:vAlign w:val="bottom"/>
          </w:tcPr>
          <w:p>
            <w:pPr>
              <w:jc w:val="center"/>
              <w:spacing w:after="0"/>
              <w:rPr>
                <w:sz w:val="20"/>
                <w:szCs w:val="20"/>
                <w:color w:val="auto"/>
              </w:rPr>
            </w:pPr>
            <w:r>
              <w:rPr>
                <w:rFonts w:ascii="Arial" w:cs="Arial" w:eastAsia="Arial" w:hAnsi="Arial"/>
                <w:sz w:val="16"/>
                <w:szCs w:val="16"/>
                <w:color w:val="auto"/>
              </w:rPr>
              <w:t>(State or other jurisdiction of incorporation or organization)</w:t>
            </w:r>
          </w:p>
        </w:tc>
        <w:tc>
          <w:tcPr>
            <w:tcW w:w="4700" w:type="dxa"/>
            <w:vAlign w:val="bottom"/>
          </w:tcPr>
          <w:p>
            <w:pPr>
              <w:jc w:val="center"/>
              <w:ind w:left="2119"/>
              <w:spacing w:after="0"/>
              <w:rPr>
                <w:sz w:val="20"/>
                <w:szCs w:val="20"/>
                <w:color w:val="auto"/>
              </w:rPr>
            </w:pPr>
            <w:r>
              <w:rPr>
                <w:rFonts w:ascii="Arial" w:cs="Arial" w:eastAsia="Arial" w:hAnsi="Arial"/>
                <w:sz w:val="16"/>
                <w:szCs w:val="16"/>
                <w:color w:val="auto"/>
              </w:rPr>
              <w:t>(I.R.S. Employer Identification No.)</w:t>
            </w: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11605 N. Community House Road, Suite 300</w:t>
            </w:r>
          </w:p>
        </w:tc>
        <w:tc>
          <w:tcPr>
            <w:tcW w:w="4700" w:type="dxa"/>
            <w:vAlign w:val="bottom"/>
          </w:tcPr>
          <w:p>
            <w:pPr>
              <w:spacing w:after="0"/>
              <w:rPr>
                <w:sz w:val="16"/>
                <w:szCs w:val="16"/>
                <w:color w:val="auto"/>
              </w:rPr>
            </w:pP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b w:val="1"/>
                <w:bCs w:val="1"/>
                <w:color w:val="auto"/>
              </w:rPr>
              <w:t>Charlotte, NC</w:t>
            </w:r>
          </w:p>
        </w:tc>
        <w:tc>
          <w:tcPr>
            <w:tcW w:w="4700" w:type="dxa"/>
            <w:vAlign w:val="bottom"/>
          </w:tcPr>
          <w:p>
            <w:pPr>
              <w:jc w:val="right"/>
              <w:ind w:right="939"/>
              <w:spacing w:after="0"/>
              <w:rPr>
                <w:sz w:val="20"/>
                <w:szCs w:val="20"/>
                <w:color w:val="auto"/>
              </w:rPr>
            </w:pPr>
            <w:r>
              <w:rPr>
                <w:rFonts w:ascii="Arial" w:cs="Arial" w:eastAsia="Arial" w:hAnsi="Arial"/>
                <w:sz w:val="16"/>
                <w:szCs w:val="16"/>
                <w:b w:val="1"/>
                <w:bCs w:val="1"/>
                <w:color w:val="auto"/>
              </w:rPr>
              <w:t>28277</w:t>
            </w:r>
          </w:p>
        </w:tc>
      </w:tr>
      <w:tr>
        <w:trPr>
          <w:trHeight w:val="189"/>
        </w:trPr>
        <w:tc>
          <w:tcPr>
            <w:tcW w:w="426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4700" w:type="dxa"/>
            <w:vAlign w:val="bottom"/>
          </w:tcPr>
          <w:p>
            <w:pPr>
              <w:jc w:val="center"/>
              <w:ind w:left="2119"/>
              <w:spacing w:after="0"/>
              <w:rPr>
                <w:sz w:val="20"/>
                <w:szCs w:val="20"/>
                <w:color w:val="auto"/>
              </w:rPr>
            </w:pPr>
            <w:r>
              <w:rPr>
                <w:rFonts w:ascii="Arial" w:cs="Arial" w:eastAsia="Arial" w:hAnsi="Arial"/>
                <w:sz w:val="16"/>
                <w:szCs w:val="16"/>
                <w:color w:val="auto"/>
              </w:rPr>
              <w:t>(Zip Code)</w:t>
            </w:r>
          </w:p>
        </w:tc>
      </w:tr>
      <w:tr>
        <w:trPr>
          <w:trHeight w:val="205"/>
        </w:trPr>
        <w:tc>
          <w:tcPr>
            <w:tcW w:w="4260" w:type="dxa"/>
            <w:vAlign w:val="bottom"/>
          </w:tcPr>
          <w:p>
            <w:pPr>
              <w:spacing w:after="0"/>
              <w:rPr>
                <w:sz w:val="17"/>
                <w:szCs w:val="17"/>
                <w:color w:val="auto"/>
              </w:rPr>
            </w:pPr>
          </w:p>
        </w:tc>
        <w:tc>
          <w:tcPr>
            <w:tcW w:w="4700" w:type="dxa"/>
            <w:vAlign w:val="bottom"/>
          </w:tcPr>
          <w:p>
            <w:pPr>
              <w:jc w:val="right"/>
              <w:ind w:right="3419"/>
              <w:spacing w:after="0"/>
              <w:rPr>
                <w:sz w:val="20"/>
                <w:szCs w:val="20"/>
                <w:color w:val="auto"/>
              </w:rPr>
            </w:pPr>
            <w:r>
              <w:rPr>
                <w:rFonts w:ascii="Arial" w:cs="Arial" w:eastAsia="Arial" w:hAnsi="Arial"/>
                <w:sz w:val="16"/>
                <w:szCs w:val="16"/>
                <w:b w:val="1"/>
                <w:bCs w:val="1"/>
                <w:color w:val="auto"/>
              </w:rPr>
              <w:t>(888) 440-4826</w:t>
            </w:r>
          </w:p>
        </w:tc>
      </w:tr>
    </w:tbl>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pacing w:after="0" w:line="102"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62230</wp:posOffset>
            </wp:positionV>
            <wp:extent cx="8953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15430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62230</wp:posOffset>
            </wp:positionV>
            <wp:extent cx="3365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154305"/>
                    </a:xfrm>
                    <a:prstGeom prst="rect">
                      <a:avLst/>
                    </a:prstGeom>
                    <a:noFill/>
                  </pic:spPr>
                </pic:pic>
              </a:graphicData>
            </a:graphic>
          </wp:anchor>
        </w:drawing>
      </w:r>
    </w:p>
    <w:p>
      <w:pPr>
        <w:spacing w:after="0" w:line="75"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30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Borders>
              <w:top w:val="single" w:sz="8" w:color="auto"/>
            </w:tcBorders>
          </w:tcPr>
          <w:p>
            <w:pPr>
              <w:spacing w:after="0"/>
              <w:rPr>
                <w:sz w:val="18"/>
                <w:szCs w:val="18"/>
                <w:color w:val="auto"/>
              </w:rPr>
            </w:pP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39"/>
        </w:trPr>
        <w:tc>
          <w:tcPr>
            <w:tcW w:w="4300" w:type="dxa"/>
            <w:vAlign w:val="bottom"/>
            <w:tcBorders>
              <w:left w:val="single" w:sz="8" w:color="auto"/>
              <w:bottom w:val="single" w:sz="8" w:color="auto"/>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Class A Common Stock, par value $0.0001 per share</w:t>
            </w:r>
          </w:p>
        </w:tc>
        <w:tc>
          <w:tcPr>
            <w:tcW w:w="12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9"/>
              </w:rPr>
              <w:t>PAY</w:t>
            </w:r>
          </w:p>
        </w:tc>
        <w:tc>
          <w:tcPr>
            <w:tcW w:w="120" w:type="dxa"/>
            <w:vAlign w:val="bottom"/>
            <w:tcBorders>
              <w:bottom w:val="single" w:sz="8" w:color="auto"/>
              <w:right w:val="single" w:sz="8" w:color="auto"/>
            </w:tcBorders>
          </w:tcPr>
          <w:p>
            <w:pPr>
              <w:spacing w:after="0"/>
              <w:rPr>
                <w:sz w:val="12"/>
                <w:szCs w:val="12"/>
                <w:color w:val="auto"/>
              </w:rPr>
            </w:pPr>
          </w:p>
        </w:tc>
        <w:tc>
          <w:tcPr>
            <w:tcW w:w="4940" w:type="dxa"/>
            <w:vAlign w:val="bottom"/>
            <w:tcBorders>
              <w:bottom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New York Stock Exchange</w:t>
            </w:r>
          </w:p>
        </w:tc>
      </w:tr>
    </w:tbl>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76" w:lineRule="exact"/>
        <w:rPr>
          <w:sz w:val="24"/>
          <w:szCs w:val="24"/>
          <w:color w:val="auto"/>
        </w:rPr>
      </w:pPr>
    </w:p>
    <w:p>
      <w:pPr>
        <w:spacing w:after="0" w:line="175" w:lineRule="exact"/>
        <w:tabs>
          <w:tab w:leader="none" w:pos="764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82" w:lineRule="exact"/>
        <w:rPr>
          <w:sz w:val="24"/>
          <w:szCs w:val="24"/>
          <w:color w:val="auto"/>
        </w:rPr>
      </w:pPr>
    </w:p>
    <w:p>
      <w:pPr>
        <w:spacing w:after="0" w:line="175" w:lineRule="exact"/>
        <w:tabs>
          <w:tab w:leader="none" w:pos="726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113" w:lineRule="exact"/>
        <w:rPr>
          <w:sz w:val="24"/>
          <w:szCs w:val="24"/>
          <w:color w:val="auto"/>
        </w:rPr>
      </w:pPr>
    </w:p>
    <w:p>
      <w:pPr>
        <w:jc w:val="both"/>
        <w:ind w:right="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1060" w:type="dxa"/>
            <w:vAlign w:val="bottom"/>
            <w:gridSpan w:val="3"/>
          </w:tcPr>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800" w:type="dxa"/>
            <w:vAlign w:val="bottom"/>
            <w:gridSpan w:val="2"/>
          </w:tcPr>
          <w:p>
            <w:pPr>
              <w:spacing w:after="0" w:line="175" w:lineRule="exact"/>
              <w:rPr>
                <w:sz w:val="20"/>
                <w:szCs w:val="20"/>
                <w:color w:val="auto"/>
              </w:rPr>
            </w:pPr>
            <w:r>
              <w:rPr>
                <w:rFonts w:ascii="Arial" w:cs="Arial" w:eastAsia="Arial" w:hAnsi="Arial"/>
                <w:sz w:val="13"/>
                <w:szCs w:val="13"/>
                <w:color w:val="auto"/>
              </w:rPr>
              <w:t xml:space="preserve">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p>
        </w:tc>
        <w:tc>
          <w:tcPr>
            <w:tcW w:w="3260" w:type="dxa"/>
            <w:vAlign w:val="bottom"/>
          </w:tcPr>
          <w:p>
            <w:pPr>
              <w:ind w:left="100"/>
              <w:spacing w:after="0" w:line="175" w:lineRule="exact"/>
              <w:rPr>
                <w:sz w:val="20"/>
                <w:szCs w:val="20"/>
                <w:color w:val="auto"/>
              </w:rPr>
            </w:pP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060" w:type="dxa"/>
            <w:vAlign w:val="bottom"/>
            <w:gridSpan w:val="3"/>
          </w:tcPr>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060" w:type="dxa"/>
            <w:vAlign w:val="bottom"/>
            <w:gridSpan w:val="3"/>
          </w:tcPr>
          <w:p>
            <w:pPr>
              <w:spacing w:after="0" w:line="134" w:lineRule="exact"/>
              <w:rPr>
                <w:sz w:val="20"/>
                <w:szCs w:val="20"/>
                <w:color w:val="auto"/>
              </w:rPr>
            </w:pPr>
            <w:r>
              <w:rPr>
                <w:rFonts w:ascii="Arial" w:cs="Arial" w:eastAsia="Arial" w:hAnsi="Arial"/>
                <w:sz w:val="13"/>
                <w:szCs w:val="13"/>
                <w:color w:val="auto"/>
              </w:rPr>
              <w:t>the definitions of "large accelerated filer," "accelerated filer," "smaller reporting company," and "emerging growth company" in Rule 12b-2 of the Exchange Act.</w:t>
            </w:r>
          </w:p>
        </w:tc>
        <w:tc>
          <w:tcPr>
            <w:tcW w:w="120" w:type="dxa"/>
            <w:vAlign w:val="bottom"/>
            <w:vMerge w:val="restart"/>
          </w:tcPr>
          <w:p>
            <w:pPr>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rPr>
                <w:sz w:val="20"/>
                <w:szCs w:val="20"/>
                <w:color w:val="auto"/>
              </w:rPr>
            </w:pPr>
            <w:r>
              <w:rPr>
                <w:rFonts w:ascii="Arial" w:cs="Arial" w:eastAsia="Arial" w:hAnsi="Arial"/>
                <w:sz w:val="13"/>
                <w:szCs w:val="13"/>
                <w:color w:val="auto"/>
              </w:rPr>
              <w:t>Large accelerated filer</w:t>
            </w:r>
          </w:p>
        </w:tc>
        <w:tc>
          <w:tcPr>
            <w:tcW w:w="5840" w:type="dxa"/>
            <w:vAlign w:val="bottom"/>
          </w:tcPr>
          <w:p>
            <w:pPr>
              <w:ind w:left="3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260" w:type="dxa"/>
            <w:vAlign w:val="bottom"/>
          </w:tcPr>
          <w:p>
            <w:pPr>
              <w:ind w:left="560"/>
              <w:spacing w:after="0"/>
              <w:rPr>
                <w:sz w:val="20"/>
                <w:szCs w:val="20"/>
                <w:color w:val="auto"/>
              </w:rPr>
            </w:pPr>
            <w:r>
              <w:rPr>
                <w:rFonts w:ascii="Arial" w:cs="Arial" w:eastAsia="Arial" w:hAnsi="Arial"/>
                <w:sz w:val="13"/>
                <w:szCs w:val="13"/>
                <w:color w:val="auto"/>
              </w:rPr>
              <w:t>Accelerated filer</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20"/>
              <w:spacing w:after="0"/>
              <w:rPr>
                <w:sz w:val="20"/>
                <w:szCs w:val="20"/>
                <w:color w:val="auto"/>
              </w:rPr>
            </w:pPr>
            <w:r>
              <w:rPr>
                <w:rFonts w:ascii="Arial" w:cs="Arial" w:eastAsia="Arial" w:hAnsi="Arial"/>
                <w:sz w:val="13"/>
                <w:szCs w:val="13"/>
                <w:color w:val="auto"/>
              </w:rPr>
              <w:t>Non-accelerated filer</w:t>
            </w:r>
          </w:p>
        </w:tc>
        <w:tc>
          <w:tcPr>
            <w:tcW w:w="5840" w:type="dxa"/>
            <w:vAlign w:val="bottom"/>
          </w:tcPr>
          <w:p>
            <w:pPr>
              <w:ind w:left="32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3260" w:type="dxa"/>
            <w:vAlign w:val="bottom"/>
          </w:tcPr>
          <w:p>
            <w:pPr>
              <w:ind w:left="560"/>
              <w:spacing w:after="0"/>
              <w:rPr>
                <w:sz w:val="20"/>
                <w:szCs w:val="20"/>
                <w:color w:val="auto"/>
              </w:rPr>
            </w:pPr>
            <w:r>
              <w:rPr>
                <w:rFonts w:ascii="Arial" w:cs="Arial" w:eastAsia="Arial" w:hAnsi="Arial"/>
                <w:sz w:val="13"/>
                <w:szCs w:val="13"/>
                <w:color w:val="auto"/>
              </w:rPr>
              <w:t>Smaller reporting company</w:t>
            </w:r>
          </w:p>
        </w:tc>
        <w:tc>
          <w:tcPr>
            <w:tcW w:w="120" w:type="dxa"/>
            <w:vAlign w:val="bottom"/>
          </w:tcPr>
          <w:p>
            <w:pPr>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227"/>
        </w:trPr>
        <w:tc>
          <w:tcPr>
            <w:tcW w:w="1960" w:type="dxa"/>
            <w:vAlign w:val="bottom"/>
          </w:tcPr>
          <w:p>
            <w:pPr>
              <w:ind w:left="20"/>
              <w:spacing w:after="0"/>
              <w:rPr>
                <w:sz w:val="20"/>
                <w:szCs w:val="20"/>
                <w:color w:val="auto"/>
              </w:rPr>
            </w:pPr>
            <w:r>
              <w:rPr>
                <w:rFonts w:ascii="Arial" w:cs="Arial" w:eastAsia="Arial" w:hAnsi="Arial"/>
                <w:sz w:val="13"/>
                <w:szCs w:val="13"/>
                <w:color w:val="auto"/>
              </w:rPr>
              <w:t>Emerging growth company</w:t>
            </w:r>
          </w:p>
        </w:tc>
        <w:tc>
          <w:tcPr>
            <w:tcW w:w="5840" w:type="dxa"/>
            <w:vAlign w:val="bottom"/>
          </w:tcPr>
          <w:p>
            <w:pPr>
              <w:ind w:left="32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3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61"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61" w:lineRule="exact"/>
        <w:rPr>
          <w:sz w:val="24"/>
          <w:szCs w:val="24"/>
          <w:color w:val="auto"/>
        </w:rPr>
      </w:pPr>
    </w:p>
    <w:p>
      <w:pPr>
        <w:ind w:right="300"/>
        <w:spacing w:after="0" w:line="172" w:lineRule="exact"/>
        <w:rPr>
          <w:sz w:val="20"/>
          <w:szCs w:val="20"/>
          <w:color w:val="auto"/>
        </w:rPr>
      </w:pPr>
      <w:r>
        <w:rPr>
          <w:rFonts w:ascii="Arial" w:cs="Arial" w:eastAsia="Arial" w:hAnsi="Arial"/>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3"/>
          <w:szCs w:val="13"/>
          <w:color w:val="231F20"/>
        </w:rPr>
        <w:t>.</w:t>
      </w:r>
      <w:r>
        <w:rPr>
          <w:rFonts w:ascii="Arial" w:cs="Arial" w:eastAsia="Arial" w:hAnsi="Arial"/>
          <w:sz w:val="13"/>
          <w:szCs w:val="13"/>
          <w:color w:val="auto"/>
        </w:rPr>
        <w:t xml:space="preserve"> </w:t>
      </w:r>
      <w:r>
        <w:rPr>
          <w:rFonts w:ascii="Arial Unicode MS" w:cs="Arial Unicode MS" w:eastAsia="Arial Unicode MS" w:hAnsi="Arial Unicode MS"/>
          <w:sz w:val="13"/>
          <w:szCs w:val="13"/>
          <w:color w:val="auto"/>
        </w:rPr>
        <w:t>☐</w:t>
      </w:r>
    </w:p>
    <w:p>
      <w:pPr>
        <w:spacing w:after="0" w:line="61" w:lineRule="exact"/>
        <w:rPr>
          <w:sz w:val="24"/>
          <w:szCs w:val="24"/>
          <w:color w:val="auto"/>
        </w:rPr>
      </w:pPr>
    </w:p>
    <w:p>
      <w:pPr>
        <w:ind w:right="440"/>
        <w:spacing w:after="0" w:line="17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30" w:lineRule="exact"/>
        <w:rPr>
          <w:sz w:val="24"/>
          <w:szCs w:val="24"/>
          <w:color w:val="auto"/>
        </w:rPr>
      </w:pPr>
    </w:p>
    <w:p>
      <w:pPr>
        <w:spacing w:after="0" w:line="175" w:lineRule="exact"/>
        <w:tabs>
          <w:tab w:leader="none" w:pos="74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ab/>
        <w:t xml:space="preserve">No </w:t>
      </w:r>
      <w:r>
        <w:rPr>
          <w:rFonts w:ascii="Arial Unicode MS" w:cs="Arial Unicode MS" w:eastAsia="Arial Unicode MS" w:hAnsi="Arial Unicode MS"/>
          <w:sz w:val="13"/>
          <w:szCs w:val="13"/>
          <w:color w:val="auto"/>
        </w:rPr>
        <w:t>☒</w:t>
      </w:r>
    </w:p>
    <w:p>
      <w:pPr>
        <w:spacing w:after="0" w:line="113" w:lineRule="exact"/>
        <w:rPr>
          <w:sz w:val="24"/>
          <w:szCs w:val="24"/>
          <w:color w:val="auto"/>
        </w:rPr>
      </w:pPr>
    </w:p>
    <w:p>
      <w:pPr>
        <w:spacing w:after="0" w:line="252" w:lineRule="auto"/>
        <w:rPr>
          <w:sz w:val="20"/>
          <w:szCs w:val="20"/>
          <w:color w:val="auto"/>
        </w:rPr>
      </w:pPr>
      <w:r>
        <w:rPr>
          <w:rFonts w:ascii="Arial" w:cs="Arial" w:eastAsia="Arial" w:hAnsi="Arial"/>
          <w:sz w:val="13"/>
          <w:szCs w:val="13"/>
          <w:color w:val="auto"/>
        </w:rPr>
        <w:t>As of March 6, 2025, there were 32,317,256 shares of the Registrant’s Class A common stock outstanding, $0.0001 par value per share and 92,651,414 shares of the Registrant’s Class B common stock outstanding, $0.0001 par value per share. The aggregate market value of the Class A common stock held by non-affiliates of the Registrant as of the last business day of the Registrant’s most recently completed second fiscal quarter was approximately $354.0 million based on the closing sale price of the Class A common stock as reported by the New York Stock Exchange on that date of $19.00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Portions of the Registrant’s Definitive Proxy Statement for the 2025 Annual Meeting of Stockholders, which is expected to be filed within 120 days after the Registrant's fiscal year ended December 31, 2024,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75"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780" w:type="dxa"/>
            <w:vAlign w:val="bottom"/>
            <w:gridSpan w:val="10"/>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PART I</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7"/>
        </w:trPr>
        <w:tc>
          <w:tcPr>
            <w:tcW w:w="12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23"/>
          </w:tcPr>
          <w:p>
            <w:pPr>
              <w:spacing w:after="0" w:line="195"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1A.</w:t>
            </w:r>
          </w:p>
        </w:tc>
        <w:tc>
          <w:tcPr>
            <w:tcW w:w="7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1B.</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9"/>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rPr>
              <w:t>Unresolved</w:t>
            </w:r>
          </w:p>
        </w:tc>
        <w:tc>
          <w:tcPr>
            <w:tcW w:w="8180" w:type="dxa"/>
            <w:vAlign w:val="bottom"/>
            <w:gridSpan w:val="1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1C.</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260" w:type="dxa"/>
            <w:vAlign w:val="bottom"/>
            <w:gridSpan w:val="11"/>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8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1100" w:type="dxa"/>
            <w:vAlign w:val="bottom"/>
            <w:gridSpan w:val="5"/>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8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Arial" w:cs="Arial" w:eastAsia="Arial" w:hAnsi="Arial"/>
                <w:sz w:val="18"/>
                <w:szCs w:val="18"/>
                <w:color w:val="auto"/>
              </w:rPr>
              <w:t>PART 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9200" w:type="dxa"/>
            <w:vAlign w:val="bottom"/>
            <w:gridSpan w:val="23"/>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8900" w:type="dxa"/>
            <w:vAlign w:val="bottom"/>
            <w:gridSpan w:val="22"/>
          </w:tcPr>
          <w:p>
            <w:pPr>
              <w:spacing w:after="0" w:line="182" w:lineRule="exact"/>
              <w:rPr>
                <w:sz w:val="20"/>
                <w:szCs w:val="20"/>
                <w:color w:val="auto"/>
              </w:rPr>
            </w:pPr>
            <w:r>
              <w:rPr>
                <w:rFonts w:ascii="Arial" w:cs="Arial" w:eastAsia="Arial" w:hAnsi="Arial"/>
                <w:sz w:val="18"/>
                <w:szCs w:val="18"/>
                <w:color w:val="0000FF"/>
              </w:rPr>
              <w:t>[Reserved]</w:t>
            </w:r>
          </w:p>
        </w:tc>
        <w:tc>
          <w:tcPr>
            <w:tcW w:w="3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7.</w:t>
            </w:r>
          </w:p>
        </w:tc>
        <w:tc>
          <w:tcPr>
            <w:tcW w:w="8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7A.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7080" w:type="dxa"/>
            <w:vAlign w:val="bottom"/>
            <w:gridSpan w:val="19"/>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1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8.</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100" w:type="dxa"/>
            <w:vAlign w:val="bottom"/>
            <w:gridSpan w:val="2"/>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4720" w:type="dxa"/>
            <w:vAlign w:val="bottom"/>
            <w:gridSpan w:val="16"/>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9A.</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7180" w:type="dxa"/>
            <w:vAlign w:val="bottom"/>
            <w:gridSpan w:val="20"/>
          </w:tcPr>
          <w:p>
            <w:pPr>
              <w:spacing w:after="0" w:line="182" w:lineRule="exact"/>
              <w:rPr>
                <w:sz w:val="20"/>
                <w:szCs w:val="20"/>
                <w:color w:val="auto"/>
              </w:rPr>
            </w:pPr>
            <w:r>
              <w:rPr>
                <w:rFonts w:ascii="Arial" w:cs="Arial" w:eastAsia="Arial" w:hAnsi="Arial"/>
                <w:sz w:val="18"/>
                <w:szCs w:val="18"/>
                <w:color w:val="0000FF"/>
              </w:rPr>
              <w:t>Controls and Procedures</w:t>
            </w:r>
          </w:p>
        </w:tc>
        <w:tc>
          <w:tcPr>
            <w:tcW w:w="84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9B.</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80" w:type="dxa"/>
            <w:vAlign w:val="bottom"/>
            <w:gridSpan w:val="2"/>
            <w:vMerge w:val="restart"/>
          </w:tcPr>
          <w:p>
            <w:pPr>
              <w:spacing w:after="0" w:line="20" w:lineRule="exact"/>
              <w:rPr>
                <w:sz w:val="1"/>
                <w:szCs w:val="1"/>
                <w:color w:val="auto"/>
              </w:rPr>
            </w:pPr>
          </w:p>
        </w:tc>
        <w:tc>
          <w:tcPr>
            <w:tcW w:w="900" w:type="dxa"/>
            <w:vAlign w:val="bottom"/>
            <w:gridSpan w:val="2"/>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000" w:type="dxa"/>
            <w:vAlign w:val="bottom"/>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11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9C.</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Arial" w:cs="Arial" w:eastAsia="Arial" w:hAnsi="Arial"/>
                <w:sz w:val="18"/>
                <w:szCs w:val="18"/>
                <w:color w:val="auto"/>
              </w:rPr>
              <w:t>PART III</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9200" w:type="dxa"/>
            <w:vAlign w:val="bottom"/>
            <w:gridSpan w:val="23"/>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11.</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580" w:type="dxa"/>
            <w:vAlign w:val="bottom"/>
            <w:gridSpan w:val="3"/>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4500" w:type="dxa"/>
            <w:vAlign w:val="bottom"/>
            <w:gridSpan w:val="15"/>
          </w:tcPr>
          <w:p>
            <w:pPr>
              <w:spacing w:after="0" w:line="182" w:lineRule="exact"/>
              <w:rPr>
                <w:sz w:val="20"/>
                <w:szCs w:val="20"/>
                <w:color w:val="auto"/>
              </w:rPr>
            </w:pPr>
            <w:r>
              <w:rPr>
                <w:rFonts w:ascii="Arial" w:cs="Arial" w:eastAsia="Arial" w:hAnsi="Arial"/>
                <w:sz w:val="18"/>
                <w:szCs w:val="18"/>
                <w:color w:val="0000FF"/>
              </w:rPr>
              <w:t>Executive Compensation</w:t>
            </w:r>
          </w:p>
        </w:tc>
        <w:tc>
          <w:tcPr>
            <w:tcW w:w="1580" w:type="dxa"/>
            <w:vAlign w:val="bottom"/>
            <w:gridSpan w:val="3"/>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12.</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9200" w:type="dxa"/>
            <w:vAlign w:val="bottom"/>
            <w:gridSpan w:val="23"/>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13.</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8020" w:type="dxa"/>
            <w:vAlign w:val="bottom"/>
            <w:gridSpan w:val="21"/>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14.</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312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6080" w:type="dxa"/>
            <w:vAlign w:val="bottom"/>
            <w:gridSpan w:val="18"/>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12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260" w:type="dxa"/>
            <w:vAlign w:val="bottom"/>
          </w:tcPr>
          <w:p>
            <w:pPr>
              <w:ind w:left="20"/>
              <w:spacing w:after="0"/>
              <w:rPr>
                <w:sz w:val="20"/>
                <w:szCs w:val="20"/>
                <w:color w:val="auto"/>
              </w:rPr>
            </w:pPr>
            <w:r>
              <w:rPr>
                <w:rFonts w:ascii="Arial" w:cs="Arial" w:eastAsia="Arial" w:hAnsi="Arial"/>
                <w:sz w:val="18"/>
                <w:szCs w:val="18"/>
                <w:color w:val="auto"/>
              </w:rPr>
              <w:t>PART IV</w:t>
            </w:r>
          </w:p>
        </w:tc>
        <w:tc>
          <w:tcPr>
            <w:tcW w:w="7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9200" w:type="dxa"/>
            <w:vAlign w:val="bottom"/>
            <w:gridSpan w:val="23"/>
          </w:tcPr>
          <w:p>
            <w:pPr>
              <w:spacing w:after="0" w:line="195" w:lineRule="exact"/>
              <w:rPr>
                <w:sz w:val="20"/>
                <w:szCs w:val="20"/>
                <w:color w:val="auto"/>
              </w:rPr>
            </w:pPr>
            <w:r>
              <w:rPr>
                <w:rFonts w:ascii="Arial" w:cs="Arial" w:eastAsia="Arial" w:hAnsi="Arial"/>
                <w:sz w:val="18"/>
                <w:szCs w:val="18"/>
                <w:color w:val="0000FF"/>
              </w:rPr>
              <w:t>Exhibit and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16.</w:t>
            </w: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578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3420" w:type="dxa"/>
            <w:vAlign w:val="bottom"/>
            <w:gridSpan w:val="13"/>
          </w:tcPr>
          <w:p>
            <w:pPr>
              <w:spacing w:after="0" w:line="182" w:lineRule="exact"/>
              <w:rPr>
                <w:sz w:val="20"/>
                <w:szCs w:val="20"/>
                <w:color w:val="auto"/>
              </w:rPr>
            </w:pPr>
            <w:r>
              <w:rPr>
                <w:rFonts w:ascii="Arial" w:cs="Arial" w:eastAsia="Arial" w:hAnsi="Arial"/>
                <w:sz w:val="18"/>
                <w:szCs w:val="18"/>
                <w:color w:val="0000FF"/>
              </w:rPr>
              <w:t>Form 10-K Summary</w:t>
            </w:r>
          </w:p>
        </w:tc>
        <w:tc>
          <w:tcPr>
            <w:tcW w:w="578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8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752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1680" w:type="dxa"/>
            <w:vAlign w:val="bottom"/>
            <w:gridSpan w:val="8"/>
          </w:tcPr>
          <w:p>
            <w:pPr>
              <w:spacing w:after="0" w:line="182" w:lineRule="exact"/>
              <w:rPr>
                <w:sz w:val="20"/>
                <w:szCs w:val="20"/>
                <w:color w:val="auto"/>
              </w:rPr>
            </w:pPr>
            <w:r>
              <w:rPr>
                <w:rFonts w:ascii="Arial" w:cs="Arial" w:eastAsia="Arial" w:hAnsi="Arial"/>
                <w:sz w:val="18"/>
                <w:szCs w:val="18"/>
                <w:color w:val="0000FF"/>
              </w:rPr>
              <w:t>Signatures</w:t>
            </w:r>
          </w:p>
        </w:tc>
        <w:tc>
          <w:tcPr>
            <w:tcW w:w="752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8"/>
        </w:trPr>
        <w:tc>
          <w:tcPr>
            <w:tcW w:w="126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04"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61" w:lineRule="exact"/>
        <w:rPr>
          <w:sz w:val="20"/>
          <w:szCs w:val="20"/>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historical growth rate may not be sustainable or indicative of future growth, and our business could be harmed if we fail to manage our infrastructure to support future growth.</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unsuccessful in establishing, growing or maintaining partnerships, our ability to compete could be impaired, and our operating results may suffer.</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sales efforts to large enterprises and large financial institutions involve considerable time and expense with long and unpredictable sales cycles.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markets in which we participate are competitive, and if we do not compete effectively, our business, operating results and financial condition could be harmed.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is sensitive to shifts in payment mix, and if more consumers start paying their bills by payment methods with lower transaction fees, it could materially impact our operating results.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fluctuations in our operating results, which will make it difficult to project future results and may cause the market price of our Class A common stock to decline.</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payment processors, sponsor banks and third-party printers to process bill payments made on our platform, and our business, operating results and reputation could be harmed if we experience service interruptions related to these processors.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62"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risk management efforts may not be effective to prevent fraudulent activities, which could expose us to material financial losses and liability and otherwise harm our business.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our founder and chief executive officer or other key members of our management team, or if we are unable to attract and retain executives and qualified employees we need to support our operations and growth, our business may be harmed.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offer high-quality customer support or meet our service level commitments, or if the fees we charge are unacceptable to our billers, financial institutions or their customers, our business, operating results and financial condition could be harmed.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Natural catastrophic events and man-made problems, such as power disruptions, computer viruses, security breaches and incidents and terrorism may disrupt our business.</w:t>
      </w:r>
    </w:p>
    <w:p>
      <w:pPr>
        <w:spacing w:after="0" w:line="46" w:lineRule="exact"/>
        <w:rPr>
          <w:rFonts w:ascii="Times New Roman" w:cs="Times New Roman" w:eastAsia="Times New Roman" w:hAnsi="Times New Roman"/>
          <w:sz w:val="18"/>
          <w:szCs w:val="18"/>
          <w:color w:val="auto"/>
        </w:rPr>
      </w:pPr>
    </w:p>
    <w:p>
      <w:pPr>
        <w:ind w:left="1020" w:right="620" w:hanging="503"/>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investigations or similar matters, or adverse facts and developments related thereto, could adversely affect our business, operating results and financial condition.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 the past, identified material weaknesses in our internal control over financial reporting, and if they arise again and we fail to remediate these new material weaknesses or if we otherwise fail to establish and maintain effective internal control over financial reporting, our ability to accurately and timely report our financial results could be adversely affected, as well as our reputation and the market price of our Class A common stock.</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cybersecurity incidents and substantial liability.</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and our billers, financial institutions and partners and their consumers and other third parties that use our platform obtain, provide and process a large amount of sensitive and personal data. Any material cybersecurity incident, or real or perceived improper or unauthorized use of, disclosure of or access to such data could harm our reputation as a trusted brand, result in significant liability, and have a material adverse effect on our business, operating results and financial condition.</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dual class structure of our common stock and our stockholders agreement have the effect of concentrating significant voting control with Accel-KKR, or AKKR, and our founder and chief executive officer, which limits or precludes your ability to influence corporate matters for the foreseeable future and may depress the market price of our Class A common stock.</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AKKR controls us, and its interests may conflict with ours or yours in the future.</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69" w:lineRule="exact"/>
        <w:rPr>
          <w:sz w:val="20"/>
          <w:szCs w:val="20"/>
          <w:color w:val="auto"/>
        </w:rPr>
      </w:pPr>
    </w:p>
    <w:p>
      <w:pPr>
        <w:ind w:firstLine="494"/>
        <w:spacing w:after="0" w:line="245"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This report contains forward-looking statements within the meaning of the federal securities laws, such as those under the heading "Risk Factors" and "Management's Discussion and Analysis of Financial Condition and Results of Operations", which statements involve substantial risks and uncertainties. Forward-looking statements may involve known and unknown risks, uncertainties and other factors that may cause our actual results, performance or achievements to be materially different from historical results or from any future results or projections expressed or implied by such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 and expand our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biller, financial institutions, partner and consumer base;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implement and recognize revenue from new customers;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revenue, expenses and other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material cybersecurity incident on our reputation as a trusted brand or on our business, operating results and financial condition;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 opportunity and anticipated trends in our business and industry;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remain competitive as we continue to scale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product features and enhance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including inflation, and their impact on us, consumer demand, average bill amounts and interchange fees;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disruptions or instability in the financial services industry, or perceived or actual liquidity constraints at financial institutions, on our ability or the ability of our customers and vendors to meet operating expense requirements or to satisfy financial or other obligations;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the anticipated benefits of past or future acquisitions or strategic investments in complementary companies, products or technologies and our ability to manage the potential business disruption and diversion of management attention caused by such acquisitions;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enhance our brand;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plan to expand into new channels and industry verticals across different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international expansion plans and ability to expand internationally;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risk factors discussed under the heading "Risk Factors" in Item 1A herein.</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You should not place undue reliance on our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2"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Neither we nor any other person assumes responsibility for the ultimate outcome of any of these forward-looking statements. Moreover, the forward-looking statements made in this report relate only to events as of the date on which the statements are made. We undertake no obligation to update any forward-looking statements made in this report to reflect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color w:val="auto"/>
        </w:rPr>
        <w:t>events or circumstances after the date of this report or to reflect new information or the occurrence of unanticipated events, except as required by law. You should not place undue reliance on our forward-looking statements.</w:t>
      </w:r>
    </w:p>
    <w:p>
      <w:pPr>
        <w:spacing w:after="0" w:line="4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In this report, unless the context requires otherwise, all references to "we," "our," "us," "Paymentus," and the "Company" refer to Paymentus Holdings,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0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2,500 biller business and financial institution clients. Our platform was used by approximately 46 million consumers and businesses globally in December 2024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with organic network effects that enables us to continuously drive innovation, grow our business and uniquely improve the electronic bill payment experience for participants in the bill payment ecosystem.</w:t>
      </w:r>
    </w:p>
    <w:p>
      <w:pPr>
        <w:spacing w:after="0" w:line="7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Software-as-a-Service, or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extend our platform’s reach through our Instant Payment Network®, or IPN. This is a proprietary network, consisting of tens of thousands of billers, that connects our integrated and intelligent billing, payment and reconciliation capabilities with our IPN partners’ platforms. Our IPN enables our partners, which include leading consumer technology providers, retailers and financial institutions, to access our next-generation electronic bill payment technology using the same integrated platform we provide directly to our billers. By being connected to our IPN, our IPN partners provide their consumers and businesses with the full capabilities of our next-generation product suite, including the ability to engage with and make payments to our large and growing base of billers. Those partners in turn expand our platform’s reach to millions of additional consumers in the United States and globally.</w:t>
      </w:r>
    </w:p>
    <w:p>
      <w:pPr>
        <w:spacing w:after="0" w:line="7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Today, many billers and financial institutions rely on legacy bill payment systems that offer limited functionality, flexibility and extensibility. Billers traditionally rely on non-integrated multi-vendor solutions, which force consumers into a decentralized and fragmented experience. Similarly, financial institutions often lack the ability to view billing details or obtain payment confirmation and limit payment types to their own checking accounts. These legacy solutions result in inefficiencies in consumer communication, electronic bill presentment and payment capture, which we believe hinder a biller’s ability to create a holistic and accurate perspective on its cash flow. For financial institutions, the inadequacies of legacy solutions can have a negative impact on digital engagement, retention and cross-selling.</w:t>
      </w:r>
    </w:p>
    <w:p>
      <w:pPr>
        <w:spacing w:after="0" w:line="7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address these inefficiencies through our cloud-native, integrated single-vendor solution. Our platform supports omni-channel and multi-dimensional, electronic billing and payments across multiple commerce channels, including online, mobile, interactive voice response, or IVR, call center, chatbot, retail and voice-based assistants. As we generally do not charge fees to billers in our core business for standard development or implementation, there is typically no minimum investment necessary for billers to achieve efficiencies from the use of our platform to replace some or all of their legacy bill payment systems or biller-direct solutions. We simplify how bills are paid and help billers collect revenue faster and more profitably because our platform is:</w:t>
      </w:r>
    </w:p>
    <w:p>
      <w:pPr>
        <w:spacing w:after="0" w:line="71" w:lineRule="exact"/>
        <w:rPr>
          <w:sz w:val="20"/>
          <w:szCs w:val="20"/>
          <w:color w:val="auto"/>
        </w:rPr>
      </w:pPr>
    </w:p>
    <w:p>
      <w:pPr>
        <w:ind w:left="10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Scalable: Enterprise-grade platform capable of supporting transaction growth for billers and financial institutions of all sizes across numerous industry verticals.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Innovative and Learning Platform: Artificial intelligence, or AI, and machine learning, or ML, algorithms power an omni-channel, end-to-end solution that adapts to new technologies and continuously learns from transaction activity.</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Flexible: Platform accessible through an array of application program interfaces, or APIs, software development kits, iFrames and fully hosted solutions that provide complete control over the user experience and real-time customer engagement experiences.</w:t>
      </w:r>
    </w:p>
    <w:p>
      <w:pPr>
        <w:spacing w:after="0" w:line="62" w:lineRule="exact"/>
        <w:rPr>
          <w:rFonts w:ascii="Times New Roman" w:cs="Times New Roman" w:eastAsia="Times New Roman" w:hAnsi="Times New Roman"/>
          <w:sz w:val="18"/>
          <w:szCs w:val="18"/>
          <w:color w:val="auto"/>
        </w:rPr>
      </w:pPr>
    </w:p>
    <w:p>
      <w:pPr>
        <w:ind w:left="1020" w:hanging="503"/>
        <w:spacing w:after="0" w:line="244"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Customizable: Leveraging an advanced No Code Low Code (NCLC) framework, we are able to efficiently deploy business-specific workflows, user experiences and tailored analytics,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Configurable: Reconfigurable business logic that allows us to quickly implement new functionality required by new and existing billers as we drive additional innovative solutions to our platform and beyond.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Our significant and broad library of integrations to core accounting and billing software systems, including customer information systems, or CIS (which are software systems used to efficiently manage customer processes and data and often include bill pay, customer service and forecasting and analytics tools), and enterprise resource planning, or ERP, systems (which are software systems used to collect, store, manage and interpret data from many business activities, typically including accounting systems), as well as core financial institution processing platforms and certain digital banking providers, helps connect disparate systems across the electronic bill payment value chain.</w:t>
      </w:r>
    </w:p>
    <w:p>
      <w:pPr>
        <w:spacing w:after="0" w:line="6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Extensible: Adaptable to new technologies and emerging payment channels, such as pay-by-text, AI-based virtual assistants and social media payments.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Secure: Multi-layer intrusion detection and prevention system, multi-factor authentication and encryption and tokenization designed for trust and security of transaction activity and information.</w:t>
      </w:r>
    </w:p>
    <w:p>
      <w:pPr>
        <w:spacing w:after="0" w:line="46"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seek to enhance our biller network to gain market share. We believe our ability to seamlessly serve billers, financial institutions, partners and consumers uniquely positions us at the center of a multi-sided network and enables us to drive a powerful, and accelerating, flywheel effect. Our robust platform attracts billers, financial institutions and partners seeking to build stronger relationships with their consumers. Adding more billers, financial institutions and partners extends our platform’s reach to more consumers. These consumers drive more transactions to our platform, which strengthens biller, financial institution and partner retention and in turn accelerates our organic growth. As we scale, we seek to drive increases in our operating leverage, which in turn is expected to enable higher profitability and more efficient biller, financial institution and partner acquisition.</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rely on a diversified go-to-market strategy including direct sales, software and strategic partnerships, resellers and referral partners across a number of industry verticals, and our IPN. While the direct sales channel is an important part of our business, we also rely on our software and strategic partners and resellers to deliver our solutions to our billers and financial institutions. Our software partners, such as Oracle, integrate our platform into their software products enabling us to power their bill payment capabilities. Our strategic partners, such as JPMorgan Chase, U.S. Bank, and a major payroll solutions provider, refer new billers to our platform and in many cases, we jointly sell to prospective customers with our strategic partners. Some of our strategic partners, particularly banks, also integrate our solutions into their platforms to provide an integrated bill presentment and omni-channel bill payment solution to their customers, and as such they are also IPN partners.</w:t>
      </w:r>
    </w:p>
    <w:p>
      <w:pPr>
        <w:spacing w:after="0" w:line="7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Our IPN promotes more rapid adoption of our platform through an extensive partnership ecosystem with leading business networks, including:</w:t>
      </w:r>
    </w:p>
    <w:p>
      <w:pPr>
        <w:spacing w:after="0" w:line="46" w:lineRule="exact"/>
        <w:rPr>
          <w:sz w:val="20"/>
          <w:szCs w:val="20"/>
          <w:color w:val="auto"/>
        </w:rPr>
      </w:pPr>
    </w:p>
    <w:p>
      <w:pPr>
        <w:jc w:val="both"/>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Banking Partners: We modernize the bill payment infrastructure of banks and credit unions of all sizes, empowering their digital banking consumers with fast, secure and omni-channel payment technology by seamlessly integrating our solution into their digital platforms.</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eCommerce Partners: We power electronic bill payments through the mobile app and AI-assistant voice service of a leading global ecommerce retailer, enabling millions of its users to retrieve information about, and pay, their bills for all billers on our network.</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PayPal: We enable PayPal’s U.S. consumers to pay their bills directly from PayPal apps.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Other Partners: Other partners benefit from our IPN in a variety of ways, such as enabling bill payment for consumers across the U.S. For example, we enable Walmart's consumers to pay their bills either in-store at retail locations or online via Walmart's retail websites or mobile apps, and enable in-person cash payments at more than 90,000 retail locations in the Green Dot network.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believe the bill payment industry continues to undergo technological transformation as consumers, billers and financial institutions demand a straightforward and streamlined approach to electronic bill presentment and payment and consumer engagement. The following key trends are currently defining the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Bill Payment Requires an Integrated, Single-vendor Solution</w:t>
      </w:r>
    </w:p>
    <w:p>
      <w:pPr>
        <w:spacing w:after="0" w:line="102" w:lineRule="exact"/>
        <w:rPr>
          <w:sz w:val="20"/>
          <w:szCs w:val="20"/>
          <w:color w:val="auto"/>
        </w:rPr>
      </w:pPr>
    </w:p>
    <w:p>
      <w:pPr>
        <w:jc w:val="both"/>
        <w:ind w:right="20" w:firstLine="494"/>
        <w:spacing w:after="0" w:line="241" w:lineRule="auto"/>
        <w:rPr>
          <w:sz w:val="20"/>
          <w:szCs w:val="20"/>
          <w:color w:val="auto"/>
        </w:rPr>
      </w:pPr>
      <w:r>
        <w:rPr>
          <w:rFonts w:ascii="Arial" w:cs="Arial" w:eastAsia="Arial" w:hAnsi="Arial"/>
          <w:sz w:val="18"/>
          <w:szCs w:val="18"/>
          <w:color w:val="auto"/>
        </w:rPr>
        <w:t>As electronic bill payments continue to evolve with consumer preferences, billers and financial institutions demand an integrated single-vendor solution suite to remain competitive. A typical electronic bill payment experience requires the coordination of multiple vendors for bill notification, presentment, various payment channels, call center support, and data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and analytics. These vendors lack integration, which results in a fragmented consumer experience and increased cost to the biller. Billers and financial institutions that are able to access a single, integrated end-to-end solution are able to provide a seamless experience for their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Billers and Consumers Are Underserved by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Traditional financial institutions have been slow to adopt modern digital bill payment technologies and the legacy providers which the financial institutions rely on have failed to innovate. Over the last decade, U.S. online consumer bill payment volume made through a bank’s bill payment solution has decreased significantly. We believe this reduction is driven by consistent under-investment by financial institutions and legacy providers in their bill payment platforms, resulting in a poor consumer experience. Generally, consumers must manually add billers to a financial institution’s system and are generally limited to automated clearing house, or ACH, or other legacy payment channels rather than omni-channel payment capabilities. Ultimately, the lack of optionality and transparency inherent in a financial institution’s bill payment solutions creates an opportunity that we seek to address.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Payment Options Through Online and Mobile Channels Are Transforming the Market</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Consumers are transacting anywhere and everywhere and through different channels. With the widespread use of mobile phones and home computers, consumer devices are becoming the aggregation point for billing information. As consumers move beyond paper checks and adopt emerging payment technologies, we believe the continued digitization of the bill payment industry will manifest through increased adoption of technologies such as pay by text, digital wallets and AI-based assistants. The emergence of these new technologies unlocks previously untapped opportunities to grow our network.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Is Being Underutilized</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Consumer bill payment transactions are rich repositories of data that can be used to significantly improve the electronic bill payment experience. We believe the bill payment industry has under-invested in the technology required to capture and analyze this data. As the industry continues to evolve around changing consumer preferences and the emergence of new payment technologies, data and analytics plays an increasingly important role in improving the full transaction value chain. Our proprietary transactional and behavioral data sets include hundreds of millions of interactions, creates workflow efficiencies and provides insights (such as payment methods depending on bill size and bill type) that strengthen the connection between billers and consumers.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Solutions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biller platform is purpose-built to transform the way billers get paid and engage with their consumers. Our AI-driven SaaS platform provides a single-vendor solution that enhances the bill payment ecosystem with new functionality and added transparency. Our single code base architecture maximizes the inherent flexibility, extensibility and configurability of our solutions, which allows us to rapidly deploy our solutions to our billers.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platform for financial institutions reconnects the financial institutions to their customers by providing a frictionless, real-time financial hub where consumers can consolidate their financial obligations, pay bills, move money in real time and deepen their understanding of their own financial position. Customers get a centralized viewpoint over all their money movement needs and the financial institutions get insights into their customers’ behavior that can inform a meaningful evolution of the customer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Single Point of Access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APIs: </w:t>
      </w:r>
      <w:r>
        <w:rPr>
          <w:rFonts w:ascii="Arial" w:cs="Arial" w:eastAsia="Arial" w:hAnsi="Arial"/>
          <w:sz w:val="18"/>
          <w:szCs w:val="18"/>
          <w:color w:val="auto"/>
        </w:rPr>
        <w:t>Our easy-to-use APIs enable billers, financial institutions and partners to seamlessly access the entirety of our network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single connection.</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iFrames: </w:t>
      </w:r>
      <w:r>
        <w:rPr>
          <w:rFonts w:ascii="Arial" w:cs="Arial" w:eastAsia="Arial" w:hAnsi="Arial"/>
          <w:sz w:val="18"/>
          <w:szCs w:val="18"/>
          <w:color w:val="auto"/>
        </w:rPr>
        <w:t>Enables our billers, financial institutions and partners to exercise more control over the user experience by customizing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logic to meet their specific requirements. Many of our billers who use iFrames have in-house IT resources but use our infrastructure for payment processing and Payment Card Industry Data Security Standard, or PCI-DSS compliance.</w:t>
      </w:r>
    </w:p>
    <w:p>
      <w:pPr>
        <w:spacing w:after="0" w:line="6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Fully Hosted: </w:t>
      </w:r>
      <w:r>
        <w:rPr>
          <w:rFonts w:ascii="Arial" w:cs="Arial" w:eastAsia="Arial" w:hAnsi="Arial"/>
          <w:sz w:val="18"/>
          <w:szCs w:val="18"/>
          <w:color w:val="auto"/>
        </w:rPr>
        <w:t>We also provide a fully hosted alternative for our billers. In this option, our hosted platform provides our billers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our platform without incurring the cost of using their own IT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Solutions</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i w:val="1"/>
          <w:iCs w:val="1"/>
          <w:color w:val="auto"/>
        </w:rPr>
        <w:t xml:space="preserve">Engagement: </w:t>
      </w:r>
      <w:r>
        <w:rPr>
          <w:rFonts w:ascii="Arial" w:cs="Arial" w:eastAsia="Arial" w:hAnsi="Arial"/>
          <w:sz w:val="18"/>
          <w:szCs w:val="18"/>
          <w:color w:val="auto"/>
        </w:rPr>
        <w:t>We believe billers must regularly engage with their consumers using actionable and contextualized data. Our smart</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and messaging tools enable billers to provide billing details to their consumers, such as account</w:t>
      </w: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status, and directly communicate with them over secure channels. Our engagement products help billers and financial institutions facilitate timely and secure bill payments, while driving digital adoption and reducing cost to serve.</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Presentment: </w:t>
      </w:r>
      <w:r>
        <w:rPr>
          <w:rFonts w:ascii="Arial" w:cs="Arial" w:eastAsia="Arial" w:hAnsi="Arial"/>
          <w:sz w:val="18"/>
          <w:szCs w:val="18"/>
          <w:color w:val="auto"/>
        </w:rPr>
        <w:t>Consumers are increasingly demanding omni-channel access to their bills through their preferred engagement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Our solution offers electronic bill presentment across numerous channels including web, mobile, text, secure PDF, email, IVR, chatbot, social media and through our IPN partners. Our electronic bill presentment products help billers maximize their reach to accelerate revenue realization and engage consumers more efficiently.</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Empowerment: </w:t>
      </w:r>
      <w:r>
        <w:rPr>
          <w:rFonts w:ascii="Arial" w:cs="Arial" w:eastAsia="Arial" w:hAnsi="Arial"/>
          <w:sz w:val="18"/>
          <w:szCs w:val="18"/>
          <w:color w:val="auto"/>
        </w:rPr>
        <w:t>Our comprehensive suite of solutions empowers consumers and billers to customize, control and enhance the bill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experience. Consumers can control communication preferences, multi-lingual capabilities, self-directed payment scheduling, multi-account management and dispute management. Billers are able to use automated case management and configurable reporting to quickly and comprehensively provide high-quality customer service.</w:t>
      </w:r>
    </w:p>
    <w:p>
      <w:pPr>
        <w:spacing w:after="0" w:line="6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i w:val="1"/>
          <w:iCs w:val="1"/>
          <w:color w:val="auto"/>
        </w:rPr>
        <w:t xml:space="preserve">Payment: </w:t>
      </w:r>
      <w:r>
        <w:rPr>
          <w:rFonts w:ascii="Arial" w:cs="Arial" w:eastAsia="Arial" w:hAnsi="Arial"/>
          <w:sz w:val="18"/>
          <w:szCs w:val="18"/>
          <w:color w:val="auto"/>
        </w:rPr>
        <w:t>We believe consumers demand an omni-channel payment experience that enables use of their preferred payment type and</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Our secure and comprehensive omni-channel payment platform supports traditional and emerging payment technologies across multiple currencies and languages. Our platform supports electronic bill payments using credit, debit, ACH and digital wallets across a variety of payment channels, including web, mobile, IVR, text, secure PDF, chatbot, agent-assisted (call center), in-person, the AI-assistant voice service of a leading global ecommerce retailer, in Walmart and locations in the Green Dot network, and through alternative payment rails such as PayPal. We support one-time payments, as well as future-dated, recurring and payment plan transactions.</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i w:val="1"/>
          <w:iCs w:val="1"/>
          <w:color w:val="auto"/>
        </w:rPr>
        <w:t xml:space="preserve">Intelligence: </w:t>
      </w:r>
      <w:r>
        <w:rPr>
          <w:rFonts w:ascii="Arial" w:cs="Arial" w:eastAsia="Arial" w:hAnsi="Arial"/>
          <w:sz w:val="18"/>
          <w:szCs w:val="18"/>
          <w:color w:val="auto"/>
        </w:rPr>
        <w:t>Electronic bill payment transactions contain a rich volume of consumer and behavioral data that can improve the bill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experience for billers and consumers. Our AI-powered analytics engine produces data-driven insights on consumer preferences, channel usage, bill lifecycles, messaging effectiveness and paper suppression and can be used by billers to improve the consumer experience. For example, our analytics engine can analyze frequently asked questions to call centers and enable billers to quickly predict answers to those questions in the future, creating a better consumer experience with reduced cost to serve for the biller.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Architecture</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i w:val="1"/>
          <w:iCs w:val="1"/>
          <w:color w:val="auto"/>
        </w:rPr>
        <w:t xml:space="preserve">Single Code Base: </w:t>
      </w:r>
      <w:r>
        <w:rPr>
          <w:rFonts w:ascii="Arial" w:cs="Arial" w:eastAsia="Arial" w:hAnsi="Arial"/>
          <w:sz w:val="18"/>
          <w:szCs w:val="18"/>
          <w:color w:val="auto"/>
        </w:rPr>
        <w:t>Our extensible, cloud-based payments platform was built from the ground-up on a single code base with no</w:t>
      </w:r>
      <w:r>
        <w:rPr>
          <w:rFonts w:ascii="Arial" w:cs="Arial" w:eastAsia="Arial" w:hAnsi="Arial"/>
          <w:sz w:val="18"/>
          <w:szCs w:val="18"/>
          <w:i w:val="1"/>
          <w:iCs w:val="1"/>
          <w:color w:val="auto"/>
        </w:rPr>
        <w:t xml:space="preserve"> </w:t>
      </w:r>
      <w:r>
        <w:rPr>
          <w:rFonts w:ascii="Arial" w:cs="Arial" w:eastAsia="Arial" w:hAnsi="Arial"/>
          <w:sz w:val="18"/>
          <w:szCs w:val="18"/>
          <w:color w:val="auto"/>
        </w:rPr>
        <w:t>versioning, which enables rapid deployment of new features and tools in part because there is no need to manage and reconcile separate versions of our software code. This flexibility empowers billers, financial institutions and partners across our network to offer their consumers the strength of our platform without paying us development or implementation fees.</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AI / ML: </w:t>
      </w:r>
      <w:r>
        <w:rPr>
          <w:rFonts w:ascii="Arial" w:cs="Arial" w:eastAsia="Arial" w:hAnsi="Arial"/>
          <w:sz w:val="18"/>
          <w:szCs w:val="18"/>
          <w:color w:val="auto"/>
        </w:rPr>
        <w:t>Our biller platform uses AI and ML algorithms to increase efficiency and extract data-driven insights from transactions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between consumers, billers, partners and our platform. These algorithms are embedded within, and enhance, each of our technology solutions to deliver a more intelligent and predictive consumer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Features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electronic bill payment process involves more than just a payment. It requires an end-to-end engagement mechanism that facilitates communication and payment between billers, partners and consumers to ensure timely and transparent payment through a frictionless consumer experience. Various features of our platform support this:</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i w:val="1"/>
          <w:iCs w:val="1"/>
          <w:color w:val="auto"/>
        </w:rPr>
        <w:t xml:space="preserve">Consumer Engagement: </w:t>
      </w:r>
      <w:r>
        <w:rPr>
          <w:rFonts w:ascii="Arial" w:cs="Arial" w:eastAsia="Arial" w:hAnsi="Arial"/>
          <w:sz w:val="18"/>
          <w:szCs w:val="18"/>
          <w:color w:val="auto"/>
        </w:rPr>
        <w:t>We enable our billers to improve their consumer engagement with targeted communications, such as smart</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broadcast messaging, inbound and outbound communications, and campaign management, all of which are managed by our communications management tools. Our engagement modules allow billers to communicate with consumers based on desired characteristics such as regional location, due date, account status (such as late payment), or custom logic. Our billers can also communicate new offerings, incentives for payment and new and advanced payment types and methods. In 2024, our billers sent hundreds of millions of emails and text messages and had millions of IVR calls using our communications modules.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Bill Presentment: </w:t>
      </w:r>
      <w:r>
        <w:rPr>
          <w:rFonts w:ascii="Arial" w:cs="Arial" w:eastAsia="Arial" w:hAnsi="Arial"/>
          <w:sz w:val="18"/>
          <w:szCs w:val="18"/>
          <w:color w:val="auto"/>
        </w:rPr>
        <w:t>Billers can present electronic bills and balance amounts through the biller’s own mobile app, text, secure PDFs, IVR,</w:t>
      </w:r>
      <w:r>
        <w:rPr>
          <w:rFonts w:ascii="Arial" w:cs="Arial" w:eastAsia="Arial" w:hAnsi="Arial"/>
          <w:sz w:val="18"/>
          <w:szCs w:val="18"/>
          <w:i w:val="1"/>
          <w:iCs w:val="1"/>
          <w:color w:val="auto"/>
        </w:rPr>
        <w:t xml:space="preserve"> </w:t>
      </w:r>
      <w:r>
        <w:rPr>
          <w:rFonts w:ascii="Arial" w:cs="Arial" w:eastAsia="Arial" w:hAnsi="Arial"/>
          <w:sz w:val="18"/>
          <w:szCs w:val="18"/>
          <w:color w:val="auto"/>
        </w:rPr>
        <w:t>and chatbots or via alternative channels such as digital wallets, the AI-assistant voice service of a leading global ecommerce retailer, PayPal’s bill pay app, social media and our other IPN Partners.</w:t>
      </w:r>
    </w:p>
    <w:p>
      <w:pPr>
        <w:spacing w:after="0" w:line="6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i w:val="1"/>
          <w:iCs w:val="1"/>
          <w:color w:val="auto"/>
        </w:rPr>
        <w:t xml:space="preserve">Consumer and Biller Employee Empowerment: </w:t>
      </w:r>
      <w:r>
        <w:rPr>
          <w:rFonts w:ascii="Arial" w:cs="Arial" w:eastAsia="Arial" w:hAnsi="Arial"/>
          <w:sz w:val="18"/>
          <w:szCs w:val="18"/>
          <w:color w:val="auto"/>
        </w:rPr>
        <w:t>We enable billers and financial institutions to empower both their consumers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which significantly increases consumer satisfaction and on-time bill payment rates for many of our billers. Billers and financial institutions are able to empower consumers with an array of choices:</w:t>
      </w:r>
    </w:p>
    <w:p>
      <w:pPr>
        <w:spacing w:after="0" w:line="61"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communications preferences – consumers can choose email, text, phone, portal or otherwise;</w:t>
      </w:r>
    </w:p>
    <w:p>
      <w:pPr>
        <w:spacing w:after="0" w:line="116" w:lineRule="exact"/>
        <w:rPr>
          <w:rFonts w:ascii="Times New Roman" w:cs="Times New Roman" w:eastAsia="Times New Roman" w:hAnsi="Times New Roman"/>
          <w:sz w:val="18"/>
          <w:szCs w:val="18"/>
          <w:color w:val="auto"/>
        </w:rPr>
      </w:pPr>
    </w:p>
    <w:p>
      <w:pPr>
        <w:ind w:left="5520" w:right="420" w:hanging="5003"/>
        <w:spacing w:after="0" w:line="286" w:lineRule="auto"/>
        <w:tabs>
          <w:tab w:leader="none" w:pos="1022"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language preferences – consumers can select their preferred language for receiving billing information and interact via IVR;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1020" w:right="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payment scheduling and type – consumers can schedule payments at specific times and use specific payment type to best suit their needs;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multi-account management – consumers can manage multiple accounts with a single provider in one place.</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offer complementary features to our biller’s employees, including tools for automated case management, configurable reporting and "see what they see" where the customer service employees can see exactly what the consumer sees to quickly resolve problems.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have also made significant investments in research and development, including in an automated, streamlined onboarding experience to help our billers and financial institutions go live faster, self-service features to help billers quickly adapt to consumer needs, and ongoing enhancements to improve privacy and security.</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Payment Types: </w:t>
      </w:r>
      <w:r>
        <w:rPr>
          <w:rFonts w:ascii="Arial" w:cs="Arial" w:eastAsia="Arial" w:hAnsi="Arial"/>
          <w:sz w:val="18"/>
          <w:szCs w:val="18"/>
          <w:color w:val="auto"/>
        </w:rPr>
        <w:t>We have significantly invested in innovative payment types to provide billers a seamless, omni-channel suite of tools.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We believe no other provider in our markets offers a similar array of easy-to-implement options.</w:t>
      </w:r>
    </w:p>
    <w:p>
      <w:pPr>
        <w:spacing w:after="0" w:line="8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These features are seamlessly integrated with our engagement and empowerment tools to provide a superior consumer biller and financial institutions experience. Our platform supports a variety of payment types, including:</w:t>
      </w:r>
    </w:p>
    <w:p>
      <w:pPr>
        <w:spacing w:after="0" w:line="4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ACH and eCheck;</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debit card;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credit card;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emerging payment types.</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Emerging payment types include PayPal, Venmo, PayPal Credit, Apple Pay, Google Pay and Amazon Pay. These payment types are gaining increasing traction with consumers, and as a result, are viewed as increasingly important by billers and financial institutions.</w:t>
      </w:r>
    </w:p>
    <w:p>
      <w:pPr>
        <w:spacing w:after="0" w:line="4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i w:val="1"/>
          <w:iCs w:val="1"/>
          <w:color w:val="auto"/>
        </w:rPr>
        <w:t xml:space="preserve">Payment Channels: </w:t>
      </w:r>
      <w:r>
        <w:rPr>
          <w:rFonts w:ascii="Arial" w:cs="Arial" w:eastAsia="Arial" w:hAnsi="Arial"/>
          <w:sz w:val="18"/>
          <w:szCs w:val="18"/>
          <w:color w:val="auto"/>
        </w:rPr>
        <w:t>Our platform offers an omni-channel payment infrastructure, which means that it enables bill payments through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traditional payment channels that billers and consumers expect, as well as many emerging payment channels. These include web portal, mobile, IVR, text, secure PDF, chatbot, agent-assisted (call center), in-person, the AI-assistant voice service of a leading global ecommerce retailer, in Walmart stores and other Green Dot network locations and through alternative payment rails such as PayPal. Key features and examples of several of these channels are described and illustrated below.</w:t>
      </w:r>
    </w:p>
    <w:p>
      <w:pPr>
        <w:spacing w:after="0" w:line="68"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Chatbot: Enables billers to engage with consumers through an automated, AI-powered interface that constantly improves the customer service experience through data-driven insights.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PayPal App: Leveraging our APIs, PayPal’s U.S. consumers can pay their bills directly from PayPal.</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Secure Service: Our patented Secure Service feature enables billers to accept payments over the phone while minimizing PCI-DSS compliance risk. Many billers avoid accepting payment information over the phone by directing consumers to websites or automated phone systems, which creates poor experiences and results in abandoned payments. Our Secure Service allows the biller’s employee and the consumer to remain connected throughout the process, while removing the biller’s employee from the PCI-DSS scope by concealing payment details. As a result, the transaction is able to be completed securely and the consumer can be returned to the same employee directly on completion.</w:t>
      </w:r>
    </w:p>
    <w:p>
      <w:pPr>
        <w:spacing w:after="0" w:line="71" w:lineRule="exact"/>
        <w:rPr>
          <w:sz w:val="20"/>
          <w:szCs w:val="20"/>
          <w:color w:val="auto"/>
        </w:rPr>
      </w:pPr>
    </w:p>
    <w:p>
      <w:pPr>
        <w:jc w:val="both"/>
        <w:ind w:right="20" w:firstLine="547"/>
        <w:spacing w:after="0" w:line="271" w:lineRule="auto"/>
        <w:rPr>
          <w:sz w:val="20"/>
          <w:szCs w:val="20"/>
          <w:color w:val="auto"/>
        </w:rPr>
      </w:pPr>
      <w:r>
        <w:rPr>
          <w:rFonts w:ascii="Arial" w:cs="Arial" w:eastAsia="Arial" w:hAnsi="Arial"/>
          <w:sz w:val="18"/>
          <w:szCs w:val="18"/>
          <w:color w:val="auto"/>
        </w:rPr>
        <w:t>AI-assistant Voice Service: We power bill payments for the AI-assistant voice service of a leading global ecommerce retailer, enabling millions of its users to retrieve information about, and pay, their bills for all billers on our network using voice commands.</w:t>
      </w:r>
    </w:p>
    <w:p>
      <w:pPr>
        <w:spacing w:after="0" w:line="4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Text-based: Pay by text leverages our text-based bill presentment technology for a text payment authorization, which then uses stored payment types in the consumer’s account.</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IVR: Interactive voice response is a powerful tool to make payments and check balances, and is available in multi-lingual options.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Agent-assisted Call Center Payments: Our agent-assisted call center capability enables a biller to support and assist their consumers with bill payments and other related issues.</w:t>
      </w:r>
    </w:p>
    <w:p>
      <w:pPr>
        <w:spacing w:after="0" w:line="46" w:lineRule="exact"/>
        <w:rPr>
          <w:sz w:val="20"/>
          <w:szCs w:val="20"/>
          <w:color w:val="auto"/>
        </w:rPr>
      </w:pPr>
    </w:p>
    <w:p>
      <w:pPr>
        <w:jc w:val="both"/>
        <w:ind w:right="20" w:firstLine="494"/>
        <w:spacing w:after="0" w:line="245" w:lineRule="auto"/>
        <w:rPr>
          <w:sz w:val="20"/>
          <w:szCs w:val="20"/>
          <w:color w:val="auto"/>
        </w:rPr>
      </w:pPr>
      <w:r>
        <w:rPr>
          <w:rFonts w:ascii="Arial" w:cs="Arial" w:eastAsia="Arial" w:hAnsi="Arial"/>
          <w:sz w:val="18"/>
          <w:szCs w:val="18"/>
          <w:color w:val="auto"/>
        </w:rPr>
        <w:t>Portal: Our bill payment portal enables billers to provide advanced usage and consumption data to their consumers, such as power use by day.</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18"/>
          <w:szCs w:val="18"/>
          <w:color w:val="auto"/>
        </w:rPr>
        <w:t>In-person Payments: We also power in-person payments, which include payments at kiosks or a counter for point-of-sale transactions.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is particularly appealing for many billers who may have a local customer service center.</w:t>
      </w:r>
    </w:p>
    <w:p>
      <w:pPr>
        <w:spacing w:after="0" w:line="8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 xml:space="preserve">Payment Timing: </w:t>
      </w:r>
      <w:r>
        <w:rPr>
          <w:rFonts w:ascii="Arial" w:cs="Arial" w:eastAsia="Arial" w:hAnsi="Arial"/>
          <w:sz w:val="18"/>
          <w:szCs w:val="18"/>
          <w:color w:val="auto"/>
        </w:rPr>
        <w:t>We support an array of timing alternatives including one-time guest payments, recurring payments, future-dated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multiple payments and payment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Paymentus was built on the notion that existing bill payment systems are not equipped to handle how bills will be paid in the future. Our platform is a cloud-native solution that automates the entire bill payments lifecycle between billers and financial institutions and consumers through a single integration, simplifying how consumers pay bills and accelerating billers’ revenue recognition through the following characteristics: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Scalable: Our mission-critical platform is designed to support high velocity throughput of daily, non-discretionary consumer bill payments. Our platform is capable of scaling up market to serve large billers, each processing payments for millions of bills per month, while also serving smaller billers, each processing payments for one bill per month. In 2024, we processed approximately 597 million payments and an average of 1.6 million payments were made each day using our platform.</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Innovative: Our AI-enabled, SaaS architecture is the foundation of our unified platform. Our ML algorithms continuously learn and self-improve from transaction activity on our platform. Our platform and our intensely client-centric approach inform our product development strategy, enabling us to offer new features and functionality that improve our value proposition to our billers.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Flexible: We support multiple integration modalities to enhance our billers’ and financial institutions’ ability to consume the full breadth of our platform. Some of our billers and financial institutions use our APIs or iFrames, which offer more control over the user experience, but require our infrastructure for payment processing and PCI-DSS compliance. Other billers use our fully hosted solution because they lack requisite IT resources and must leverage our technology and customer support systems to offer an electronic bill payment experience. We also allow our billers and financial institutions to adopt a hybrid approach that leverages our APIs for certain environments.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Configurable: Our platform can rapidly and cost-effectively reconfigure our business logic to accommodate the specific requirements of the different end markets we serve. In 2024, the majority of new biller implementations were completed without any code changes or significant development costs. Once configured, we can use these solutions with new and existing billers to expand into new verticals and geographies.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Integrated: Our significant and broad library of integrations to core accounting software systems, including leading CIS and ERP systems as well as core financial institution processing platforms and certain digital banking providers, helps connect disparate systems across the electronic bill payment value chain. Our billers gain access to the entirety of our biller platform through an easy-to-deploy, single point of access. These integrations allow us to own and control the key components of the electronic bill payment value chain, including accounting and back-end integrations to CIS and ERP systems. Our portfolio of integrations span hundreds of software versions – some of which are decades old but still in use today by many of our billers – which enables us to rapidly integrate with billers and financial institutions. We believe competitors would need to invest significant time and resources in order to replicate our software integration portfolio.</w:t>
      </w:r>
    </w:p>
    <w:p>
      <w:pPr>
        <w:spacing w:after="0" w:line="7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Extensible: Our platform is designed to integrate with new payment and consumer engagement technologies as well as new software, strategic and IPN partners. For example, through integrations with PayPal and a leading global ecommerce retailer, we have extended our platform to hundreds of millions of new consumers who wish to interact with billers in the PayPal app or through the AI-assistant voice service of a leading global ecommerce retailer.</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Secure: Biller, financial institution, partner and consumer security is of paramount importance to our business. Our PCI-DSS-compliant platform offers an intrusion detection and prevention system, multi-factor authentication and encryption and tokenization capabilities. We enforce our security policies and procedures through regular internal and third-party audits, 24/7 digital monitoring, continued education and sophisticated technology tools.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Network</w:t>
      </w:r>
    </w:p>
    <w:p>
      <w:pPr>
        <w:spacing w:after="0" w:line="104"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We believe our innovative technology platform enables us to sit at the nexus of a powerful multi-sided network of billers, financial institutions, partners and consumers. We use the power of this network to enhance the number of product-features each biller uses to promote transaction growth. Our portfolio data shows that payment adoption is highly correlated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to feature utilization. By increasing feature usage, we believe we will realize an increase in transaction volume from our billers.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innovative technology platform empowers billers to offer electronic bill payment acceptance across multiple payment types, engage with their consumers and streamline their business operations efficiently and cost-effectively. We attract billers to our platform because our platform modernizes their payment infrastructure and helps them collect revenue faster and more profitably. Our platform is capable of posting payments directly to billers’ systems in real time, which simplifies revenue operations and strengthens the relationship we have with billers.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Institutions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network connects our financial institutions to thousands of billers and sources of money movement including virtually every bank and credit union in the US, debit card and credit card payments and multiple digital wallets. The network also enables consumers to make loan payments to our financial institutions from our other network partners. By using open application programming interfaces, or APIs, software development kit, or SDK, widgets and single-sign-on, or SSO, interfaces, our financial institutions have complete flexibility and control over how they integrate and deliver their services including modern digital bill presentment, payment and money movement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Billers and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Flexible and Integrated Platform: Billers and financial institutions can offer their consumers a variety of traditional and emerging payment and engagement technologies that enable the billers to collect revenue faster and drive improved customer satisfaction, while reducing costs such as their PCI-DSS compliance burden. Billers and financial institutions have the flexibility to integrate directly to our platform through APIs, iFrames or a fully hosted solution, which allows them to cost-effectively select and customize our solutions to fit their specific requirements. Because our platform is flexible and scalable, we believe our value proposition applies to all billers whether they ultimately choose to use our platform for all of their bills or continue using legacy bill payment systems or biller-direct solutions together with our solutions.</w:t>
      </w:r>
    </w:p>
    <w:p>
      <w:pPr>
        <w:spacing w:after="0" w:line="77"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Long-term Growth and Operating Leverage: The scalability of our platform allows billers and financial institutions to capitalize on growth opportunities for their business. While helping billers grow their revenue, we also help reduce costs by leveraging our integrated technology architecture to automate manual workflows, which reduces error-prone manual data entry and efficiently reconciles payments to backend financial and operating systems.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our biller base expands, we attract market-leading software, strategic and IPN partners that use our platform to power bill payment experiences within their ecosystems. Our innovative platform facilitates a modern bill presentment, consumer engagement and bill payment experience for our partners’ customers, regardless of partner type.</w:t>
      </w:r>
    </w:p>
    <w:p>
      <w:pPr>
        <w:spacing w:after="0" w:line="61"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Software Partners: </w:t>
      </w:r>
      <w:r>
        <w:rPr>
          <w:rFonts w:ascii="Arial" w:cs="Arial" w:eastAsia="Arial" w:hAnsi="Arial"/>
          <w:sz w:val="18"/>
          <w:szCs w:val="18"/>
          <w:color w:val="auto"/>
        </w:rPr>
        <w:t>Our software partners include large third-party technology providers, such as Oracle, which integrate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their software suites to power bill payments for their customers and refer billers and financial institutions to us. For example, ERP providers integrate our platform into their own suite of solutions to offer a comprehensive solution set that enhances their ERP software with bill presentment, consumer engagement and bill payment capabilities. In certain cases, we have revenue sharing arrangements with our software partners based on our transaction fees. In other cases, rather than a revenue sharing arrangement, we and our software partner mutually benefit from the partnership as the software partner can offer a more comprehensive solution and stronger value proposition to its customers and we receive broader reach to potential billers and consumers, an efficient biller acquisition channel and stronger biller retention from an integrated solution.</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Similar to our software providers, our strategic partners refer billers to us and, in many cases, integrate our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into their platforms. Our strategic partners, including JPMorgan Chase, U.S. Bank, and a major payroll solutions provider, work with us to offer bill presentment, consumer engagement and bill payment capabilities to their customers, which are billers. For example, a large commercial bank has many business clients who seek to improve and streamline the bill presentment and bill payment experience for their consumers. In that case, the large commercial bank partners with us to sell a joint solution. In other cases, the commercial bank may prefer to sell a white-labeled solution, which it obtains from us. Both co-sale and white-label arrangements typically involve revenue sharing agreements with the strategic partner based on the transaction fees we receive.</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IPN Partners: </w:t>
      </w:r>
      <w:r>
        <w:rPr>
          <w:rFonts w:ascii="Arial" w:cs="Arial" w:eastAsia="Arial" w:hAnsi="Arial"/>
          <w:sz w:val="18"/>
          <w:szCs w:val="18"/>
          <w:color w:val="auto"/>
        </w:rPr>
        <w:t>Our IPN partners work with us to gain access to broader biller networks and provide their consumers with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to streamline bill payments. Our IPN partners include PayPal, for which we power bill payment capabilities, a leading global ecommerce retailer, through which we offer electronic bill presentment and payment via its AI-assistant voice service and mobile app, Walmart, for which we enhance in-person bill payment capability at Walmart Money</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rPr>
          <w:sz w:val="20"/>
          <w:szCs w:val="20"/>
          <w:color w:val="auto"/>
        </w:rPr>
      </w:pPr>
      <w:r>
        <w:rPr>
          <w:rFonts w:ascii="Arial" w:cs="Arial" w:eastAsia="Arial" w:hAnsi="Arial"/>
          <w:sz w:val="18"/>
          <w:szCs w:val="18"/>
          <w:color w:val="auto"/>
        </w:rPr>
        <w:t>Centers, and Green Dot, to enable in-person cash payments at more than 90,000 retail locations in the Green Dot network. Unlike software and strategic partners, IPN partners typically have direct interactions with consumers, and leverage our platform to connect to our biller network. Through this connection, consumers can initiate bill payments through our IPN partners, which we route to the billers. There are many types of IPN partners, including consumer networks, retailers, banks and financial institutions. We offer consumer networks and retailers increased engagement with consumers by enabling streamlined bill presentment payment experiences for an array of billers through their networks. We similarly offer banks and financial institutions increased engagement with their retail clients. For IPN partners, we will typically receive a fee per transaction processed through our platform, and in some cases, we pay a referral fee to IPN partners.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i w:val="1"/>
          <w:iCs w:val="1"/>
          <w:color w:val="auto"/>
        </w:rPr>
        <w:t xml:space="preserve">Multiple Roles for Partners: </w:t>
      </w:r>
      <w:r>
        <w:rPr>
          <w:rFonts w:ascii="Arial" w:cs="Arial" w:eastAsia="Arial" w:hAnsi="Arial"/>
          <w:sz w:val="18"/>
          <w:szCs w:val="18"/>
          <w:color w:val="auto"/>
        </w:rPr>
        <w:t>Notably, partners may fit into multiple categories, particularly banks and financial institutions.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a bank can be a biller, a strategic partner and an IPN partner. As a biller, the bank generates bills, such as mortgage and credit card statements. As a strategic partner, the same bank uses our platform to power an omni-channel bill payment experience for a commercial customer of the bank. In this way, that commercial customer becomes a new biller for our network. Finally, as an IPN partner, the same bank leverages our IPN network to enable a more robust bill payment experience for its business customers and consumers by, for example, enabling its business customers and those businesses’ consumers to pay bills using alternative payment channels, such as PayPal. For clarity, financial institutions may also be customers where the financial institution uses our platform to provide bill payment and other money movement services directly to consumers and businesses.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Partners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Higher Consumer Satisfaction: </w:t>
      </w:r>
      <w:r>
        <w:rPr>
          <w:rFonts w:ascii="Arial" w:cs="Arial" w:eastAsia="Arial" w:hAnsi="Arial"/>
          <w:sz w:val="18"/>
          <w:szCs w:val="18"/>
          <w:color w:val="auto"/>
        </w:rPr>
        <w:t>Partners gain access to our network of billers and can provide turnkey electronic bill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to their consumers through flexible integration options. By integrating our platform into their ecosystems, partners can provide a more comprehensive solution and drive higher customer satisfaction.</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Access to Innovative Technology Solutions: </w:t>
      </w:r>
      <w:r>
        <w:rPr>
          <w:rFonts w:ascii="Arial" w:cs="Arial" w:eastAsia="Arial" w:hAnsi="Arial"/>
          <w:sz w:val="18"/>
          <w:szCs w:val="18"/>
          <w:color w:val="auto"/>
        </w:rPr>
        <w:t>As consumers demand a more seamless and secure experience, partners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engagement and payment technology that caters to the latest consumer trends. Our platform offers cutting edge technology that enables partners to grow mind and wallet share with their consumers.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Billers’, Financial Institutions’ and Partners’ Consumers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our platform reaches more consumers, we capture and monetize more payment transactions. In December 2024, approximately 46 million consumers and businesses used our platform to pay their bills. As consumers increasingly demand omni-channel bill payment solutions for more of their bills, we attract more billers and partners who look to our platform to meet that demand.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Next-Generation Electronic Bill Payment Tools: </w:t>
      </w:r>
      <w:r>
        <w:rPr>
          <w:rFonts w:ascii="Arial" w:cs="Arial" w:eastAsia="Arial" w:hAnsi="Arial"/>
          <w:sz w:val="18"/>
          <w:szCs w:val="18"/>
          <w:color w:val="auto"/>
        </w:rPr>
        <w:t>Consumers gain access to advanced payments functionality to streamline their omni-channel bill payment experience. Consumers can view and pay bills through a variety of payment channels and types, engage with their billers, financial institutions and retrieve actionable insights regarding their payments and billing history.</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i w:val="1"/>
          <w:iCs w:val="1"/>
          <w:color w:val="auto"/>
        </w:rPr>
        <w:t xml:space="preserve">Control Over Financial Health: </w:t>
      </w:r>
      <w:r>
        <w:rPr>
          <w:rFonts w:ascii="Arial" w:cs="Arial" w:eastAsia="Arial" w:hAnsi="Arial"/>
          <w:sz w:val="18"/>
          <w:szCs w:val="18"/>
          <w:color w:val="auto"/>
        </w:rPr>
        <w:t>Consumers gain added control and visibility over their financial health on a daily basis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tools and features we provide. Our platform allows consumers to set the terms of their bill payments in a way that best suits their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intend to leverage our products and industry presence to establish our platform as the industry standard for electronic bill payments for billers, financial institutions and partners globally. Key elements of this strategy include: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Win New Billers, Financial Institutions and Partners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believe the majority of billers and financial institutions use inferior electronic bill payment platforms. We plan to continue winning new billers, financial institutions and partners by investing in the growth of our IPN, expanding our diversified go-to-market strategies and strengthening our value proposition. We intend to continue winning market share through a superior product offering that is easy to integrate and provides a feature-rich experience for our billers, partners and consumers.</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Grow with Existing Billers, Financial Institutions and Partners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we have a significant opportunity to leverage the full scope of our highly scalable model to drive further adoption of our platform with existing billers, financial institutions and partners, including our IPN partners. We believe adding product features and additional functionality enables us to capture more electronic bill payments, strengthens our biller and partner retention and ultimately generates more transaction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into New Channels and Industry Verticals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intend to leverage our platform to expand into new channels and new industry verticals. In particular, we anticipate growth of our IPN and additional partnerships with leading business networks to drive further expansion into new channels. We also intend to continue to cost-effectively expand into new verticals and expect that our expansion efforts will center on verticals with favorable bill payment characteristics such as recurring payments for non-discretionary, essential services, similar to our previous expansion into the healthcare and insurance verticals. Our configurability and platform approach to new feature development enables us to cost-effectively extend products that were initially designed for an existing vertical into powerful use cases for new verticals.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New Products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the significant investments we have made in our technology platform are a core differentiator of our business. As billers, financial institutions, partners and consumers adopt new consumer engagement and bill payment technologies, we intend to continue investing in our platform in order to create innovative features and add emerging payment types and alternative payment methods that further enhance bill payment and commerce experiences.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Platform to Expand Internationally</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believe there is global demand for electronic bill payment technology among billers and financial institutions with international consumers and partners that serve international billers and financial institutions. Although substantially all of our revenue is generated in the United States, many of our largest domestic billers also serve billable consumers in international geographies and several of our domestic partners maintain international operations. We believe this presents us with a large opportunity to expand internationally without needing to significantly increase international headcount or retain local resources to initially serve international markets. Our international growth strategy is focused on leveraging our existing biller and partner relationships and we believe our platform is well-positioned to quickly adapt to local payment channels and regulatory schemes. In particular, we anticipate that our near-term international growth opportunities will come through our U.S.-based billers, financial institutions or partners seeking a technology platform to power bill presentment and payment in international markets within their existing industry verticals, as well as through our larger partners that serve international billers and financial institutions. We also expect to expand our existing presence in Canada and India over time, both within current and new industry verticals.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Selective Strategic Acquisitions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plan to pursue strategic acquisitions that we believe will be complementary to our existing solutions, enhance our technology and increase the value proposition we deliver to our billers, financial institutions and partners and their consumers. For example, we may pursue acquisitions that we believe will help us expand within existing or new industry verticals and channels, accelerate our biller growth or enter new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Go-to-Market Strategy</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employ a diversified go-to-market strategy that leverages targeted marketing efforts, a direct sales team and relationships with technology partners and resellers as we seek to acquire billers and financial institutions in an efficient manner. Our marketing strategy targets prospective billers and financial institutions through industry- and role-based marketing efforts at trade shows and industry events, direct marketing and social media programs. We also leverage partnerships and referral relationships of various types across a number of industry verticals.</w:t>
      </w:r>
    </w:p>
    <w:p>
      <w:pPr>
        <w:spacing w:after="0" w:line="68"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direct sales team is responsible for outbound lead generation, driving new business and helping to manage account relationships and renewals. Our sales team also maintains close relationships with existing billers and financial institutions and acts as an advisor to each biller to help identify and understand their specific needs, challenges, goals and opportunities.</w:t>
      </w:r>
    </w:p>
    <w:p>
      <w:pPr>
        <w:spacing w:after="0" w:line="6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also leverage strong relationships with our partners to extend the reach of our platform and receive new biller referrals. Our software partners, including Oracle, integrate our platform into their software products, enabling us to power their bill payment capabilities for their consumers. Our strategic partners, including JPMorgan Chase, U.S. Bank and a major payroll solutions provider, also refer new billers to our platform. Our software is regularly integrated with our software partners’ offerings and with the software suites of other market-leading software providers commonly used by our billers, including SAP and Guidewire, in each case to power electronic bill payment functions for our billers and their consumers.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6" w:name="page17"/>
    <w:bookmarkEnd w:id="16"/>
    <w:p>
      <w:pPr>
        <w:jc w:val="both"/>
        <w:ind w:firstLine="494"/>
        <w:spacing w:after="0" w:line="253" w:lineRule="auto"/>
        <w:rPr>
          <w:sz w:val="20"/>
          <w:szCs w:val="20"/>
          <w:color w:val="auto"/>
        </w:rPr>
      </w:pPr>
      <w:r>
        <w:rPr>
          <w:rFonts w:ascii="Arial" w:cs="Arial" w:eastAsia="Arial" w:hAnsi="Arial"/>
          <w:sz w:val="18"/>
          <w:szCs w:val="18"/>
          <w:color w:val="auto"/>
        </w:rPr>
        <w:t>We also believe we benefit from the significant reach of our IPN. Through partnerships with PayPal, a leading global ecommerce retailer and financial institution partners, our platform reaches millions of consumers. Jointly delivering our platform with our software and strategic partners provides consistency of approach and a high-quality experience for billers, financial institutions, partners and consumers.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primary competition has historically been legacy solution providers and systems internally developed by financial institutions for bill presentment and payment services. The legacy solution providers have generally either served the financial services or the biller market individually. In both markets, legacy solution providers offer solutions for in-person cash payments, check-based mail payments, prior-generation IVR, phone-based payments and web-based payments, as well as a variety of point solutions for various payment needs. These solutions are often built via acquisitions and frequently not well integrated based on data architectures.</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In the financial services market, providers integrate into a bank’s online banking system. They offer access to a limited number of electronic bills, so only a fraction can be reviewed before deciding on payment. Once the consumer decides to pay the bill, the provider generally only allows for one type of payment, limiting the ability of consumers to use credit or other alternatives. The bank-based payments are slow, sometimes taking up to three days to reach a biller, so a consumer is not able to make a same-day payment.</w:t>
      </w:r>
    </w:p>
    <w:p>
      <w:pPr>
        <w:spacing w:after="0" w:line="6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the biller-direct market, legacy providers have been slow to respond to biller and consumer needs because their systems are expensive to maintain and are not nimble enough to keep up with the pace of innovation. As a result, they do not offer the breadth of channels and payment methods demanded by consumers, nor the integration and analytics capabilities required by billers. We also compete on pricing, particularly in certain lower-margin industries where lower cost pricing can outweigh higher product quality and an enhanced customer experience.</w:t>
      </w:r>
    </w:p>
    <w:p>
      <w:pPr>
        <w:spacing w:after="0" w:line="68"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We believe these solutions lack the modern infrastructure necessary to provide billers, financial institutions and consumers with an omni-channel electronic bill payment experience enhanced by AI, ML and contextualized data. We believe the strength and agility of our platform will drive our success in growing our business by demonstrating to billers, financial institutions and partners that our platform delivers superior business outcomes to those of third-party vendors or internally developed systems.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While competitive factors and their relative importance can vary, in general, we will be assessed on a number of factors including security, reliability, breadth and depth of functionality, ease of deployment and implementation speed, total cost of ownership and return on investment, customer satisfaction, customer service, partnerships, brand awareness and reputation and the ability to provide contextualized and actionable data-driven insights that improve the transaction experience. We believe we compete favorably on all of these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rely on a combination of intellectual property rights, including patents, trademarks, copyrights, trade secrets and contractual rights, to protect our proprietary software and our brands. We have obtained or applied for patent protection in the United States and certain countries on certain material aspects of our proprietary technologies and we have registered or applied to register certain of our trademarks in the United States and in specific countries. In addition to the intellectual property that we own, we license certain technologies and intellectual property from third parties, including software that is incorporated in our platform. We generally control access to and use of our software and other proprietary or confidential information through internal and external controls, including entering into non-disclosure and confidentiality agreements with both our employees and third parties who have access to our software and other confidential information.</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of December 31, 2024, we held 29 issued U.S. patents and one issued Canadian patent related to our proprietary technologies. As of December 31, 2024, we also had four published and two unpublished pending U.S. patent applications, and three pending patent applications in each of Australia, Brazil, Canada, China, Europe, India, Japan, Mexico, and South Korea. If our currently issued patents are maintained until the end of their terms, they will expire between 2025 and 2042. The expiration of these patents is not reasonably likely to have a material adverse effect on our business, financial condition or results of operations. In addition, as of December 31, 2024, we owned 15 registered U.S. trademarks and one registered trademark in each of the European Union, India, Japan, New Zealand and the United Kingdom. We also held five allowed and four pending trademark applications in the U.S., and one pending trademark application in Canada.</w:t>
      </w:r>
    </w:p>
    <w:p>
      <w:pPr>
        <w:spacing w:after="0" w:line="77"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For additional discussion of how intellectual property protection affects our business, see the section titled "Risk Factors—Risks Related to Our Technology and Intellectual Property."</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Government Regulations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Various aspects of our business and service areas are subject to U.S. federal, state, and local regulation, as well as regulation outside the United States. Certain of our services are also subject to rules promulgated by various card and payment networks and other authorities, as more fully described below. These descriptions are not exhaustive, and these laws, regulations and rules frequently change and are increasing in number.</w:t>
      </w:r>
    </w:p>
    <w:p>
      <w:pPr>
        <w:spacing w:after="0" w:line="6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Our billers, financial institutions and partners and their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financial institutions and partners,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or FTC, and various state, local and foreign agencies. Our data handling and processing activities are also subject to contractual obligations and industry standard requirements. 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The legislative and regulatory landscapes for privacy, data protection and information security continue to evolve in jurisdictions worldwide, with an increasing focus on privacy and data protection issues with the potential to affect our business.</w:t>
      </w:r>
    </w:p>
    <w:p>
      <w:pPr>
        <w:spacing w:after="0" w:line="78" w:lineRule="exact"/>
        <w:rPr>
          <w:sz w:val="20"/>
          <w:szCs w:val="20"/>
          <w:color w:val="auto"/>
        </w:rPr>
      </w:pPr>
    </w:p>
    <w:p>
      <w:pPr>
        <w:jc w:val="both"/>
        <w:ind w:firstLine="567"/>
        <w:spacing w:after="0" w:line="237" w:lineRule="auto"/>
        <w:rPr>
          <w:sz w:val="20"/>
          <w:szCs w:val="20"/>
          <w:color w:val="auto"/>
        </w:rPr>
      </w:pPr>
      <w:r>
        <w:rPr>
          <w:rFonts w:ascii="Arial" w:cs="Arial" w:eastAsia="Arial" w:hAnsi="Arial"/>
          <w:sz w:val="18"/>
          <w:szCs w:val="18"/>
          <w:color w:val="auto"/>
        </w:rPr>
        <w:t>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 In addition, many states in which we operate have enacted laws that protect the privacy and security of sensitive and personal data, such as the California Consumer Privacy Act, or CCPA, as amended by the California Privacy Rights Act, or CPRA, in California. Certain other state laws impose similar privacy obligations, such as in New York, Nevada, Virginia, Colorado, Connecticut and Utah to name a few. In addition, all 50 states have data breach laws including obligations to provide notification of security breaches of computer databases that contain personal information to affected individuals, state officers and others. Several foreign countries and governmental bodies, including China, Australia, the European Union, or EU, and other countries have also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such as the EU's General Data Protection Regulation, or GDPR, are in certain cases more stringent than those in the United States. Because we process individually identifiable protected health information in certain cases, we are also subject to certain obligations under the Health Insurance Portability and Accountability Act of 1996, or HIPAA, as amended by the Health Information Technology for Economic and Clinical Health Act of 2009, or HITECH, as well as certain state laws and related contractual obligations.</w:t>
      </w:r>
    </w:p>
    <w:p>
      <w:pPr>
        <w:spacing w:after="0" w:line="78"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are also subject to the rules and standards of Visa, Mastercard, American Express, the National Automated Clearinghouse Association, or NACHA, and INTERAC, a Canadian interbank network, and other payment networks and their participants. In order to provide our payment processing services, we must be registered either indirectly or directly as service providers with the payment networks that we use. As such, we are subject to applicable card association and payment network rules, standards and regulations, which impose various requirements and could subject us to a variety of fines or penalties that may be levied by such associations or networks for certain acts or omissions. Card associations and payment networks and their member financial institutions regularly update and generally expand security expectations and requirements related to the security of consumer data and environments. Failure to comply with the networks’ requirements, or to pay the fees or fines they may impose, could result in the suspension or termination of our registration with the relevant payment networks and therefore require us to limit or cease providing the relevant payment processing services. It could also cause existing billers, financial institutions or partners, their consumers or other third parties to cease using or referring our services or prospective billers, financial institutions or partners to terminate negotiations with us.</w:t>
      </w:r>
    </w:p>
    <w:p>
      <w:pPr>
        <w:spacing w:after="0" w:line="7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Further, we and our billers, financial institutions and partners are subject to a variety of U.S. state and federal laws, rules and regulations related to telemarketing, recording and monitoring of communications, such as the Telephone Consumer Protection Act, or TCPA, the Controlling the Assault of Non-Solicited Pornography and Marketing Act, or CAN-SPAM Act and others, because our platform enables our billers and partners to communicate directly with their consumers, including via e-mail, text messages and calls, and also enables recording and monitoring of calls between our billers, financial institutions and partners and their consumers for training and quality assurance purposes. The FCC recently issued a new final rule on text messaging and the TCPA that went into effect in January 2025. Finally, several states have also enacted state-level laws modeled after the TCPA (e.g., “mini-TCPAs”) which impose stricter regulations on telemarketing activities, including the use of automated systems for calls and text messages.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ind w:firstLine="494"/>
        <w:spacing w:after="0" w:line="236" w:lineRule="auto"/>
        <w:rPr>
          <w:sz w:val="20"/>
          <w:szCs w:val="20"/>
          <w:color w:val="auto"/>
        </w:rPr>
      </w:pPr>
      <w:r>
        <w:rPr>
          <w:rFonts w:ascii="Arial" w:cs="Arial" w:eastAsia="Arial" w:hAnsi="Arial"/>
          <w:sz w:val="18"/>
          <w:szCs w:val="18"/>
          <w:color w:val="auto"/>
        </w:rPr>
        <w:t>In addition to the laws and regulations described above, various regulatory agencies in the United States and in foreign jurisdictions continue to examine a wide variety of issues which are or may be applicable to us and may impact our business. These issues include payments, identity theft, account management guidelines, privacy, disclosure rules, cybersecurity and marketing. The banks we partner with are under growing pressure to increase scrutiny and oversight of their fintech customers, resulting in increasing pressure on us by our bank partners to enhance our AML/BSA compliance and sanctions screening controls. There is a risk a partner bank’s regulator will examine our compliance program under enhanced standards applicable to banks. In addition, in the United States, almost all states regulate money transmission and while our services do not involve the movement of funds directly, there is a risk that a state regulator may misinterpret our services and find we are offering unlicensed money transmission. In Canada, we have determined we are subject to the Retail Payments Activity Act as a Payment Service Provider and have registered as such with the Bank of Canada, and as a Money Service Business with FINTRAC. Accordingly, we are now subject to increased scrutiny of compliance with Canadian payments regulations. The Consumer Financial Protection Bureau, or CFPB, and several states have provided guidance or prohibitions against the use of convenience or similar "pay-to-pay" fees in certain industries that may impact us and our billers. In January 2024, the CFPB issued a proposed rule that would prohibit non-sufficient funds fees on transactions declined in real time, with a swipe, tap or click. The laws and regulations relating to financial services, privacy, data protection and information security are evolving, can be subject to significant change and may result in ever-increasing regulatory and public scrutiny and escalating levels of enforcement and sanctions. In late 2023, the CFPB proposed new federal oversight of large technology firms and providers of digital wallets and payment applications that would require such firms to adhere to the same rules as large banks, credit unions and other financial institutions already supervised by the CFPB. The ultimate adoption, scope or impact of this rule is uncertain, but if it becomes applicable to us, it could materially increase regulatory risks and impact the way we conduct our business. As our business continues to develop and expand, including internationally, we continue to monitor the additional laws and regulations that may become relevant. Any actual or perceived failure to comply with legal and regulatory requirements may result in, among other things, revocation of required licenses or registrations, loss of approved status, private litigation, including class action litigation, consent decrees and injunctions, regulatory or governmental investigations, administrative enforcement actions, sanctions, civil and criminal liability, damages, fines, penalties, adverse publicity, reputational damage and constraints on our ability to continue to operate.</w:t>
      </w:r>
    </w:p>
    <w:p>
      <w:pPr>
        <w:spacing w:after="0" w:line="8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For additional discussion on governmental regulation and payment network operating rules affecting our business, please see the section titled "Risk Factors—Risks Related to Regulation."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of December 31, 2024, we employed 1,307 full-time employees and a small number of part-time employees. Our employees are located across the United States, in Canada as well as in India. None of our employees are represented by a labor union or are party to a collective bargaining agreement. We believe that we have good relationships with our employees.</w:t>
      </w:r>
    </w:p>
    <w:p>
      <w:pPr>
        <w:spacing w:after="0" w:line="6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employees are our most critical assets. The success and growth of our business depends on our ability to attract, reward, retain, and develop diverse, talented, and high-performing employees at all levels of our organization, while sustaining an environment of anti-discrimination that ensures equal access to opportunities. To succeed in an ever-changing and competitive labor market, we have developed human capital management strategies, objectives and measures that drive recruitment and retention, support business performance, advance innovation and foster employee development. Our human capital strategies and objectives include, as applicable, identifying, recruiting, retaining, incentivizing and integrating our existing and new employees and consultants. We believe we provide our employees significant ongoing career growth opportunities, with career paths, in an exciting growth company and industry. The principal purpose of our incentive programs is to attract, retain and reward personnel in an equitable way, in order to increase stockholder value and the success of our company by motivating such individuals to perform to the best of their abilities and achieve our objectives. We are also focused on supporting our employees’ health and safety and social well-being.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 xml:space="preserve">We file or furnish periodic reports and amendments thereto, including Annual Reports on Form 10-K, Quarterly Reports on Form 10-Q and Current Reports on Form 8-K, proxy statements and other information with the Securities and Exchange Commission, or SEC. In addition, the SEC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Our website is located at </w:t>
      </w:r>
      <w:r>
        <w:rPr>
          <w:rFonts w:ascii="Arial" w:cs="Arial" w:eastAsia="Arial" w:hAnsi="Arial"/>
          <w:sz w:val="18"/>
          <w:szCs w:val="18"/>
          <w:i w:val="1"/>
          <w:iCs w:val="1"/>
          <w:color w:val="auto"/>
        </w:rPr>
        <w:t>www.paymentus.com</w:t>
      </w:r>
      <w:r>
        <w:rPr>
          <w:rFonts w:ascii="Arial" w:cs="Arial" w:eastAsia="Arial" w:hAnsi="Arial"/>
          <w:sz w:val="18"/>
          <w:szCs w:val="18"/>
          <w:color w:val="auto"/>
        </w:rPr>
        <w:t xml:space="preserve">, and our reports, amendments thereto, proxy statements and other information are also made available, free of charge, on our investor relations website at </w:t>
      </w:r>
      <w:r>
        <w:rPr>
          <w:rFonts w:ascii="Arial" w:cs="Arial" w:eastAsia="Arial" w:hAnsi="Arial"/>
          <w:sz w:val="18"/>
          <w:szCs w:val="18"/>
          <w:i w:val="1"/>
          <w:iCs w:val="1"/>
          <w:color w:val="auto"/>
        </w:rPr>
        <w:t xml:space="preserve">https://ir.paymentus.com/home/default.aspx </w:t>
      </w:r>
      <w:r>
        <w:rPr>
          <w:rFonts w:ascii="Arial" w:cs="Arial" w:eastAsia="Arial" w:hAnsi="Arial"/>
          <w:sz w:val="18"/>
          <w:szCs w:val="18"/>
          <w:color w:val="auto"/>
        </w:rPr>
        <w:t>as soon as reasonably practicable after we electronically file or furnish such information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Information contained in, or that can be accessed through, our or the SEC's website is not a part of, and is not incorporated into, this report.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62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62050" cy="8255"/>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the section titled "Management’s Discussion and Analysis of Financial Condition and Results of Operations," and our consolidated financial statements and the accompanying notes included elsewhere in this report before making an investment decision. The risks and uncertainties described below are not the only ones we face. Additional risks and uncertainties not presently known to us 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See the section titled "Special Note Regarding Forward-Looking Statements" for a discussion of such statements and their limitations. Our risk factors are not guarantees that no such conditions exist as of the date of this report and should not be interpreted as an affirmative statement that such risks or conditions have not materialized, in whole or in part.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historical growth rate may not be sustainable or indicative of our future growth.</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historical growth rate, including in payment volumes, may not be sustainable or indicative of our future growth. Even though the number of billers, financial institutions and consumers who use our platform has experienced solid growth in recent years, there can be no assurance that we will be able to attract new billers and financial institutions or retain existing billers and financial institutions or maintain similar growth. Our costs associated with retaining revenue from existing billers and financial institutions are substantially lower than costs associated with attracting and generating revenue from new billers and financial institutions or costs associated with generating increased adoption of our platform by existing billers and financial institutions. Therefore, if we are unable to retain revenue from existing billers and financial institutions, even if related losses are offset by an increase in new billers and financial institutions or increased adoption of our platform by existing billers, our operating results could be adversely impacted. In addition, a failure to maintain our historical, or meet our expected, growth rates in our key performance metrics will likely have an adverse impact on the market price of our Class A common stock.</w:t>
      </w:r>
    </w:p>
    <w:p>
      <w:pPr>
        <w:spacing w:after="0" w:line="75"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Our ability to attract new billers and financial institutions, retain revenue from existing billers and financial institutions or increase adoption of our platform by both new and existing billers is impacted by a number of factors, including:</w:t>
      </w:r>
    </w:p>
    <w:p>
      <w:pPr>
        <w:spacing w:after="0" w:line="4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transaction fees and certain of our billers’ ability to pass them on to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timely expand the functionality and scope of our platform;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timely implementations of new billers and financial institutions to meet their expectations;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rates at which our billers and financial institutions pay us and continue to use our platform;</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factors, including the introduction of competing solutions, discount pricing and other strategies that may be implemented by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high-quality customer support for billers, financial institutions and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strategic partners, software partners, resellers, referral partners and IPN partners;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into new industries and market segments;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perceived privacy or security breaches or incidents;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frequency and severity of any system outages, technological changes or similar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identify and acquire or invest in businesses, products or technologies that we believe could complement or expand our platform;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increase awareness of our brand and successfully compete with other companies;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internationally;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both"/>
        <w:ind w:left="1020" w:right="2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focus on long-term value over short-term results, meaning that we may make strategic decisions that may not maximize our short-term revenue or profitability if we believe that the decisions are consistent with our mission and will improve our financial performance over the long-term.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infrastructure to support future growth.</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The historical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financial institutions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financial institution, partner and consumer satisfaction and retention. If sustained or repeated, these performance issues could reduce the attractiveness of our platform to billers, financial institutions and partners and could result in lost biller, financial institution and partner opportunities, higher attrition rates and service level penalties, any of which could hurt our revenue growth, biller, financial institution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80"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Moreover, our historical growth has placed, and will likely continue to place, a significant strain on our managerial, administrative, operational, financial and other resources. We have grown substantially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have limited experience managing a large public company, so our management may not be able to effectively manage such growth in a public company environment. In managing our growing operations, we are also subject to the risks of over-hiring and over-compensating our employees and over-expanding our operating infrastructure, particularly during periods of higher than normal inflation. As a result, we may be unable to manage our expenses effectively in the future, which may negatively impact our gross profit or operating expenses.</w:t>
      </w:r>
    </w:p>
    <w:p>
      <w:pPr>
        <w:spacing w:after="0" w:line="75"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In addition, we believe that an important contributor to our success has been our corporate culture, which we believe fosters innovation, and is rooted in a philosophy of aligning our success with that of billers, financial institutions, partners and consumers. As a result of our growth, a significant portion of our employees have not been with us for a significant period of time. As we continue to grow and develop the infrastructure of a public company, we must effectively integrate, develop and motivate a growing number of new employees, who will be dispersed geographically, with our headquarters in Charlotte, North Carolina and a large employee presence across the United States, Canada and India. Our geographically dispersed and often remote workforce may make it more difficult for our management to manage our growth effectively, preserve our corporate culture and preserve our ability to execute quickly in further developing our platform and implementing new features and tools. Any failure to preserve our culture could also limit our ability to innovate, operate effectively, recruit and retain personnel, perform at current levels or execute on our business strategy effectively and efficiently.</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unsuccessful in establishing, growing or maintaining partnerships, our ability to compete could be impaired, and our operating results may suffer.</w:t>
      </w:r>
    </w:p>
    <w:p>
      <w:pPr>
        <w:spacing w:after="0" w:line="3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Green Dot,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p>
    <w:p>
      <w:pPr>
        <w:spacing w:after="0" w:line="7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To grow our business, we will seek to expand our existing partnerships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38" w:lineRule="auto"/>
        <w:rPr>
          <w:sz w:val="20"/>
          <w:szCs w:val="20"/>
          <w:color w:val="auto"/>
        </w:rPr>
      </w:pPr>
      <w:r>
        <w:rPr>
          <w:rFonts w:ascii="Arial" w:cs="Arial" w:eastAsia="Arial" w:hAnsi="Arial"/>
          <w:sz w:val="18"/>
          <w:szCs w:val="18"/>
          <w:color w:val="auto"/>
        </w:rPr>
        <w:t>smaller organizations. We must invest significant time educating and selling to multiple management and technical decision-makers to obtain their support. In addition, we may be required to meet wide-ranging and detailed ancillary requirements. For example, financial institutions and many larger clients generally require us to submit to an exhaustive security audit, given the sensitivity and importance of storing consumer billing and payment data on our platform. Adoption is also frequently 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lose one or more of our largest partnerships, we could also lose associated biller relationships or payment channels and our business, operating results and financial condition could be harmed.</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we scale our business, we expect to continue to expend substantial financial and other resources on:</w:t>
      </w:r>
    </w:p>
    <w:p>
      <w:pPr>
        <w:spacing w:after="0" w:line="104" w:lineRule="exact"/>
        <w:rPr>
          <w:sz w:val="20"/>
          <w:szCs w:val="20"/>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sales and marketing, including an expansion of our sales organization and new initiatives in order to drive further expansion of our IPN and partner ecosystem;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into new channels, verticals and international markets;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1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be adversely impacted as we continue to make investments in our platform and our IPN, incur increased operating costs associated with being a public company, integrate our recent acquisitions and amortize the identifiable intangible assets that we recorded in conjunction with our recent acquisitions.</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Additionally, we anticipate that our growth rate will decline over time to the extent that the number of billers and financial institutions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financial institutions and increase adoption of our platform by existing billers.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involve considerable time and expense with long and unpredictable sales cycles.</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One of the factors affecting our growth and financial performance is the adoption of our platform by large enterprise billers and large financial institutions over legacy solutions and in-house proprietary technologies or our competitor’s products. As part of our sales efforts, we invest considerable time and expense evaluating the specific organizational needs of potential billers and financial institutions and educating these potential billers and financial institutions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jc w:val="both"/>
        <w:ind w:firstLine="494"/>
        <w:spacing w:after="0" w:line="238" w:lineRule="auto"/>
        <w:rPr>
          <w:sz w:val="20"/>
          <w:szCs w:val="20"/>
          <w:color w:val="auto"/>
        </w:rPr>
      </w:pPr>
      <w:r>
        <w:rPr>
          <w:rFonts w:ascii="Arial" w:cs="Arial" w:eastAsia="Arial" w:hAnsi="Arial"/>
          <w:sz w:val="18"/>
          <w:szCs w:val="18"/>
          <w:color w:val="auto"/>
        </w:rPr>
        <w:t>Large enterprise billers and large financial institutions also make product purchasing and adoption decisions based in part or entirely on factors, or perceived factors, not directly related to the features of platforms, including, among others, a biller’s projections of business growth, uncertainty about economic conditions, capital budgets, anticipated cost savings from the implementation of our platform, potential preference for such biller’s or financial institutions’ internally-developed software and billing solutions, perceptions about our business and platform, more favorable terms offered by potential competitors and previous technology investments. In addition, certain decision-makers and other stakeholders within potential billers and financial institutions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or financial institution do not result in sufficient revenue to justify our investments, our business, operating results and financial condition could be adversely affected.</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economic risk and inflationary pressures, the business cycles and credit risk of our billers, financial institutions and partners and their consumers, and the overall level of consumer, business and government spending, which could negatively affect our business, operating results and financial condition.</w:t>
      </w:r>
    </w:p>
    <w:p>
      <w:pPr>
        <w:spacing w:after="0" w:line="5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spacing w:after="0" w:line="75"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United States economy experienced a period of prolonged economic uncertainty and inflationary conditions in 2022 and into 2023, with some moderation in 2024. These effects were particularly acute in the utility sector and negatively impacted our financial performance during this period. Although inflationary pressures eased to some extent in 2023 and remained relatively stable in 2024, economic uncertainty regarding inflationary conditions remains high and could adversely affect our 2025 performance. The introduction of new tariffs or trade disputes with other countries may exacerbate this risk. As a result of these conditions or in the event that worsen, some of our clients may defer anticipated implementations or reevaluate the development of technology resources, which could delay expected revenue recognition. Furthermore, inflationary pressures led to higher average bills, particularly in the utility sector, and increased interchange fees. We may not be able to adjust our pricing to fully address these pressures, and our ability to do so typically lags behind the impact of inflation on our clients, the rise in average bill amounts, and the increased interchange fees. Additionally, we may face challenges in prudently managing our expenses, as ongoing wage pressures due to inflation are placing short-term pressure on our EBITDA margins. Continued economic uncertainty and inflationary conditions could have a material adverse impact on our business, operating results, and financial condition.</w:t>
      </w:r>
    </w:p>
    <w:p>
      <w:pPr>
        <w:spacing w:after="0" w:line="7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Further, a downturn in the economy could force our billers, financial institutions or partners or their consumers to close or declare bankruptcy, resulting in lower revenue and earnings for us and greater exposure to potential credit losses and future transaction declines. For more information, please see the risks under “—Adverse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 below.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operating results and financial condition could be harmed.</w:t>
      </w:r>
    </w:p>
    <w:p>
      <w:pPr>
        <w:spacing w:after="0" w:line="3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market for electronic bill presentment and payment services is fragmented, competitive and constantly evolving. Our primary competitors are legacy solution providers and financial institutions with internally developed solutions for bill 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right="20"/>
        <w:spacing w:after="0" w:line="271" w:lineRule="auto"/>
        <w:rPr>
          <w:sz w:val="20"/>
          <w:szCs w:val="20"/>
          <w:color w:val="auto"/>
        </w:rPr>
      </w:pPr>
      <w:r>
        <w:rPr>
          <w:rFonts w:ascii="Arial" w:cs="Arial" w:eastAsia="Arial" w:hAnsi="Arial"/>
          <w:sz w:val="18"/>
          <w:szCs w:val="18"/>
          <w:color w:val="auto"/>
        </w:rPr>
        <w:t>relationships that would enable them to expand their product offerings to compete with our platform, provide more comprehensive offerings than they individually had offered or achieve greater economies of scale than us.</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These legacy solution providers and financial institutions may have the operating flexibility to bundle competing solutions with other offerings, and may offer them at a lower price or for no additional cost to billers and financial institutions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spacing w:after="0" w:line="6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financial institutions or strategic partners with existing solutions, we must demonstrate to their internal stakeholders that our platform is superior to their current solutions. Furthermore, some lower margin industries are more sensitive to pricing and may select a lower cost provider over our more advanced solutions.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several factors, including:</w:t>
      </w:r>
    </w:p>
    <w:p>
      <w:pPr>
        <w:spacing w:after="0" w:line="10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product features, quality and breadth and depth of functionality;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ease of deployment and implementation speed;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ability to automate processes;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cloud-based delivery architecture;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advanced security, reliability, customer service and control features;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data asset size and ability to leverage artificial intelligence, or AI, to grow faster and smarter;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leadership;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brand awareness and reputation;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pricing, total cost of ownership and return on investment;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consumer satisfaction.</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p>
    <w:p>
      <w:pPr>
        <w:spacing w:after="0" w:line="6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For these reasons, we may not be able to compete successfully or continue to achieve or maintain market acceptance for our platform, any of which would harm our business, operating results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sensitive to shifts in payment mix.</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 substantial majority of our revenue is derived from transaction fees, either absorbed by billers and financial institutions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expect fluctuations in our operating results, which will make it difficult to project future results and may cause the market price of our Class A common stock to decline.</w:t>
      </w:r>
    </w:p>
    <w:p>
      <w:pPr>
        <w:spacing w:after="0" w:line="3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Our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0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demand for our platform;</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new billers and financial institutions and retain and increase adoption by our existing billers;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relationships with our partners and identify and attract new partners;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payment method preferences and channels by consumers, which may affect our revenue and gross margin, particularly as a result of interchange fees;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across the industries of our billers, which may affect payment methods used by consumers and average payment amounts and, in turn, our revenue and gross margin, particularly as a result of interchange fees;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widespread health issues on our operating results, liquidity and financial condition and on our employees, billers, financial institutions, partners, consumers and other key stakeholders;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biller and financial institution preference for cloud-based services as a result of security breaches and incidents in the industry or privacy concerns, or other security or reliability concerns regarding our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or delays in purchasing decisions in anticipation of new products or product enhancements by us or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biller, financial institution and consumer budgets and in the timing of their budget cycles and purchasing decisions;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and existing billers and financial institutions choosing our competitors’ products or developing their own solutions in-house;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development or introduction of new platforms or services that are easier to use or more advanced than our current platform and suite of services;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new forms or methods of payment that become widely accepted, including cryptocurrencies and blockchain-based transactions;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or retention of more entrenched or rival services in the international markets where we compete or plan to compete;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costs, including our operating expenses;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rising inflation and our ability to adjust pricing and control our costs, including employee wages and benefits and other operating expenses;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acquisitions and their integration;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billers operate;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new accounting pronouncements;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security breaches of and incidents impacting, technical difficulties with, or interruptions to, the delivery and use of our platform;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awareness of our brand and our reputation in our target markets.</w:t>
      </w:r>
    </w:p>
    <w:p>
      <w:pPr>
        <w:spacing w:after="0" w:line="11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have incurred and expect to continue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or result in a lowering of our financial guidance, the price of our Class A common stock could decline substantially, and we could face costly lawsuits, including securities class action lawsuits.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b w:val="1"/>
          <w:bCs w:val="1"/>
          <w:i w:val="1"/>
          <w:iCs w:val="1"/>
          <w:color w:val="auto"/>
        </w:rPr>
        <w:t>We depend on third-party payment processors, sponsor banks and third-party printers to process bill payments made on our platform, and our business, operating results and reputation could be harmed if we experience service interruptions related to these processors.</w:t>
      </w:r>
    </w:p>
    <w:p>
      <w:pPr>
        <w:spacing w:after="0" w:line="5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depend on third-party payment processors, including PayPal’s Braintree service, sponsor banks and third-party printers to process bill payments made through various channels on our platform, including credit and debit cards, ACH transfers, eChecks and PayPal. The per-transaction settlement fees we pay under our agreements with these processors collectively comprise a significant portion of our cost of revenue. We also rely on payment processors to collect and store payment card information and provide certain fraud detection services. Our multiyear agreements with these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spacing w:after="0" w:line="75"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If any of our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processors. In that case, we could experience service interruptions and incur significant expenses in arranging for replacement payment processing services. Such interruptions could also negatively impact our reputation and our relationships with existing or potential billers, financial institutions and partners, as well as cause us to become obligated to provide service credits or refunds under our service level commitments. Likewise, our processors have in the past and may in the future experience outages that have and may cause us to temporarily lose our ability to process transactions on our platform. If any of our processors fails to meet our standards and expectations, becomes compromised or suffers errors, outages or vulnerabilities, we could temporarily lose our ability to process transactions on our platform until such issues have been remedied or we have engaged one or more alternate processors.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5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Our primary competition remains the legacy processes that billers and financial institutions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 including concerns about additional implementation and other costs or delays, uncertainty regarding the reliability and security of cloud-based offerings or lack of awareness of the benefits of our platform. Our ability to expand sales of our platform depends on several factors, including prospective billers’ and financial institutions’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which could expose us to material financial losses and liability and otherwise harm our business.</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offer a software platform that automates the entire bill payment lifecycle, providing electronic bill presentment, consumer engagement and payment processing for a large number of billers, financial institutions and consumers. We are responsible for verifying the identity of our billers, and monitoring transactions for fraud. We and our billers, financial institutions and partners have been in the past and will continue to be targeted by parties who seek to commit acts of financial fraud using techniques such as stolen identities and bank accounts, compromised business email accounts, employee or insider fraud, fake businesses and customers, account takeover, false applications and check fraud. We may suffer losses from acts of financial fraud committed by or against our billers, financial institutions or partners or their consumers, our employees or other third-parties.</w:t>
      </w:r>
    </w:p>
    <w:p>
      <w:pPr>
        <w:spacing w:after="0" w:line="77"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18"/>
          <w:szCs w:val="18"/>
          <w:color w:val="auto"/>
        </w:rPr>
        <w:t>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financial institutions, partners and consumers use our platform, our exposure to material risk of losses from a single user, or from a small number of users, will increase.</w:t>
      </w:r>
    </w:p>
    <w:p>
      <w:pPr>
        <w:spacing w:after="0" w:line="6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The loss of our founder and chief executive officer, or one or more of our other senior management members, or other key employees,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to attract and retain additional qualified personnel and any restrictions on the movement of personnel could prevent us from executing our business strategy and growth plans</w:t>
      </w:r>
      <w:r>
        <w:rPr>
          <w:rFonts w:ascii="Arial" w:cs="Arial" w:eastAsia="Arial" w:hAnsi="Arial"/>
          <w:sz w:val="18"/>
          <w:szCs w:val="18"/>
          <w:color w:val="auto"/>
        </w:rPr>
        <w:t>.</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customer support, if we experience complaints regarding our customer support or if our support is more expensive than anticipated, our business and reputation could suffer.</w:t>
      </w:r>
    </w:p>
    <w:p>
      <w:pPr>
        <w:spacing w:after="0" w:line="31"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Billers and financial institutions and their consumers rely on our customer support services to resolve issues and realize the full benefits provided by our platform. High-quality support is also important to maintain and drive further adoption by our existing billers and their consumers. We primarily provide customer support to our clients over email, with some additional support provided over chat and through our platform, and to consumers over the phone. If we do not help our billers and financial institutions and their consumers quickly resolve issues and provide effective ongoing support, or if our support personnel or methods of providing support are insufficient to meet the needs of our billers and financial institutions and their consumers, our ability to retain billers and financial institutions, increase adoption by our existing billers and financial institutions and acquire new billers could suffer, and our reputation with existing or potential billers and financial institutions could be harmed. In addition, biller, financial institution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78" w:lineRule="auto"/>
        <w:rPr>
          <w:sz w:val="20"/>
          <w:szCs w:val="20"/>
          <w:color w:val="auto"/>
        </w:rPr>
      </w:pPr>
      <w:r>
        <w:rPr>
          <w:rFonts w:ascii="Arial" w:cs="Arial" w:eastAsia="Arial" w:hAnsi="Arial"/>
          <w:sz w:val="18"/>
          <w:szCs w:val="18"/>
          <w:b w:val="1"/>
          <w:bCs w:val="1"/>
          <w:i w:val="1"/>
          <w:iCs w:val="1"/>
          <w:color w:val="auto"/>
        </w:rPr>
        <w:t>If the fees we charge are unacceptable to our billers, financial institutions or their consumers, our business, operating results and financial condition could be harmed.</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generate substantially all of our revenue by charging billers and financial institutions fees on a per-transaction basis. As the market for our platform matures, or as new or existing competitors introduce new products or services that compete with ours, we may experience pricing pressure and be unable to renew our agreements with existing billers and financial institutions or attract new billers and financial institutions at fee levels that are consistent with our pricing model and operating budget. In addition, we may not be able to fully adjust our pricing with all of our customers to address inflationary pressures, and our ability to do so typically lags behind the impact of inflation on our clients, the increase in average bill amounts and increased interchange fees. Our pricing strategy for new products we introduce may prove to be unappealing to our billers, financial institutions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spacing w:after="0" w:line="75"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Further, a significant portion of our revenue is generated from billers that elect to pass on transaction fees to consumers. In certain markets, such as utilities and municipalities, such fees are commonplace. Despite the fact that such fees are relatively standard, they are often met with negative consumer perception and regulatory limitations, which could lead to heightened regulatory scrutiny and further pricing pressure.</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fail to meet our service level commitments, we could be obligated to provide credits or refunds or face contract terminations, which could adversely affect our business, operating results and financial condition.</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Many of our agreements with our billers, financial institutions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 of unavailability or downtime, we may be contractually obligated to provide these parties with service credits or refunds. In addition, certain billers and financial institutions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spacing w:after="0" w:line="5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market for electronic bill presentment and payment services is relatively new and subject to ongoing technological change, evolving industry standards, payment methods and changing regulations, and changing biller, financial institution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or integrate new 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could be adversely affected. Furthermore, modifications to our existing platform or technology will increase our research and development expenses. Any of the foregoing could reduce the demand for our services, result in biller, financial institution, partner and consumer dissatisfaction and adversely affect our business.</w:t>
      </w:r>
    </w:p>
    <w:p>
      <w:pPr>
        <w:spacing w:after="0" w:line="18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Growing use of artificial intelligence in our business has challenges that, if not properly managed could result in harm to our brand, reputation, business or customers, and adversely affect our results of operations.</w:t>
      </w:r>
    </w:p>
    <w:p>
      <w:pPr>
        <w:spacing w:after="0" w:line="3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While our use of AI and ML is not material at this time, in our biller platform, their use can present risks. AI algorithms may be flawed, and datasets may be insufficient. Inappropriate or controversial data practices by us or others could impair the acceptance of AI or ML solutions or subject us to lawsuits and regulatory investigations. These deficiencies could undermine the decisions, predictions or analysis AI applications produce, subjecting us to competitive harm, legal liability and brand or reputational harm.</w:t>
      </w:r>
    </w:p>
    <w:p>
      <w:pPr>
        <w:spacing w:after="0" w:line="6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addition, the use of AI may increase cybersecurity risks, privacy risks, and operational and technological risks. The technologies underlying AI and their use cases are rapidly developing, and it is not possible to predict all of the legal, operational or technological risks related to the use of AI. Moreover, how AI is used is the subject of evolving review by various U.S. regulatory agencies, including the SEC and the FTC. It is possible that governments may also seek to regulate, limit, or block the use of AI or otherwise impose other restrictions that may hinder the usability or effectiveness of our products and services.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8" w:name="page29"/>
    <w:bookmarkEnd w:id="28"/>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biller and financial institution base and achieve broader market acceptance of our products.</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ability to increase our biller and financial institution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As part of our long-term strategy, we anticipate expanding our operations internationally by targeting international billers, financial institutions and partners, and further expanding use of our platform internationally among our existing international billers, financial institutions and partners, which will create a variety of operational challenges.</w:t>
      </w:r>
    </w:p>
    <w:p>
      <w:pPr>
        <w:spacing w:after="0" w:line="5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 component of our long-term growth strategy involves expanding our operations internationally. Although we currently generate substantially all of our revenue in the United States, many of our largest billers have billable consumers in international geographies and some of our financial institutions have customers that send money to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 resources to further expand our operations internationally and are unable to do so successfully, cost-effectively and in a timely manner, our business and operating results may suffer.</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international operations strategy involves a variety of risks, including:</w:t>
      </w:r>
    </w:p>
    <w:p>
      <w:pPr>
        <w:spacing w:after="0" w:line="10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regulations and our ability to comply with and obtain any relevant licenses;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reduction in cross-border trade and other adverse impacts resulting from trade sanctions or changes in trade relations, laws or regulations;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application of more stringent regulations relating to payments, privacy, data protection and information security, and the authorized use of, or access to, sensitive and personal data;</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or FCPA, U.S. domestic bribery laws and similar laws and regulations in other jurisdictions;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tax laws.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the attention of management, disrupt our business, dilute stockholder value and adversely affect our business, operating results and financial condition.</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As part of our long-term growth plans, we expect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and require unexpected investment. Completed and future acquisitions may result in unforeseen operational difficulties and expenditures associated with:</w:t>
      </w:r>
    </w:p>
    <w:p>
      <w:pPr>
        <w:spacing w:after="0" w:line="7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incorporating new businesses and technologies into our infrastructure;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consolidating operational and administrative functions;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coordinating outreach to our community;</w:t>
      </w:r>
    </w:p>
    <w:p>
      <w:pPr>
        <w:spacing w:after="0" w:line="116" w:lineRule="exact"/>
        <w:rPr>
          <w:rFonts w:ascii="Times New Roman" w:cs="Times New Roman" w:eastAsia="Times New Roman" w:hAnsi="Times New Roman"/>
          <w:sz w:val="18"/>
          <w:szCs w:val="18"/>
          <w:color w:val="auto"/>
        </w:rPr>
      </w:pPr>
    </w:p>
    <w:p>
      <w:pPr>
        <w:ind w:left="5520" w:right="4120" w:hanging="5003"/>
        <w:spacing w:after="0" w:line="286" w:lineRule="auto"/>
        <w:tabs>
          <w:tab w:leader="none" w:pos="1022"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morale and culture and retaining and integrating key employees;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and assuming liabilities related to the activities of the acquired business before the acquisition, including liabilities for violations of laws and regulations, intellectual property issues, commercial disputes, taxes and other matters.</w:t>
      </w:r>
    </w:p>
    <w:p>
      <w:pPr>
        <w:spacing w:after="0" w:line="4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business, operating results and financial condition could be adversely affected.</w:t>
      </w:r>
    </w:p>
    <w:p>
      <w:pPr>
        <w:spacing w:after="0" w:line="3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believe that maintaining and enhancing the Paymentus brand is important to support the marketing and sale of our existing and future products to new billers, financial institutions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financial institutions and consumers at competitive prices, our ability to maintain our billers’, financial institutions’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 privacy, data protection or information security practices, litigation, regulatory activity or the experience of billers, financial institutions and partners with our products or services could harm our reputation. If we fail to successfully promote and maintain our brand, our business, operating results and financial condition could be adversely affected.</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which may also reduce our ability to access capital on favorable terms or at all and 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in the future. Furthermore, if we issue additional equity securities, stockholders will experience dilution, and the new equity securities could have rights senior to those of our Class A common stock.</w:t>
      </w:r>
    </w:p>
    <w:p>
      <w:pPr>
        <w:spacing w:after="0" w:line="75"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1D1C1D"/>
        </w:rPr>
        <w:t>Adverse developments affecting the financial services industry, including events or concerns involving liquidity, defaults or non-performance by customers, financial institutions or transactional counterparties, could adversely affect our business, financial condition or results of operations.</w:t>
      </w:r>
    </w:p>
    <w:p>
      <w:pPr>
        <w:spacing w:after="0" w:line="5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Events involving limited liquidity, defaults, non-performance or other adverse developments that affect our customers, financial institutions, transactional counterparties or other companies in the financial services industry or the financial services industry generally, or concerns or rumors about any events of these kinds or other similar risks, may lead to market-wide liquidity problems, disruptions in access to our cash balances, increased contractual risk and increased settlement risk. Although we assess our banking and customer relationships as we believe necessary or appropriate, we could experience losses, and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actual or perceived events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44" w:lineRule="auto"/>
        <w:rPr>
          <w:sz w:val="20"/>
          <w:szCs w:val="20"/>
          <w:color w:val="auto"/>
        </w:rPr>
      </w:pPr>
      <w:r>
        <w:rPr>
          <w:rFonts w:ascii="Arial" w:cs="Arial" w:eastAsia="Arial" w:hAnsi="Arial"/>
          <w:sz w:val="18"/>
          <w:szCs w:val="18"/>
          <w:color w:val="auto"/>
        </w:rPr>
        <w:t>such as liquidity constraints or failures such as the market-wide liquidity problems that were experienced after Silicon Valley Bank, Signature Bank and Silvergate Capital Corp. were each placed into receivership in 2023 (“Bank Events of 2023”), the ability to perform obligations under various types of settlement, financial, credit or liquidity agreements or arrangements, disruptions or instability in the financial services industry or financial markets, or concerns or negative expectations about the prospects for companies in the financial services industry, companies that do business with such companies or companies that have customers or partners that do business with such companies.</w:t>
      </w:r>
    </w:p>
    <w:p>
      <w:pPr>
        <w:spacing w:after="0" w:line="6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w:t>
      </w:r>
    </w:p>
    <w:p>
      <w:pPr>
        <w:spacing w:after="0" w:line="7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In addition, if our regulated customers in the financial services industry directly experience events similar to the Bank Events of 2023, this could result in settlement risk, breach of certain contractual obligations, and result in losses, which may or may not be recoverable.</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Any of these impacts, or any other impacts resulting from the factors described above or other related or similar factors not described above, could have material adverse impacts on our liquidity and our business, financial condition or results of operations.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Widespread health issues or pandemics could have a material adverse impact on our employees, billers, financial institutions, partners, consumers and other key stakeholders, which could materially and adversely impact our business, operating results and financial condition.</w:t>
      </w:r>
    </w:p>
    <w:p>
      <w:pPr>
        <w:spacing w:after="0" w:line="5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subject to many risks associated with widespread health issues, such as the COVID-19 pandemic, which can result in significantly curtailed movement of people (both government-mandated and voluntary), goods and services. Such risks include, but are not limited to (1) extreme societal, economic and financial market volatility, resulting in business shutdowns and a global economic downturn, (2) uncertainty regarding the duration, timing and severity of the impact of such health issues on consumer behavior, (3) operating our business with a remote workforce, which can negatively impact employee productivity, training and collaboration as well as our sales and marketing efforts and our implementation cycles, (4) increased risks of security breaches or incidents due to remote operations and the costs associated with enhancing the security of our platform, data and internal information technology, or IT, infrastructure, and (5) the disruption of the operations of our billers, financial institutions and partners that may impact our operations. Any or all of these and other risks related to widespread health issues could materially and adversely impact our business, operating results and financial condition.</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Natural catastrophic events and man-made problems such as power disruptions, computer viruses, security breaches and incidents and terrorism may disrupt our business.</w:t>
      </w:r>
    </w:p>
    <w:p>
      <w:pPr>
        <w:spacing w:after="0" w:line="3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Natural disasters or other catastrophic events may cause damage or disruption to our operations, commerce in general and the global economy, and thus could harm our business. Our headquarters are located in Charlotte, North Carolina, and we have a large employee presence in the United States, Canada and India. In the event of a major earthquake, hurricane, flood or catastrophic event such as fire, power loss, telecommunications failure, vandalism, cyber-attack, war or terrorist attack affecting regions where we maintain operations, have a significant customer presence, or where our data centers are located, we may be unable to continue our operations, experience reduced transaction volumes, and may endure system interruptions, reputational harm, delays in our application development, lengthy interruptions in our services, breaches of data security, security incidents, and unauthorized access to or loss, disclosure, modification, misuse, corruption, unavailability, or destruction of critical data, any of which could harm our business, operating results and financial condition. In addition, most of our employees currently work remotely. Given these widespread remote work arrangements, if a natural disaster, power outage, connectivity issue or other event occurs that impacts our employees’ ability to work remotely, it may be difficult or, in certain cases, impossible, for us to continue our business for a substantial period of time.</w:t>
      </w:r>
    </w:p>
    <w:p>
      <w:pPr>
        <w:spacing w:after="0" w:line="7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financial institutions,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financial institutions and partners and attract new billers, financial institutions and partners.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ind w:firstLine="494"/>
        <w:spacing w:after="0" w:line="244"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future litigation, investigations or similar matters, or adverse facts and developments related thereto, could adversely affect our business, operating results and financial condition.</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 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and any failure by us to comply could materially harm our business.</w:t>
      </w:r>
    </w:p>
    <w:p>
      <w:pPr>
        <w:spacing w:after="0" w:line="31" w:lineRule="exact"/>
        <w:rPr>
          <w:sz w:val="20"/>
          <w:szCs w:val="20"/>
          <w:color w:val="auto"/>
        </w:rPr>
      </w:pPr>
    </w:p>
    <w:p>
      <w:pPr>
        <w:jc w:val="both"/>
        <w:ind w:firstLine="494"/>
        <w:spacing w:after="0" w:line="235" w:lineRule="auto"/>
        <w:rPr>
          <w:sz w:val="20"/>
          <w:szCs w:val="20"/>
          <w:color w:val="auto"/>
        </w:rPr>
      </w:pPr>
      <w:r>
        <w:rPr>
          <w:rFonts w:ascii="Arial" w:cs="Arial" w:eastAsia="Arial" w:hAnsi="Arial"/>
          <w:sz w:val="18"/>
          <w:szCs w:val="18"/>
          <w:color w:val="auto"/>
        </w:rPr>
        <w:t xml:space="preserve">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such as the Electronic Fund Transfer Act and the Bank Secrecy Act. Nevertheless, there is a risk that a state regulator may misinterpret our services and find we are offering unlicensed money transmission. In Canada, we have determined we are subject to the Retail Payments Activity Act as a Payment Service Provider and have registered as such with the Bank of Canada, and as a Money Service Business with FINTRAC. Accordingly, we are now subject to increased scrutiny of compliance with Canadian payments regulations.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For example, the Consumer Financial Protection Bureau, or CFPB, and several states have recently provided guidance or prohibitions against the use of convenience or similar "pay-to-pay" fees in certain industries that may impact us and our billers. In January 2024, the CFPB issued a proposed rule that would prohibit non-sufficient funds fees on transactions declined in real time, with a swipe, tap or click. Also, in late 2023, the CFPB proposed new federal oversight of large technology firms and providers of digital wallets and payment applications that </w:t>
      </w:r>
      <w:r>
        <w:rPr>
          <w:rFonts w:ascii="Arial" w:cs="Arial" w:eastAsia="Arial" w:hAnsi="Arial"/>
          <w:sz w:val="18"/>
          <w:szCs w:val="18"/>
          <w:color w:val="101820"/>
        </w:rPr>
        <w:t>would require large nonbank financial companies handling more than 5 million transactions per year to adhere to the same</w:t>
      </w:r>
      <w:r>
        <w:rPr>
          <w:rFonts w:ascii="Arial" w:cs="Arial" w:eastAsia="Arial" w:hAnsi="Arial"/>
          <w:sz w:val="18"/>
          <w:szCs w:val="18"/>
          <w:color w:val="auto"/>
        </w:rPr>
        <w:t xml:space="preserve"> </w:t>
      </w:r>
      <w:r>
        <w:rPr>
          <w:rFonts w:ascii="Arial" w:cs="Arial" w:eastAsia="Arial" w:hAnsi="Arial"/>
          <w:sz w:val="18"/>
          <w:szCs w:val="18"/>
          <w:color w:val="101820"/>
        </w:rPr>
        <w:t xml:space="preserve">rules as large banks, credit unions, and other financial institutions already supervised by the CFPB. The ultimate adoption or impact of this rule is uncertain, but it could materially increase regulatory risks and impact the way we conduct our business. </w:t>
      </w:r>
      <w:r>
        <w:rPr>
          <w:rFonts w:ascii="Arial" w:cs="Arial" w:eastAsia="Arial" w:hAnsi="Arial"/>
          <w:sz w:val="18"/>
          <w:szCs w:val="18"/>
          <w:color w:val="000000"/>
        </w:rPr>
        <w:t>We may not always be able to</w:t>
      </w:r>
      <w:r>
        <w:rPr>
          <w:rFonts w:ascii="Arial" w:cs="Arial" w:eastAsia="Arial" w:hAnsi="Arial"/>
          <w:sz w:val="18"/>
          <w:szCs w:val="18"/>
          <w:color w:val="101820"/>
        </w:rPr>
        <w:t xml:space="preserve"> </w:t>
      </w:r>
      <w:r>
        <w:rPr>
          <w:rFonts w:ascii="Arial" w:cs="Arial" w:eastAsia="Arial" w:hAnsi="Arial"/>
          <w:sz w:val="18"/>
          <w:szCs w:val="18"/>
          <w:color w:val="000000"/>
        </w:rPr>
        <w:t>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jc w:val="both"/>
        <w:ind w:firstLine="494"/>
        <w:spacing w:after="0" w:line="238" w:lineRule="auto"/>
        <w:rPr>
          <w:sz w:val="20"/>
          <w:szCs w:val="20"/>
          <w:color w:val="auto"/>
        </w:rPr>
      </w:pPr>
      <w:r>
        <w:rPr>
          <w:rFonts w:ascii="Arial" w:cs="Arial" w:eastAsia="Arial" w:hAnsi="Arial"/>
          <w:sz w:val="18"/>
          <w:szCs w:val="18"/>
          <w:color w:val="auto"/>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such rules or payment network fees could harm our business.</w:t>
      </w:r>
    </w:p>
    <w:p>
      <w:pPr>
        <w:spacing w:after="0" w:line="3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surcharging limitations,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p>
    <w:p>
      <w:pPr>
        <w:spacing w:after="0" w:line="7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NACHA recently announced several rule changes aimed at enhancing fraud detection, risk management, and the overall security of electronic payments. The rule changes include (but are not limited to): (1) effective March 20, 2026, Phase 1 of the risk-based processes to detect and prevent fraud are to be implemented by Non-consumer Originators, Third-Party Service Providers, and Third-Party Senders with annual ACH origination volumes of six million or more in 2023, and (2) effective June 19, 2026, Phase 2 will extend the fraud monitoring requirements introduced in Phase 1 to all remaining Non-consumer Originators, Third-Party Service Providers, and Third-Party Senders, ensuring comprehensive fraud detection and prevention across the ACH network.</w:t>
      </w:r>
    </w:p>
    <w:p>
      <w:pPr>
        <w:spacing w:after="0" w:line="7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As a 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spacing w:after="0" w:line="7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surcharging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spacing w:after="0" w:line="6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Our billers, financial institutions and consumers store personal and business information, financial information and other sensitive information on our platform. In addition, we receive, store, handle, transmit, use and otherwise process</w:t>
      </w: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rPr>
          <w:sz w:val="20"/>
          <w:szCs w:val="20"/>
          <w:color w:val="auto"/>
        </w:rPr>
      </w:pPr>
      <w:r>
        <w:rPr>
          <w:rFonts w:ascii="Arial" w:cs="Arial" w:eastAsia="Arial" w:hAnsi="Arial"/>
          <w:sz w:val="18"/>
          <w:szCs w:val="18"/>
          <w:color w:val="auto"/>
        </w:rPr>
        <w:t>personal and business information and other data from and about actual and prospective billers and financial institutions, as well as our employees and service providers. As a result, we are subject to a variety of laws, rules and regulations relating to privacy, data protection and information security, including regulation by various governmental authorities, such as the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p>
    <w:p>
      <w:pPr>
        <w:spacing w:after="0" w:line="77"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addition, many states in which we operate have laws that protect the privacy and security of sensitive and personal data and are considering or enacting new laws. 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California's CCPA, as amended by the CPRA,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California also has a dedicated state agency, the California Privacy Protection Agency (“CPPA”), that is vested with authority to implement and enforce the CCPA. We have taken steps to comply with applicable portions of the CCPA, but we cannot assure you that such steps completely eliminate the risk of liability under the CCPA. The interpretation and enforcement of the CCPA, as well as other rules promulgated by the CPPA, is in nascent stages, and further regulatory guidance may require us to modify our data collection or processing practices and policies and to incur substantial costs and expenses in an effort to comply and increase our potential exposure to regulatory enforcement and sanctions and litigation.</w:t>
      </w:r>
    </w:p>
    <w:p>
      <w:pPr>
        <w:spacing w:after="0" w:line="7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Certain other state laws besides California's CCPA impose similar privacy obligations, in addition to data breach notification laws in all 50 states. For example, the CCPA has prompted the enactment of several new state laws or amendments of existing state laws, such as in New York, Nevada, Virginia, Colorado, Connecticut and Utah. Although CCPA broadly includes business-to-business (B2B) as well as employee personal information, whereas the other states laws are mostly limited to individual consumers in their household context, these laws mark the beginning of a general trend toward more stringent privacy legislation in other U.S. states and have prompted a number of proposals for new federal and state-level privacy legislation. This legislation, if passed or amended, as well as interpretation and implementation of such legislation by state attorneys general or by federal or state regulatory authorities,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72"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In addition, several foreign countries and governmental bodies, including within the EU, China, Australia, and other countries, have established their own laws, rules and regulations addressing privacy, data protection and information security with regard to the handling and processing of sensitive and personal data obtained from their residents with which we or our billers, financial institutions or partners may need to comply. These laws and regulations are in certain cases more stringent than those in the United States and are also subject to interpretation and enforcement decisions by federal and state or provincial data protection authorities charged with implementing these laws.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 increase in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44" w:lineRule="auto"/>
        <w:rPr>
          <w:sz w:val="20"/>
          <w:szCs w:val="20"/>
          <w:color w:val="auto"/>
        </w:rPr>
      </w:pPr>
      <w:r>
        <w:rPr>
          <w:rFonts w:ascii="Arial" w:cs="Arial" w:eastAsia="Arial" w:hAnsi="Arial"/>
          <w:sz w:val="18"/>
          <w:szCs w:val="18"/>
          <w:color w:val="auto"/>
        </w:rPr>
        <w:t>also lead to damages claims by data controllers and data subjects. Such penalties are in addition to any civil litigation claims by data controllers, customers and data subjects. We have taken steps to comply with applicable portions of the GDPR, but we cannot assure you that such steps completely eliminate the risk of liability under the GDPR. The laws and regulations relating to privacy, data protection and information security are evolving, can be subject to significant change, and may result in ever-increasing regulatory and public scrutiny and escalating levels of enforcement and sanctions.</w:t>
      </w:r>
    </w:p>
    <w:p>
      <w:pPr>
        <w:spacing w:after="0" w:line="6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are also subject to certain obligations under HIPAA, as amended by HITECH,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6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regulations, rules, self-regulatory standards and other actual or alleged legal obligations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 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financial institutions and partners to lose trust in us, and have an adverse effect on our business, operating results and financial condition.</w:t>
      </w:r>
    </w:p>
    <w:p>
      <w:pPr>
        <w:spacing w:after="0" w:line="8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w:t>
      </w:r>
    </w:p>
    <w:p>
      <w:pPr>
        <w:spacing w:after="0" w:line="7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financial institutions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and financial institution base and increase revenue. Additionally, our billers, financial institutions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financial institutions,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spacing w:after="0" w:line="76"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 otherwise adversely affect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growth of our business. Furthermore, any costs incurred as a result of this potential liability could harm our operating results.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spacing w:after="0" w:line="51"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TCPA,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In addition, the FCC recently issued a new final rule on text messaging and the TCPA that went into effect in January 2025. Finally, several states have also enacted state-level laws modeled after the TCPA (e.g., “mini-TCPAs”) which impose stricter regulations on telemarketing activities, including the use of automated systems for calls and text messages.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 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 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extensive, complex, overlapping and frequently changing rules, regulations, standards and legal interpretations, our business could be materially harmed.</w:t>
      </w:r>
    </w:p>
    <w:p>
      <w:pPr>
        <w:spacing w:after="0" w:line="31"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Actions by the current U.S. presidential administration could have further impacts on our business if previously enacted laws are amended or if new legislative or regulatory reforms are adopted. In addition, the change in administration has led and will lead to leadership changes at a number of U.S. federal regulatory agencies, including the SEC and agencies with oversight over the financial services industry, such as the CFPB. There is a substantial lack of clarity regarding the likelihood, timing and details of potential changes or reforms by the new administration and the U.S. Congress. This poses uncertainty with respect to such agencies’ policy priorities and may lead to increased regulatory enforcement activity in the financial services industry. We may not be able to respond quickly or effectively to regulatory, legislative and other developments, and these changes may in turn impair our ability to offer our existing or planned features, products and services and increase our cost of doing business.</w:t>
      </w: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ind w:firstLine="494"/>
        <w:spacing w:after="0" w:line="247" w:lineRule="auto"/>
        <w:rPr>
          <w:sz w:val="20"/>
          <w:szCs w:val="20"/>
          <w:color w:val="auto"/>
        </w:rPr>
      </w:pPr>
      <w:r>
        <w:rPr>
          <w:rFonts w:ascii="Arial" w:cs="Arial" w:eastAsia="Arial" w:hAnsi="Arial"/>
          <w:sz w:val="18"/>
          <w:szCs w:val="18"/>
          <w:color w:val="auto"/>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spacing w:after="0" w:line="66" w:lineRule="exact"/>
        <w:rPr>
          <w:sz w:val="20"/>
          <w:szCs w:val="20"/>
          <w:color w:val="auto"/>
        </w:rPr>
      </w:pPr>
    </w:p>
    <w:p>
      <w:pPr>
        <w:jc w:val="both"/>
        <w:ind w:left="102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additional compliance costs and licensure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increase regulatory scrutiny of our business;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our operations, product features, quality and breadth and depth of functionality; and</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force us to change our business practices or compliance program, make product or operational changes or delay planned product launches or improvements.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spacing w:after="0" w:line="6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Any of the foregoing could, individually or in the aggregate, harm our reputation as a trusted provider, damage our brand and business, cause us to lose existing billers, financial institutions and partners, prevent us from obtaining new billers, financial institutions and partners, require us to expend significant funds to remedy problems caused by breaches and to avert further breaches, expose us to legal risk and potential liability, and adversely affect our business, operating results and financial condition.</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have previously identified material weaknesses in our internal control over financial reporting. Identification of additional material weaknesses in the future or a failure to maintain effective internal control over financial reporting, may result in material misstatements to our consolidated financial statements, adversely affect our ability to accurately and timely report our financial results, and may negatively impact investor confidence and our stock price.</w:t>
      </w:r>
    </w:p>
    <w:p>
      <w:pPr>
        <w:spacing w:after="0" w:line="5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are required to comply with the rules of the SEC implementing Sections 302 and 404 of the Sarbanes-Oxley Act, which require management to certify financial and other information in our quarterly and annual reports and provide an annual management report on the effectiveness of internal control over financial reporting. In addition to disclosing changes that have materially affected, or are reasonably likely to materially affect our internal control over financial reporting on a quarterly basis, we are required to make an annual assessment of the effectiveness of our internal control over financial reporting in our annual reports on Form 10-K. However, as an emerging growth company, our independent registered public accounting firm will not be required to audit the effectiveness of our internal control over financial reporting until we are no longer an emerging growth company. If our internal control over financial reporting is not effective, management’s report and our independent registered public accounting firm’s report, when required, would be adverse.</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described in Item 9A of this annual report, we have previously identified material weaknesses in our internal control over financial reporting. Although such material weaknesses were remediated as of December 31, 2024, there can be no assurance that similar or new material weaknesses in our internal control over financial reporting will not be identified in the future. If we cannot remediate, in a timely manner, future material weaknesses in our internal control over financial reporting that we identify, our ability to accurately record, process, and report financial information and our ability to prepare financial statements within required time periods, could be adversely affected.</w:t>
      </w:r>
    </w:p>
    <w:p>
      <w:pPr>
        <w:spacing w:after="0" w:line="6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While the material weaknesses in internal control over financial reporting previously disclosed by us have since been remediated, the process of designing and maintaining effective internal control over financial reporting is a continuous effort that requires us to anticipate and react to changes in our business, to economic and regulatory environments, and to expend significant resources to design and maintain effective internal control over financial reporting that satisfies our reporting obligations. Once we lose our status as an emerging growth company and are required to have our independent registered public accounting firm audit our internal control over financial reporting, we expect the need for significant resources and management oversight to increase further. Any failure to design, implement and maintain required new or enhanced controls, or any difficulties we encounter in their implementation, could result in additional material weaknesses, cause us to fail to meet our reporting obligations or result in material misstatements in our financial statements which could result in violations of applicable securities laws and stock exchange listing requirements, subject us to litigation and investigations,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right="20"/>
        <w:spacing w:after="0" w:line="253" w:lineRule="auto"/>
        <w:rPr>
          <w:sz w:val="20"/>
          <w:szCs w:val="20"/>
          <w:color w:val="auto"/>
        </w:rPr>
      </w:pPr>
      <w:r>
        <w:rPr>
          <w:rFonts w:ascii="Arial" w:cs="Arial" w:eastAsia="Arial" w:hAnsi="Arial"/>
          <w:sz w:val="18"/>
          <w:szCs w:val="18"/>
          <w:color w:val="auto"/>
        </w:rPr>
        <w:t>negatively affect investor confidence in our financial statements, and adversely impact our stock price and our ability to access capital markets. Furthermore, if we cannot provide reliable financial reports or prevent material misstatements due to fraud or error, our business and results of operations could be harmed, and investors could lose confidence in our reported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0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are required. Once we lose our status as an emerging growth company and are required to have an integrated audit, we expect the need for significant resources and management oversight to increase further. As a result, management’s attention may be diverted from other business concerns, which could adversely affect our business and operating results. We have and may need to continue to hire additional employees or engage outside consultants to comply with these requirements, which has and will increase our costs and expenses.</w:t>
      </w:r>
    </w:p>
    <w:p>
      <w:pPr>
        <w:spacing w:after="0" w:line="75"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These new rules and regulations may make it more expensive for us to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spacing w:after="0" w:line="5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anticipate expanding internationally as part of our long-term growth strategy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and financial institutions.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p>
    <w:p>
      <w:pPr>
        <w:spacing w:after="0" w:line="75"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Even though we have procedures in place designed to ensure our compliance with trade controls, failure to comply with these controls could subject us to both civil and criminal penalties, including substantial fines, possible incarceration of responsible individuals for willful violations, possible loss of our export or import privileges and reputational harm. Although we have no knowledge that our activities have resulted in violations of trade controls, any failure by us or our partners to comply with applicable laws and regulations would have negative consequences for us, including reputational harm, government investigations and penalties.</w:t>
      </w:r>
    </w:p>
    <w:p>
      <w:pPr>
        <w:spacing w:after="0" w:line="68"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billers’ and</w:t>
      </w: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39" w:lineRule="auto"/>
        <w:rPr>
          <w:sz w:val="20"/>
          <w:szCs w:val="20"/>
          <w:color w:val="auto"/>
        </w:rPr>
      </w:pPr>
      <w:r>
        <w:rPr>
          <w:rFonts w:ascii="Arial" w:cs="Arial" w:eastAsia="Arial" w:hAnsi="Arial"/>
          <w:sz w:val="18"/>
          <w:szCs w:val="18"/>
          <w:color w:val="auto"/>
        </w:rPr>
        <w:t>financial institutions’ ability to implement our products in those countries. Changes in our products or changes in 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and financial institutions with international operations. Any decreased use of our products or limitation on our ability to export to or sell our products in international markets could adversely affect our business, operating results and financial condition.</w:t>
      </w:r>
    </w:p>
    <w:p>
      <w:pPr>
        <w:spacing w:after="0" w:line="7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 While we have controls in place that are designed to comply with applicable anti-money laundering and counter-terrorist financing laws and regulations, violations of these laws could subject us to investigations, settlements, prosecution, and other enforcement actions, which could have a material negative impact on our business, financial condition, and results of operations.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3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are subject to the FCPA, U.S. domestic bribery laws and other anti-corruption laws in countries outside of the U.S. where we conduct our activities. Anti-corruption and anti-bribery laws have been enforced aggressively in recent years and are interpreted broadly to generally prohibit companies, their employees, agents, representatives, business partners, and their third-party intermediaries from authorizing, offering or providing, directly or indirectly, improper payments or benefits to recipients in the public or private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and financial institutions may be state-owned, in each case exposing us to potential risks. In addition, we, our employees, agents, representatives, business partners and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agents, representatives, business partners and third-party intermediaries will not take actions in violation of our policies and applicable law, for which we may be ultimately held responsible. As we increase our international business, our risks under these laws may increase.</w:t>
      </w:r>
    </w:p>
    <w:p>
      <w:pPr>
        <w:spacing w:after="0" w:line="7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management as well as significant defense costs and other professional fees. In addition, allegations or violations of anti-corruption or anti-bribery laws could subject us to whistleblower complaints, investigations, sanctions, settlements, prosecution, enforcement actions, fines, damages, other civil or criminal penalties, injunctions, suspension or debarment from government contracting, reputational harm, adverse media coverage and other collateral consequences, all of which may have an adverse impact on our business, operating results, prospects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04" w:lineRule="exact"/>
        <w:rPr>
          <w:sz w:val="20"/>
          <w:szCs w:val="20"/>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relative amounts of income before taxes in the various jurisdictions in which we operate due to changes in our business or differing statutory tax rates in various jurisdictions;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laws, tax treaties and regulations or the interpretation thereof, which may materially impact our results of operations, or the way we conduct our business;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assessment about our ability to realize our deferred tax assets that are based on our future results, sources of taxable income, the prudence and feasibility of possible tax planning strategies and the economic and political environments in which we do business;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ind w:left="1020" w:right="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of current and future tax audits, examinations or administrative appeals and the impact on our ability to sustain our reporting positions;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Further, in recent years new tax legislation eliminated the right to deduct research and development expenditures for tax purposes in the period the expenses were incurred and instead requires all U.S. and foreign research and development expenditures to be amortized over five and fifteen tax years, respectively. This capitalization requirement may materially increase deferred tax assets and cash tax liabilities as well as reduce our operating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spacing w:after="0" w:line="5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spacing w:after="0" w:line="71"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discontinues or limits our access to its software or other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modifies its terms of service or other legal terms or policies, including fees charged to, or other restrictions on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how information is accessed by us or our billers, financial institutions or partners or their consumers;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has performance or other problems that affect the perception of our platform, products or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establishes exclusive or more favorable relationships with one or more of our competitors;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develops or otherwise favors its own competitive offerings over our platform or products.</w:t>
      </w:r>
    </w:p>
    <w:p>
      <w:pPr>
        <w:spacing w:after="0" w:line="11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6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spacing w:after="0" w:line="75"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financial institutions or partners or their consumers are satisfied with the quality of work performed by us or with the technical support services rendered. In particular, if we are unable to adapt to the needs of our partners’ platforms, software and solutions, our billers’, financial institutions’ and partners’ operations may be disrupted, which could result in disputes with our billers, financial institutions or partners or their consumers or other third parties and additional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costs to address the situation. Additionally, our billers, financial institutions and partners may terminate their relationship with us and we may lose access to large numbers of consumers and biller and financial institution referrals as a result.</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Any negative publicity related to our solutions, regardless of its accuracy or whether the ultimate cause of any poor performance actually results from our platform, or from the systems of our billers, financial institutions, partners or consumers, may adversely affect our reputation, business, operating results and financial condition.</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spacing w:after="0" w:line="57"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 -party service providers may experience website disruptions, outages and other performance 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p>
    <w:p>
      <w:pPr>
        <w:spacing w:after="0" w:line="7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financial institution,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 of our platform, products or services, cause system interruptions, prevent our billers, financial institutions, partners or consumers from accessing their accounts online, damage our reputation with current and potential billers, financial institutions, partners or consumers, expose us to liability, cause us to lose billers, financial institutions, partners or consumers, cause the loss or unavailability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Also, in the event of damage or interruption, our insurance policies may not adequately compensate us for any losses that we may incur. System failures or outages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financial institutions, partners or consumers, and their failure to timely notify us of such a breach or disclosure may cause us to incur significant costs or otherwise harm our business.</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platform is accessed by many billers, financial institutions, partners and consumers, often at the same time. As we continue to expand the number of our billers, financial institutions,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72"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jc w:val="both"/>
        <w:spacing w:after="0" w:line="244" w:lineRule="auto"/>
        <w:rPr>
          <w:sz w:val="20"/>
          <w:szCs w:val="20"/>
          <w:color w:val="auto"/>
        </w:rPr>
      </w:pPr>
      <w:r>
        <w:rPr>
          <w:rFonts w:ascii="Arial" w:cs="Arial" w:eastAsia="Arial" w:hAnsi="Arial"/>
          <w:sz w:val="18"/>
          <w:szCs w:val="18"/>
          <w:color w:val="auto"/>
        </w:rPr>
        <w:t>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 solutions’ reliability, or we could be required to retain the services of replacement providers, which could increase our operating costs and materially and adversely affect our business, operating results and financial condition.</w:t>
      </w:r>
    </w:p>
    <w:p>
      <w:pPr>
        <w:spacing w:after="0" w:line="6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financial institutions, partners or consumers to believe that our platform, products and services are unreliable, leading them to switch to our competitors or to avoid our platform, products and services, and could permanently harm our reputation and business.</w:t>
      </w:r>
    </w:p>
    <w:p>
      <w:pPr>
        <w:spacing w:after="0" w:line="6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Additionally, as our billers, financial institutions and partners and their consumers may use our platform for critical transactions, any errors, defects or other infrastructure problems could result in damage to such billers’, financial institutions’, partners’ or consumers’ businesses. These billers, financial institutions,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may experience software and technology defects, undetected errors, development delays or other performance problems in our software and other technology used as part of our platform, which could damage biller, financial institution and partner relations, harm our reputation, result in significant costs to us, decrease our potential profitability and expose us to cybersecurity incidents and substantial liability.</w:t>
      </w:r>
    </w:p>
    <w:p>
      <w:pPr>
        <w:spacing w:after="0" w:line="57"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We may modify, enhance, upgrade and implement new systems, procedures and controls in our software and technology to reflect changes in our business, technological advancements and changing industry trends. These modifications, enhancements or updates incorporated in our platform may contain undetected errors, viruses or defects when implemented or when new functionality is released. Despite extensive testing, from time to time we have discovered and may in the future discover defects or errors in our software and technology. Any performance problems or defects in our software and technology could materially and adversely affect our business, operating results and financial conditions, and could increase the risk of a cybersecurity incident. Defects, errors or other similar performance problems or disruptions, whether in connection with day-to-day operations or otherwise, could be costly for us, adversely affect our billers’, financial institutions’ or partners’ businesses, harm our reputation and result in reduced sales or a loss of, or delay in, the market acceptance of our solutions. In addition, if we have any such errors, defects or other performance problems, our billers, financial institutions or partners could seek to terminate, or elect not to renew, their contracts with us, delay or withhold payment or assert claims against us. Any of these actions could also result in liability, lost business, increased insurance costs, difficulty in collecting accounts receivable, costly litigation, regulatory actions, or adverse publicity, which could materially and adversely affect our business, operating results and financial condition. Additionally, our software incorporates open-source code and any defects or security vulnerabilities in such open-source software could materially and adversely affect our business, operating results and financial condition by increasing the risk of a cybersecurity incident. Further, we rely on technology and software supplied by third parties that may also contain undetected errors, viruses or defects. Software defects and errors or delays in electronic bill presentment or our facilitation of payment processing could result in additional development and remediation costs, diversion of technical and other resources from our existing development efforts, loss of credibility with current or potential billers, financial institutions, partners and consumers, harm to our reputation and exposure to liability claims, any of which could result in a material adverse effect on our business, operating results and financial condition.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spacing w:after="0" w:line="5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platform incorporates software modules licensed to us by third-party authors under “open source” licenses, and we expect to continue to incorporate open source modules in our products and platform in the future. Because of this incorporation of open source modules, we may be subject to various restrictive requirements, such as a requirement to make publicly available all or part of the source code for modifications or derivative works created based on the type of open source software used in the work, or a requirement to grant licenses on unfavorable terms or at no cost for our derivative works.</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w:t>
      </w: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8"/>
          <w:szCs w:val="18"/>
          <w:color w:val="auto"/>
        </w:rPr>
        <w:t>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 against companies that incorporate it into their products. Likewise, we could be sued and face claims from third parties claiming ownership of, or demanding release of, any open source software or derivative works that we 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redesign our products. If we are held to have breached or failed to fully comply with all the terms and conditions of an open source software license, we could face infringement or other liability, be required to seek costly licenses from third parties, or provide our offerings on terms that are not economically feasible. We may need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spacing w:after="0" w:line="7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5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success is dependent, in part, upon protecting our intellectual property and proprietary technology. We rely on a combination of patents, copyrights, trademarks, service marks, trade secrets and contractual provisions with our employees, independent contractors, consultants and third parties with whom we have relationships to establish and protect our intellectual property and proprietary rights. However, the steps we take to protect our intellectual property may be inadequate, may not afford complete protection and may not adequately permit us to gain or keep any competitive advantage. Our intellectual property and proprietary rights may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77"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 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sue us for patent infringement and seek monetary damages or licensing fees, or enjoin the use of our technology.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is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financial institution or consumer confusion. Furthermore, legal standards relating to the validity, enforceability and scope of protection of intellectual property rights are uncertain. Despite our precautions, it may be possible for unauthorized</w:t>
      </w: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third parties to copy our products and use information that we regard as proprietary to create products and services that compete with ours.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 they do not prevent our competitors or partners from independently developing technologies that are substantially equivalent or superior to our platform.</w:t>
      </w:r>
    </w:p>
    <w:p>
      <w:pPr>
        <w:spacing w:after="0" w:line="66"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proprietary information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spacing w:after="0" w:line="75"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addition to registered intellectual property rights such as issued patents and trademarks,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 us or who had access to our intellectual property but who are not subject to invention assignment agreements may make adverse ownership claims to our current and future intellectual property.</w:t>
      </w:r>
    </w:p>
    <w:p>
      <w:pPr>
        <w:spacing w:after="0" w:line="7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without disclosing that use or without providing us a license, disputes may arise as to the rights in related or resulting works of authorship, know-how and inventions. The loss of intellectual property rights could make it easier for third parties to compete with our products and services by copying our functionality.</w:t>
      </w:r>
    </w:p>
    <w:p>
      <w:pPr>
        <w:spacing w:after="0" w:line="77" w:lineRule="exact"/>
        <w:rPr>
          <w:sz w:val="20"/>
          <w:szCs w:val="20"/>
          <w:color w:val="auto"/>
        </w:rPr>
      </w:pPr>
    </w:p>
    <w:p>
      <w:pPr>
        <w:jc w:val="both"/>
        <w:ind w:firstLine="494"/>
        <w:spacing w:after="0" w:line="235" w:lineRule="auto"/>
        <w:rPr>
          <w:sz w:val="20"/>
          <w:szCs w:val="20"/>
          <w:color w:val="auto"/>
        </w:rPr>
      </w:pPr>
      <w:r>
        <w:rPr>
          <w:rFonts w:ascii="Arial" w:cs="Arial" w:eastAsia="Arial" w:hAnsi="Arial"/>
          <w:sz w:val="18"/>
          <w:szCs w:val="18"/>
          <w:color w:val="auto"/>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 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49" w:lineRule="auto"/>
        <w:rPr>
          <w:sz w:val="20"/>
          <w:szCs w:val="20"/>
          <w:color w:val="auto"/>
        </w:rPr>
      </w:pPr>
      <w:r>
        <w:rPr>
          <w:rFonts w:ascii="Arial" w:cs="Arial" w:eastAsia="Arial" w:hAnsi="Arial"/>
          <w:sz w:val="18"/>
          <w:szCs w:val="18"/>
          <w:b w:val="1"/>
          <w:bCs w:val="1"/>
          <w:i w:val="1"/>
          <w:iCs w:val="1"/>
          <w:color w:val="auto"/>
        </w:rPr>
        <w:t>We and our billers, financial institutions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5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and our billers, financial institutions and partners and their consumers and the third-party vendors and data centers that we use obtain, provide and process large amounts of sensitive and personal data, including data provided by and related to consumers and their financial transactions, as well as other data of the counterparties to their payments. We face legal and regulatory risks, as well as risks to our reputation as a trusted brand, in the handling and protection of this data, and these risks will increase as our business continues to expand to include new products and technologies.</w:t>
      </w:r>
    </w:p>
    <w:p>
      <w:pPr>
        <w:spacing w:after="0" w:line="6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Cybersecurity threats and attacks, privacy and cybersecurity breaches, insider threats and malicious internet-based activity and other incidents continue to evolve in nature and become more sophisticated and severe, and providers of cloud-based services have frequently been targeted by such attacks, particularly in the financial technology sector. These cybersecurity challenges, including threats to our own IT infrastructure or those of our billers, financial institutions or partners or their consumers or third-party service providers, may take a variety of forms ranging from stolen bank accounts, business email compromises, biller or financial institution employee fraud, account takeover, check fraud or cybersecurity attacks, to “mega breaches” targeting cloud-based services and other hosted software. A cybersecurity incident or breach could result in loss, compromise, corruption or disclosure of confidential information, intellectual property and sensitive and personal data and impair our ability to provide our solutions and meet our billers’, financial institutions’ or partners’ or their consumers’ requirements, or cause production downtimes and compromised data. We may be unable to anticipate or prevent techniques used to obtain unauthorized access or to sabotage systems because they change frequently and often are not detected until after an incident has occurred. As we increase our biller and financial institution base and our brand becomes more widely known and recognized, threat actors may increasingly seek to compromise our security controls or gain unauthorized access to our sensitive corporate information or our billers’, financial institutions’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spacing w:after="0" w:line="74"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In addition, because we leverage third-party service providers, including cloud, software, data center and other critical technology vendors to deliver our solutions to our billers, financial institutions, partners or consumers and their clients, we rely heavily on the data protection and information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financial institutions. Some of these providers in turn may subcontract with other third-party service providers. Our ability to monitor our third-party service providers’ data protection and information security practices and policies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spacing w:after="0" w:line="80"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data protection or information security measures or those of the previously mentioned third parties are inadequate, breached or otherwise compromised, including as a result of third-party action, employee or contractor error, malfeasance, malware, phishing, hacking, system error, software bugs or defects in our products, trickery, process failure, or otherwise, and, as a result, there is improper disclosure of, or someone obtains unauthorized access to or exfiltrates funds or accesses, modifies, corrupts, or destroys any sensitive or personal data on our systems or our partners’ systems, or if we suffer a ransomware or advanced persistent threat attack, or if any of the foregoing is reported or perceived to have occurred, our reputation and business could be damaged. If sensitive or personal data is unavailable, lost, modified, corrupted, or destroyed without authorization or improperly disclosed or threatened to be disclosed, we could incur significant costs associated with notification, remediation and the implementation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18"/>
          <w:szCs w:val="18"/>
          <w:color w:val="auto"/>
        </w:rPr>
        <w:t>of additional security measures, may be subject to regulatory scrutiny, investigations, proceedings and penalties, or incur significant liability and financial loss in the form of lost business, increased insurance costs, difficulty in collecting accounts receivable, costly litigation, or adverse publicity, which could materially and adversely affect our business, operating results and financial condition.</w:t>
      </w:r>
    </w:p>
    <w:p>
      <w:pPr>
        <w:spacing w:after="0" w:line="6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security breach or incident, regardless of how it occurs or the extent of the breach or incident, could have a significant impact on our reputation as a trusted brand, cause us to lose existing billers, financial institutions, partners and consumers, prevent us from obtaining new billers, financial institutions,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 monitoring and forensics, all of which could divert resources and attention of our management and key personnel away from our business operations and materially and adversely affect our business, operating results and financial condition. Any actual or perceived breach or incident at a third-party service provider providing services to us or our billers, financial institutions, partners or consumers could have similar effects. Further, as a result of the rise of remote and work from home settings,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breaches or incidents or protecting sensitive and personal data that they obtain and process on our behalf.</w:t>
      </w:r>
    </w:p>
    <w:p>
      <w:pPr>
        <w:spacing w:after="0" w:line="7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Federal, state and international regulations may require us or our billers, financial institutions or partners to notify governmental entities and individuals of breaches or incidents involving certain types of personal and sensitive data or information technology systems, within specified time frames and under certain conditions. Any noncompliance with these regulations, whether actual or perceived, and any security breach or incident on our systems, whether actual or perceived, could lead to public disclosures and negative publicity, erode consumer, biller, financial institution or partner confidence in the effectiveness of our security measures, negatively impact our ability to attract new billers, financial institutions, partners and consumers, cause existing billers, financial institutions,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addition, some of our billers, financial institutions and partners contractually require notification of security breaches or incidents and include representations and warranties in their contracts with us that our platform, products and services comply with certain legal and technical standards related to information security and privacy and meet certain service levels. In our contracts, a security breach or incident or operational disruption impacting us or one of our critical vendors, or system unavailability or damage due to other circumstances, may constitute a material breach and give rise to a biller’s, financial institution's or partner’s right to terminate their contract with us. In these circumstances, it may be difficult or impossible to cure such a breach in order to prevent billers, financial institutions or partners from potentially terminating their contracts with us. Furthermore, although our contracts typically include limitations on our potential liability, we cannot ensure that such limitations of liability would be adequate or apply to security breaches or incidents.</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in the future become subject to or initiate intellectual property disputes, which are costly and time-consuming to defend against or pursue, and may subject us to significant liability and increased costs of doing business.</w:t>
      </w:r>
    </w:p>
    <w:p>
      <w:pPr>
        <w:spacing w:after="0" w:line="31" w:lineRule="exact"/>
        <w:rPr>
          <w:sz w:val="20"/>
          <w:szCs w:val="20"/>
          <w:color w:val="auto"/>
        </w:rPr>
      </w:pPr>
    </w:p>
    <w:p>
      <w:pPr>
        <w:jc w:val="both"/>
        <w:ind w:right="20" w:firstLine="494"/>
        <w:spacing w:after="0" w:line="241" w:lineRule="auto"/>
        <w:rPr>
          <w:sz w:val="20"/>
          <w:szCs w:val="20"/>
          <w:color w:val="auto"/>
        </w:rPr>
      </w:pPr>
      <w:r>
        <w:rPr>
          <w:rFonts w:ascii="Arial" w:cs="Arial" w:eastAsia="Arial" w:hAnsi="Arial"/>
          <w:sz w:val="18"/>
          <w:szCs w:val="18"/>
          <w:color w:val="auto"/>
        </w:rPr>
        <w:t>We may in the future become subject to and involved in lawsuits, disputes, legal proceedings or claims to protect or enforce our intellectual property rights, and we may be subject to claims by third parties that we have infringed, misappropriated or otherwise violated their intellectual property rights. Even if we believe that these claims are without merit,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rPr>
          <w:sz w:val="20"/>
          <w:szCs w:val="20"/>
          <w:color w:val="auto"/>
        </w:rPr>
      </w:pPr>
      <w:r>
        <w:rPr>
          <w:rFonts w:ascii="Arial" w:cs="Arial" w:eastAsia="Arial" w:hAnsi="Arial"/>
          <w:sz w:val="18"/>
          <w:szCs w:val="18"/>
          <w:color w:val="auto"/>
        </w:rPr>
        <w:t>litigation may be necessary to determine the scope and validity of intellectual property or proprietary rights of others or to protect or enforce our intellectual property rights. The ultimate outcome of any litigation is often uncertain. Also, regardless of the outcome, lawsuits, with or without merit, are time-consuming and expensive to resolve and they divert management’s time and attention. Lawsuits may also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spacing w:after="0" w:line="7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software and technology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financial institution or consumer confusion related to our marketplace could damage our reputation and 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If a third party is able to obtain an injunction preventing us from accessing such third-party’s intellectual property rights, or if we cannot license or develop alternative technology for any allegedly infringing aspect of our business, we may be forced to limit or stop sales of our products or cease business activities related to such intellectual property. Any inability to license third-party technology in the future would have an adverse effect on our business or operating results and would adversely affect our ability to compete.</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are, and may in the future become, contractually obligated to indemnify our billers, financial institutions and partners in the event of infringement, misappropriation or other violation of a third party’s intellectual property rights. Responding to such claims, regardless of their merit, can be time-consuming, costly to defend and damaging to our reputation and brand.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and platform depend in part on intellectual property and proprietary rights and technology licensed from or otherwise made available to us by third parties.</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75"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 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steeply or suddenly regardless of our operating performance, and we may not be able to meet investor or analyst expectations.</w:t>
      </w:r>
    </w:p>
    <w:p>
      <w:pPr>
        <w:spacing w:after="0" w:line="3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market price of our Class A common stock has, and may continue to, fluctuate or decline significantly in response to numerous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6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market volatility and economic disruption;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between our actual operating results, guidance, and the expectations of securities analysts, investors and the financial community;</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any forward-looking financial or operating information we may provide to the public or securities analysts, such as annual guidance, and any changes in this information or our failure to meet expectations based on this information;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Accel-KKR (“AKKR”) and our founder and chief executive officer;</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including if existing stockholders sell shares into the market;</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operating performance and stock market valuations of companies in our industry, including our competitors, such as the widespread market revaluation of technology companies generally in 2022;</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price and volume fluctuations in the overall stock market, including as a result of trends in trading patterns or the economy as a whole;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lawsuits, claims or investigations threatened, filed or initiated against us;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other events or factors, including those resulting from war or incidents of terrorism, or responses to these events.</w:t>
      </w:r>
    </w:p>
    <w:p>
      <w:pPr>
        <w:spacing w:after="0" w:line="11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6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or the perception that such sales could occur, could cause our stock price to decline.</w:t>
      </w:r>
    </w:p>
    <w:p>
      <w:pPr>
        <w:spacing w:after="0" w:line="102"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Sales of a substantial number of shares of our Class A common stock, particularly sales by our directors, executive officers and principal stockholders, or the perception that such sales may occur could cause the market price of our Class</w:t>
      </w: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 common stock to fall or make it more difficult for you to sell your Class A common stock at a time and price that you deem appropriate.</w:t>
      </w:r>
    </w:p>
    <w:p>
      <w:pPr>
        <w:spacing w:after="0" w:line="10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December 31, 2024, we had 32,136,989 shares of Class A common stock and 92,699,294 shares of Class B common stock issued and outstanding.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 (“Rule 144”) of the Securities Act of 1933, as amended (the “Securities Act”).</w:t>
      </w:r>
    </w:p>
    <w:p>
      <w:pPr>
        <w:spacing w:after="0" w:line="6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2,096,168 shares of Class A common stock and 3,534,103 shares of Class B common stock were subject to outstanding equity awards as of December 31, 2024. We have registered under the Securities Act the offer and sale of all shares of Class A common stock and Class B common stock subject to equity awards outstanding and reserved for issuance under our 2012 Equity Incentive Plan and 2021 Equity Incentive Plan. The shares covered by those registration statements are eligible for resale in the public markets, subject to Rule 144 limitations applicable to affiliates. If these additional shares are sold, or if it is perceived that they will be sold in the public market, the market price of our Class A common stock could decline.</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Furthermore, up to 1,193,880 shares of Class A common stock may be issuable pursuant to warrant agreements with JPMC Strategic Investments I Corporation. These shares will become eligible for sale in the public market to the extent permitted by the vesting terms of the warrant, and Rule 144.</w:t>
      </w:r>
    </w:p>
    <w:p>
      <w:pPr>
        <w:spacing w:after="0" w:line="6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of December 31, 2024, the holders of approximately 98 million shares of our Class A common stock and Class B common stock, or certain permitted transferees, are entitled to require us to file registration statements under the Securities Act for the public 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5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AKKR and our founder and chief executive officer, collectively controlled approximately 98% of the voting power of our outstanding common stock as of December 31, 2024 and therefore are able to control all matters submitted to our stockholders,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77"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Further, the stockholders agreement we entered into with AKKR at the time of our IPO in May 2021 provides that, for so long as AKKR or certain of its permitted transferees hold more of our outstanding common stock than Mr. Sharma and certain of his affiliates, AKKR has the right to nominate (x) 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77"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spacing w:after="0" w:line="68"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The dual class structure of our common stock makes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indices will likely preclude investment by many of these funds and could make our Class A common stock less attractive to other investors.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market price of our Class A common stock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As of December 31, 2024, AKKR controlled approximately 75% of the voting power of our outstanding common stock. As a result, AKKR has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77"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For the years ended December 31, 2024 and 2023, AKKR distributed to its investors, on a pro rata basis and for no additional consideration, 15,844,426 shares and 538,888 shares, respectively, of our Class B common stock, some of which was subsequently converted into shares of our Class A common stock. There can be no assurance regarding the further disposition of these shares by the recipients, future distributions of our Class B common stock held by AKKR, or subsequent conversion by recipients of distributed Class B shares into our Class A common stock or disposition thereof.</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57"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has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has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about us, our business or our market, or if they adversely change their recommendations regarding our Class A common stock, the market price or trading volume of our Class A common stock could decline.</w:t>
      </w:r>
    </w:p>
    <w:p>
      <w:pPr>
        <w:spacing w:after="0" w:line="51"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of the analysts provide research with an unfavorable rating or downgrade our Class A common stock, provide a more favorable recommendation about our competitors or publish inaccurate or unfavorable research about our business, our Class A common stock price would likely decline.</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61" w:lineRule="exact"/>
        <w:rPr>
          <w:sz w:val="20"/>
          <w:szCs w:val="20"/>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compliance with the requirement of the PCAOB regarding the communication of critical audit matters in the auditor’s report on the financial statements;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46"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status as an emerging growth company will end as soon as any of the following takes place:</w:t>
      </w:r>
    </w:p>
    <w:p>
      <w:pPr>
        <w:spacing w:after="0" w:line="10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December 31, 2026.</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17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We may elect to take advantage o</w:t>
      </w:r>
      <w:r>
        <w:rPr>
          <w:rFonts w:ascii="Arial" w:cs="Arial" w:eastAsia="Arial" w:hAnsi="Arial"/>
          <w:sz w:val="18"/>
          <w:szCs w:val="18"/>
          <w:b w:val="1"/>
          <w:bCs w:val="1"/>
          <w:color w:val="auto"/>
        </w:rPr>
        <w:t>f the</w:t>
      </w:r>
      <w:r>
        <w:rPr>
          <w:rFonts w:ascii="Arial" w:cs="Arial" w:eastAsia="Arial" w:hAnsi="Arial"/>
          <w:sz w:val="18"/>
          <w:szCs w:val="18"/>
          <w:b w:val="1"/>
          <w:bCs w:val="1"/>
          <w:i w:val="1"/>
          <w:iCs w:val="1"/>
          <w:color w:val="auto"/>
        </w:rPr>
        <w:t xml:space="preserve"> "controlled company" exemption to the corporate governance rules for New York Stock Exchange-listed companies, which could make our Class A common stock less attractive to some investors or otherwise harm our stock price.</w:t>
      </w:r>
    </w:p>
    <w:p>
      <w:pPr>
        <w:spacing w:after="0" w:line="5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Even though we are not required to comply with these corporate governance requirements, we currently have chosen to do so. However, in the future, we could elect not to have a majority of our board of directors be independent or not to have an independent compensation committee or nominating and corporate governance committee. Accordingly, should the interests of our management and AKKR differ from those of other stockholders, the other stockholders may not have the same protections afforded to stockholders of companies that are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1" w:name="page52"/>
    <w:bookmarkEnd w:id="51"/>
    <w:p>
      <w:pPr>
        <w:jc w:val="both"/>
        <w:ind w:right="20"/>
        <w:spacing w:after="0" w:line="271" w:lineRule="auto"/>
        <w:rPr>
          <w:sz w:val="20"/>
          <w:szCs w:val="20"/>
          <w:color w:val="auto"/>
        </w:rPr>
      </w:pPr>
      <w:r>
        <w:rPr>
          <w:rFonts w:ascii="Arial" w:cs="Arial" w:eastAsia="Arial" w:hAnsi="Arial"/>
          <w:sz w:val="18"/>
          <w:szCs w:val="18"/>
          <w:color w:val="auto"/>
        </w:rPr>
        <w:t>subject to all of the corporate governance rules for New York Stock Exchange-listed companies. Our status as a controlled company could make our Class A common stock less attractive to some investors or otherwise harm our stock price.</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securities issuances could result in significant dilution to our stockholders and impair the market price of our Class A common stock.</w:t>
      </w:r>
    </w:p>
    <w:p>
      <w:pPr>
        <w:spacing w:after="0" w:line="3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Future issuances of shares of our Class A common stock, including in connection with acquisitions,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Anti-takeover provisions in our charter documents or applicable state law could make an acquisition of us difficult, limit attempts by our stockholders to replace or remove our current management and depress the market price of our Class A common stock.</w:t>
      </w:r>
    </w:p>
    <w:p>
      <w:pPr>
        <w:spacing w:after="0" w:line="31"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addition to AKKR controlling a substantial majority of the voting power of our outstanding common stock,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dual class common stock structure, with differing voting rights;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authorized number of directors may be changed only by resolution of the board of directors;</w:t>
      </w:r>
    </w:p>
    <w:p>
      <w:pPr>
        <w:spacing w:after="0" w:line="8" w:lineRule="exact"/>
        <w:rPr>
          <w:rFonts w:ascii="Times New Roman" w:cs="Times New Roman" w:eastAsia="Times New Roman" w:hAnsi="Times New Roman"/>
          <w:sz w:val="18"/>
          <w:szCs w:val="18"/>
          <w:color w:val="auto"/>
        </w:rPr>
      </w:pPr>
    </w:p>
    <w:p>
      <w:pPr>
        <w:ind w:left="1020" w:right="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board of directors is divided into three classes, each of which stands for election once every three years;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there is no cumulative voting;</w:t>
      </w:r>
    </w:p>
    <w:p>
      <w:pPr>
        <w:spacing w:after="0" w:line="8" w:lineRule="exact"/>
        <w:rPr>
          <w:rFonts w:ascii="Times New Roman" w:cs="Times New Roman" w:eastAsia="Times New Roman" w:hAnsi="Times New Roman"/>
          <w:sz w:val="18"/>
          <w:szCs w:val="18"/>
          <w:color w:val="auto"/>
        </w:rPr>
      </w:pPr>
    </w:p>
    <w:p>
      <w:pPr>
        <w:ind w:left="1020" w:right="20" w:hanging="503"/>
        <w:spacing w:after="0" w:line="234"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board of directors may adopt, alter or repeal our bylaws;</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forum for certain litigation against us is restricted to Delaware; and</w:t>
      </w:r>
    </w:p>
    <w:p>
      <w:pPr>
        <w:spacing w:after="0" w:line="8"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71"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4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stockholders may not call special meetings of stockholders or act by written consent;</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16"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 years from the date such person acquired such common stock, unless approval from our board of directors or stockholders is obtained prior to the acquisition and subject to other exceptions.</w:t>
      </w:r>
    </w:p>
    <w:p>
      <w:pPr>
        <w:spacing w:after="0" w:line="68"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In addition, certain state laws may discourage, delay or prevent a change of control of our company or changes in our management that the stockholders of our company may deem advantageous.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Any provision of our certificate of incorporation or bylaws, or under any applicable state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w:t>
      </w: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78" w:lineRule="auto"/>
        <w:rPr>
          <w:sz w:val="20"/>
          <w:szCs w:val="20"/>
          <w:color w:val="auto"/>
        </w:rPr>
      </w:pPr>
      <w:r>
        <w:rPr>
          <w:rFonts w:ascii="Arial" w:cs="Arial" w:eastAsia="Arial" w:hAnsi="Arial"/>
          <w:sz w:val="18"/>
          <w:szCs w:val="18"/>
          <w:b w:val="1"/>
          <w:bCs w:val="1"/>
          <w:i w:val="1"/>
          <w:iCs w:val="1"/>
          <w:color w:val="auto"/>
        </w:rPr>
        <w:t>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3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7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059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382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recognize the importance of assessing, identifying and managing material risks associated with cybersecurity threats, as such term is defined in Item 106(a) of Regulation S-K. These risks include, among other things, operational disruption; intellectual property theft; fraud; extortion; harm to employees or customers; violation of privacy or security laws; other litigation and legal risk; customer attrition; and reputational risks. We have implemented several cybersecurity processes, technologies and controls to aid in our efforts to assess, identify and manage such material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cybersecurity risk assessment process helps identify our cybersecurity threat risks by assessing our cybersecurity program against industry and best practices standards set by the National Institute of Standards and Technology (“NIST”), the International Organization for Standardization (“ISO”) and the Center for Internet Security (“CIS”), as well as by annually engaging experts to attempt to infiltrate/test our information systems (as such term is defined in Item 106(a) of Regulation S-K).</w:t>
      </w:r>
    </w:p>
    <w:p>
      <w:pPr>
        <w:spacing w:after="0" w:line="66"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We have established a cybersecurity risk management process that includes internal reporting of significant cybersecurity risk to our senior leadership and executive team on a monthly basis. At the management level, we have established an information security risk committee, chaired by our Chief Information Security Officer (“CISO”) and comprised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3" w:name="page54"/>
    <w:bookmarkEnd w:id="53"/>
    <w:p>
      <w:pPr>
        <w:jc w:val="both"/>
        <w:spacing w:after="0" w:line="271" w:lineRule="auto"/>
        <w:rPr>
          <w:sz w:val="20"/>
          <w:szCs w:val="20"/>
          <w:color w:val="auto"/>
        </w:rPr>
      </w:pPr>
      <w:r>
        <w:rPr>
          <w:rFonts w:ascii="Arial" w:cs="Arial" w:eastAsia="Arial" w:hAnsi="Arial"/>
          <w:sz w:val="18"/>
          <w:szCs w:val="18"/>
          <w:color w:val="auto"/>
        </w:rPr>
        <w:t>of employees and executive management, to, among other things, coordinate and communicate the direction, current state, security risks (gaps) and governance of our information security program. Our cybersecurity program focuses in particular on the following key areas: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To identify and assess material risks from cybersecurity threats, our Cybersecurity Governance, Risk and Compliance ("GRC") team considers cybersecurity threat risks alongside other company risks as part of our overall risk assessment process. Our enterprise risk professionals collaborate with subject matter experts, as necessary, to gather insights for identifying and assessing material cybersecurity threat risks, their severity and potential mitigations.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We employ a range of tools and services including (but not limited to) regular network and endpoint monitoring, vulnerability assessments and penetration testing to inform our professionals’ risk identification and assessment.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Safeguards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regularly assess and deploy internal and third party technical safeguards designed to protect our information systems from cybersecurity threats. Such safeguards are regularly evaluated and improved based on vulnerability assessments, cybersecurity threat intelligence and incident response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 Response and Recovery Planning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have established incident response and recovery plans and continue to regularly test and evaluate the effectiveness of those plans. Our incident response and recovery plans address and guide our employees, management and board of directors on our response to a cybersecurity incident. We also have relationships with third party experts that can be utilized in the case of an incident.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Risk Management</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cybersecurity risk processes address risks associated with our use of third-party service providers, including subcontractors used by those third-parties. Third-party risks are included within our GRC and procurement program, including the selection and oversight of our third-party service providers.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 and Awareness</w:t>
      </w:r>
    </w:p>
    <w:p>
      <w:pPr>
        <w:spacing w:after="0" w:line="102" w:lineRule="exact"/>
        <w:rPr>
          <w:sz w:val="20"/>
          <w:szCs w:val="20"/>
          <w:color w:val="auto"/>
        </w:rPr>
      </w:pPr>
    </w:p>
    <w:p>
      <w:pPr>
        <w:jc w:val="both"/>
        <w:ind w:firstLine="545"/>
        <w:spacing w:after="0" w:line="247" w:lineRule="auto"/>
        <w:rPr>
          <w:sz w:val="20"/>
          <w:szCs w:val="20"/>
          <w:color w:val="auto"/>
        </w:rPr>
      </w:pPr>
      <w:r>
        <w:rPr>
          <w:rFonts w:ascii="Arial" w:cs="Arial" w:eastAsia="Arial" w:hAnsi="Arial"/>
          <w:sz w:val="18"/>
          <w:szCs w:val="18"/>
          <w:color w:val="auto"/>
        </w:rPr>
        <w:t>Our policies require each of our employees to contribute to our data security efforts. We regularly train employees of the importance of handling and protecting customer and employee data, including through annual privacy and security training to enhance employee awareness of how to detect and respond to cybersecurity threats. We also have annual specialized training of our development staff that focuses on secure development best practices.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Assessments</w:t>
      </w:r>
    </w:p>
    <w:p>
      <w:pPr>
        <w:spacing w:after="0" w:line="104"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perform periodic internal and third-party assessments to test our cybersecurity controls and regularly evaluate our policies and procedures for handling and control of sensitive data and systems in an effort to identify areas for continued focus, improvement and/or compliance under various applicable regulatory frameworks (e.g., SOC, SOX, PCI, HIPAA).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Governance and Oversight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Oversight Role</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Cybersecurity is an important part of our risk management processes and an area of continued focus for our board of directors, audit committee and management. Our board of directors is responsible for the oversight of the overall corporate approach to cybersecurity risks. The board of directors has delegated such enterprise and cybersecurity risk management to its audit committee. At least quarterly, the audit committee and/or board of directors receives an overview from management of our cybersecurity threat risk management and strategy, covering topics such as data security posture, results from third-party assessments, progress towards pre-determined risk-mitigation-related goals, our incident response plan and any material cybersecurity threat risks or incidents and developments, as well as the steps management has taken to respond to such risks. Members of the audit committee and the board of directors are also encouraged to engage in ad hoc conversations with management on cybersecurity-related news events and discuss any updates to our cybersecurity risk management programs.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ind w:firstLine="494"/>
        <w:spacing w:after="0" w:line="244" w:lineRule="auto"/>
        <w:rPr>
          <w:sz w:val="20"/>
          <w:szCs w:val="20"/>
          <w:color w:val="auto"/>
        </w:rPr>
      </w:pPr>
      <w:r>
        <w:rPr>
          <w:rFonts w:ascii="Arial" w:cs="Arial" w:eastAsia="Arial" w:hAnsi="Arial"/>
          <w:sz w:val="18"/>
          <w:szCs w:val="18"/>
          <w:color w:val="auto"/>
        </w:rPr>
        <w:t>Under its charter, the audit committee is charged with discussing our major financial, information technology and cybersecurity risk exposures and the steps management has taken to monitor and control such exposures as well as the oversight of management’s plans to address such risks. One member of our audit committee and board of directors has a strong background in information technology and cybersecurity risk management through service in related senior executive positions of other publicly traded companies meets regularly with our CISO to discuss our cybersecurity risk management processes.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02" w:lineRule="exact"/>
        <w:rPr>
          <w:sz w:val="20"/>
          <w:szCs w:val="20"/>
          <w:color w:val="auto"/>
        </w:rPr>
      </w:pPr>
    </w:p>
    <w:p>
      <w:pPr>
        <w:jc w:val="both"/>
        <w:ind w:firstLine="544"/>
        <w:spacing w:after="0" w:line="247" w:lineRule="auto"/>
        <w:rPr>
          <w:sz w:val="20"/>
          <w:szCs w:val="20"/>
          <w:color w:val="auto"/>
        </w:rPr>
      </w:pPr>
      <w:r>
        <w:rPr>
          <w:rFonts w:ascii="Arial" w:cs="Arial" w:eastAsia="Arial" w:hAnsi="Arial"/>
          <w:sz w:val="18"/>
          <w:szCs w:val="18"/>
          <w:color w:val="auto"/>
        </w:rPr>
        <w:t>Our cybersecurity program, which is discussed in greater detail under the “Risk Management and Strategy” heading above, is led by our CISO, who has over 20 years of prior work experience in various roles with large public companies involving managing information security, developing cybersecurity strategy, implementing effective information and cybersecurity programs. In addition, our CISO manages a team of highly trained and experienced cybersecurity professionals in support of the cybersecurity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In addition to the information security risk committee discussed above, we maintain a disclosure committee with certain responsibilities that include among other things, the discussion of cybersecurity matters for materiality, proper internal reporting systems and incident disclosure evaluation. The disclosure committee also has a cybersecurity subcommittee that meets at least quarterly to discuss ongoing internal and external cyber-events, as well as mapping out the response process in the event of a cybersecurity incident that may reasonably be viewed as potentially material, including assessing the incident, materiality and disclosure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Risks</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In 2024, we did not identify any cybersecurity threats that resulted in a material adverse effect on our business strategy, results of operations, or financial condition. Notwithstanding the discussion above and our efforts to address cybersecurity risks, we cannot guarantee that we can mitigate or eliminate all cyber-related risks, including those related to operational disruption; intellectual property theft; fraud; extortion; harm to employees or customers; violation of privacy or security laws and other litigation and legal risk; customer attrition; and reputational risks. We urge you to read our discussion regarding whether and how risks from identified cybersecurity threats could materially affect us as part of our risk factor disclosures at “Item 1A - Risk Factors“—Risks Related to Our Business and Industry” and “—Risks Related to Our Technology and Intellectual Property” of this Annual Report on Form 10-K, which disclosures are incorporated by reference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58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58850" cy="8890"/>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are headquartered in Charlotte, North Carolina. We lease office space in Charlotte, North Carolina; Richmond Hill, Canada (part of the Greater Toronto Area); Dallas, Texas; Santa Clara, California; New York, New York and in Gurugram, Mohali and Bangalore, India. The table below sets forth certain information regarding these properties, all of which are leased. We also lease several smaller properties on a month-to-month basis.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ind w:left="21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2500" w:type="dxa"/>
            <w:vAlign w:val="bottom"/>
          </w:tcPr>
          <w:p>
            <w:pPr>
              <w:ind w:left="1100"/>
              <w:spacing w:after="0"/>
              <w:rPr>
                <w:sz w:val="20"/>
                <w:szCs w:val="20"/>
                <w:color w:val="auto"/>
              </w:rPr>
            </w:pPr>
            <w:r>
              <w:rPr>
                <w:rFonts w:ascii="Arial" w:cs="Arial" w:eastAsia="Arial" w:hAnsi="Arial"/>
                <w:sz w:val="14"/>
                <w:szCs w:val="14"/>
                <w:b w:val="1"/>
                <w:bCs w:val="1"/>
                <w:color w:val="auto"/>
              </w:rPr>
              <w:t>Type</w:t>
            </w:r>
          </w:p>
        </w:tc>
        <w:tc>
          <w:tcPr>
            <w:tcW w:w="120" w:type="dxa"/>
            <w:vAlign w:val="bottom"/>
          </w:tcPr>
          <w:p>
            <w:pPr>
              <w:spacing w:after="0"/>
              <w:rPr>
                <w:sz w:val="14"/>
                <w:szCs w:val="14"/>
                <w:color w:val="auto"/>
              </w:rPr>
            </w:pPr>
          </w:p>
        </w:tc>
        <w:tc>
          <w:tcPr>
            <w:tcW w:w="1420" w:type="dxa"/>
            <w:vAlign w:val="bottom"/>
          </w:tcPr>
          <w:p>
            <w:pPr>
              <w:jc w:val="right"/>
              <w:ind w:right="82"/>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4"/>
                <w:szCs w:val="14"/>
                <w:color w:val="auto"/>
              </w:rPr>
            </w:pPr>
          </w:p>
        </w:tc>
        <w:tc>
          <w:tcPr>
            <w:tcW w:w="2100" w:type="dxa"/>
            <w:vAlign w:val="bottom"/>
          </w:tcPr>
          <w:p>
            <w:pPr>
              <w:jc w:val="right"/>
              <w:ind w:right="753"/>
              <w:spacing w:after="0"/>
              <w:rPr>
                <w:sz w:val="20"/>
                <w:szCs w:val="20"/>
                <w:color w:val="auto"/>
              </w:rPr>
            </w:pPr>
            <w:r>
              <w:rPr>
                <w:rFonts w:ascii="Arial" w:cs="Arial" w:eastAsia="Arial" w:hAnsi="Arial"/>
                <w:sz w:val="14"/>
                <w:szCs w:val="14"/>
                <w:b w:val="1"/>
                <w:bCs w:val="1"/>
                <w:color w:val="auto"/>
              </w:rPr>
              <w:t>Lease</w:t>
            </w:r>
          </w:p>
        </w:tc>
      </w:tr>
      <w:tr>
        <w:trPr>
          <w:trHeight w:val="171"/>
        </w:trPr>
        <w:tc>
          <w:tcPr>
            <w:tcW w:w="4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(approximate)</w:t>
            </w:r>
          </w:p>
        </w:tc>
        <w:tc>
          <w:tcPr>
            <w:tcW w:w="120" w:type="dxa"/>
            <w:vAlign w:val="bottom"/>
          </w:tcPr>
          <w:p>
            <w:pPr>
              <w:spacing w:after="0"/>
              <w:rPr>
                <w:sz w:val="14"/>
                <w:szCs w:val="14"/>
                <w:color w:val="auto"/>
              </w:rPr>
            </w:pPr>
          </w:p>
        </w:tc>
        <w:tc>
          <w:tcPr>
            <w:tcW w:w="2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Expiration</w:t>
            </w:r>
          </w:p>
        </w:tc>
      </w:tr>
      <w:tr>
        <w:trPr>
          <w:trHeight w:val="191"/>
        </w:trPr>
        <w:tc>
          <w:tcPr>
            <w:tcW w:w="4860" w:type="dxa"/>
            <w:vAlign w:val="bottom"/>
          </w:tcPr>
          <w:p>
            <w:pPr>
              <w:ind w:left="20"/>
              <w:spacing w:after="0" w:line="191" w:lineRule="exact"/>
              <w:rPr>
                <w:sz w:val="20"/>
                <w:szCs w:val="20"/>
                <w:color w:val="auto"/>
              </w:rPr>
            </w:pPr>
            <w:r>
              <w:rPr>
                <w:rFonts w:ascii="Arial" w:cs="Arial" w:eastAsia="Arial" w:hAnsi="Arial"/>
                <w:sz w:val="18"/>
                <w:szCs w:val="18"/>
                <w:color w:val="auto"/>
              </w:rPr>
              <w:t>Charlotte, North Carolina</w:t>
            </w:r>
          </w:p>
        </w:tc>
        <w:tc>
          <w:tcPr>
            <w:tcW w:w="120" w:type="dxa"/>
            <w:vAlign w:val="bottom"/>
          </w:tcPr>
          <w:p>
            <w:pPr>
              <w:spacing w:after="0"/>
              <w:rPr>
                <w:sz w:val="16"/>
                <w:szCs w:val="16"/>
                <w:color w:val="auto"/>
              </w:rPr>
            </w:pPr>
          </w:p>
        </w:tc>
        <w:tc>
          <w:tcPr>
            <w:tcW w:w="2500" w:type="dxa"/>
            <w:vAlign w:val="bottom"/>
          </w:tcPr>
          <w:p>
            <w:pPr>
              <w:ind w:left="20"/>
              <w:spacing w:after="0" w:line="191" w:lineRule="exact"/>
              <w:rPr>
                <w:sz w:val="20"/>
                <w:szCs w:val="20"/>
                <w:color w:val="auto"/>
              </w:rPr>
            </w:pPr>
            <w:r>
              <w:rPr>
                <w:rFonts w:ascii="Arial" w:cs="Arial" w:eastAsia="Arial" w:hAnsi="Arial"/>
                <w:sz w:val="18"/>
                <w:szCs w:val="18"/>
                <w:color w:val="auto"/>
              </w:rPr>
              <w:t>Corporate Headquarters</w:t>
            </w:r>
          </w:p>
        </w:tc>
        <w:tc>
          <w:tcPr>
            <w:tcW w:w="120" w:type="dxa"/>
            <w:vAlign w:val="bottom"/>
          </w:tcPr>
          <w:p>
            <w:pPr>
              <w:spacing w:after="0"/>
              <w:rPr>
                <w:sz w:val="16"/>
                <w:szCs w:val="16"/>
                <w:color w:val="auto"/>
              </w:rPr>
            </w:pPr>
          </w:p>
        </w:tc>
        <w:tc>
          <w:tcPr>
            <w:tcW w:w="1420" w:type="dxa"/>
            <w:vAlign w:val="bottom"/>
          </w:tcPr>
          <w:p>
            <w:pPr>
              <w:jc w:val="right"/>
              <w:spacing w:after="0" w:line="191" w:lineRule="exact"/>
              <w:rPr>
                <w:sz w:val="20"/>
                <w:szCs w:val="20"/>
                <w:color w:val="auto"/>
              </w:rPr>
            </w:pPr>
            <w:r>
              <w:rPr>
                <w:rFonts w:ascii="Arial" w:cs="Arial" w:eastAsia="Arial" w:hAnsi="Arial"/>
                <w:sz w:val="18"/>
                <w:szCs w:val="18"/>
                <w:color w:val="auto"/>
              </w:rPr>
              <w:t>26,700</w:t>
            </w:r>
          </w:p>
        </w:tc>
        <w:tc>
          <w:tcPr>
            <w:tcW w:w="120" w:type="dxa"/>
            <w:vAlign w:val="bottom"/>
          </w:tcPr>
          <w:p>
            <w:pPr>
              <w:spacing w:after="0"/>
              <w:rPr>
                <w:sz w:val="16"/>
                <w:szCs w:val="16"/>
                <w:color w:val="auto"/>
              </w:rPr>
            </w:pPr>
          </w:p>
        </w:tc>
        <w:tc>
          <w:tcPr>
            <w:tcW w:w="2100" w:type="dxa"/>
            <w:vAlign w:val="bottom"/>
          </w:tcPr>
          <w:p>
            <w:pPr>
              <w:jc w:val="right"/>
              <w:spacing w:after="0" w:line="191" w:lineRule="exact"/>
              <w:rPr>
                <w:sz w:val="20"/>
                <w:szCs w:val="20"/>
                <w:color w:val="auto"/>
              </w:rPr>
            </w:pPr>
            <w:r>
              <w:rPr>
                <w:rFonts w:ascii="Arial" w:cs="Arial" w:eastAsia="Arial" w:hAnsi="Arial"/>
                <w:sz w:val="18"/>
                <w:szCs w:val="18"/>
                <w:color w:val="auto"/>
              </w:rPr>
              <w:t>March 31, 2027</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Richmond Hill, Canada</w:t>
            </w:r>
          </w:p>
        </w:tc>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56,000</w:t>
            </w:r>
          </w:p>
        </w:tc>
        <w:tc>
          <w:tcPr>
            <w:tcW w:w="1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March 31, 2031</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Richmond Hill, Canada</w:t>
            </w:r>
          </w:p>
        </w:tc>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4,050</w:t>
            </w:r>
          </w:p>
        </w:tc>
        <w:tc>
          <w:tcPr>
            <w:tcW w:w="1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May 31, 2030</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Dallas, Texas</w:t>
            </w:r>
          </w:p>
        </w:tc>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10,100</w:t>
            </w:r>
          </w:p>
        </w:tc>
        <w:tc>
          <w:tcPr>
            <w:tcW w:w="1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March 15, 2027</w:t>
            </w:r>
          </w:p>
        </w:tc>
      </w:tr>
      <w:tr>
        <w:trPr>
          <w:trHeight w:val="181"/>
        </w:trPr>
        <w:tc>
          <w:tcPr>
            <w:tcW w:w="4860" w:type="dxa"/>
            <w:vAlign w:val="bottom"/>
          </w:tcPr>
          <w:p>
            <w:pPr>
              <w:ind w:left="20"/>
              <w:spacing w:after="0" w:line="182" w:lineRule="exact"/>
              <w:rPr>
                <w:sz w:val="20"/>
                <w:szCs w:val="20"/>
                <w:color w:val="auto"/>
              </w:rPr>
            </w:pPr>
            <w:r>
              <w:rPr>
                <w:rFonts w:ascii="Arial" w:cs="Arial" w:eastAsia="Arial" w:hAnsi="Arial"/>
                <w:sz w:val="18"/>
                <w:szCs w:val="18"/>
                <w:color w:val="auto"/>
              </w:rPr>
              <w:t>Santa Clara, California</w:t>
            </w:r>
          </w:p>
        </w:tc>
        <w:tc>
          <w:tcPr>
            <w:tcW w:w="120" w:type="dxa"/>
            <w:vAlign w:val="bottom"/>
          </w:tcPr>
          <w:p>
            <w:pPr>
              <w:spacing w:after="0"/>
              <w:rPr>
                <w:sz w:val="15"/>
                <w:szCs w:val="15"/>
                <w:color w:val="auto"/>
              </w:rPr>
            </w:pPr>
          </w:p>
        </w:tc>
        <w:tc>
          <w:tcPr>
            <w:tcW w:w="2500" w:type="dxa"/>
            <w:vAlign w:val="bottom"/>
          </w:tcPr>
          <w:p>
            <w:pPr>
              <w:ind w:left="20"/>
              <w:spacing w:after="0" w:line="18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3,900</w:t>
            </w:r>
          </w:p>
        </w:tc>
        <w:tc>
          <w:tcPr>
            <w:tcW w:w="12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September 30, 2027</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New York, New York</w:t>
            </w:r>
          </w:p>
        </w:tc>
        <w:tc>
          <w:tcPr>
            <w:tcW w:w="12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100" w:type="dxa"/>
            <w:vAlign w:val="bottom"/>
          </w:tcPr>
          <w:p>
            <w:pPr>
              <w:jc w:val="right"/>
              <w:spacing w:after="0" w:line="224" w:lineRule="exact"/>
              <w:rPr>
                <w:sz w:val="20"/>
                <w:szCs w:val="20"/>
                <w:color w:val="auto"/>
              </w:rPr>
            </w:pPr>
            <w:r>
              <w:rPr>
                <w:rFonts w:ascii="Arial" w:cs="Arial" w:eastAsia="Arial" w:hAnsi="Arial"/>
                <w:sz w:val="18"/>
                <w:szCs w:val="18"/>
                <w:color w:val="auto"/>
              </w:rPr>
              <w:t>December 31, 2024</w:t>
            </w:r>
            <w:r>
              <w:rPr>
                <w:rFonts w:ascii="Arial" w:cs="Arial" w:eastAsia="Arial" w:hAnsi="Arial"/>
                <w:sz w:val="24"/>
                <w:szCs w:val="24"/>
                <w:color w:val="auto"/>
                <w:vertAlign w:val="superscript"/>
              </w:rPr>
              <w:t>(1)</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Gurugram, India</w:t>
            </w:r>
          </w:p>
        </w:tc>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19,800</w:t>
            </w:r>
          </w:p>
        </w:tc>
        <w:tc>
          <w:tcPr>
            <w:tcW w:w="1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February 1, 2029</w:t>
            </w: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Mohali, Punjab, India</w:t>
            </w:r>
          </w:p>
        </w:tc>
        <w:tc>
          <w:tcPr>
            <w:tcW w:w="120" w:type="dxa"/>
            <w:vAlign w:val="bottom"/>
          </w:tcPr>
          <w:p>
            <w:pPr>
              <w:spacing w:after="0"/>
              <w:rPr>
                <w:sz w:val="17"/>
                <w:szCs w:val="17"/>
                <w:color w:val="auto"/>
              </w:rPr>
            </w:pPr>
          </w:p>
        </w:tc>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4,850</w:t>
            </w:r>
          </w:p>
        </w:tc>
        <w:tc>
          <w:tcPr>
            <w:tcW w:w="120" w:type="dxa"/>
            <w:vAlign w:val="bottom"/>
          </w:tcPr>
          <w:p>
            <w:pPr>
              <w:spacing w:after="0"/>
              <w:rPr>
                <w:sz w:val="17"/>
                <w:szCs w:val="17"/>
                <w:color w:val="auto"/>
              </w:rPr>
            </w:pPr>
          </w:p>
        </w:tc>
        <w:tc>
          <w:tcPr>
            <w:tcW w:w="2100" w:type="dxa"/>
            <w:vAlign w:val="bottom"/>
          </w:tcPr>
          <w:p>
            <w:pPr>
              <w:jc w:val="right"/>
              <w:spacing w:after="0" w:line="202" w:lineRule="exact"/>
              <w:rPr>
                <w:sz w:val="20"/>
                <w:szCs w:val="20"/>
                <w:color w:val="auto"/>
              </w:rPr>
            </w:pPr>
            <w:r>
              <w:rPr>
                <w:rFonts w:ascii="Arial" w:cs="Arial" w:eastAsia="Arial" w:hAnsi="Arial"/>
                <w:sz w:val="18"/>
                <w:szCs w:val="18"/>
                <w:color w:val="auto"/>
              </w:rPr>
              <w:t>December 31, 2025</w:t>
            </w:r>
          </w:p>
        </w:tc>
      </w:tr>
      <w:tr>
        <w:trPr>
          <w:trHeight w:val="239"/>
        </w:trPr>
        <w:tc>
          <w:tcPr>
            <w:tcW w:w="4860" w:type="dxa"/>
            <w:vAlign w:val="bottom"/>
          </w:tcPr>
          <w:p>
            <w:pPr>
              <w:ind w:left="20"/>
              <w:spacing w:after="0"/>
              <w:rPr>
                <w:sz w:val="20"/>
                <w:szCs w:val="20"/>
                <w:color w:val="auto"/>
              </w:rPr>
            </w:pPr>
            <w:r>
              <w:rPr>
                <w:rFonts w:ascii="Arial" w:cs="Arial" w:eastAsia="Arial" w:hAnsi="Arial"/>
                <w:sz w:val="18"/>
                <w:szCs w:val="18"/>
                <w:color w:val="auto"/>
              </w:rPr>
              <w:t>Bangalore, India</w:t>
            </w:r>
          </w:p>
        </w:tc>
        <w:tc>
          <w:tcPr>
            <w:tcW w:w="12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Office space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December 31, 2025</w:t>
            </w:r>
          </w:p>
        </w:tc>
      </w:tr>
    </w:tbl>
    <w:p>
      <w:pPr>
        <w:spacing w:after="0" w:line="56"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Month to month lease of desk space in a co-working and flexible office concept building.</w:t>
      </w:r>
    </w:p>
    <w:p>
      <w:pPr>
        <w:spacing w:after="0" w:line="76"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relocate to alternate facilities. We believe that our facilities are adequate for our needs and believe that we should be able to renew any of the above leases or secure alternative suitable property without an adverse impact on our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09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which may include claims relating to contractual disputes, product liability, tort or personal injury, employment, intellectual property or other commercial or regulatory matters. In addition, if current or future government regulations are interpreted or enforced in a manner adverse to our business, including among other things, those related to security and privacy laws, we may be subject to investigations, enforcement actions, penalties, damages, material limitations on our business, and reputational harm. Furthermore, we may become subject to stockholder inspection demands under Delaware law and derivative or other similar litigation. From time to time as appropriate, we accrue liabilities related to legal claims in our financial statements.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08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0815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4636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Paymentus Holdings, Inc. Class A common stock is listed on the New York Stock Exchange under the ticker symbol "PAY." There is no established trading market for our Class B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Based on the records of our transfer agent, as of March 6, 2025, there were 28 record holders of our Class A common stock and 34 record holders of our Class B common stock. Because a substantial portion of our shares of Class A common stock are held by brokers and institutions on behalf of stockholders, we are unable to estimate the total number of beneficial owners of our Class A common stock represented by these record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4"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Except as may have been previously reported in our filings with the SEC, there were no sales of unregistered securities during the fiscal year ended December 31,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Except as may have been previously reported in filings with the SEC, there were no repurchases of equity securities during the year ended December 31, 2024. We do not have any publicly announced or other repurchase plans regarding our Class A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graph and table compare the total stockholder return from May 26, 2021, the date on which our Class A common stock commenced trading on NYSE through December 31, 2024, based on an initial investment of $100 in each of:</w:t>
      </w:r>
    </w:p>
    <w:p>
      <w:pPr>
        <w:spacing w:after="0" w:line="46" w:lineRule="exact"/>
        <w:rPr>
          <w:sz w:val="20"/>
          <w:szCs w:val="20"/>
          <w:color w:val="auto"/>
        </w:rPr>
      </w:pPr>
    </w:p>
    <w:p>
      <w:pPr>
        <w:ind w:left="1000" w:hanging="498"/>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A common stock;</w:t>
      </w:r>
    </w:p>
    <w:p>
      <w:pPr>
        <w:spacing w:after="0" w:line="116"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Standard and Poor's 500 Stock Index, or S&amp;P 500 Index; and</w:t>
      </w:r>
    </w:p>
    <w:p>
      <w:pPr>
        <w:spacing w:after="0" w:line="116"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Standard and Poor's 500 Information Technology Index, or S&amp;P Information Technology.</w:t>
      </w:r>
    </w:p>
    <w:p>
      <w:pPr>
        <w:spacing w:after="0" w:line="11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706120</wp:posOffset>
            </wp:positionV>
            <wp:extent cx="5751830" cy="4166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751830"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9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26, 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296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Paymentus Holdings, Inc.</w:t>
            </w:r>
          </w:p>
        </w:tc>
        <w:tc>
          <w:tcPr>
            <w:tcW w:w="100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100.00</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166.57</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38.14</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85.10</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155.57</w:t>
            </w:r>
          </w:p>
        </w:tc>
        <w:tc>
          <w:tcPr>
            <w:tcW w:w="100" w:type="dxa"/>
            <w:vAlign w:val="bottom"/>
            <w:shd w:val="clear" w:color="auto" w:fill="CFF0FC"/>
          </w:tcPr>
          <w:p>
            <w:pPr>
              <w:spacing w:after="0"/>
              <w:rPr>
                <w:sz w:val="17"/>
                <w:szCs w:val="17"/>
                <w:color w:val="auto"/>
              </w:rPr>
            </w:pPr>
          </w:p>
        </w:tc>
      </w:tr>
      <w:tr>
        <w:trPr>
          <w:trHeight w:val="203"/>
        </w:trPr>
        <w:tc>
          <w:tcPr>
            <w:tcW w:w="2960" w:type="dxa"/>
            <w:vAlign w:val="bottom"/>
          </w:tcPr>
          <w:p>
            <w:pPr>
              <w:ind w:left="80"/>
              <w:spacing w:after="0" w:line="202" w:lineRule="exact"/>
              <w:rPr>
                <w:sz w:val="20"/>
                <w:szCs w:val="20"/>
                <w:color w:val="auto"/>
              </w:rPr>
            </w:pPr>
            <w:r>
              <w:rPr>
                <w:rFonts w:ascii="Arial" w:cs="Arial" w:eastAsia="Arial" w:hAnsi="Arial"/>
                <w:sz w:val="18"/>
                <w:szCs w:val="18"/>
                <w:color w:val="auto"/>
              </w:rPr>
              <w:t>S&amp;P 500 Index</w:t>
            </w:r>
          </w:p>
        </w:tc>
        <w:tc>
          <w:tcPr>
            <w:tcW w:w="10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113.71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113.80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140.32</w:t>
            </w:r>
          </w:p>
        </w:tc>
        <w:tc>
          <w:tcPr>
            <w:tcW w:w="100" w:type="dxa"/>
            <w:vAlign w:val="bottom"/>
          </w:tcPr>
          <w:p>
            <w:pPr>
              <w:spacing w:after="0"/>
              <w:rPr>
                <w:sz w:val="17"/>
                <w:szCs w:val="17"/>
                <w:color w:val="auto"/>
              </w:rPr>
            </w:pPr>
          </w:p>
        </w:tc>
      </w:tr>
      <w:tr>
        <w:trPr>
          <w:trHeight w:val="203"/>
        </w:trPr>
        <w:tc>
          <w:tcPr>
            <w:tcW w:w="29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S&amp;P Information Technology</w:t>
            </w:r>
          </w:p>
        </w:tc>
        <w:tc>
          <w:tcPr>
            <w:tcW w:w="10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89.29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189.48</w:t>
            </w:r>
          </w:p>
        </w:tc>
        <w:tc>
          <w:tcPr>
            <w:tcW w:w="10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will neither make nor endorse any predictions as to future stock performance or whether the trends depicted in the graph above will continue or change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[Reserved]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04"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those discussed in "Special Note Regarding Forward-Looking Statements" and those discussed in the section titled "Risk Factors" under Part I, Item 1A in this Annual Report on Form 10-K.</w:t>
      </w:r>
    </w:p>
    <w:p>
      <w:pPr>
        <w:spacing w:after="0" w:line="77"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 xml:space="preserve">A discussion of changes in our results of operations from fiscal year 2022 to fiscal year 2023 and a discussion of our liquidity and capital resources for 2022 has been omitted from this Annual Report on Form 10-K but may be found under the heading "Management’s Discussion and Analysis of Financial Condition and Results of Operations—Comparison of the Years Ended December 31, 2023 and 2022" and "—Liquidity and Capital Resources—"Sources and Uses of Funds" and "—Historical Cash Flows" in our Annual Report on Form 10-K for the year ended December 31, 2023, filed with the SEC on March 5, 2024, which is available free of charge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and our website at</w:t>
      </w:r>
      <w:r>
        <w:rPr>
          <w:rFonts w:ascii="Arial" w:cs="Arial" w:eastAsia="Arial" w:hAnsi="Arial"/>
          <w:sz w:val="18"/>
          <w:szCs w:val="18"/>
          <w:i w:val="1"/>
          <w:iCs w:val="1"/>
          <w:color w:val="auto"/>
        </w:rPr>
        <w:t xml:space="preserve"> https://ir.paymentus.com/home/default.aspx</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We are a leading provider of cloud-based bill payment technology and solutions. We deliver our next-generation product suite through a modern technology stack to more than 2,500 biller business and financial institution clients. Our platform was used by approximately 46 million consumers and businesses globally in December 2024 to pay their bills, make money movements and engage with our clients. We serve billers of all sizes that primarily provide non-discretionary services across a variety of industry verticals, including utilities, financial services, insurance, government, telecommunications, real estate management, education, consumer finance, healthcare and small business. We also serve financial institutions by providing them with a modern platform that their customers use for bill payment, account-to-account transfers and person-to-person transfers. By powering this comprehensive network of billers and financial institutions, each with their own set of bill payment requirements, we believe we have created an enviable feedback loop that enables us to continuously drive innovation, grow our business and uniquely improve the electronic bill payment experience for participants in the bill payment ecosystem.</w:t>
      </w:r>
    </w:p>
    <w:p>
      <w:pPr>
        <w:spacing w:after="0" w:line="75"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platform provides our clients with easy-to-use, flexible and secure electronic bill payment experiences powered by an omni-channel payment infrastructure that allows consumers to pay their bills using their preferred payment type and channel. Because our biller platform is developed on a single code base and leverages a SaaS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finances.</w:t>
      </w:r>
    </w:p>
    <w:p>
      <w:pPr>
        <w:spacing w:after="0" w:line="7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6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revenue is predictable to a certain degree.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Economic and Inflationary Trends</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United States economy experienced inflationary conditions in 2022 and 2023, with some moderation throughout 2024. Interest rates remained relatively stable in 2024, and were cut near the end of the year. Gross domestic product showed growth, reflecting an improving economic environment. However, the impacts of prior years' inflation and economic uncertainty persists and may continue to pose challenges to our performance through 2025. In addition, the introduction of new tariffs or the escalation of trade disputes with other countries could potentially affect our future performance.</w:t>
      </w:r>
    </w:p>
    <w:p>
      <w:pPr>
        <w:spacing w:after="0" w:line="68"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While inflationary conditions have stabilized, elevated costs—particularly in the utility sector—and higher interchange fees continue to impact our operations. To mitigate these pressures, we are proactively adjusting our pricing strategies; however, the timing of these adjustments typically lags behind the inflationary effects experienced by our clients. We remain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right="20"/>
        <w:spacing w:after="0" w:line="271" w:lineRule="auto"/>
        <w:rPr>
          <w:sz w:val="20"/>
          <w:szCs w:val="20"/>
          <w:color w:val="auto"/>
        </w:rPr>
      </w:pPr>
      <w:r>
        <w:rPr>
          <w:rFonts w:ascii="Arial" w:cs="Arial" w:eastAsia="Arial" w:hAnsi="Arial"/>
          <w:sz w:val="18"/>
          <w:szCs w:val="18"/>
          <w:color w:val="auto"/>
        </w:rPr>
        <w:t>committed to monitoring the economic landscape closely and will implement further pricing adjustments as needed to address ongoing market dynamics and maintain the resilience of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transaction, payment or transaction channel and industry vertical. However, irrespective of these factors, the transaction fees that we receive are generally consistent across transaction types, payment and transaction channels and industry verticals. We receive such transaction fees directly from billers, financial institutions, partners or, in some cases, from consumers as a convenience fee.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Cost of revenue consists of certain direct costs that are directly attributed to processing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alongside revenue growth, but it may fluctuate as a percentage of revenue from period to period, as our transaction mix changes and we continue to invest in growing our business across all geographical segments, including through the potential acquisition of other businesses.</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are external factors that impact interchange fees, such as the average transaction amount in a particular month or quarter. For example, hot summers and cold winters tend to increase utility bills, and property taxes result in two larger payments per year, each of which increases our interchange cost in line with the seasonal nature of our business.</w:t>
      </w:r>
    </w:p>
    <w:p>
      <w:pPr>
        <w:spacing w:after="0" w:line="6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addition of large, high-volume enterprise billers with lower margins in our biller mix, average transaction value, payment type and payments and transactions through our IPN.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as well as amortization of intangible assets acquired as part of our acquisitions of other businesses. We expect our sales and marketing expenses to increase in absolute dollars alongside revenue growth, but they may fluctuate as a percentage of revenue from period to period.</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leasing of office buildings and other corporate expenses. We expect to continue to incur additional general and administrative expenses to support the growth in our business and to meet regulatory compliance requirements. This includes the transition from an emerging growth company to a large accelerated filer for SEC compliance. We expect that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18"/>
          <w:szCs w:val="18"/>
          <w:color w:val="auto"/>
        </w:rPr>
        <w:t>our general and administrative expenses will increase in absolute dollars, but they may fluctuate as a percentage of revenue from period to period. Over the longer term, we expect general and administrative expenses to decrease as a percentage of revenue as we leverage the scale of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and digital payment technology and power more transactions, further fueling our growth.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and Maintaining Existing Billers and Financial Institutions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Our future growth depends on the continued adoption of our platform by new billers and financial institutions, as well as maintaining our existing billers and financial institutions. We intend to continue investing in our efficient go-to-market strategies, increasing brand awareness and driving adoption of our platform and products. We had more than 2,500 billers and financial institution clients as of December 31, 2024, including billers of all sizes and across numerous vertical markets and financial institutions of all sizes. Our ability to attract new, and maintain existing, billers and financial institutions and drive adoption of our platform will depend on a number of factors, including the effectiveness and pricing of our products, offerings of our competitors and the effectiveness of our marketing efforts. Our growth and performance also depends on our ability to promptly implement and begin recognizing revenues from our new billers and financial institutions.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 and Financial Institutions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believe our large base of existing billers and financial institutions represents a significant opportunity for further consumption of our platform. We believe our solutions create a superior experience for consumers and accelerate revenue realization for billers, which drives increased usage of our platform. We intend to continue investing in this value proposition. Leveraging our platform to capture more transactions from our existing biller and financial institution base is expected to organically drive transaction growth at lower cost.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expect to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financial institutions, partners and consumers. Given the nature of our biller, financial institution, and partner base, our investment in sales and marketing in a given period may not impact results until subsequent periods. We approach sales and marketing spend strategically to maintain efficient biller and partner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intend to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use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8"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Year Ended December 31,</w:t>
      </w: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700" w:type="dxa"/>
            <w:vAlign w:val="bottom"/>
            <w:tcBorders>
              <w:top w:val="single" w:sz="8" w:color="auto"/>
            </w:tcBorders>
            <w:gridSpan w:val="2"/>
          </w:tcPr>
          <w:p>
            <w:pPr>
              <w:jc w:val="right"/>
              <w:ind w:right="60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(in millions)</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60" w:type="dxa"/>
            <w:vAlign w:val="bottom"/>
            <w:gridSpan w:val="2"/>
            <w:shd w:val="clear" w:color="auto" w:fill="CFF0FC"/>
          </w:tcPr>
          <w:p>
            <w:pPr>
              <w:jc w:val="right"/>
              <w:ind w:right="5230"/>
              <w:spacing w:after="0" w:line="202" w:lineRule="exact"/>
              <w:rPr>
                <w:sz w:val="20"/>
                <w:szCs w:val="20"/>
                <w:color w:val="auto"/>
              </w:rPr>
            </w:pPr>
            <w:r>
              <w:rPr>
                <w:rFonts w:ascii="Arial" w:cs="Arial" w:eastAsia="Arial" w:hAnsi="Arial"/>
                <w:sz w:val="18"/>
                <w:szCs w:val="18"/>
                <w:color w:val="auto"/>
              </w:rPr>
              <w:t>Transactions processed</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597.0</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458.2</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366.8</w:t>
            </w:r>
          </w:p>
        </w:tc>
        <w:tc>
          <w:tcPr>
            <w:tcW w:w="10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number of transactions processed during the year ended December 31, 2024 increased approximately 30.3% as compared to 2023. The number of transactions processed during the year ended December 31, 2023 increased approximately 24.9% as compared to 2022. The increase for both years was primarily driven by the addition of new billers and increased transactions from our existing billers.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102" w:lineRule="exact"/>
        <w:rPr>
          <w:sz w:val="20"/>
          <w:szCs w:val="20"/>
          <w:color w:val="auto"/>
        </w:rPr>
      </w:pPr>
    </w:p>
    <w:p>
      <w:pPr>
        <w:jc w:val="both"/>
        <w:ind w:firstLine="585"/>
        <w:spacing w:after="0" w:line="271" w:lineRule="auto"/>
        <w:rPr>
          <w:sz w:val="20"/>
          <w:szCs w:val="20"/>
          <w:color w:val="auto"/>
        </w:rPr>
      </w:pPr>
      <w:r>
        <w:rPr>
          <w:rFonts w:ascii="Arial" w:cs="Arial" w:eastAsia="Arial" w:hAnsi="Arial"/>
          <w:sz w:val="18"/>
          <w:szCs w:val="18"/>
          <w:color w:val="auto"/>
        </w:rPr>
        <w:t>We calculate contribution profit as gross profit plus other cost of revenue. Other cost of revenue equals cost of revenue less interchange and assessment fees paid by us to our payment processors.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adjusted gross profit as gross profit adjusted for non-cash items, primarily stock-based compensation and amortization of acquisition-related intangible assets and capitalized software development costs.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Adjusted EBITDA</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We define adjusted EBITDA as net income before interest income (expense), net, other income (expense), depreciation and amortization of acquisition-related intangible assets and capitalized software development costs, and income taxes, adjusted to exclude the effects of net foreign exchange gain (loss), stock-based compensation expense and certain nonrecurring expenses that management believes are not indicative of ongoing operations.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Free Cash Flow</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We calculate free cash flow as net cash provided by (used in) operating activities less capital expenditures, other intangible assets acquired, and capitalized internal-use software development costs.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How We Use Non-GAAP Measures</w:t>
      </w:r>
    </w:p>
    <w:p>
      <w:pPr>
        <w:spacing w:after="0" w:line="102" w:lineRule="exact"/>
        <w:rPr>
          <w:sz w:val="20"/>
          <w:szCs w:val="20"/>
          <w:color w:val="auto"/>
        </w:rPr>
      </w:pPr>
    </w:p>
    <w:p>
      <w:pPr>
        <w:jc w:val="both"/>
        <w:ind w:firstLine="494"/>
        <w:spacing w:after="0" w:line="236"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8"/>
          <w:szCs w:val="18"/>
          <w:color w:val="auto"/>
        </w:rPr>
        <w:t>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also urge you to review the reconciliation of these non-GAAP financial measures included below. To properly and prudently evaluate our business, we encourage you to review the consolidated financial statements and related notes included elsewhere in this report and to not rely on any single financial measure to evaluate our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jc w:val="center"/>
              <w:ind w:right="3730"/>
              <w:spacing w:after="0"/>
              <w:rPr>
                <w:sz w:val="20"/>
                <w:szCs w:val="20"/>
                <w:color w:val="auto"/>
              </w:rPr>
            </w:pPr>
            <w:r>
              <w:rPr>
                <w:rFonts w:ascii="Arial" w:cs="Arial" w:eastAsia="Arial" w:hAnsi="Arial"/>
                <w:sz w:val="18"/>
                <w:szCs w:val="18"/>
                <w:i w:val="1"/>
                <w:iCs w:val="1"/>
                <w:color w:val="auto"/>
                <w:w w:val="99"/>
              </w:rPr>
              <w:t>Contribution Profit</w:t>
            </w:r>
          </w:p>
        </w:tc>
        <w:tc>
          <w:tcPr>
            <w:tcW w:w="340" w:type="dxa"/>
            <w:vAlign w:val="bottom"/>
          </w:tcPr>
          <w:p>
            <w:pPr>
              <w:spacing w:after="0"/>
              <w:rPr>
                <w:sz w:val="20"/>
                <w:szCs w:val="20"/>
                <w:color w:val="auto"/>
              </w:rPr>
            </w:pPr>
          </w:p>
        </w:tc>
        <w:tc>
          <w:tcPr>
            <w:tcW w:w="3380" w:type="dxa"/>
            <w:vAlign w:val="bottom"/>
            <w:gridSpan w:val="6"/>
            <w:vMerge w:val="restart"/>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238,170</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182,342</w:t>
            </w:r>
          </w:p>
        </w:tc>
        <w:tc>
          <w:tcPr>
            <w:tcW w:w="5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149,678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jc w:val="center"/>
              <w:ind w:right="3750"/>
              <w:spacing w:after="0" w:line="202" w:lineRule="exact"/>
              <w:rPr>
                <w:sz w:val="20"/>
                <w:szCs w:val="20"/>
                <w:color w:val="auto"/>
              </w:rPr>
            </w:pPr>
            <w:r>
              <w:rPr>
                <w:rFonts w:ascii="Arial" w:cs="Arial" w:eastAsia="Arial" w:hAnsi="Arial"/>
                <w:sz w:val="18"/>
                <w:szCs w:val="18"/>
                <w:color w:val="auto"/>
                <w:w w:val="99"/>
              </w:rPr>
              <w:t>Plus: other cost of revenue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73,898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58,606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Contribution profit</w:t>
            </w: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312,068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240,948</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201,300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9"/>
        <w:spacing w:after="0" w:line="239" w:lineRule="auto"/>
        <w:rPr>
          <w:sz w:val="20"/>
          <w:szCs w:val="20"/>
          <w:color w:val="auto"/>
        </w:rPr>
      </w:pPr>
      <w:r>
        <w:rPr>
          <w:rFonts w:ascii="Arial" w:cs="Arial" w:eastAsia="Arial" w:hAnsi="Arial"/>
          <w:sz w:val="18"/>
          <w:szCs w:val="18"/>
          <w:color w:val="auto"/>
        </w:rPr>
        <w:t>In general, contribution profit is driven by the number of transactions we process offset by network fees associated with processing those transactions. The amount of contribution profit per transaction may vary due to a variety of factors substantially outside of our control, including client size, type and industry as well as whether the client is a biller, financial institution or other partner. Contribution profit for the year ended December 31, 2024 increased approximately 29.5% as compared to 2023 and increased approximately 19.7% for the year ended December 31, 2023 as compared to 2022. The increase in 2024 was primarily driven by growth in transaction count and volume driven by the addition of new billers and financial institutions and increased transactions from our existing billers and financial institutions. The increase in 2023 was primarily driven by the addition of new billers and increased transactions from our existing billers, together with improvements resulting from disinflation in the utility sector on a year over year basis, pricing improvements from customers related to our inflation management and the implementation of certain cost improvement measures. For 2023 and 2024, contribution profit increased at a slower rate than transactions processed due to a continued mix shift to larger, high volume clients.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ind w:left="500"/>
              <w:spacing w:after="0"/>
              <w:rPr>
                <w:sz w:val="20"/>
                <w:szCs w:val="20"/>
                <w:color w:val="auto"/>
              </w:rPr>
            </w:pPr>
            <w:r>
              <w:rPr>
                <w:rFonts w:ascii="Arial" w:cs="Arial" w:eastAsia="Arial" w:hAnsi="Arial"/>
                <w:sz w:val="18"/>
                <w:szCs w:val="18"/>
                <w:i w:val="1"/>
                <w:iCs w:val="1"/>
                <w:color w:val="auto"/>
              </w:rPr>
              <w:t>Adjusted Gross Profit</w:t>
            </w:r>
          </w:p>
        </w:tc>
        <w:tc>
          <w:tcPr>
            <w:tcW w:w="340" w:type="dxa"/>
            <w:vAlign w:val="bottom"/>
          </w:tcPr>
          <w:p>
            <w:pPr>
              <w:spacing w:after="0"/>
              <w:rPr>
                <w:sz w:val="20"/>
                <w:szCs w:val="20"/>
                <w:color w:val="auto"/>
              </w:rPr>
            </w:pPr>
          </w:p>
        </w:tc>
        <w:tc>
          <w:tcPr>
            <w:tcW w:w="3380" w:type="dxa"/>
            <w:vAlign w:val="bottom"/>
            <w:gridSpan w:val="6"/>
            <w:vMerge w:val="restart"/>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Gross profit</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238,170</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182,342</w:t>
            </w:r>
          </w:p>
        </w:tc>
        <w:tc>
          <w:tcPr>
            <w:tcW w:w="50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149,678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17,911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13,341</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Adjusted gross profit</w:t>
            </w:r>
          </w:p>
        </w:tc>
        <w:tc>
          <w:tcPr>
            <w:tcW w:w="34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259,645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199,153</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161,755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Adjusted gross profit for the year ended December 31, 2024 increased 30.4% as compared to 2023 and increased 23.1% for the year ended December 31, 2023 as compared to 2022. Adjusted gross profit is driven primarily by the same factors that impact gross profit with the exception of excluding the amortization in cost of revenue, as well as stock-based compensation. The increase in amortization for 2024 and 2023 was driven by the additional capitalization of software costs.</w:t>
      </w: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7"/>
        </w:trPr>
        <w:tc>
          <w:tcPr>
            <w:tcW w:w="6260" w:type="dxa"/>
            <w:vAlign w:val="bottom"/>
          </w:tcPr>
          <w:p>
            <w:pPr>
              <w:ind w:left="500"/>
              <w:spacing w:after="0"/>
              <w:rPr>
                <w:sz w:val="20"/>
                <w:szCs w:val="20"/>
                <w:color w:val="auto"/>
              </w:rPr>
            </w:pPr>
            <w:r>
              <w:rPr>
                <w:rFonts w:ascii="Arial" w:cs="Arial" w:eastAsia="Arial" w:hAnsi="Arial"/>
                <w:sz w:val="18"/>
                <w:szCs w:val="18"/>
                <w:i w:val="1"/>
                <w:iCs w:val="1"/>
                <w:color w:val="auto"/>
              </w:rPr>
              <w:t>Adjusted EBITDA</w:t>
            </w:r>
          </w:p>
        </w:tc>
        <w:tc>
          <w:tcPr>
            <w:tcW w:w="980" w:type="dxa"/>
            <w:vAlign w:val="bottom"/>
          </w:tcPr>
          <w:p>
            <w:pPr>
              <w:spacing w:after="0"/>
              <w:rPr>
                <w:sz w:val="20"/>
                <w:szCs w:val="20"/>
                <w:color w:val="auto"/>
              </w:rPr>
            </w:pPr>
          </w:p>
        </w:tc>
        <w:tc>
          <w:tcPr>
            <w:tcW w:w="2740" w:type="dxa"/>
            <w:vAlign w:val="bottom"/>
            <w:gridSpan w:val="6"/>
            <w:vMerge w:val="restart"/>
          </w:tcPr>
          <w:p>
            <w:pPr>
              <w:jc w:val="center"/>
              <w:ind w:left="9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income (loss) — GAAP</w:t>
            </w:r>
          </w:p>
        </w:tc>
        <w:tc>
          <w:tcPr>
            <w:tcW w:w="98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8"/>
              </w:rPr>
              <w:t>44,169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22,322</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b w:val="1"/>
                <w:bCs w:val="1"/>
                <w:color w:val="auto"/>
              </w:rPr>
              <w:t>(513 )</w:t>
            </w: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Interest income, net</w:t>
            </w:r>
          </w:p>
        </w:tc>
        <w:tc>
          <w:tcPr>
            <w:tcW w:w="9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(8,742 )</w:t>
            </w: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(7,019 )</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(1,663 )</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Other income</w:t>
            </w:r>
            <w:r>
              <w:rPr>
                <w:rFonts w:ascii="Arial" w:cs="Arial" w:eastAsia="Arial" w:hAnsi="Arial"/>
                <w:sz w:val="23"/>
                <w:szCs w:val="23"/>
                <w:color w:val="auto"/>
                <w:vertAlign w:val="superscript"/>
              </w:rPr>
              <w:t>(1)</w:t>
            </w: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(213 )</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Provision for (benefit from) income taxes</w:t>
            </w: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Amortization of capitalized software development costs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27,586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21,349</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acquisition-related intangibles</w:t>
            </w:r>
          </w:p>
        </w:tc>
        <w:tc>
          <w:tcPr>
            <w:tcW w:w="9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8,081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8,380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Depreciation</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871</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EBITDA</w:t>
            </w:r>
          </w:p>
        </w:tc>
        <w:tc>
          <w:tcPr>
            <w:tcW w:w="980" w:type="dxa"/>
            <w:vAlign w:val="bottom"/>
            <w:tcBorders>
              <w:bottom w:val="single" w:sz="8" w:color="auto"/>
            </w:tcBorders>
          </w:tcPr>
          <w:p>
            <w:pPr>
              <w:jc w:val="right"/>
              <w:ind w:right="770"/>
              <w:spacing w:after="0" w:line="182"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8"/>
              </w:rPr>
              <w:t>81,473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48,705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21,092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Adjustments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Foreign exchange gain</w:t>
            </w:r>
          </w:p>
        </w:tc>
        <w:tc>
          <w:tcPr>
            <w:tcW w:w="9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(132 )</w:t>
            </w: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(12 )</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12,855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7"/>
                <w:szCs w:val="17"/>
                <w:color w:val="auto"/>
              </w:rPr>
              <w:t>Other nonrecurring expenses</w:t>
            </w:r>
            <w:r>
              <w:rPr>
                <w:rFonts w:ascii="Arial" w:cs="Arial" w:eastAsia="Arial" w:hAnsi="Arial"/>
                <w:sz w:val="23"/>
                <w:szCs w:val="23"/>
                <w:color w:val="auto"/>
                <w:vertAlign w:val="superscript"/>
              </w:rPr>
              <w:t>(2)</w:t>
            </w:r>
          </w:p>
        </w:tc>
        <w:tc>
          <w:tcPr>
            <w:tcW w:w="9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Adjusted EBITDA</w:t>
            </w:r>
          </w:p>
        </w:tc>
        <w:tc>
          <w:tcPr>
            <w:tcW w:w="980" w:type="dxa"/>
            <w:vAlign w:val="bottom"/>
            <w:tcBorders>
              <w:top w:val="single" w:sz="8" w:color="auto"/>
              <w:bottom w:val="single" w:sz="8" w:color="auto"/>
            </w:tcBorders>
            <w:shd w:val="clear" w:color="auto" w:fill="CFF0FC"/>
          </w:tcPr>
          <w:p>
            <w:pPr>
              <w:jc w:val="right"/>
              <w:ind w:right="770"/>
              <w:spacing w:after="0" w:line="182"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94,196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58,083</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28,592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-959485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-959485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Other income consists of a remeasurement adjustment relating to the purchase price of a prior acquisition.</w:t>
      </w:r>
    </w:p>
    <w:p>
      <w:pPr>
        <w:spacing w:after="0" w:line="3" w:lineRule="exact"/>
        <w:rPr>
          <w:rFonts w:ascii="Arial" w:cs="Arial" w:eastAsia="Arial" w:hAnsi="Arial"/>
          <w:sz w:val="21"/>
          <w:szCs w:val="21"/>
          <w:color w:val="auto"/>
          <w:vertAlign w:val="superscript"/>
        </w:rPr>
      </w:pPr>
    </w:p>
    <w:p>
      <w:pPr>
        <w:ind w:left="180" w:hanging="172"/>
        <w:spacing w:after="0" w:line="197" w:lineRule="auto"/>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Other nonrecurring expenses represent an estimated liability booked in 2022 related to the cost of terminating a commercial contract.</w:t>
      </w:r>
    </w:p>
    <w:p>
      <w:pPr>
        <w:spacing w:after="0" w:line="78"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As adjusted EBITDA is a measure of profitability, it is generally expected to move in line with revenue, contribution profit, gross profit and adjusted gross profit. Adjusted EBITDA increased 62.2% for the year ended December 31, 2024 compared to 2023 and increased 103.1% for the year ended December 31, 2023 compared to 2022. The increase in 2024 was primarily driven by growth in transaction count and volume driven by the addition of new billers and financial institutions and increased transactions from our existing billers and financial institutions. Adjusted EBITDA increased from 2022 to 2023 due to growth in transaction count and volume driven by the addition of new billers and financial institutions and increased transactions from our existing billers and financial institutions, together with improvements resulting from disinflation in the utility sector on a year over year basis, pricing improvements from customers related to our inflation management, the implementation of certain cost improvement measures and lower general and administrative expenditures primarily driven by lower insurance premiums and acquisition related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ind w:left="500"/>
              <w:spacing w:after="0"/>
              <w:rPr>
                <w:sz w:val="20"/>
                <w:szCs w:val="20"/>
                <w:color w:val="auto"/>
              </w:rPr>
            </w:pPr>
            <w:r>
              <w:rPr>
                <w:rFonts w:ascii="Arial" w:cs="Arial" w:eastAsia="Arial" w:hAnsi="Arial"/>
                <w:sz w:val="18"/>
                <w:szCs w:val="18"/>
                <w:i w:val="1"/>
                <w:iCs w:val="1"/>
                <w:color w:val="auto"/>
              </w:rPr>
              <w:t>Free Cash Flow</w:t>
            </w:r>
          </w:p>
        </w:tc>
        <w:tc>
          <w:tcPr>
            <w:tcW w:w="340" w:type="dxa"/>
            <w:vAlign w:val="bottom"/>
          </w:tcPr>
          <w:p>
            <w:pPr>
              <w:spacing w:after="0"/>
              <w:rPr>
                <w:sz w:val="20"/>
                <w:szCs w:val="20"/>
                <w:color w:val="auto"/>
              </w:rPr>
            </w:pPr>
          </w:p>
        </w:tc>
        <w:tc>
          <w:tcPr>
            <w:tcW w:w="3380" w:type="dxa"/>
            <w:vAlign w:val="bottom"/>
            <w:gridSpan w:val="6"/>
            <w:vMerge w:val="restart"/>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6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vMerge w:val="continue"/>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63,634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68,828</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19,867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(457 )</w:t>
            </w: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(600 )</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(1,257 )</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intangible assets acquired</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(36,119 )</w:t>
            </w: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(33,699 )</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(29,763 )</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Free cash flow</w:t>
            </w:r>
          </w:p>
        </w:tc>
        <w:tc>
          <w:tcPr>
            <w:tcW w:w="34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27,058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34,529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b w:val="1"/>
                <w:bCs w:val="1"/>
                <w:color w:val="auto"/>
              </w:rPr>
              <w:t>(11,433 )</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60" w:type="dxa"/>
            <w:vAlign w:val="bottom"/>
          </w:tcPr>
          <w:p>
            <w:pPr>
              <w:ind w:left="20"/>
              <w:spacing w:after="0" w:line="183"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spacing w:after="0" w:line="183" w:lineRule="exact"/>
              <w:rPr>
                <w:sz w:val="20"/>
                <w:szCs w:val="20"/>
                <w:color w:val="auto"/>
              </w:rPr>
            </w:pPr>
            <w:r>
              <w:rPr>
                <w:rFonts w:ascii="Arial" w:cs="Arial" w:eastAsia="Arial" w:hAnsi="Arial"/>
                <w:sz w:val="18"/>
                <w:szCs w:val="18"/>
                <w:color w:val="auto"/>
              </w:rPr>
              <w:t>(36,761 ) $</w:t>
            </w:r>
          </w:p>
        </w:tc>
        <w:tc>
          <w:tcPr>
            <w:tcW w:w="1920" w:type="dxa"/>
            <w:vAlign w:val="bottom"/>
            <w:gridSpan w:val="3"/>
          </w:tcPr>
          <w:p>
            <w:pPr>
              <w:jc w:val="right"/>
              <w:ind w:right="190"/>
              <w:spacing w:after="0" w:line="183" w:lineRule="exact"/>
              <w:rPr>
                <w:sz w:val="20"/>
                <w:szCs w:val="20"/>
                <w:color w:val="auto"/>
              </w:rPr>
            </w:pPr>
            <w:r>
              <w:rPr>
                <w:rFonts w:ascii="Arial" w:cs="Arial" w:eastAsia="Arial" w:hAnsi="Arial"/>
                <w:sz w:val="18"/>
                <w:szCs w:val="18"/>
                <w:color w:val="auto"/>
              </w:rPr>
              <w:t>(34,299 ) $</w:t>
            </w:r>
          </w:p>
        </w:tc>
        <w:tc>
          <w:tcPr>
            <w:tcW w:w="126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(34,560 )</w:t>
            </w:r>
          </w:p>
        </w:tc>
        <w:tc>
          <w:tcPr>
            <w:tcW w:w="0" w:type="dxa"/>
            <w:vAlign w:val="bottom"/>
          </w:tcPr>
          <w:p>
            <w:pPr>
              <w:spacing w:after="0"/>
              <w:rPr>
                <w:sz w:val="1"/>
                <w:szCs w:val="1"/>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(207 ) $</w:t>
            </w:r>
          </w:p>
        </w:tc>
        <w:tc>
          <w:tcPr>
            <w:tcW w:w="1920" w:type="dxa"/>
            <w:vAlign w:val="bottom"/>
            <w:gridSpan w:val="3"/>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(1,195 ) $</w:t>
            </w: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(37,283 )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-281940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-264795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-281940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decrease in free cash flow for the year ended December 31, 2024 compared to 2023 was primarily as a result of a decrease in cash generated from operations, together with increases in capitalized software development costs. Cash generated from operations decreased in 2024 compared to 2023 primarily due to increased income taxes and investment in working capital during 2024 as we scaled significantly. The increase in free cash flow for the year ended December 31, 2023 compared to 2022 was primarily as a result of an increase in cash generated from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47"/>
        </w:trPr>
        <w:tc>
          <w:tcPr>
            <w:tcW w:w="4660" w:type="dxa"/>
            <w:vAlign w:val="bottom"/>
          </w:tcPr>
          <w:p>
            <w:pPr>
              <w:spacing w:after="0"/>
              <w:rPr>
                <w:sz w:val="21"/>
                <w:szCs w:val="21"/>
                <w:color w:val="auto"/>
              </w:rPr>
            </w:pPr>
          </w:p>
        </w:tc>
        <w:tc>
          <w:tcPr>
            <w:tcW w:w="2700" w:type="dxa"/>
            <w:vAlign w:val="bottom"/>
            <w:gridSpan w:val="7"/>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303"/>
        </w:trPr>
        <w:tc>
          <w:tcPr>
            <w:tcW w:w="7360" w:type="dxa"/>
            <w:vAlign w:val="bottom"/>
            <w:gridSpan w:val="8"/>
          </w:tcPr>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3"/>
        </w:trPr>
        <w:tc>
          <w:tcPr>
            <w:tcW w:w="4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Change 2024 versus 2023</w:t>
            </w:r>
          </w:p>
        </w:tc>
        <w:tc>
          <w:tcPr>
            <w:tcW w:w="240" w:type="dxa"/>
            <w:vAlign w:val="bottom"/>
          </w:tcPr>
          <w:p>
            <w:pPr>
              <w:spacing w:after="0"/>
              <w:rPr>
                <w:sz w:val="24"/>
                <w:szCs w:val="24"/>
                <w:color w:val="auto"/>
              </w:rPr>
            </w:pPr>
          </w:p>
        </w:tc>
      </w:tr>
      <w:tr>
        <w:trPr>
          <w:trHeight w:val="196"/>
        </w:trPr>
        <w:tc>
          <w:tcPr>
            <w:tcW w:w="4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r>
      <w:tr>
        <w:trPr>
          <w:trHeight w:val="196"/>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1"/>
              </w:rPr>
              <w:t>(in thousands)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871,745</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614,490</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497,001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257,255</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633,575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432,148</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347,323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201,427</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238,170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182,342</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149,678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55,828</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30.6</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2"/>
        </w:trPr>
        <w:tc>
          <w:tcPr>
            <w:tcW w:w="4660" w:type="dxa"/>
            <w:vAlign w:val="bottom"/>
          </w:tcPr>
          <w:p>
            <w:pPr>
              <w:ind w:left="400"/>
              <w:spacing w:after="0" w:line="202" w:lineRule="exact"/>
              <w:rPr>
                <w:sz w:val="20"/>
                <w:szCs w:val="20"/>
                <w:color w:val="auto"/>
              </w:rPr>
            </w:pPr>
            <w:r>
              <w:rPr>
                <w:rFonts w:ascii="Arial" w:cs="Arial" w:eastAsia="Arial" w:hAnsi="Arial"/>
                <w:sz w:val="18"/>
                <w:szCs w:val="18"/>
                <w:i w:val="1"/>
                <w:iCs w:val="1"/>
                <w:color w:val="auto"/>
              </w:rPr>
              <w:t>Gross margin</w:t>
            </w:r>
          </w:p>
        </w:tc>
        <w:tc>
          <w:tcPr>
            <w:tcW w:w="26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i w:val="1"/>
                <w:iCs w:val="1"/>
                <w:color w:val="auto"/>
              </w:rPr>
              <w:t>27.3 %</w:t>
            </w:r>
          </w:p>
        </w:tc>
        <w:tc>
          <w:tcPr>
            <w:tcW w:w="24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i w:val="1"/>
                <w:iCs w:val="1"/>
                <w:color w:val="auto"/>
              </w:rPr>
              <w:t>29.7 %</w:t>
            </w:r>
          </w:p>
        </w:tc>
        <w:tc>
          <w:tcPr>
            <w:tcW w:w="3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i w:val="1"/>
                <w:iCs w:val="1"/>
                <w:color w:val="auto"/>
              </w:rPr>
              <w:t>30.1 %</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3"/>
                <w:szCs w:val="23"/>
                <w:color w:val="auto"/>
                <w:vertAlign w:val="superscript"/>
              </w:rPr>
              <w:t>(1)</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51,334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44,248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41,220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7,086</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3"/>
                <w:szCs w:val="23"/>
                <w:color w:val="auto"/>
                <w:vertAlign w:val="superscript"/>
              </w:rPr>
              <w:t>(1)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105,052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83,996</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73,295</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21,056</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36,005</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38,139</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922</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193,313</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164,249</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152,654</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29,064</w:t>
            </w: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tcPr>
          <w:p>
            <w:pPr>
              <w:ind w:left="280"/>
              <w:spacing w:after="0" w:line="196" w:lineRule="exact"/>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44,857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18,093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(2,976 )</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26,764</w:t>
            </w:r>
          </w:p>
        </w:tc>
        <w:tc>
          <w:tcPr>
            <w:tcW w:w="1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147.9</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8,742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1,723</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140"/>
              <w:spacing w:after="0" w:line="202" w:lineRule="exact"/>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n/m</w:t>
            </w:r>
          </w:p>
        </w:tc>
        <w:tc>
          <w:tcPr>
            <w:tcW w:w="240" w:type="dxa"/>
            <w:vAlign w:val="bottom"/>
          </w:tcPr>
          <w:p>
            <w:pPr>
              <w:spacing w:after="0"/>
              <w:rPr>
                <w:sz w:val="17"/>
                <w:szCs w:val="17"/>
                <w:color w:val="auto"/>
              </w:rPr>
            </w:pPr>
          </w:p>
        </w:tc>
      </w:tr>
      <w:tr>
        <w:trPr>
          <w:trHeight w:val="196"/>
        </w:trPr>
        <w:tc>
          <w:tcPr>
            <w:tcW w:w="46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53,944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25,124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(1,308 )</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28,820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114.7</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4660" w:type="dxa"/>
            <w:vAlign w:val="bottom"/>
          </w:tcPr>
          <w:p>
            <w:pPr>
              <w:ind w:left="140"/>
              <w:spacing w:after="0" w:line="196" w:lineRule="exact"/>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7"/>
                <w:szCs w:val="17"/>
                <w:color w:val="auto"/>
              </w:rPr>
            </w:pP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(9,775 )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(2,802 )</w:t>
            </w:r>
          </w:p>
        </w:tc>
        <w:tc>
          <w:tcPr>
            <w:tcW w:w="3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795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(6,973 )</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248.9</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46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44,169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22,322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(513 )</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21,847</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97.9</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-830580</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-830580</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-830580</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-830580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-830580</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-299720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120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-299720</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-299720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-299720</wp:posOffset>
            </wp:positionV>
            <wp:extent cx="154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-25400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Stock-based compensation expense was allocated in cost of revenue and operating expenses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9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00" w:type="dxa"/>
            <w:vAlign w:val="bottom"/>
            <w:shd w:val="clear" w:color="auto" w:fill="CFF0FC"/>
          </w:tcPr>
          <w:p>
            <w:pPr>
              <w:jc w:val="right"/>
              <w:ind w:right="790"/>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4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1,990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4,436</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3,353</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auto"/>
            </w:tcBorders>
            <w:shd w:val="clear" w:color="auto" w:fill="CFF0FC"/>
          </w:tcPr>
          <w:p>
            <w:pPr>
              <w:jc w:val="right"/>
              <w:ind w:right="790"/>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12,855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9,390</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6,736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46"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r>
      <w:tr>
        <w:trPr>
          <w:trHeight w:val="196"/>
        </w:trPr>
        <w:tc>
          <w:tcPr>
            <w:tcW w:w="69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w w:val="99"/>
              </w:rPr>
              <w:t>100.0 %</w:t>
            </w:r>
          </w:p>
        </w:tc>
        <w:tc>
          <w:tcPr>
            <w:tcW w:w="17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100.0 %</w:t>
            </w:r>
          </w:p>
        </w:tc>
        <w:tc>
          <w:tcPr>
            <w:tcW w:w="18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100.0 %</w:t>
            </w: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72.7 %</w:t>
            </w:r>
          </w:p>
        </w:tc>
        <w:tc>
          <w:tcPr>
            <w:tcW w:w="1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70.3 %</w:t>
            </w:r>
          </w:p>
        </w:tc>
        <w:tc>
          <w:tcPr>
            <w:tcW w:w="1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69.9 %</w:t>
            </w: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9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27.3 %</w:t>
            </w:r>
          </w:p>
        </w:tc>
        <w:tc>
          <w:tcPr>
            <w:tcW w:w="17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29.7 %</w:t>
            </w:r>
          </w:p>
        </w:tc>
        <w:tc>
          <w:tcPr>
            <w:tcW w:w="18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30.1 %</w:t>
            </w:r>
          </w:p>
        </w:tc>
      </w:tr>
      <w:tr>
        <w:trPr>
          <w:trHeight w:val="203"/>
        </w:trPr>
        <w:tc>
          <w:tcPr>
            <w:tcW w:w="6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9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5.9 %</w:t>
            </w:r>
          </w:p>
        </w:tc>
        <w:tc>
          <w:tcPr>
            <w:tcW w:w="17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7.2 %</w:t>
            </w:r>
          </w:p>
        </w:tc>
        <w:tc>
          <w:tcPr>
            <w:tcW w:w="18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8.3 %</w:t>
            </w:r>
          </w:p>
        </w:tc>
      </w:tr>
      <w:tr>
        <w:trPr>
          <w:trHeight w:val="203"/>
        </w:trPr>
        <w:tc>
          <w:tcPr>
            <w:tcW w:w="69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Sales and marketing</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12.1 %</w:t>
            </w:r>
          </w:p>
        </w:tc>
        <w:tc>
          <w:tcPr>
            <w:tcW w:w="1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13.7 %</w:t>
            </w:r>
          </w:p>
        </w:tc>
        <w:tc>
          <w:tcPr>
            <w:tcW w:w="1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14.7 %</w:t>
            </w:r>
          </w:p>
        </w:tc>
      </w:tr>
      <w:tr>
        <w:trPr>
          <w:trHeight w:val="203"/>
        </w:trPr>
        <w:tc>
          <w:tcPr>
            <w:tcW w:w="5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4.2 %</w:t>
            </w:r>
          </w:p>
        </w:tc>
        <w:tc>
          <w:tcPr>
            <w:tcW w:w="17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5.9 %</w:t>
            </w:r>
          </w:p>
        </w:tc>
        <w:tc>
          <w:tcPr>
            <w:tcW w:w="18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7.7 %</w:t>
            </w:r>
          </w:p>
        </w:tc>
      </w:tr>
      <w:tr>
        <w:trPr>
          <w:trHeight w:val="20"/>
        </w:trPr>
        <w:tc>
          <w:tcPr>
            <w:tcW w:w="59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98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7"/>
                <w:szCs w:val="17"/>
                <w:color w:val="auto"/>
              </w:rPr>
            </w:pP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22.2 %</w:t>
            </w:r>
          </w:p>
        </w:tc>
        <w:tc>
          <w:tcPr>
            <w:tcW w:w="17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26.8 %</w:t>
            </w:r>
          </w:p>
        </w:tc>
        <w:tc>
          <w:tcPr>
            <w:tcW w:w="18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30.7 %</w:t>
            </w: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9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Income (loss) from operations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5.1 %</w:t>
            </w:r>
          </w:p>
        </w:tc>
        <w:tc>
          <w:tcPr>
            <w:tcW w:w="17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2.9 %</w:t>
            </w:r>
          </w:p>
        </w:tc>
        <w:tc>
          <w:tcPr>
            <w:tcW w:w="18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(0.6 )%</w:t>
            </w:r>
          </w:p>
        </w:tc>
      </w:tr>
      <w:tr>
        <w:trPr>
          <w:trHeight w:val="203"/>
        </w:trPr>
        <w:tc>
          <w:tcPr>
            <w:tcW w:w="69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Interest income, net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1.0 %</w:t>
            </w:r>
          </w:p>
        </w:tc>
        <w:tc>
          <w:tcPr>
            <w:tcW w:w="1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1.1 %</w:t>
            </w:r>
          </w:p>
        </w:tc>
        <w:tc>
          <w:tcPr>
            <w:tcW w:w="1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0.3 %</w:t>
            </w:r>
          </w:p>
        </w:tc>
      </w:tr>
      <w:tr>
        <w:trPr>
          <w:trHeight w:val="203"/>
        </w:trPr>
        <w:tc>
          <w:tcPr>
            <w:tcW w:w="5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income</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0.0 %</w:t>
            </w:r>
          </w:p>
        </w:tc>
        <w:tc>
          <w:tcPr>
            <w:tcW w:w="17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0.0 %</w:t>
            </w:r>
          </w:p>
        </w:tc>
        <w:tc>
          <w:tcPr>
            <w:tcW w:w="18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0.0 %</w:t>
            </w:r>
          </w:p>
        </w:tc>
      </w:tr>
      <w:tr>
        <w:trPr>
          <w:trHeight w:val="20"/>
        </w:trPr>
        <w:tc>
          <w:tcPr>
            <w:tcW w:w="59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980" w:type="dxa"/>
            <w:vAlign w:val="bottom"/>
          </w:tcPr>
          <w:p>
            <w:pPr>
              <w:ind w:left="280"/>
              <w:spacing w:after="0" w:line="196" w:lineRule="exact"/>
              <w:rPr>
                <w:sz w:val="20"/>
                <w:szCs w:val="20"/>
                <w:color w:val="auto"/>
              </w:rPr>
            </w:pPr>
            <w:r>
              <w:rPr>
                <w:rFonts w:ascii="Arial" w:cs="Arial" w:eastAsia="Arial" w:hAnsi="Arial"/>
                <w:sz w:val="18"/>
                <w:szCs w:val="18"/>
                <w:color w:val="auto"/>
              </w:rPr>
              <w:t>Income (loss) before income taxes</w:t>
            </w:r>
          </w:p>
        </w:tc>
        <w:tc>
          <w:tcPr>
            <w:tcW w:w="960" w:type="dxa"/>
            <w:vAlign w:val="bottom"/>
          </w:tcPr>
          <w:p>
            <w:pPr>
              <w:spacing w:after="0"/>
              <w:rPr>
                <w:sz w:val="17"/>
                <w:szCs w:val="17"/>
                <w:color w:val="auto"/>
              </w:rPr>
            </w:pPr>
          </w:p>
        </w:tc>
        <w:tc>
          <w:tcPr>
            <w:tcW w:w="7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6.1 %</w:t>
            </w:r>
          </w:p>
        </w:tc>
        <w:tc>
          <w:tcPr>
            <w:tcW w:w="17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4.0 %</w:t>
            </w:r>
          </w:p>
        </w:tc>
        <w:tc>
          <w:tcPr>
            <w:tcW w:w="18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(0.3 )%</w:t>
            </w:r>
          </w:p>
        </w:tc>
      </w:tr>
      <w:tr>
        <w:trPr>
          <w:trHeight w:val="20"/>
        </w:trPr>
        <w:tc>
          <w:tcPr>
            <w:tcW w:w="5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59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(Provision for) benefit from income taxes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(1.1 )%</w:t>
            </w:r>
          </w:p>
        </w:tc>
        <w:tc>
          <w:tcPr>
            <w:tcW w:w="17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(0.5 )%</w:t>
            </w:r>
          </w:p>
        </w:tc>
        <w:tc>
          <w:tcPr>
            <w:tcW w:w="18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0.2 %</w:t>
            </w:r>
          </w:p>
        </w:tc>
      </w:tr>
      <w:tr>
        <w:trPr>
          <w:trHeight w:val="20"/>
        </w:trPr>
        <w:tc>
          <w:tcPr>
            <w:tcW w:w="59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5980" w:type="dxa"/>
            <w:vAlign w:val="bottom"/>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960" w:type="dxa"/>
            <w:vAlign w:val="bottom"/>
          </w:tcPr>
          <w:p>
            <w:pPr>
              <w:spacing w:after="0"/>
              <w:rPr>
                <w:sz w:val="17"/>
                <w:szCs w:val="17"/>
                <w:color w:val="auto"/>
              </w:rPr>
            </w:pPr>
          </w:p>
        </w:tc>
        <w:tc>
          <w:tcPr>
            <w:tcW w:w="7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5.0 %</w:t>
            </w:r>
          </w:p>
        </w:tc>
        <w:tc>
          <w:tcPr>
            <w:tcW w:w="174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3.5 %</w:t>
            </w:r>
          </w:p>
        </w:tc>
        <w:tc>
          <w:tcPr>
            <w:tcW w:w="1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(0.1 )%</w:t>
            </w:r>
          </w:p>
        </w:tc>
      </w:tr>
      <w:tr>
        <w:trPr>
          <w:trHeight w:val="20"/>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-967740</wp:posOffset>
            </wp:positionV>
            <wp:extent cx="1631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-967740</wp:posOffset>
            </wp:positionV>
            <wp:extent cx="1631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-967740</wp:posOffset>
            </wp:positionV>
            <wp:extent cx="1631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-436245</wp:posOffset>
            </wp:positionV>
            <wp:extent cx="1631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-436245</wp:posOffset>
            </wp:positionV>
            <wp:extent cx="1631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-436245</wp:posOffset>
            </wp:positionV>
            <wp:extent cx="1631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-161925</wp:posOffset>
            </wp:positionV>
            <wp:extent cx="1631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-161925</wp:posOffset>
            </wp:positionV>
            <wp:extent cx="163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-161925</wp:posOffset>
            </wp:positionV>
            <wp:extent cx="1631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Comparison of the Years Ended December 31, 2024 and 2023</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increase in revenue was primarily driven by an increase in the number of transactions processed, which was driven by the implementation of new billers and increased transactions from our existing billers.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costs associated with making our platform available to our billers.</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Gross margin experienced a decrease, driven by changes in customer mix resulting primarily from the addition of large, high-volume enterprise billers with lower margins in our biller mix. This decline was partially offset by cost improvement initiatives and the realization of economies of scale.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increase in research and development expenses was primarily due to increased amortization of capitalized internal-use software development costs, an increase in employee-related costs, including an increase in stock-based compensation and an increase in subscription cost for operational third party services.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Sales and marketing expenses increased mainly due to a $16.7 million rise in reseller commissions, including the amortization of warrants aligned with the growth in our revenue. Additionally, employee-related costs grew as a result of increased hiring and higher stock-based compensation expenses.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marginal increase in general and administrative expenses was primarily due to increases in professional fees and legal fees, which were offset by lower cost of insurance premiums of certain business policies.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income, net</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interest income, net was a result of higher cash balances held with banks.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change in provision for income taxes, as well as the increase in our effective tax rate, which increased to 18.1% for the year ended December 31, 2024 as compared to 11.2% for the same period in the prior year, was primarily due to an increase in taxable income after utilizing a significant amount of net operating losses (NOLs), which were previously subject to a full valuation allowance. Additionally, the increase in our effective tax rate was influenced by permanent differences for disallowed stock-based compensation pursuant to IRC Section 162(m) and state taxes, which were partially offset by the release of the valuation allowance.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As of December 31, 2024, we had $205.9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Our principal uses of cash are funding operations, which primarily consist of employee-related costs, and acquisitions. Although subject to change based on market opportunity or changing priorities, currently, we do not have any material planned capital expenditures in the next 12 months.</w:t>
      </w:r>
    </w:p>
    <w:p>
      <w:pPr>
        <w:spacing w:after="0" w:line="71"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or execute our growth strategy. Any future indebtedness we incur may result in terms that could be unfavorable to equity investors.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45"/>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Historical Cash Flows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6260" w:type="dxa"/>
            <w:vAlign w:val="bottom"/>
          </w:tcPr>
          <w:p>
            <w:pPr>
              <w:ind w:left="500"/>
              <w:spacing w:after="0"/>
              <w:rPr>
                <w:sz w:val="20"/>
                <w:szCs w:val="20"/>
                <w:color w:val="auto"/>
              </w:rPr>
            </w:pPr>
            <w:r>
              <w:rPr>
                <w:rFonts w:ascii="Arial" w:cs="Arial" w:eastAsia="Arial" w:hAnsi="Arial"/>
                <w:sz w:val="18"/>
                <w:szCs w:val="18"/>
                <w:color w:val="auto"/>
              </w:rPr>
              <w:t>The following table summarizes our consolidated cash flows: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6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63,634</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68,828</w:t>
            </w:r>
          </w:p>
        </w:tc>
        <w:tc>
          <w:tcPr>
            <w:tcW w:w="100" w:type="dxa"/>
            <w:vAlign w:val="bottom"/>
          </w:tcPr>
          <w:p>
            <w:pPr>
              <w:spacing w:after="0"/>
              <w:rPr>
                <w:sz w:val="17"/>
                <w:szCs w:val="17"/>
                <w:color w:val="auto"/>
              </w:rPr>
            </w:pP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19,867</w:t>
            </w:r>
          </w:p>
        </w:tc>
        <w:tc>
          <w:tcPr>
            <w:tcW w:w="100" w:type="dxa"/>
            <w:vAlign w:val="bottom"/>
          </w:tcPr>
          <w:p>
            <w:pPr>
              <w:spacing w:after="0"/>
              <w:rPr>
                <w:sz w:val="17"/>
                <w:szCs w:val="17"/>
                <w:color w:val="auto"/>
              </w:rPr>
            </w:pPr>
          </w:p>
        </w:tc>
      </w:tr>
      <w:tr>
        <w:trPr>
          <w:trHeight w:val="203"/>
        </w:trPr>
        <w:tc>
          <w:tcPr>
            <w:tcW w:w="62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(36,761 )</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(34,299 )</w:t>
            </w:r>
          </w:p>
        </w:tc>
        <w:tc>
          <w:tcPr>
            <w:tcW w:w="4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(34,560 )</w:t>
            </w:r>
          </w:p>
        </w:tc>
      </w:tr>
      <w:tr>
        <w:trPr>
          <w:trHeight w:val="203"/>
        </w:trPr>
        <w:tc>
          <w:tcPr>
            <w:tcW w:w="6260" w:type="dxa"/>
            <w:vAlign w:val="bottom"/>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(207 )</w:t>
            </w: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(1,195 )</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(37,283 )</w:t>
            </w:r>
          </w:p>
        </w:tc>
      </w:tr>
      <w:tr>
        <w:trPr>
          <w:trHeight w:val="203"/>
        </w:trPr>
        <w:tc>
          <w:tcPr>
            <w:tcW w:w="6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Effects of foreign exchange on cash</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(450 )</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(168 )</w:t>
            </w:r>
          </w:p>
        </w:tc>
      </w:tr>
      <w:tr>
        <w:trPr>
          <w:trHeight w:val="20"/>
        </w:trPr>
        <w:tc>
          <w:tcPr>
            <w:tcW w:w="6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60" w:type="dxa"/>
            <w:vAlign w:val="bottom"/>
          </w:tcPr>
          <w:p>
            <w:pPr>
              <w:ind w:left="20"/>
              <w:spacing w:after="0" w:line="182" w:lineRule="exact"/>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26,216</w:t>
            </w:r>
          </w:p>
        </w:tc>
        <w:tc>
          <w:tcPr>
            <w:tcW w:w="1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33,510</w:t>
            </w:r>
          </w:p>
        </w:tc>
        <w:tc>
          <w:tcPr>
            <w:tcW w:w="100" w:type="dxa"/>
            <w:vAlign w:val="bottom"/>
          </w:tcPr>
          <w:p>
            <w:pPr>
              <w:spacing w:after="0"/>
              <w:rPr>
                <w:sz w:val="17"/>
                <w:szCs w:val="17"/>
                <w:color w:val="auto"/>
              </w:rPr>
            </w:pPr>
          </w:p>
        </w:tc>
        <w:tc>
          <w:tcPr>
            <w:tcW w:w="40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(52,144 )</w:t>
            </w:r>
          </w:p>
        </w:tc>
      </w:tr>
      <w:tr>
        <w:trPr>
          <w:trHeight w:val="20"/>
        </w:trPr>
        <w:tc>
          <w:tcPr>
            <w:tcW w:w="6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-162560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 Net cash provided by operating activities mainly consists of our net income (loss) adjusted for certain non-cash items, including depreciation and amortization, stock-based compensation, other non-cash income and expense items, and net changes in operating assets and liabilities.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Net cash provided by operating activities for the year ended December 31, 2024 was $63.6 million. Net income was $ 44.2 million, adjusted for non-cash charges of $55.4 million consisting primarily of depreciation and amortization, stock-based compensation, amortization of capitalized contract acquisition costs and warrants cost, and non-cash lease expense, which contributed positively to operating activities. This was decreased by net cash outflows of $36.0 million for changes in our operating assets and liabilities.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Net cash provided by operating activities for the year ended December 31, 2023 was $68.8 million. Net income was $ 22.3 million, adjusted for non-cash charges of $46.1 million consisting primarily of depreciation and amortization, stock-based compensation, amortization of capitalized contract acquisition costs and warrants cost, and non-cash lease expense, which contributed positively to operating activities. This was increased by net cash inflows of $0.4 million for changes in our operating assets and liabilities.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Cash used in our investing activities consists primarily of cash paid for capitalized internal-use software development costs and purchases of property and equipment and change in interest-bearing deposits.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year ended December 31, 2024 consisted of $36.1 million of capitalized internal-use software development costs, $0.5 million of purchases of property and equipment and $0.2 million of net change in interest-bearing deposits.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investing activities for the year ended December 31, 2023 consisted of $33.7 million of capitalized internal-use software development costs and $0.6 million of purchases of property and equipment.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Cash used in financing activities consists primarily of option exercises and payments related to holdback liabilities related to acquisitions.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Net cash used in financing activities for the year ended December 31, 2024 consisted of $0.5 million of payments related to holdback liabilities settlement offset by $0.3 million proceeds from the exercise of stock options.</w:t>
      </w:r>
    </w:p>
    <w:p>
      <w:pPr>
        <w:spacing w:after="0" w:line="46" w:lineRule="exact"/>
        <w:rPr>
          <w:sz w:val="20"/>
          <w:szCs w:val="20"/>
          <w:color w:val="auto"/>
        </w:rPr>
      </w:pPr>
    </w:p>
    <w:p>
      <w:pPr>
        <w:jc w:val="both"/>
        <w:ind w:firstLine="494"/>
        <w:spacing w:after="0" w:line="245" w:lineRule="auto"/>
        <w:rPr>
          <w:sz w:val="20"/>
          <w:szCs w:val="20"/>
          <w:color w:val="auto"/>
        </w:rPr>
      </w:pPr>
      <w:r>
        <w:rPr>
          <w:rFonts w:ascii="Arial" w:cs="Arial" w:eastAsia="Arial" w:hAnsi="Arial"/>
          <w:sz w:val="18"/>
          <w:szCs w:val="18"/>
          <w:color w:val="auto"/>
        </w:rPr>
        <w:t>Net cash used in financing activities for the year ended December 31, 2023 consisted of $1.7 million of payments on other financing obligations, $0.1 million of payments on finance leases, offset by $0.6 million proceeds from exercise of stock-based awards by employees.</w:t>
      </w: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7"/>
        </w:trPr>
        <w:tc>
          <w:tcPr>
            <w:tcW w:w="2840" w:type="dxa"/>
            <w:vAlign w:val="bottom"/>
          </w:tcPr>
          <w:p>
            <w:pPr>
              <w:spacing w:after="0"/>
              <w:rPr>
                <w:sz w:val="21"/>
                <w:szCs w:val="21"/>
                <w:color w:val="auto"/>
              </w:rPr>
            </w:pPr>
          </w:p>
        </w:tc>
        <w:tc>
          <w:tcPr>
            <w:tcW w:w="5820" w:type="dxa"/>
            <w:vAlign w:val="bottom"/>
            <w:gridSpan w:val="6"/>
          </w:tcPr>
          <w:p>
            <w:pPr>
              <w:jc w:val="right"/>
              <w:ind w:right="850"/>
              <w:spacing w:after="0"/>
              <w:rPr>
                <w:sz w:val="20"/>
                <w:szCs w:val="20"/>
                <w:color w:val="auto"/>
              </w:rPr>
            </w:pPr>
            <w:r>
              <w:rPr>
                <w:rFonts w:ascii="Arial" w:cs="Arial" w:eastAsia="Arial" w:hAnsi="Arial"/>
                <w:sz w:val="18"/>
                <w:szCs w:val="18"/>
                <w:b w:val="1"/>
                <w:bCs w:val="1"/>
                <w:color w:val="auto"/>
              </w:rPr>
              <w:t>Contractual Obligations and Other Commitments</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9880" w:type="dxa"/>
            <w:vAlign w:val="bottom"/>
            <w:gridSpan w:val="9"/>
          </w:tcPr>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December 31, 2024: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8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2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Less than 1</w:t>
            </w:r>
          </w:p>
        </w:tc>
        <w:tc>
          <w:tcPr>
            <w:tcW w:w="100" w:type="dxa"/>
            <w:vAlign w:val="bottom"/>
          </w:tcPr>
          <w:p>
            <w:pPr>
              <w:spacing w:after="0"/>
              <w:rPr>
                <w:sz w:val="23"/>
                <w:szCs w:val="23"/>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1 - 3 Years</w:t>
            </w:r>
          </w:p>
        </w:tc>
        <w:tc>
          <w:tcPr>
            <w:tcW w:w="100" w:type="dxa"/>
            <w:vAlign w:val="bottom"/>
          </w:tcPr>
          <w:p>
            <w:pPr>
              <w:spacing w:after="0"/>
              <w:rPr>
                <w:sz w:val="23"/>
                <w:szCs w:val="23"/>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3 - 5 Years</w:t>
            </w:r>
          </w:p>
        </w:tc>
        <w:tc>
          <w:tcPr>
            <w:tcW w:w="10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8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84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Operating lease liabilities</w:t>
            </w:r>
            <w:r>
              <w:rPr>
                <w:rFonts w:ascii="Arial" w:cs="Arial" w:eastAsia="Arial" w:hAnsi="Arial"/>
                <w:sz w:val="22"/>
                <w:szCs w:val="22"/>
                <w:color w:val="auto"/>
                <w:vertAlign w:val="superscript"/>
              </w:rPr>
              <w:t>(1)</w:t>
            </w:r>
          </w:p>
        </w:tc>
        <w:tc>
          <w:tcPr>
            <w:tcW w:w="3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9,046</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2,424</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3,833</w:t>
            </w:r>
          </w:p>
        </w:tc>
        <w:tc>
          <w:tcPr>
            <w:tcW w:w="1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1,853</w:t>
            </w:r>
          </w:p>
        </w:tc>
        <w:tc>
          <w:tcPr>
            <w:tcW w:w="1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3"/>
                <w:szCs w:val="23"/>
                <w:color w:val="auto"/>
                <w:vertAlign w:val="superscript"/>
              </w:rPr>
              <w:t>(2)</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10,943</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7,716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3,227</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(3)</w:t>
            </w:r>
          </w:p>
        </w:tc>
        <w:tc>
          <w:tcPr>
            <w:tcW w:w="20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w:t>
            </w: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w:t>
            </w:r>
          </w:p>
        </w:tc>
        <w:tc>
          <w:tcPr>
            <w:tcW w:w="1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3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20,401</w:t>
            </w: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10,552</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7,060</w:t>
            </w: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1,853</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-162560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-162560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-162560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-162560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Consists of operating lease liabilities for office space.</w:t>
      </w:r>
    </w:p>
    <w:p>
      <w:pPr>
        <w:ind w:right="120"/>
        <w:spacing w:after="0" w:line="220"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Consists of purchase obligations which were not recognized on the balance sheet as of December 31, 2024, related primarily to infrastructure services and IT software and maintenance service costs.</w:t>
      </w:r>
    </w:p>
    <w:p>
      <w:pPr>
        <w:ind w:left="180" w:hanging="172"/>
        <w:spacing w:after="0" w:line="217"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Consists of Acquisition holdback payments due to the former owners of PROFIT.</w:t>
      </w:r>
    </w:p>
    <w:p>
      <w:pPr>
        <w:spacing w:after="0" w:line="18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68"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 critical accounting policies and estimates that we believe have the most significant impact on our consolidated financial statements are described below. See Note 2 to our consolidated financial statements included elsewhere in this Annual Report on Form 10-K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Application of the accounting principles in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or an agent can require considerable judgment. We have concluded that we are typically the principal in our payment processing arrangements as we control the service on our platform. We also typically contract directly with our billers and have complete pricing latitude on the processing fees charged to our billers. As such, we bear the credit risk for network fees and transactions charged back to the biller. In circumstances where we have minimum revenue or transaction commitments, determining the appropriate accounting treatment of fixed and variable consideration may require considerable judgment.</w:t>
      </w:r>
    </w:p>
    <w:p>
      <w:pPr>
        <w:spacing w:after="0" w:line="7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We will evaluate our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as well as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68"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18"/>
          <w:szCs w:val="18"/>
          <w:color w:val="auto"/>
        </w:rPr>
        <w:t>We consider current economic trends when evaluating the adequacy of the allowance for credit losses. If circumstances relating to specific billers change or unanticipated changes occur in the general business environment, our estimate of the recoverability of receivables could be further adjusted.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jc w:val="both"/>
        <w:ind w:right="20" w:firstLine="499"/>
        <w:spacing w:after="0" w:line="241" w:lineRule="auto"/>
        <w:rPr>
          <w:sz w:val="20"/>
          <w:szCs w:val="20"/>
          <w:color w:val="auto"/>
        </w:rPr>
      </w:pPr>
      <w:r>
        <w:rPr>
          <w:rFonts w:ascii="Arial" w:cs="Arial" w:eastAsia="Arial" w:hAnsi="Arial"/>
          <w:sz w:val="18"/>
          <w:szCs w:val="18"/>
          <w:color w:val="auto"/>
        </w:rPr>
        <w:t>Upon acquisition of a company, we determine if the transaction is a business combination, which is accounted for using the acquisition method of accounting. Under the acquisition method, once control is obtained of a business, the assets acquired, and liabilities assumed are recorded at fair value. We use our best estimates and assumptions to assign fair value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spacing w:after="0"/>
        <w:rPr>
          <w:sz w:val="20"/>
          <w:szCs w:val="20"/>
          <w:color w:val="auto"/>
        </w:rPr>
      </w:pPr>
      <w:r>
        <w:rPr>
          <w:rFonts w:ascii="Arial" w:cs="Arial" w:eastAsia="Arial" w:hAnsi="Arial"/>
          <w:sz w:val="18"/>
          <w:szCs w:val="18"/>
          <w:color w:val="auto"/>
        </w:rPr>
        <w:t>to the tangible and intangible assets acquired and liabilities assumed at the acquisition date. One of the most significant estimates relates to the determination of the fair value of these assets and liabilities. The determination of the fair values is based on estimates and judgments made by management. Our estimates of fair value are based upon assumptions we believe to be reasonable, but which are inherently uncertain and unpredictable. Measurement period adjustments are reflected at the time identified, up through the conclusion of the measurement period, which is the time at which all information for determination of the values of assets acquired and liabilities assumed is received, and is not to exceed one year from the acquisition date. We may record adjustments to the fair value of these tangible and intangible assets acquired and liabilities assumed, with the corresponding offset to goodwill.</w:t>
      </w:r>
    </w:p>
    <w:p>
      <w:pPr>
        <w:spacing w:after="0" w:line="77"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Additionally, uncertain tax positions and tax-related valuation allowances are initially recorded in connection with a business combination as of the acquisition date. We continue to collect information and reevaluate these estimates and assumptions periodically and record any adjustments to preliminary estimates to goodwill, provided we are within the measurement period. If outside of the measurement period, any subsequent adjustments are recorded to the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Internal-use software development costs consist of personnel costs, including related benefits, incurred to develop functionality for our platform, as well as certain upgrades and enhancements that are expected to result in enhanced functionality. We capitalize certain software development costs for new offerings as well as upgrades to our existing software platforms. We amortize these development costs over the estimated useful life of three to five years on a straight-line basis. We believe there are two key estimates within the internal-use capitalized software development balance, which are the determination of the useful life of the software and the determination of the amounts to be capitalized.</w:t>
      </w:r>
    </w:p>
    <w:p>
      <w:pPr>
        <w:spacing w:after="0" w:line="71" w:lineRule="exact"/>
        <w:rPr>
          <w:sz w:val="20"/>
          <w:szCs w:val="20"/>
          <w:color w:val="auto"/>
        </w:rPr>
      </w:pPr>
    </w:p>
    <w:p>
      <w:pPr>
        <w:jc w:val="both"/>
        <w:ind w:firstLine="499"/>
        <w:spacing w:after="0"/>
        <w:rPr>
          <w:sz w:val="20"/>
          <w:szCs w:val="20"/>
          <w:color w:val="auto"/>
        </w:rPr>
      </w:pPr>
      <w:r>
        <w:rPr>
          <w:rFonts w:ascii="Arial" w:cs="Arial" w:eastAsia="Arial" w:hAnsi="Arial"/>
          <w:sz w:val="18"/>
          <w:szCs w:val="18"/>
          <w:color w:val="auto"/>
        </w:rPr>
        <w:t>We determined that a three to five-year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to five years before being significantly replaced or modified to keep up with evolving biller and company needs. While we do not anticipate any significant changes to this three to five-year estimate, a change in this estimate could produce a material impact on our financial statements. For example, if we received information that indicated the useful life of all internally developed software was one year rather than three to five, our capitalized software balance would materially decrease and our expense would materially increase.</w:t>
      </w:r>
    </w:p>
    <w:p>
      <w:pPr>
        <w:spacing w:after="0" w:line="72" w:lineRule="exact"/>
        <w:rPr>
          <w:sz w:val="20"/>
          <w:szCs w:val="20"/>
          <w:color w:val="auto"/>
        </w:rPr>
      </w:pPr>
    </w:p>
    <w:p>
      <w:pPr>
        <w:jc w:val="both"/>
        <w:ind w:firstLine="499"/>
        <w:spacing w:after="0" w:line="244" w:lineRule="auto"/>
        <w:rPr>
          <w:sz w:val="20"/>
          <w:szCs w:val="20"/>
          <w:color w:val="auto"/>
        </w:rPr>
      </w:pPr>
      <w:r>
        <w:rPr>
          <w:rFonts w:ascii="Arial" w:cs="Arial" w:eastAsia="Arial" w:hAnsi="Arial"/>
          <w:sz w:val="18"/>
          <w:szCs w:val="18"/>
          <w:color w:val="auto"/>
        </w:rPr>
        <w:t>We determine the amount of internal-use software development costs to be capitalized based on the amount of time spent by our developers on projects. Costs associated with building or significantly enhancing our platforms are capitalized, while costs associated with planning new developments and maintaining our platform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Intangibles</w:t>
      </w:r>
    </w:p>
    <w:p>
      <w:pPr>
        <w:spacing w:after="0" w:line="102" w:lineRule="exact"/>
        <w:rPr>
          <w:sz w:val="20"/>
          <w:szCs w:val="20"/>
          <w:color w:val="auto"/>
        </w:rPr>
      </w:pPr>
    </w:p>
    <w:p>
      <w:pPr>
        <w:jc w:val="both"/>
        <w:ind w:firstLine="499"/>
        <w:spacing w:after="0" w:line="239" w:lineRule="auto"/>
        <w:rPr>
          <w:sz w:val="20"/>
          <w:szCs w:val="20"/>
          <w:color w:val="auto"/>
        </w:rPr>
      </w:pPr>
      <w:r>
        <w:rPr>
          <w:rFonts w:ascii="Arial" w:cs="Arial" w:eastAsia="Arial" w:hAnsi="Arial"/>
          <w:sz w:val="18"/>
          <w:szCs w:val="18"/>
          <w:color w:val="auto"/>
        </w:rPr>
        <w:t>The valuation of assets acquired in a business combination and asset impairment reviews require the use of significant estimates and assumptions. The acquisition method of accounting for business combinations requires us to estimate the fair value of assets acquired and liabilities assumed in an acquired business to allocate purchase price consideration between assets that are depreciated and amortized and goodwill. Impairment testing for assets, other than goodwill, requires the comparison of the carrying amount of an asset or an asset group to estimated undiscounted future net cash flows expected to be generated by the asset or asset group. If the carrying amount of an asset exceeds these estimated future cash flows, an impairment charge is recognized in the amount by which the carrying amount of the assets exceeds the fair value of the asset or asset group.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75" w:lineRule="exact"/>
        <w:rPr>
          <w:sz w:val="20"/>
          <w:szCs w:val="20"/>
          <w:color w:val="auto"/>
        </w:rPr>
      </w:pPr>
    </w:p>
    <w:p>
      <w:pPr>
        <w:jc w:val="both"/>
        <w:ind w:firstLine="499"/>
        <w:spacing w:after="0" w:line="242" w:lineRule="auto"/>
        <w:rPr>
          <w:sz w:val="20"/>
          <w:szCs w:val="20"/>
          <w:color w:val="auto"/>
        </w:rPr>
      </w:pPr>
      <w:r>
        <w:rPr>
          <w:rFonts w:ascii="Arial" w:cs="Arial" w:eastAsia="Arial" w:hAnsi="Arial"/>
          <w:sz w:val="18"/>
          <w:szCs w:val="18"/>
          <w:color w:val="auto"/>
        </w:rPr>
        <w:t>We evaluate goodwill for impairment on an annual basis, or sooner if indicators of impairment exist. Under GAAP, the evaluation of goodwill for impairment allows for a qualitative assessment to be performed. In performing these qualitative assessments, we consider relevant events and conditions, including but not limited to: macroeconomic trends, industry and market conditions, overall financial performance, cost factors, company-specific events, legal and regulatory factors and our market capitalization. If the qualitative assessments indicate that it is more likely than not that the fair value of the reporting unit is less than its carrying amounts, we must perform a quantitative impairment test.</w:t>
      </w:r>
    </w:p>
    <w:p>
      <w:pPr>
        <w:spacing w:after="0" w:line="71" w:lineRule="exact"/>
        <w:rPr>
          <w:sz w:val="20"/>
          <w:szCs w:val="20"/>
          <w:color w:val="auto"/>
        </w:rPr>
      </w:pPr>
    </w:p>
    <w:p>
      <w:pPr>
        <w:jc w:val="both"/>
        <w:ind w:firstLine="499"/>
        <w:spacing w:after="0" w:line="245" w:lineRule="auto"/>
        <w:rPr>
          <w:sz w:val="20"/>
          <w:szCs w:val="20"/>
          <w:color w:val="auto"/>
        </w:rPr>
      </w:pPr>
      <w:r>
        <w:rPr>
          <w:rFonts w:ascii="Arial" w:cs="Arial" w:eastAsia="Arial" w:hAnsi="Arial"/>
          <w:sz w:val="18"/>
          <w:szCs w:val="18"/>
          <w:color w:val="auto"/>
        </w:rPr>
        <w:t>Goodwill impairment is recognized when the quantitative assessment results in the carrying value of the reporting unit exceeding its fair value, in which case an impairment charge is recorded to goodwill to the extent the carrying value exceeds</w:t>
      </w: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18"/>
          <w:szCs w:val="18"/>
          <w:color w:val="auto"/>
        </w:rPr>
        <w:t>the fair value, limited to the amount of goodwill. Measurement of the fair value of a reporting unit is based on one or more of the following fair value measures: amounts at which the unit as a whole could be bought or sold in a current transaction between willing parties, present value techniques of estimated future cash flows, valuation techniques based on multiples of earnings or revenue or a similar performance measure.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499"/>
        <w:spacing w:after="0" w:line="212" w:lineRule="exact"/>
        <w:rPr>
          <w:sz w:val="20"/>
          <w:szCs w:val="20"/>
          <w:color w:val="auto"/>
        </w:rPr>
      </w:pPr>
      <w:r>
        <w:rPr>
          <w:rFonts w:ascii="Arial" w:cs="Arial" w:eastAsia="Arial" w:hAnsi="Arial"/>
          <w:sz w:val="18"/>
          <w:szCs w:val="18"/>
          <w:color w:val="auto"/>
        </w:rPr>
        <w:t>We measure and recognize stock-based compensation expense for all stock-based awards, including grants of restricted stock units, or RSUs, and options to purchase stock granted to employees, outside directors and consultants based on the estimated fair value of the awards on the grant date of the award with the compensation expense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of the award. Forfeitures are accounted for in the period in which they occur.</w:t>
      </w:r>
    </w:p>
    <w:p>
      <w:pPr>
        <w:spacing w:after="0" w:line="73"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fair value of an RSU is measured using the market price of our Class A common stock on the date of grant. We estimate grant date fair value for options using the Black-Scholes option pricing model. The determination of the fair value of options on the date of grant using a Black-Scholes option-pricing model is affected by the estimated fair value of our common stock, as well as assumptions regarding a number of variables that are complex, subjective and generally require significant judgment to determine. If factors change and different assumptions are used, our stock-based compensation expense could be materially different in the future.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valuation assumptions were determined as follows:</w:t>
      </w:r>
    </w:p>
    <w:p>
      <w:pPr>
        <w:spacing w:after="0" w:line="104"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i w:val="1"/>
          <w:iCs w:val="1"/>
          <w:color w:val="auto"/>
        </w:rPr>
        <w:t>Fair Value of Underlying Common Stock</w:t>
      </w:r>
      <w:r>
        <w:rPr>
          <w:rFonts w:ascii="Arial" w:cs="Arial" w:eastAsia="Arial" w:hAnsi="Arial"/>
          <w:sz w:val="18"/>
          <w:szCs w:val="18"/>
          <w:color w:val="auto"/>
        </w:rPr>
        <w:t>—Prior to the IPO, our common stock was not yet publicly traded, therefore we estimated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common stock. Our board of directors considered numerous objective and subjective factors to determine the fair value of our common stock at each meeting in which awards are approved. These factors included historical and projected financial information, prospects and risks, company performance, various corporate documents, capitalization and economic and financial market conditions. Management, with its third-party valuation firm, also used other economic, industry and market information obtained from other resources considered reliable</w:t>
      </w:r>
      <w:r>
        <w:rPr>
          <w:rFonts w:ascii="Calibri" w:cs="Calibri" w:eastAsia="Calibri" w:hAnsi="Calibri"/>
          <w:sz w:val="19"/>
          <w:szCs w:val="19"/>
          <w:color w:val="auto"/>
        </w:rPr>
        <w:t>.</w:t>
      </w:r>
      <w:r>
        <w:rPr>
          <w:rFonts w:ascii="Arial" w:cs="Arial" w:eastAsia="Arial" w:hAnsi="Arial"/>
          <w:sz w:val="18"/>
          <w:szCs w:val="18"/>
          <w:color w:val="auto"/>
        </w:rPr>
        <w:t xml:space="preserve"> After the IPO, we used the publicly quoted price as reported on the New York Stock Exchange as the fair value of our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life of options granted to employees was determined by using management’s best estimation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activity.</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use a risk-free interest rate in the option valuation model based on U.S. Treasury zero-coupon issues,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remaining terms similar to the expected term of the options.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we do not have extensive trading history for our common stock, the expected volatility is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of our publicly traded industry peers utilizing a period of time consistent with our estimate of expected term.</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do not anticipate paying any cash dividends in the foreseeable future and, therefore, use an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yield of zero in the option valuation model.</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are subject to income taxes in the United States and numerous foreign jurisdictions. Significant judgment is required in determining our provision for income taxes and deferred tax assets and liabilities, including evaluating uncertainties in the application of accounting principles and complex tax laws.</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record a provision for income taxes for the anticipated tax consequences of the reported results of operations using the asset and liability method. Under this method, we recognize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71" w:lineRule="exact"/>
        <w:rPr>
          <w:sz w:val="20"/>
          <w:szCs w:val="20"/>
          <w:color w:val="auto"/>
        </w:rPr>
      </w:pPr>
    </w:p>
    <w:p>
      <w:pPr>
        <w:jc w:val="both"/>
        <w:ind w:firstLine="494"/>
        <w:spacing w:after="0" w:line="241" w:lineRule="auto"/>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We consider all available evidence, both positive and negative, including historical levels of income, expectations and risks associated with estimates of future taxable income, in assessing the need for a valuation allowance.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jc w:val="both"/>
        <w:ind w:firstLine="494"/>
        <w:spacing w:after="0" w:line="239" w:lineRule="auto"/>
        <w:rPr>
          <w:sz w:val="20"/>
          <w:szCs w:val="20"/>
          <w:color w:val="auto"/>
        </w:rPr>
      </w:pPr>
      <w:r>
        <w:rPr>
          <w:rFonts w:ascii="Arial" w:cs="Arial" w:eastAsia="Arial" w:hAnsi="Arial"/>
          <w:sz w:val="18"/>
          <w:szCs w:val="18"/>
          <w:color w:val="auto"/>
        </w:rPr>
        <w:t>Our tax positions are subject to income tax audits by multiple tax jurisdictions such as USA, Canada and India. We recognize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We recognize interest accrued and penalties related to unrecognized tax benefits in income tax expense. We adjust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our financial condition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 until we are no longer an emerging growth company or until we affirmatively and irrevocably opt out of the extended transition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more information regarding recently issued accounting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014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701415" cy="8890"/>
                    </a:xfrm>
                    <a:prstGeom prst="rect">
                      <a:avLst/>
                    </a:prstGeom>
                    <a:noFill/>
                  </pic:spPr>
                </pic:pic>
              </a:graphicData>
            </a:graphic>
          </wp:anchor>
        </w:drawing>
      </w:r>
    </w:p>
    <w:p>
      <w:pPr>
        <w:spacing w:after="0" w:line="84"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Our unrestricted cash and cash equivalents consist of bank deposits and money market funds with original maturities of three months or less. Our cash and cash equivalents are held for working capital purposes. We do not enter into investments for trading or speculative purposes. Interest income associated with our cash equivalents and our investment portfolio are subject to market risk due to changes in interest rates. In addition, we have no variable interest rate indebtedness. As of December 31, 2024, we do not believe that a hypothetical 10% relative change in interest rates would have had a material impact on the value of our cash equivalents, investment portfolio or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As of December 31, 2024, we do not believe that a hypothetical 10% increase or decrease in the relative value of the U.S. dollar to other applicable currencies would have a material effect on operating results.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7760" w:type="dxa"/>
            <w:vAlign w:val="bottom"/>
            <w:gridSpan w:val="7"/>
          </w:tcPr>
          <w:p>
            <w:pPr>
              <w:jc w:val="center"/>
              <w:ind w:right="1400"/>
              <w:spacing w:after="0"/>
              <w:rPr>
                <w:sz w:val="20"/>
                <w:szCs w:val="20"/>
                <w:color w:val="auto"/>
              </w:rPr>
            </w:pPr>
            <w:r>
              <w:rPr>
                <w:rFonts w:ascii="Arial" w:cs="Arial" w:eastAsia="Arial" w:hAnsi="Arial"/>
                <w:sz w:val="18"/>
                <w:szCs w:val="18"/>
                <w:b w:val="1"/>
                <w:bCs w:val="1"/>
                <w:color w:val="auto"/>
              </w:rPr>
              <w:t>INDEX TO CONSOLIDATED FINANCIAL STATEMENTS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160" w:type="dxa"/>
            <w:vAlign w:val="bottom"/>
            <w:gridSpan w:val="10"/>
          </w:tcPr>
          <w:p>
            <w:pPr>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524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Consolidated Balance Sheets as of December 31, 2024 and 2023</w:t>
            </w:r>
          </w:p>
        </w:tc>
        <w:tc>
          <w:tcPr>
            <w:tcW w:w="20" w:type="dxa"/>
            <w:vAlign w:val="bottom"/>
            <w:tcBorders>
              <w:top w:val="single" w:sz="8" w:color="0000FF"/>
              <w:bottom w:val="single" w:sz="8" w:color="0000EE"/>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16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Consolidated Statements of Operations and Comprehensive Income (Loss) for the Years ended December 31, 2024, 2023 and</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4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4"/>
              </w:rPr>
              <w:t>2022</w:t>
            </w:r>
          </w:p>
        </w:tc>
        <w:tc>
          <w:tcPr>
            <w:tcW w:w="20" w:type="dxa"/>
            <w:vAlign w:val="bottom"/>
            <w:tcBorders>
              <w:bottom w:val="single" w:sz="8" w:color="0000EE"/>
            </w:tcBorders>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160" w:type="dxa"/>
            <w:vAlign w:val="bottom"/>
            <w:gridSpan w:val="10"/>
          </w:tcPr>
          <w:p>
            <w:pPr>
              <w:spacing w:after="0" w:line="182" w:lineRule="exact"/>
              <w:rPr>
                <w:sz w:val="20"/>
                <w:szCs w:val="20"/>
                <w:color w:val="auto"/>
              </w:rPr>
            </w:pPr>
            <w:r>
              <w:rPr>
                <w:rFonts w:ascii="Arial" w:cs="Arial" w:eastAsia="Arial" w:hAnsi="Arial"/>
                <w:sz w:val="18"/>
                <w:szCs w:val="18"/>
                <w:color w:val="0000FF"/>
              </w:rPr>
              <w:t>Consolidated Statements of Stockholders’ Equity for the Years ended December 31, 2024, 2023 and 2022</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84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Consolidated Statements of Cash Flows for the Years ended December 31, 2024, 2023 and 2022</w:t>
            </w:r>
          </w:p>
        </w:tc>
        <w:tc>
          <w:tcPr>
            <w:tcW w:w="17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77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Notes to Consolidated Financial Statements</w:t>
            </w:r>
          </w:p>
        </w:tc>
        <w:tc>
          <w:tcPr>
            <w:tcW w:w="2400" w:type="dxa"/>
            <w:vAlign w:val="bottom"/>
            <w:gridSpan w:val="2"/>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71</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-1542415</wp:posOffset>
            </wp:positionV>
            <wp:extent cx="317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ind w:right="3140" w:firstLine="3132"/>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Paymentus Holdings, Inc.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Paymentus Holdings, Inc. and its subsidiaries (the “Company”) as of December 31, 2024 and 2023, and the related consolidated statements of operations and comprehensive income (loss), of stockholders’ equity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10,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ind w:left="4340"/>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CONSOLIDATED BALANCE SHEETS</w:t>
      </w:r>
    </w:p>
    <w:tbl>
      <w:tblPr>
        <w:tblLayout w:type="fixed"/>
        <w:tblInd w:w="0" w:type="dxa"/>
        <w:tblCellMar>
          <w:top w:w="0" w:type="dxa"/>
          <w:left w:w="0" w:type="dxa"/>
          <w:bottom w:w="0" w:type="dxa"/>
          <w:right w:w="0" w:type="dxa"/>
        </w:tblCellMar>
      </w:tblPr>
      <w:tr>
        <w:trPr>
          <w:trHeight w:val="239"/>
        </w:trPr>
        <w:tc>
          <w:tcPr>
            <w:tcW w:w="7780" w:type="dxa"/>
            <w:vAlign w:val="bottom"/>
          </w:tcPr>
          <w:p>
            <w:pPr>
              <w:ind w:left="3700"/>
              <w:spacing w:after="0"/>
              <w:rPr>
                <w:sz w:val="20"/>
                <w:szCs w:val="20"/>
                <w:color w:val="auto"/>
              </w:rPr>
            </w:pPr>
            <w:r>
              <w:rPr>
                <w:rFonts w:ascii="Arial" w:cs="Arial" w:eastAsia="Arial" w:hAnsi="Arial"/>
                <w:sz w:val="18"/>
                <w:szCs w:val="18"/>
                <w:color w:val="auto"/>
              </w:rPr>
              <w:t>(In thousands, except share and per share data)</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5"/>
        </w:trPr>
        <w:tc>
          <w:tcPr>
            <w:tcW w:w="7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7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179,361</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3,834</w:t>
            </w:r>
          </w:p>
        </w:tc>
        <w:tc>
          <w:tcPr>
            <w:tcW w:w="100" w:type="dxa"/>
            <w:vAlign w:val="bottom"/>
          </w:tcPr>
          <w:p>
            <w:pPr>
              <w:spacing w:after="0"/>
              <w:rPr>
                <w:sz w:val="17"/>
                <w:szCs w:val="17"/>
                <w:color w:val="auto"/>
              </w:rPr>
            </w:pPr>
          </w:p>
        </w:tc>
      </w:tr>
      <w:tr>
        <w:trPr>
          <w:trHeight w:val="184"/>
        </w:trPr>
        <w:tc>
          <w:tcPr>
            <w:tcW w:w="77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Accounts and other receivables, net of allowance for expected credit losses of $257 and</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$435, respectively</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76,389</w:t>
            </w:r>
          </w:p>
        </w:tc>
        <w:tc>
          <w:tcPr>
            <w:tcW w:w="100" w:type="dxa"/>
            <w:vAlign w:val="bottom"/>
            <w:shd w:val="clear" w:color="auto" w:fill="CFF0FC"/>
          </w:tcPr>
          <w:p>
            <w:pPr>
              <w:spacing w:after="0"/>
              <w:rPr>
                <w:sz w:val="19"/>
                <w:szCs w:val="19"/>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3,356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13,058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345,641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270,348</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w:t>
            </w:r>
          </w:p>
        </w:tc>
        <w:tc>
          <w:tcPr>
            <w:tcW w:w="100" w:type="dxa"/>
            <w:vAlign w:val="bottom"/>
            <w:shd w:val="clear" w:color="auto" w:fill="CFF0FC"/>
          </w:tcPr>
          <w:p>
            <w:pPr>
              <w:spacing w:after="0"/>
              <w:rPr>
                <w:sz w:val="17"/>
                <w:szCs w:val="17"/>
                <w:color w:val="auto"/>
              </w:rPr>
            </w:pPr>
          </w:p>
        </w:tc>
      </w:tr>
      <w:tr>
        <w:trPr>
          <w:trHeight w:val="202"/>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Capitalized internal-use software development costs, net</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67,375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58,787</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19,076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27,158</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131,815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131,860</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10,027</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 less current portion</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5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576,247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504,863</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49,871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35,182</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26,462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21,301</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4,089</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Income tax payable</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520"/>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81,550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62,788</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1,067</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6,318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8,661</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liabilities, less current portion</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90,651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75,247</w:t>
            </w:r>
          </w:p>
        </w:tc>
        <w:tc>
          <w:tcPr>
            <w:tcW w:w="100" w:type="dxa"/>
            <w:vAlign w:val="bottom"/>
          </w:tcPr>
          <w:p>
            <w:pPr>
              <w:spacing w:after="0"/>
              <w:rPr>
                <w:sz w:val="17"/>
                <w:szCs w:val="17"/>
                <w:color w:val="auto"/>
              </w:rPr>
            </w:pPr>
          </w:p>
        </w:tc>
      </w:tr>
      <w:tr>
        <w:trPr>
          <w:trHeight w:val="196"/>
        </w:trPr>
        <w:tc>
          <w:tcPr>
            <w:tcW w:w="7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780" w:type="dxa"/>
            <w:vAlign w:val="bottom"/>
          </w:tcPr>
          <w:p>
            <w:pPr>
              <w:ind w:left="280"/>
              <w:spacing w:after="0" w:line="183" w:lineRule="exact"/>
              <w:rPr>
                <w:sz w:val="20"/>
                <w:szCs w:val="20"/>
                <w:color w:val="auto"/>
              </w:rPr>
            </w:pPr>
            <w:r>
              <w:rPr>
                <w:rFonts w:ascii="Arial" w:cs="Arial" w:eastAsia="Arial" w:hAnsi="Arial"/>
                <w:sz w:val="18"/>
                <w:szCs w:val="18"/>
                <w:color w:val="auto"/>
              </w:rPr>
              <w:t>Class A common stock, $0.0001 par value per share, 883,950,000 shares authorized as of</w:t>
            </w: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December 31, 2024 and December 31, 2023; 32,136,989 and 20,758,603 shares issued and</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80" w:type="dxa"/>
            <w:vAlign w:val="bottom"/>
          </w:tcPr>
          <w:p>
            <w:pPr>
              <w:ind w:left="280"/>
              <w:spacing w:after="0"/>
              <w:rPr>
                <w:sz w:val="20"/>
                <w:szCs w:val="20"/>
                <w:color w:val="auto"/>
              </w:rPr>
            </w:pPr>
            <w:r>
              <w:rPr>
                <w:rFonts w:ascii="Arial" w:cs="Arial" w:eastAsia="Arial" w:hAnsi="Arial"/>
                <w:sz w:val="18"/>
                <w:szCs w:val="18"/>
                <w:color w:val="auto"/>
              </w:rPr>
              <w:t>outstanding as of December 31, 2024 and December 31, 2023, respectively</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184"/>
        </w:trPr>
        <w:tc>
          <w:tcPr>
            <w:tcW w:w="778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Class B common stock, $0.0001 par value per share, 111,050,000 shares authorized as of</w:t>
            </w:r>
          </w:p>
        </w:tc>
        <w:tc>
          <w:tcPr>
            <w:tcW w:w="1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December 31, 2024 and December 31, 2023; 92,699,294 and 103,062,508 shares issued and</w:t>
            </w: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outstanding as of December 31, 2024 and December 31, 2023, respectively</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389,904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377,773</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(233 )</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ind w:left="280"/>
              <w:spacing w:after="0" w:line="202" w:lineRule="exact"/>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95,913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51,744</w:t>
            </w:r>
          </w:p>
        </w:tc>
        <w:tc>
          <w:tcPr>
            <w:tcW w:w="100" w:type="dxa"/>
            <w:vAlign w:val="bottom"/>
          </w:tcPr>
          <w:p>
            <w:pPr>
              <w:spacing w:after="0"/>
              <w:rPr>
                <w:sz w:val="17"/>
                <w:szCs w:val="17"/>
                <w:color w:val="auto"/>
              </w:rPr>
            </w:pPr>
          </w:p>
        </w:tc>
      </w:tr>
      <w:tr>
        <w:trPr>
          <w:trHeight w:val="196"/>
        </w:trPr>
        <w:tc>
          <w:tcPr>
            <w:tcW w:w="7780" w:type="dxa"/>
            <w:vAlign w:val="bottom"/>
            <w:tcBorders>
              <w:bottom w:val="single" w:sz="8" w:color="CFF0FC"/>
            </w:tcBorders>
            <w:shd w:val="clear" w:color="auto" w:fill="CFF0FC"/>
          </w:tcPr>
          <w:p>
            <w:pPr>
              <w:ind w:left="520"/>
              <w:spacing w:after="0" w:line="196"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485,596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429,616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5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576,247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504,863</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-4354195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-3317240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-2253615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-162560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 (LOSS)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871,745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614,490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497,001</w:t>
            </w:r>
          </w:p>
        </w:tc>
        <w:tc>
          <w:tcPr>
            <w:tcW w:w="100" w:type="dxa"/>
            <w:vAlign w:val="bottom"/>
            <w:shd w:val="clear" w:color="auto" w:fill="CFF0FC"/>
          </w:tcPr>
          <w:p>
            <w:pPr>
              <w:spacing w:after="0"/>
              <w:rPr>
                <w:sz w:val="17"/>
                <w:szCs w:val="17"/>
                <w:color w:val="auto"/>
              </w:rPr>
            </w:pPr>
          </w:p>
        </w:tc>
      </w:tr>
      <w:tr>
        <w:trPr>
          <w:trHeight w:val="202"/>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633,575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432,148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347,323</w:t>
            </w:r>
          </w:p>
        </w:tc>
        <w:tc>
          <w:tcPr>
            <w:tcW w:w="100" w:type="dxa"/>
            <w:vAlign w:val="bottom"/>
          </w:tcPr>
          <w:p>
            <w:pPr>
              <w:spacing w:after="0"/>
              <w:rPr>
                <w:sz w:val="17"/>
                <w:szCs w:val="17"/>
                <w:color w:val="auto"/>
              </w:rPr>
            </w:pPr>
          </w:p>
        </w:tc>
      </w:tr>
      <w:tr>
        <w:trPr>
          <w:trHeight w:val="196"/>
        </w:trPr>
        <w:tc>
          <w:tcPr>
            <w:tcW w:w="640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238,170</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182,342</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51,334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44,248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41,220</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280"/>
              <w:spacing w:after="0" w:line="202" w:lineRule="exact"/>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105,052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83,996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73,295</w:t>
            </w:r>
          </w:p>
        </w:tc>
        <w:tc>
          <w:tcPr>
            <w:tcW w:w="100" w:type="dxa"/>
            <w:vAlign w:val="bottom"/>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36,927</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36,005</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ind w:left="52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193,313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164,249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152,654</w:t>
            </w:r>
          </w:p>
        </w:tc>
        <w:tc>
          <w:tcPr>
            <w:tcW w:w="100" w:type="dxa"/>
            <w:vAlign w:val="bottom"/>
          </w:tcPr>
          <w:p>
            <w:pPr>
              <w:spacing w:after="0"/>
              <w:rPr>
                <w:sz w:val="17"/>
                <w:szCs w:val="17"/>
                <w:color w:val="auto"/>
              </w:rPr>
            </w:pPr>
          </w:p>
        </w:tc>
      </w:tr>
      <w:tr>
        <w:trPr>
          <w:trHeight w:val="196"/>
        </w:trPr>
        <w:tc>
          <w:tcPr>
            <w:tcW w:w="64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44,857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18,093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(2,976 )</w:t>
            </w:r>
          </w:p>
        </w:tc>
      </w:tr>
      <w:tr>
        <w:trPr>
          <w:trHeight w:val="196"/>
        </w:trPr>
        <w:tc>
          <w:tcPr>
            <w:tcW w:w="640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Interest income, net</w:t>
            </w: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8,742</w:t>
            </w: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7,019</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1,663</w:t>
            </w:r>
          </w:p>
        </w:tc>
        <w:tc>
          <w:tcPr>
            <w:tcW w:w="100" w:type="dxa"/>
            <w:vAlign w:val="bottom"/>
            <w:tcBorders>
              <w:top w:val="single" w:sz="8" w:color="CFF0FC"/>
            </w:tcBorders>
          </w:tcPr>
          <w:p>
            <w:pPr>
              <w:spacing w:after="0"/>
              <w:rPr>
                <w:sz w:val="17"/>
                <w:szCs w:val="17"/>
                <w:color w:val="auto"/>
              </w:rPr>
            </w:pPr>
          </w:p>
        </w:tc>
      </w:tr>
      <w:tr>
        <w:trPr>
          <w:trHeight w:val="203"/>
        </w:trPr>
        <w:tc>
          <w:tcPr>
            <w:tcW w:w="64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ind w:left="520"/>
              <w:spacing w:after="0" w:line="196" w:lineRule="exact"/>
              <w:rPr>
                <w:sz w:val="20"/>
                <w:szCs w:val="20"/>
                <w:color w:val="auto"/>
              </w:rPr>
            </w:pPr>
            <w:r>
              <w:rPr>
                <w:rFonts w:ascii="Arial" w:cs="Arial" w:eastAsia="Arial" w:hAnsi="Arial"/>
                <w:sz w:val="18"/>
                <w:szCs w:val="18"/>
                <w:color w:val="auto"/>
              </w:rPr>
              <w:t>Income (loss) before income taxes</w:t>
            </w:r>
          </w:p>
        </w:tc>
        <w:tc>
          <w:tcPr>
            <w:tcW w:w="36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53,944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25,124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(1,308 )</w:t>
            </w:r>
          </w:p>
        </w:tc>
      </w:tr>
      <w:tr>
        <w:trPr>
          <w:trHeight w:val="202"/>
        </w:trPr>
        <w:tc>
          <w:tcPr>
            <w:tcW w:w="64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(Provision for) benefit from income taxes</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(9,775 )</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(2,802 )</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795</w:t>
            </w:r>
          </w:p>
        </w:tc>
        <w:tc>
          <w:tcPr>
            <w:tcW w:w="100" w:type="dxa"/>
            <w:vAlign w:val="bottom"/>
            <w:shd w:val="clear" w:color="auto" w:fill="CFF0FC"/>
          </w:tcPr>
          <w:p>
            <w:pPr>
              <w:spacing w:after="0"/>
              <w:rPr>
                <w:sz w:val="17"/>
                <w:szCs w:val="17"/>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00" w:type="dxa"/>
            <w:vAlign w:val="bottom"/>
          </w:tcPr>
          <w:p>
            <w:pPr>
              <w:ind w:left="520"/>
              <w:spacing w:after="0" w:line="196"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44,169</w:t>
            </w:r>
          </w:p>
        </w:tc>
        <w:tc>
          <w:tcPr>
            <w:tcW w:w="1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(513 )</w:t>
            </w:r>
          </w:p>
        </w:tc>
      </w:tr>
      <w:tr>
        <w:trPr>
          <w:trHeight w:val="20"/>
        </w:trPr>
        <w:tc>
          <w:tcPr>
            <w:tcW w:w="6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0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00" w:type="dxa"/>
            <w:vAlign w:val="bottom"/>
          </w:tcPr>
          <w:p>
            <w:pPr>
              <w:ind w:left="520"/>
              <w:spacing w:after="0" w:line="202" w:lineRule="exact"/>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1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4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84"/>
        </w:trPr>
        <w:tc>
          <w:tcPr>
            <w:tcW w:w="6400" w:type="dxa"/>
            <w:vAlign w:val="bottom"/>
          </w:tcPr>
          <w:p>
            <w:pPr>
              <w:ind w:left="280"/>
              <w:spacing w:after="0" w:line="183" w:lineRule="exact"/>
              <w:rPr>
                <w:sz w:val="20"/>
                <w:szCs w:val="20"/>
                <w:color w:val="auto"/>
              </w:rPr>
            </w:pPr>
            <w:r>
              <w:rPr>
                <w:rFonts w:ascii="Arial" w:cs="Arial" w:eastAsia="Arial" w:hAnsi="Arial"/>
                <w:sz w:val="18"/>
                <w:szCs w:val="18"/>
                <w:color w:val="auto"/>
              </w:rPr>
              <w:t>Weighted-average number of shares used to compute net income per</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6400" w:type="dxa"/>
            <w:vAlign w:val="bottom"/>
          </w:tcPr>
          <w:p>
            <w:pPr>
              <w:ind w:left="28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4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124,372,031</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123,511,608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122,099,437</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520"/>
              <w:spacing w:after="0" w:line="202" w:lineRule="exact"/>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127,714,622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125,071,829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122,099,437</w:t>
            </w: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520"/>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(513 )</w:t>
            </w:r>
          </w:p>
        </w:tc>
      </w:tr>
      <w:tr>
        <w:trPr>
          <w:trHeight w:val="203"/>
        </w:trPr>
        <w:tc>
          <w:tcPr>
            <w:tcW w:w="64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Foreign currency translation adjustments, net of tax</w:t>
            </w: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(320 )</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(190 )</w:t>
            </w:r>
          </w:p>
        </w:tc>
      </w:tr>
      <w:tr>
        <w:trPr>
          <w:trHeight w:val="20"/>
        </w:trPr>
        <w:tc>
          <w:tcPr>
            <w:tcW w:w="64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00" w:type="dxa"/>
            <w:vAlign w:val="bottom"/>
          </w:tcPr>
          <w:p>
            <w:pPr>
              <w:ind w:left="520"/>
              <w:spacing w:after="0" w:line="196" w:lineRule="exact"/>
              <w:rPr>
                <w:sz w:val="20"/>
                <w:szCs w:val="20"/>
                <w:color w:val="auto"/>
              </w:rPr>
            </w:pPr>
            <w:r>
              <w:rPr>
                <w:rFonts w:ascii="Arial" w:cs="Arial" w:eastAsia="Arial" w:hAnsi="Arial"/>
                <w:sz w:val="18"/>
                <w:szCs w:val="18"/>
                <w:color w:val="auto"/>
              </w:rPr>
              <w:t>Comprehensive income (loss)</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43,849</w:t>
            </w:r>
          </w:p>
        </w:tc>
        <w:tc>
          <w:tcPr>
            <w:tcW w:w="1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22,431</w:t>
            </w:r>
          </w:p>
        </w:tc>
        <w:tc>
          <w:tcPr>
            <w:tcW w:w="100" w:type="dxa"/>
            <w:vAlign w:val="bottom"/>
          </w:tcPr>
          <w:p>
            <w:pPr>
              <w:spacing w:after="0"/>
              <w:rPr>
                <w:sz w:val="17"/>
                <w:szCs w:val="17"/>
                <w:color w:val="auto"/>
              </w:rPr>
            </w:pPr>
          </w:p>
        </w:tc>
        <w:tc>
          <w:tcPr>
            <w:tcW w:w="260" w:type="dxa"/>
            <w:vAlign w:val="bottom"/>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(703 )</w:t>
            </w:r>
          </w:p>
        </w:tc>
      </w:tr>
      <w:tr>
        <w:trPr>
          <w:trHeight w:val="20"/>
        </w:trPr>
        <w:tc>
          <w:tcPr>
            <w:tcW w:w="6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-2939415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-2939415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-2416810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-2416810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-2142490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-2142490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-1877060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-1877060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-1877060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-1610995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-1610995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Accumulated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Stockholder</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168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Retained</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9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7"/>
                <w:szCs w:val="17"/>
                <w:color w:val="auto"/>
              </w:rPr>
            </w:pPr>
          </w:p>
        </w:tc>
        <w:tc>
          <w:tcPr>
            <w:tcW w:w="1060" w:type="dxa"/>
            <w:vAlign w:val="bottom"/>
            <w:gridSpan w:val="3"/>
          </w:tcPr>
          <w:p>
            <w:pPr>
              <w:jc w:val="right"/>
              <w:ind w:right="200"/>
              <w:spacing w:after="0" w:line="196" w:lineRule="exact"/>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9"/>
              </w:rPr>
              <w:t>(loss) income</w:t>
            </w:r>
          </w:p>
        </w:tc>
        <w:tc>
          <w:tcPr>
            <w:tcW w:w="200" w:type="dxa"/>
            <w:vAlign w:val="bottom"/>
          </w:tcPr>
          <w:p>
            <w:pPr>
              <w:spacing w:after="0"/>
              <w:rPr>
                <w:sz w:val="17"/>
                <w:szCs w:val="17"/>
                <w:color w:val="auto"/>
              </w:rPr>
            </w:pPr>
          </w:p>
        </w:tc>
        <w:tc>
          <w:tcPr>
            <w:tcW w:w="1020" w:type="dxa"/>
            <w:vAlign w:val="bottom"/>
            <w:gridSpan w:val="2"/>
          </w:tcPr>
          <w:p>
            <w:pPr>
              <w:jc w:val="center"/>
              <w:ind w:right="320"/>
              <w:spacing w:after="0" w:line="196" w:lineRule="exact"/>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77"/>
        </w:trPr>
        <w:tc>
          <w:tcPr>
            <w:tcW w:w="41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Balances at December 31, 2021</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120,639,1</w:t>
            </w:r>
          </w:p>
        </w:tc>
        <w:tc>
          <w:tcPr>
            <w:tcW w:w="10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7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356,017</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Issuance of warrant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estimate of warrants expected to vest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6,736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w w:val="99"/>
              </w:rPr>
              <w:t>Issuance of Class A common stock for stock-based</w:t>
            </w: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2,602,012</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(190 )</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(513 )</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177"/>
        </w:trPr>
        <w:tc>
          <w:tcPr>
            <w:tcW w:w="41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b w:val="1"/>
                <w:bCs w:val="1"/>
                <w:color w:val="auto"/>
              </w:rPr>
              <w:t>Balances at December 31, 2022</w:t>
            </w:r>
          </w:p>
        </w:tc>
        <w:tc>
          <w:tcPr>
            <w:tcW w:w="9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123,241,1</w:t>
            </w:r>
          </w:p>
        </w:tc>
        <w:tc>
          <w:tcPr>
            <w:tcW w:w="10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7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367,767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29,422</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10"/>
              <w:spacing w:after="0"/>
              <w:rPr>
                <w:sz w:val="20"/>
                <w:szCs w:val="20"/>
                <w:color w:val="auto"/>
              </w:rPr>
            </w:pPr>
            <w:r>
              <w:rPr>
                <w:rFonts w:ascii="Arial" w:cs="Arial" w:eastAsia="Arial" w:hAnsi="Arial"/>
                <w:sz w:val="18"/>
                <w:szCs w:val="18"/>
                <w:color w:val="auto"/>
              </w:rPr>
              <w:t>(22 ) $</w:t>
            </w:r>
          </w:p>
        </w:tc>
        <w:tc>
          <w:tcPr>
            <w:tcW w:w="920" w:type="dxa"/>
            <w:vAlign w:val="bottom"/>
          </w:tcPr>
          <w:p>
            <w:pPr>
              <w:jc w:val="right"/>
              <w:spacing w:after="0"/>
              <w:rPr>
                <w:sz w:val="20"/>
                <w:szCs w:val="20"/>
                <w:color w:val="auto"/>
              </w:rPr>
            </w:pPr>
            <w:r>
              <w:rPr>
                <w:rFonts w:ascii="Arial" w:cs="Arial" w:eastAsia="Arial" w:hAnsi="Arial"/>
                <w:sz w:val="18"/>
                <w:szCs w:val="18"/>
                <w:color w:val="auto"/>
              </w:rPr>
              <w:t>397,179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9,390</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9,390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20"/>
              <w:spacing w:after="0" w:line="183" w:lineRule="exact"/>
              <w:rPr>
                <w:sz w:val="20"/>
                <w:szCs w:val="20"/>
                <w:color w:val="auto"/>
              </w:rPr>
            </w:pPr>
            <w:r>
              <w:rPr>
                <w:rFonts w:ascii="Arial" w:cs="Arial" w:eastAsia="Arial" w:hAnsi="Arial"/>
                <w:sz w:val="18"/>
                <w:szCs w:val="18"/>
                <w:color w:val="auto"/>
                <w:w w:val="99"/>
              </w:rPr>
              <w:t>Issuance of Class A common stock for stock-based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color w:val="auto"/>
              </w:rPr>
              <w:t>awards</w:t>
            </w:r>
          </w:p>
        </w:tc>
        <w:tc>
          <w:tcPr>
            <w:tcW w:w="980" w:type="dxa"/>
            <w:vAlign w:val="bottom"/>
          </w:tcPr>
          <w:p>
            <w:pPr>
              <w:jc w:val="right"/>
              <w:spacing w:after="0"/>
              <w:rPr>
                <w:sz w:val="20"/>
                <w:szCs w:val="20"/>
                <w:color w:val="auto"/>
              </w:rPr>
            </w:pPr>
            <w:r>
              <w:rPr>
                <w:rFonts w:ascii="Arial" w:cs="Arial" w:eastAsia="Arial" w:hAnsi="Arial"/>
                <w:sz w:val="18"/>
                <w:szCs w:val="18"/>
                <w:color w:val="auto"/>
              </w:rPr>
              <w:t>579,938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income</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Balances at December 31, 2023</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123,821,1</w:t>
            </w:r>
          </w:p>
        </w:tc>
        <w:tc>
          <w:tcPr>
            <w:tcW w:w="10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377,773</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429,616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line="183" w:lineRule="exact"/>
              <w:rPr>
                <w:sz w:val="20"/>
                <w:szCs w:val="20"/>
                <w:color w:val="auto"/>
              </w:rPr>
            </w:pPr>
            <w:r>
              <w:rPr>
                <w:rFonts w:ascii="Arial" w:cs="Arial" w:eastAsia="Arial" w:hAnsi="Arial"/>
                <w:sz w:val="18"/>
                <w:szCs w:val="18"/>
                <w:color w:val="auto"/>
              </w:rPr>
              <w:t>Change in estimate of warrants expected to vest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8"/>
                <w:szCs w:val="18"/>
                <w:color w:val="auto"/>
              </w:rPr>
              <w:t>803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8"/>
                <w:szCs w:val="18"/>
                <w:color w:val="auto"/>
              </w:rPr>
              <w:t>803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10,990</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20"/>
              <w:spacing w:after="0" w:line="183" w:lineRule="exact"/>
              <w:rPr>
                <w:sz w:val="20"/>
                <w:szCs w:val="20"/>
                <w:color w:val="auto"/>
              </w:rPr>
            </w:pPr>
            <w:r>
              <w:rPr>
                <w:rFonts w:ascii="Arial" w:cs="Arial" w:eastAsia="Arial" w:hAnsi="Arial"/>
                <w:sz w:val="18"/>
                <w:szCs w:val="18"/>
                <w:color w:val="auto"/>
                <w:w w:val="99"/>
              </w:rPr>
              <w:t>Issuance of Class A common stock for stock-based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color w:val="auto"/>
              </w:rPr>
              <w:t>awards</w:t>
            </w:r>
          </w:p>
        </w:tc>
        <w:tc>
          <w:tcPr>
            <w:tcW w:w="980" w:type="dxa"/>
            <w:vAlign w:val="bottom"/>
          </w:tcPr>
          <w:p>
            <w:pPr>
              <w:jc w:val="right"/>
              <w:spacing w:after="0"/>
              <w:rPr>
                <w:sz w:val="20"/>
                <w:szCs w:val="20"/>
                <w:color w:val="auto"/>
              </w:rPr>
            </w:pPr>
            <w:r>
              <w:rPr>
                <w:rFonts w:ascii="Arial" w:cs="Arial" w:eastAsia="Arial" w:hAnsi="Arial"/>
                <w:sz w:val="18"/>
                <w:szCs w:val="18"/>
                <w:color w:val="auto"/>
              </w:rPr>
              <w:t>1,015,172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(320 )</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b w:val="1"/>
                <w:bCs w:val="1"/>
                <w:color w:val="auto"/>
              </w:rPr>
              <w:t>Balances at December 31, 2024</w:t>
            </w:r>
          </w:p>
        </w:tc>
        <w:tc>
          <w:tcPr>
            <w:tcW w:w="980" w:type="dxa"/>
            <w:vAlign w:val="bottom"/>
            <w:tcBorders>
              <w:top w:val="single" w:sz="8" w:color="auto"/>
            </w:tcBorders>
            <w:shd w:val="clear" w:color="auto" w:fill="CFF0FC"/>
          </w:tcPr>
          <w:p>
            <w:pPr>
              <w:jc w:val="right"/>
              <w:spacing w:after="0" w:line="177" w:lineRule="exact"/>
              <w:rPr>
                <w:sz w:val="20"/>
                <w:szCs w:val="20"/>
                <w:color w:val="auto"/>
              </w:rPr>
            </w:pPr>
            <w:r>
              <w:rPr>
                <w:rFonts w:ascii="Arial" w:cs="Arial" w:eastAsia="Arial" w:hAnsi="Arial"/>
                <w:sz w:val="18"/>
                <w:szCs w:val="18"/>
                <w:color w:val="auto"/>
              </w:rPr>
              <w:t>124,836,2</w:t>
            </w:r>
          </w:p>
        </w:tc>
        <w:tc>
          <w:tcPr>
            <w:tcW w:w="100" w:type="dxa"/>
            <w:vAlign w:val="bottom"/>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389,904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(233 )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-2287905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-2287905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-2287905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-2287905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-2287905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-1087755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-1071245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-1087755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-1071245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-1087755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-1071245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-1087755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-1071245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-1087755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-1071245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rPr>
          <w:sz w:val="20"/>
          <w:szCs w:val="20"/>
          <w:color w:val="auto"/>
        </w:rPr>
      </w:pPr>
      <w:r>
        <w:rPr>
          <w:rFonts w:ascii="Arial" w:cs="Arial" w:eastAsia="Arial" w:hAnsi="Arial"/>
          <w:sz w:val="18"/>
          <w:szCs w:val="18"/>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100" w:type="dxa"/>
            <w:vAlign w:val="bottom"/>
          </w:tcPr>
          <w:p>
            <w:pPr>
              <w:spacing w:after="0"/>
              <w:rPr>
                <w:sz w:val="17"/>
                <w:szCs w:val="17"/>
                <w:color w:val="auto"/>
              </w:rPr>
            </w:pP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100" w:type="dxa"/>
            <w:vAlign w:val="bottom"/>
          </w:tcPr>
          <w:p>
            <w:pPr>
              <w:spacing w:after="0"/>
              <w:rPr>
                <w:sz w:val="17"/>
                <w:szCs w:val="17"/>
                <w:color w:val="auto"/>
              </w:rPr>
            </w:pP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(513 )</w:t>
            </w:r>
          </w:p>
        </w:tc>
      </w:tr>
      <w:tr>
        <w:trPr>
          <w:trHeight w:val="203"/>
        </w:trPr>
        <w:tc>
          <w:tcPr>
            <w:tcW w:w="6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36,484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30,600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24,063</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(1,349 )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(2,981 )</w:t>
            </w:r>
          </w:p>
        </w:tc>
      </w:tr>
      <w:tr>
        <w:trPr>
          <w:trHeight w:val="202"/>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9,390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6,736</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Amortization of capitalized warrants cost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1,231</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2,135</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Amortization of capitalized contract acquisition cost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1,088</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827</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Provision for expected credit losses and credit adjustments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non-cash adjustments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(213 )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and other receivables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(46,921 )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(9,472 )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(24,518 )</w:t>
            </w:r>
          </w:p>
        </w:tc>
      </w:tr>
      <w:tr>
        <w:trPr>
          <w:trHeight w:val="203"/>
        </w:trPr>
        <w:tc>
          <w:tcPr>
            <w:tcW w:w="6940" w:type="dxa"/>
            <w:vAlign w:val="bottom"/>
          </w:tcPr>
          <w:p>
            <w:pPr>
              <w:ind w:left="520"/>
              <w:spacing w:after="0" w:line="202" w:lineRule="exact"/>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(3,417 )</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(1,184 )</w:t>
            </w: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1,211</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13,825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6,017</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4,766</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52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7,159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6,288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3,400</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(2,253 )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(1,817 )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(1,832 )</w:t>
            </w:r>
          </w:p>
        </w:tc>
      </w:tr>
      <w:tr>
        <w:trPr>
          <w:trHeight w:val="203"/>
        </w:trPr>
        <w:tc>
          <w:tcPr>
            <w:tcW w:w="6940" w:type="dxa"/>
            <w:vAlign w:val="bottom"/>
          </w:tcPr>
          <w:p>
            <w:pPr>
              <w:ind w:left="520"/>
              <w:spacing w:after="0" w:line="202" w:lineRule="exact"/>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(1,097 )</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(361 )</w:t>
            </w: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3,299</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Income taxes receivable, net of payable</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(3,258 )</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958</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17"/>
                <w:szCs w:val="17"/>
                <w:color w:val="auto"/>
              </w:rPr>
            </w:pPr>
          </w:p>
        </w:tc>
      </w:tr>
      <w:tr>
        <w:trPr>
          <w:trHeight w:val="196"/>
        </w:trPr>
        <w:tc>
          <w:tcPr>
            <w:tcW w:w="6940" w:type="dxa"/>
            <w:vAlign w:val="bottom"/>
            <w:tcBorders>
              <w:top w:val="single" w:sz="8" w:color="CFF0FC"/>
            </w:tcBorders>
          </w:tcPr>
          <w:p>
            <w:pPr>
              <w:ind w:left="66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63,634</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68,828</w:t>
            </w: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19,867</w:t>
            </w:r>
          </w:p>
        </w:tc>
        <w:tc>
          <w:tcPr>
            <w:tcW w:w="100" w:type="dxa"/>
            <w:vAlign w:val="bottom"/>
            <w:tcBorders>
              <w:top w:val="single" w:sz="8" w:color="CFF0FC"/>
            </w:tcBorders>
          </w:tcPr>
          <w:p>
            <w:pPr>
              <w:spacing w:after="0"/>
              <w:rPr>
                <w:sz w:val="17"/>
                <w:szCs w:val="17"/>
                <w:color w:val="auto"/>
              </w:rPr>
            </w:pP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Business combinations, net of cash and restricted cash acquired</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(3,260 )</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Other intangible assets acquired</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(280 )</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(457 )</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(600 )</w:t>
            </w: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(1,257 )</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Purchases of interest-bearing deposits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(3,691 )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Proceeds from matured interest-bearing deposits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Capitalized internal-use software development costs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(36,119 )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(33,699 )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(29,763 )</w:t>
            </w:r>
          </w:p>
        </w:tc>
      </w:tr>
      <w:tr>
        <w:trPr>
          <w:trHeight w:val="20"/>
        </w:trPr>
        <w:tc>
          <w:tcPr>
            <w:tcW w:w="6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40" w:type="dxa"/>
            <w:vAlign w:val="bottom"/>
          </w:tcPr>
          <w:p>
            <w:pPr>
              <w:ind w:left="520"/>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(36,761 )</w:t>
            </w:r>
          </w:p>
        </w:tc>
        <w:tc>
          <w:tcPr>
            <w:tcW w:w="260" w:type="dxa"/>
            <w:vAlign w:val="bottom"/>
          </w:tcPr>
          <w:p>
            <w:pPr>
              <w:spacing w:after="0"/>
              <w:rPr>
                <w:sz w:val="17"/>
                <w:szCs w:val="17"/>
                <w:color w:val="auto"/>
              </w:rPr>
            </w:pPr>
          </w:p>
        </w:tc>
        <w:tc>
          <w:tcPr>
            <w:tcW w:w="10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(34,299 )</w:t>
            </w: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(34,560 )</w:t>
            </w: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Proceeds from exercise of stock-based awards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Settlement of holdback liability related to prior acquisitions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(545 )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Financial institution funds in-transit</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(33,443 )</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Payments on other financing obligations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(1,709 )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(5,062 )</w:t>
            </w: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Payments on finance leases</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(102 )</w:t>
            </w: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(268 )</w:t>
            </w:r>
          </w:p>
        </w:tc>
      </w:tr>
      <w:tr>
        <w:trPr>
          <w:trHeight w:val="20"/>
        </w:trPr>
        <w:tc>
          <w:tcPr>
            <w:tcW w:w="6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(207 )</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(1,195 )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(37,283 )</w:t>
            </w:r>
          </w:p>
        </w:tc>
      </w:tr>
      <w:tr>
        <w:trPr>
          <w:trHeight w:val="20"/>
        </w:trPr>
        <w:tc>
          <w:tcPr>
            <w:tcW w:w="6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940" w:type="dxa"/>
            <w:vAlign w:val="bottom"/>
          </w:tcPr>
          <w:p>
            <w:pPr>
              <w:ind w:left="20"/>
              <w:spacing w:after="0" w:line="196" w:lineRule="exact"/>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Pr>
          <w:p>
            <w:pPr>
              <w:spacing w:after="0"/>
              <w:rPr>
                <w:sz w:val="17"/>
                <w:szCs w:val="17"/>
                <w:color w:val="auto"/>
              </w:rPr>
            </w:pP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(450 )</w:t>
            </w: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(168 )</w:t>
            </w:r>
          </w:p>
        </w:tc>
      </w:tr>
      <w:tr>
        <w:trPr>
          <w:trHeight w:val="20"/>
        </w:trPr>
        <w:tc>
          <w:tcPr>
            <w:tcW w:w="6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26,216</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33,510</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(52,144 )</w:t>
            </w: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and Restricted cash at the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183,195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149,685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201,829</w:t>
            </w:r>
          </w:p>
        </w:tc>
        <w:tc>
          <w:tcPr>
            <w:tcW w:w="100" w:type="dxa"/>
            <w:vAlign w:val="bottom"/>
          </w:tcPr>
          <w:p>
            <w:pPr>
              <w:spacing w:after="0"/>
              <w:rPr>
                <w:sz w:val="17"/>
                <w:szCs w:val="17"/>
                <w:color w:val="auto"/>
              </w:rPr>
            </w:pPr>
          </w:p>
        </w:tc>
      </w:tr>
      <w:tr>
        <w:trPr>
          <w:trHeight w:val="236"/>
        </w:trPr>
        <w:tc>
          <w:tcPr>
            <w:tcW w:w="6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and Restricted cash at the end of period</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209,411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183,195</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940" w:type="dxa"/>
            <w:vAlign w:val="bottom"/>
          </w:tcPr>
          <w:p>
            <w:pPr>
              <w:ind w:left="20"/>
              <w:spacing w:after="0" w:line="183" w:lineRule="exact"/>
              <w:rPr>
                <w:sz w:val="20"/>
                <w:szCs w:val="20"/>
                <w:color w:val="auto"/>
              </w:rPr>
            </w:pPr>
            <w:r>
              <w:rPr>
                <w:rFonts w:ascii="Arial" w:cs="Arial" w:eastAsia="Arial" w:hAnsi="Arial"/>
                <w:sz w:val="18"/>
                <w:szCs w:val="18"/>
                <w:color w:val="auto"/>
              </w:rPr>
              <w:t>Reconciliation of Cash and cash equivalents and Restricted Cash:</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Cash and cash equivalents at the beginning of period</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179,361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147,334</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168,386</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Restricted cash at the beginning of period</w:t>
            </w: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Restricted funds held for financial institutions at the beginning of period</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33,443</w:t>
            </w:r>
          </w:p>
        </w:tc>
        <w:tc>
          <w:tcPr>
            <w:tcW w:w="100" w:type="dxa"/>
            <w:vAlign w:val="bottom"/>
            <w:shd w:val="clear" w:color="auto" w:fill="CFF0FC"/>
          </w:tcPr>
          <w:p>
            <w:pPr>
              <w:spacing w:after="0"/>
              <w:rPr>
                <w:sz w:val="17"/>
                <w:szCs w:val="17"/>
                <w:color w:val="auto"/>
              </w:rPr>
            </w:pPr>
          </w:p>
        </w:tc>
      </w:tr>
      <w:tr>
        <w:trPr>
          <w:trHeight w:val="196"/>
        </w:trPr>
        <w:tc>
          <w:tcPr>
            <w:tcW w:w="69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the beginning of period</w:t>
            </w: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183,195</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149,685</w:t>
            </w: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201,829</w:t>
            </w:r>
          </w:p>
        </w:tc>
        <w:tc>
          <w:tcPr>
            <w:tcW w:w="100" w:type="dxa"/>
            <w:vAlign w:val="bottom"/>
            <w:tcBorders>
              <w:top w:val="single" w:sz="8" w:color="CFF0FC"/>
            </w:tcBorders>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4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Cash and cash equivalents at the end of period</w:t>
            </w: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205,900</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179,361</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147,334</w:t>
            </w:r>
          </w:p>
        </w:tc>
        <w:tc>
          <w:tcPr>
            <w:tcW w:w="100" w:type="dxa"/>
            <w:vAlign w:val="bottom"/>
            <w:shd w:val="clear" w:color="auto" w:fill="CFF0FC"/>
          </w:tcPr>
          <w:p>
            <w:pPr>
              <w:spacing w:after="0"/>
              <w:rPr>
                <w:sz w:val="15"/>
                <w:szCs w:val="15"/>
                <w:color w:val="auto"/>
              </w:rPr>
            </w:pPr>
          </w:p>
        </w:tc>
      </w:tr>
      <w:tr>
        <w:trPr>
          <w:trHeight w:val="203"/>
        </w:trPr>
        <w:tc>
          <w:tcPr>
            <w:tcW w:w="6940" w:type="dxa"/>
            <w:vAlign w:val="bottom"/>
          </w:tcPr>
          <w:p>
            <w:pPr>
              <w:ind w:left="280"/>
              <w:spacing w:after="0" w:line="202" w:lineRule="exact"/>
              <w:rPr>
                <w:sz w:val="20"/>
                <w:szCs w:val="20"/>
                <w:color w:val="auto"/>
              </w:rPr>
            </w:pPr>
            <w:r>
              <w:rPr>
                <w:rFonts w:ascii="Arial" w:cs="Arial" w:eastAsia="Arial" w:hAnsi="Arial"/>
                <w:sz w:val="18"/>
                <w:szCs w:val="18"/>
                <w:color w:val="auto"/>
              </w:rPr>
              <w:t>Restricted cash at the end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2,351</w:t>
            </w:r>
          </w:p>
        </w:tc>
        <w:tc>
          <w:tcPr>
            <w:tcW w:w="100" w:type="dxa"/>
            <w:vAlign w:val="bottom"/>
          </w:tcPr>
          <w:p>
            <w:pPr>
              <w:spacing w:after="0"/>
              <w:rPr>
                <w:sz w:val="17"/>
                <w:szCs w:val="17"/>
                <w:color w:val="auto"/>
              </w:rPr>
            </w:pPr>
          </w:p>
        </w:tc>
      </w:tr>
      <w:tr>
        <w:trPr>
          <w:trHeight w:val="236"/>
        </w:trPr>
        <w:tc>
          <w:tcPr>
            <w:tcW w:w="6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and Restricted cash at the end of period</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209,411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183,195</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149,685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6"/>
        </w:trPr>
        <w:tc>
          <w:tcPr>
            <w:tcW w:w="6940" w:type="dxa"/>
            <w:vAlign w:val="bottom"/>
          </w:tcPr>
          <w:p>
            <w:pPr>
              <w:ind w:left="552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6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-4525645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-4525645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-3479800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-3479800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-2425065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-2425065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-1885315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-1868170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-1885315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-1868170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-1344930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-1344930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-788035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-770890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-788035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-770890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PAYMENTUS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jc w:val="center"/>
        <w:spacing w:after="0"/>
        <w:rPr>
          <w:sz w:val="20"/>
          <w:szCs w:val="20"/>
          <w:color w:val="auto"/>
        </w:rPr>
      </w:pPr>
      <w:r>
        <w:rPr>
          <w:rFonts w:ascii="Arial" w:cs="Arial" w:eastAsia="Arial" w:hAnsi="Arial"/>
          <w:sz w:val="18"/>
          <w:szCs w:val="18"/>
          <w:color w:val="auto"/>
        </w:rPr>
        <w:t>(In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6720" w:type="dxa"/>
            <w:vAlign w:val="bottom"/>
          </w:tcPr>
          <w:p>
            <w:pPr>
              <w:ind w:left="280"/>
              <w:spacing w:after="0" w:line="202" w:lineRule="exact"/>
              <w:rPr>
                <w:sz w:val="20"/>
                <w:szCs w:val="20"/>
                <w:color w:val="auto"/>
              </w:rPr>
            </w:pPr>
            <w:r>
              <w:rPr>
                <w:rFonts w:ascii="Arial" w:cs="Arial" w:eastAsia="Arial" w:hAnsi="Arial"/>
                <w:sz w:val="18"/>
                <w:szCs w:val="18"/>
                <w:color w:val="auto"/>
              </w:rPr>
              <w:t>Cash paid for income taxes, net of refunds</w:t>
            </w:r>
          </w:p>
        </w:tc>
        <w:tc>
          <w:tcPr>
            <w:tcW w:w="7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14,404</w:t>
            </w:r>
          </w:p>
        </w:tc>
        <w:tc>
          <w:tcPr>
            <w:tcW w:w="5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1,398</w:t>
            </w:r>
          </w:p>
        </w:tc>
        <w:tc>
          <w:tcPr>
            <w:tcW w:w="5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672</w:t>
            </w:r>
          </w:p>
        </w:tc>
      </w:tr>
      <w:tr>
        <w:trPr>
          <w:trHeight w:val="203"/>
        </w:trPr>
        <w:tc>
          <w:tcPr>
            <w:tcW w:w="6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Non-cash investing activities:</w:t>
            </w:r>
          </w:p>
        </w:tc>
        <w:tc>
          <w:tcPr>
            <w:tcW w:w="7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184"/>
        </w:trPr>
        <w:tc>
          <w:tcPr>
            <w:tcW w:w="6720" w:type="dxa"/>
            <w:vAlign w:val="bottom"/>
          </w:tcPr>
          <w:p>
            <w:pPr>
              <w:ind w:left="280"/>
              <w:spacing w:after="0" w:line="183" w:lineRule="exact"/>
              <w:rPr>
                <w:sz w:val="20"/>
                <w:szCs w:val="20"/>
                <w:color w:val="auto"/>
              </w:rPr>
            </w:pPr>
            <w:r>
              <w:rPr>
                <w:rFonts w:ascii="Arial" w:cs="Arial" w:eastAsia="Arial" w:hAnsi="Arial"/>
                <w:sz w:val="18"/>
                <w:szCs w:val="18"/>
                <w:color w:val="auto"/>
              </w:rPr>
              <w:t>Unpaid capitalized internal-use software development costs and equipment in</w:t>
            </w: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1"/>
        </w:trPr>
        <w:tc>
          <w:tcPr>
            <w:tcW w:w="67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184"/>
        </w:trPr>
        <w:tc>
          <w:tcPr>
            <w:tcW w:w="6720" w:type="dxa"/>
            <w:vAlign w:val="bottom"/>
            <w:shd w:val="clear" w:color="auto" w:fill="CFF0FC"/>
          </w:tcPr>
          <w:p>
            <w:pPr>
              <w:ind w:left="280"/>
              <w:spacing w:after="0" w:line="183" w:lineRule="exact"/>
              <w:rPr>
                <w:sz w:val="20"/>
                <w:szCs w:val="20"/>
                <w:color w:val="auto"/>
              </w:rPr>
            </w:pPr>
            <w:r>
              <w:rPr>
                <w:rFonts w:ascii="Arial" w:cs="Arial" w:eastAsia="Arial" w:hAnsi="Arial"/>
                <w:sz w:val="18"/>
                <w:szCs w:val="18"/>
                <w:color w:val="auto"/>
              </w:rPr>
              <w:t>Business acquisition liability in accrued liabilities and finance leases and other</w:t>
            </w:r>
          </w:p>
        </w:tc>
        <w:tc>
          <w:tcPr>
            <w:tcW w:w="7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221"/>
        </w:trPr>
        <w:tc>
          <w:tcPr>
            <w:tcW w:w="6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obligations, net of current portion</w:t>
            </w:r>
          </w:p>
        </w:tc>
        <w:tc>
          <w:tcPr>
            <w:tcW w:w="7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740</w:t>
            </w: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Non-cash financing activities:</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7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Prepaid insurance funded through short-term borrowings</w:t>
            </w:r>
          </w:p>
        </w:tc>
        <w:tc>
          <w:tcPr>
            <w:tcW w:w="70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4,625</w:t>
            </w:r>
          </w:p>
        </w:tc>
      </w:tr>
      <w:tr>
        <w:trPr>
          <w:trHeight w:val="239"/>
        </w:trPr>
        <w:tc>
          <w:tcPr>
            <w:tcW w:w="6720" w:type="dxa"/>
            <w:vAlign w:val="bottom"/>
          </w:tcPr>
          <w:p>
            <w:pPr>
              <w:ind w:left="280"/>
              <w:spacing w:after="0"/>
              <w:rPr>
                <w:sz w:val="20"/>
                <w:szCs w:val="20"/>
                <w:color w:val="auto"/>
              </w:rPr>
            </w:pPr>
            <w:r>
              <w:rPr>
                <w:rFonts w:ascii="Arial" w:cs="Arial" w:eastAsia="Arial" w:hAnsi="Arial"/>
                <w:sz w:val="18"/>
                <w:szCs w:val="18"/>
                <w:color w:val="auto"/>
              </w:rPr>
              <w:t>Issuance of warrant and change in estimate of warrants expected to vest</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3,524</w:t>
            </w: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PAYMENTUS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primary office locations in Charlotte, North Carolina, Dallas, Texas, Santa Clara, California, Richmond Hill, Ontario (Canada), and Gurugram, Mohali and Bangalore (India). The Company is headquartered in Charlotte, North Carolina.</w:t>
      </w:r>
    </w:p>
    <w:p>
      <w:pPr>
        <w:spacing w:after="0" w:line="185"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("GAAP").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balances have been eliminated upon consolidation.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reviews financial information presented on a consolidated basis for purposes of making operating decision and allocating resources but evaluates the performance of the Company’s operating segments based on revenue and gross profit. The Company does not analyze discrete segment balance sheet information related to long-term assets as the business is managed on a consolidated basis. All other financial information is presented on a consolidated basis. See Note 11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cost of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reporting currency of the Company is the United States Dollar. The Company’s foreign subsidiaries use the local currency of their respective countries as their functional currency. Assets and liabilities are translated using the exchange rates at the balance sheet date. Revenue and expenses are translated at average exchange rates during the period. Equity transactions are translated using historical exchange rates. The effects of foreign currency translation adjustments are recorded in accumulated other comprehensive income (loss) or ("AOCI") as a component of stockholders' equity, and related periodic movements are summarized as a line item in the consolidated statements of operations and comprehensive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8"/>
          <w:szCs w:val="18"/>
          <w:color w:val="auto"/>
        </w:rPr>
        <w:t>income (loss). Gains and losses from the remeasurement of foreign currency transactions into the functional currency are recognized as foreign exchange gain (loss) in the consolidated statements of operations and comprehensive income (loss).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generates revenue primarily from payment transaction fees processed through the Company’s platform. The fees are generated as a percentage of transaction value or a specified fee per transaction. For biller transactions the actual fees are dependent on payment type, payment channel or industry vertical. The payment transaction fees are received directly (i) from billers, who absorb the cost, or from customers in the form of a convenience-type fee, or (ii) from financial institutions. Transaction fees are collected for each completed transaction processed through the platform. The Company also earns other revenue, which primarily consists of maintenance revenue and subscription revenue. Other revenue represented approximately 1.1% of total revenue for the year ended December 31, 2024 and 1.3% for each of the years ended December 31, 2023 and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Contract liabilities relate to fees billed in advance of services provided. The terms of the contract normally require the customer to pay a fixed monthly fee for hosting and maintenance, plus a non-refundable up-front fee for set-up, integration services, and data conversion at contract inception. The non-refundable up-front fees are typically billed in advance of services provided and are recorded as contract liability in the consolidated balance sheets. These fees are amortized ratably over the term of the agreement and recognized as revenue. The fixed monthly fee is for a promised service of hosting and maintenance. These services are provided over the same period and have the same pattern of transfer to the customer as the payment processing services. They are both stand-ready obligations satisfied ratably over the contractual period, and assessed as a single performance obligation. Therefore, they are recognized in the same manner as the variable consideration.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Recognized From the Costs to Obtain a Contract With a Customer</w:t>
      </w:r>
    </w:p>
    <w:p>
      <w:pPr>
        <w:spacing w:after="0" w:line="102"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The Company capitalizes certain costs to obtain contracts with customers, including employee sales commissions, when the commission is tied to new sales and is therefore considered an incremental cost of obtaining a customer. At contract inception, the Company capitalizes commission costs that the Company expects to recover and that would not have been incurred if the contract had not been obtained. For the years ended December 31, 2024 and 2023, the Company had capitalized sales commissions of $1.8 million and $1.0 million, respectively. As of December 31, 2024 and 2023, unamortized sales commissions were $2.1 million and $1.2 million, respectively, which are included in prepaid expenses and other assets in the consolidated balance sheets. Amortization of capitalized commissions to obtain customer contracts is included in sales and marketing expense in the consolidated statements of operations. The Company utilizes a straight-line method as it best depicts the pattern of transfer of the goods or services to the customer. The Company amortizes these assets over the expected period of benefit, which is typically three to five years. The Company evaluates contract costs for impairment by comparing, on a pooled basis, the expected future net cash flows from underlying customer relationships to the carrying amount of the capitalized contract costs.</w:t>
      </w:r>
    </w:p>
    <w:p>
      <w:pPr>
        <w:spacing w:after="0" w:line="78"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Some of the Company’s sales compensation paid to the sales force is earned based on the margins earned from the contract over the contract term and is contingent on continued employment with the Company by the salesperson. Sales commissions tied to key operating metrics other than new sales, are not considered incremental costs of obtaining a customer and are expensed in the same period as they are earned, rather than being capitalized. The Company records commission expense within sales and marketing expense in the consolidated statements of operations.</w:t>
      </w:r>
    </w:p>
    <w:p>
      <w:pPr>
        <w:spacing w:after="0" w:line="68"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fair value of the warrant agreements with a reseller/vendor and customer or their affiliates, which was considered to be cost to obtain contracts with customers, was recognized as an asset. The fair value of the warrants was estimated on the grant date. The grant date fair value is determined using the Black-Scholes option pricing model, in accordance with ASC 718, Compensation-Stock Compensation, incorporating the Company's expectations regarding the number of warrants expected to vest in accordance with the warrant agreements. The Company accounts for consideration payable in the form of warrants as share-based compensation expense. Consideration payable to a customer or their affiliate was recorded as a reduction of the transaction price, thereby reducing revenue, following the guidance in ASC 606, while consideration payable to a reseller/vendor or their affiliate is recorded as an operating expense within sales and marketing expenses in the consolidated statements of operations.</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As of December 31, 2024 and 2023, unamortized warrants cost of $3.3 million and $4.5 million, respectively, were included in prepaid expenses and other assets in the consolidated balance sheets. For further details on warrant agreements, refer to Note 12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Cost of revenue consists primarily of interchange and assessment fees, processing fees and bank settlement fees paid to third-party payment processors and financial institutions, and personnel-related costs associated with the Company’s customer support teams, including salaries, benefits, and bonuses. Cost of revenue also includes an allocation of hosting and data center costs for the Company’s infrastructure and platform environment, telecommunication expenses used by sales and customer support teams, a portion of amortization of capitalized internal-use software development costs, and a portion of amortization of intangible assets acquired through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2"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Research and development costs are expensed as incurred, unless they qualify as internal-use software development costs. Research and development expenses consist primarily of employee-related expenses associated with the Company’s research and development staff, including salaries, benefits, stock-based compensation and bonuses.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Advertising costs are expensed as incurred and are included in sales and marketing expenses in the consolidated statement of operations. These costs were $0.8 million, $1.3 million and $2.0 million for the years ended December 31, 2024,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 is self-insured for a significant portion of its employee medical exposures. Liabilities for self-insured exposures are accrued at the present value of amounts expected to be paid based on historical claims experience and actuarial data for forecasted settlements of claims filed and for incurred but not yet reported claims. Accruals for self-insured exposures are included in current liabilities based on the expected periods of payment. Excess liability insurance has been purchased to limit the amount of self-insured risk on claims.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is subject to income taxes in the United States and numerous foreign jurisdictions. Significant judgment is required in determining its provision for income taxes and deferred tax assets and liabilities, including evaluating uncertainties in the application of accounting principles and complex tax laws.</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records a provision for income taxes for the anticipated tax consequences of the reported results of operations using the asset and liability method. Under this method, the Company recognizes deferred tax assets and liabilities for the expected future tax consequences of temporary differences between the carrying amounts for financial reporting purposes and the tax bases of assets and liabilities, as well as for loss and tax credit carryforwards. The deferred assets and liabilities are measured using the statutorily enacted tax rates anticipated to be in effect when those tax assets and liabilities are expected to be realized or settled. The effect on deferred tax assets and liabilities of a change in tax rates is recognized in the period that includes the enactment date.</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expectations and risks associated with estimates of future taxable income in assessing the need for a valuation allowance.</w:t>
      </w:r>
    </w:p>
    <w:p>
      <w:pPr>
        <w:spacing w:after="0" w:line="61"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The Company’s tax positions are subject to income tax audits by multiple tax jurisdictions throughout the world. The Company recognizes the tax benefit of an uncertain tax position only if it is more likely than not the position will be sustainable upon examination by the taxing authority, including resolution of any related appeals or litigation processes. This evaluation is based on all available evidence and assumes that the tax authorities have full knowledge of all relevant information concerning the tax position. The tax benefit recognized is measured as the largest amount of benefit which is more likely than not (greater than 50% likely) to be realized upon ultimate settlement with the taxing authority. The Company recognizes interest accrued and penalties related to unrecognized tax benefits in income tax expense. The Company adjusts these reserves in accordance with the income tax guidance when facts and circumstances change, such as the closing of a tax audit or the refinement of an estimate. To the extent that the final tax outcome of these matters is different from the amounts recorded, such differences will affect the provision for income taxes in the period in which such determination is made and could have a material impact on the Company’s financial condition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measures and recognizes stock-based compensation expense for all stock-based awards, including grants of restricted stock units ("RSUs") and options to purchase stock granted to employees, outside directors and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81" w:name="page82"/>
    <w:bookmarkEnd w:id="81"/>
    <w:p>
      <w:pPr>
        <w:jc w:val="both"/>
        <w:spacing w:after="0" w:line="239" w:lineRule="auto"/>
        <w:rPr>
          <w:sz w:val="20"/>
          <w:szCs w:val="20"/>
          <w:color w:val="auto"/>
        </w:rPr>
      </w:pPr>
      <w:r>
        <w:rPr>
          <w:rFonts w:ascii="Arial" w:cs="Arial" w:eastAsia="Arial" w:hAnsi="Arial"/>
          <w:sz w:val="18"/>
          <w:szCs w:val="18"/>
          <w:color w:val="auto"/>
        </w:rPr>
        <w:t>consultants based on the estimated fair value of the awards on the grant date of the award. The Company estimates the grant date fair value for options using the Black-Scholes option pricing model. The determination of the grant-date fair value using an option-pricing model is affected by the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an RSU is measured using the market price of the Company's Class A common stock on the date of grant. Compensation cost is recognized on a straight-line basis over the employee requisite service period, which is the stated vesting period of the award, provided that total compensation cost recognized at least equals the pro rata value of the awards that have vested. Forfeitures are accounted for in the period in which they occur. For further details on the recognition and presentation of stock-based compensation expense, please refer to Note 13 in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which are composed of primarily bank deposits. Cash in the Company’s bank accounts may exceed federally insured limits.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Restricted cash and cash equivalents consist of deposits required by certain counterparties to merchant counterparty processing agreements and required reserves under certain health insurance policies. Deposit balances are required through the term of the agreement and for six months following the termination of the merchant counterparty processing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forwards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$147.2 million and $510.8 million as of December 31, 2024 and 2023,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years ended December 31, 2024, 2023 and 2022. One reseller accounted for more than 10% of accounts receivable for both December 31, 2024 and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2"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279" w:lineRule="exact"/>
        <w:rPr>
          <w:sz w:val="20"/>
          <w:szCs w:val="20"/>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Level 1 inputs - unadjusted quoted prices in active markets for identical assets or liabilities accessible to the reporting entity at the measurement date;</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Level 2 inputs - other than quoted prices included in Level 1 inputs that are observable for the asset or liability, either directly or indirectly, for substantially the full term of the asset or liability; and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Level 3 inputs -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ind w:firstLine="494"/>
        <w:spacing w:after="0" w:line="253" w:lineRule="auto"/>
        <w:rPr>
          <w:sz w:val="20"/>
          <w:szCs w:val="20"/>
          <w:color w:val="auto"/>
        </w:rPr>
      </w:pPr>
      <w:r>
        <w:rPr>
          <w:rFonts w:ascii="Arial" w:cs="Arial" w:eastAsia="Arial" w:hAnsi="Arial"/>
          <w:sz w:val="18"/>
          <w:szCs w:val="18"/>
          <w:color w:val="auto"/>
        </w:rPr>
        <w:t>Due to their short maturities, the amounts reported on the consolidated balance sheet for accounts receivable, term deposits (recorded as prepaid expenses and other current assets and classified as Level 2 instrument), and accounts payable closely approximate their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Other Receivables and Allowance for Credit Losses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Accounts receivable are recorded at invoiced amounts and do not bear interest. The Company will evaluate its accounts receivable portfolio to determine if an allowance for credit losses is necessary. The development of the allowance for credit losses is based on an expected loss model that considers reasonable and supportable forecasts of future conditions and a review of past due amounts, historical write-off and recovery experience. Provisions are established for outstanding balances on the basis of their age and the Company's assessment of their recoverability. Account balances are charged off against the allowance after all means of collection have been exhausted and the potential for recovery is considered remote. The Company does not have any off-balance sheet exposure related to its customers. As of December 31, 2024, and 2023, accounts receivable included rebate receivables of $6.7 million and $5.5 million, respectively, related to interchange and processing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capitalizes qualifying internal-use software development costs related to its platform</w:t>
      </w:r>
      <w:r>
        <w:rPr>
          <w:rFonts w:ascii="Arial" w:cs="Arial" w:eastAsia="Arial" w:hAnsi="Arial"/>
          <w:sz w:val="18"/>
          <w:szCs w:val="18"/>
          <w:b w:val="1"/>
          <w:bCs w:val="1"/>
          <w:color w:val="auto"/>
        </w:rPr>
        <w:t>.</w:t>
      </w:r>
      <w:r>
        <w:rPr>
          <w:rFonts w:ascii="Arial" w:cs="Arial" w:eastAsia="Arial" w:hAnsi="Arial"/>
          <w:sz w:val="18"/>
          <w:szCs w:val="18"/>
          <w:color w:val="auto"/>
        </w:rPr>
        <w:t xml:space="preserve">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7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consolidated statement of operations aligned with the internal organizations that are the primary beneficiaries of such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Property and equipment, net is stated at cost less accumulated depreciation and amortization. Depreciation is computed using the straight-line method over the estimated useful life of the related asset as follows: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Computer equipment.................................................................. 3 years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Furniture and fixtures ................................................................. 5 years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Leasehold improvements are amortized over the shorter of estimated useful life or the remaining lease term. Expenses that improve an asset or extend its remaining useful life are capitalized. Upon retirement or sale, the cost of assets disposed of, and the related accumulated depreciation, is removed from the accounts and any resulting gain or loss is reflected in other income (loss) in the consolidated statements of operations. Costs of maintenance or repairs that do not extend the lives of the respective assets are expensed as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purchase price of an acquisition is allocated to the tangible and intangible assets and liabilities assumed based on their estimated fair values at the acquisition dates. The excess of total consideration over the fair values of the assets acquired and the liabilities assumed is recorded as goodwill.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would be recorded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(Including Goodwill and Intangible Assets)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Long-lived assets with finite lives include property and equipment, capitalized internal-use software development costs, and acquired intangible assets. The Company evaluates long-lived assets, including intangible assets and capitalized internal-use software development costs,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charge is recognized in the amount by which the carrying amount of the assets exceeds the fair value of the asset or asset group.</w:t>
      </w:r>
    </w:p>
    <w:p>
      <w:pPr>
        <w:spacing w:after="0" w:line="104"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Goodwill is not amortized but rather tested at the reporting unit level for impairment at least annually in the fourth quarter, or more frequently if events or changes in circumstances indicate that goodwill may be impaired. The Company has three reporting units.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See Note 6 for more information regarding the carrying value of goodwill by reporting unit.</w:t>
      </w:r>
    </w:p>
    <w:p>
      <w:pPr>
        <w:spacing w:after="0" w:line="68"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When reviewing goodwill for impairment, the Company performs a qualitative assessment which considers the following circumstances as well as others:</w:t>
      </w:r>
    </w:p>
    <w:p>
      <w:pPr>
        <w:spacing w:after="0" w:line="46" w:lineRule="exact"/>
        <w:rPr>
          <w:sz w:val="20"/>
          <w:szCs w:val="20"/>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macroeconomic conditions such as a deterioration in general economic conditions; limitations on accessing capital; or other developments in equity and credit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industry and market conditions such as a deterioration in the environment in which the</w:t>
      </w:r>
    </w:p>
    <w:p>
      <w:pPr>
        <w:spacing w:after="0" w:line="26" w:lineRule="exact"/>
        <w:rPr>
          <w:rFonts w:ascii="Times New Roman" w:cs="Times New Roman" w:eastAsia="Times New Roman" w:hAnsi="Times New Roman"/>
          <w:sz w:val="18"/>
          <w:szCs w:val="18"/>
          <w:color w:val="auto"/>
        </w:rPr>
      </w:pPr>
    </w:p>
    <w:p>
      <w:pPr>
        <w:jc w:val="both"/>
        <w:ind w:left="102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Company operates; an increased competitive environment; a decline in market-dependent multiples or metrics (in both absolute terms and relative to peers); a change in the market for an entity’s products or services; or a regulatory or political development;</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cost factors that have a negative effect on earnings and cash flows;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Decline in overall financial performance (for both actual and expected performance).</w:t>
      </w:r>
    </w:p>
    <w:p>
      <w:pPr>
        <w:spacing w:after="0" w:line="11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completed its annual goodwill impairment test as of November 30, 2024 using a qualitative assessment. The Company did not recognize any impairment of goodwill during the years ended December 31, 2024 or 2023.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classifies leases as either operating or financing at inception and as necessary at modification. Leased assets represent the Company’s right to use an underlying asset for the lease term and lease liabilities represent its obligation to make lease payments arising from the lease. The Company does not obtain and control its right to use the identified asset until the lease commencement date.</w:t>
      </w:r>
    </w:p>
    <w:p>
      <w:pPr>
        <w:spacing w:after="0" w:line="6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Although it may have a right and an obligation to exchange lease payments for a leased asset from the date of inception, the Company is unlikely to have an obligation to make lease payments before the asset is made available for use; therefore, lease classification, recognition, and measurement are determined at the lease commencement date.</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Company made accounting policy elections, including a short-term lease exception policy, permitting the Company to not apply the recognition requirements of this standard to short-term leases (i.e., leases with expected terms of 12 months or less), and an accounting policy to account for lease and certain non-lease components as a single component for certain classes of assets other than computer equipment leases. For computer equipment leases, the Company has agreements with lease and non-lease components, which are accounted for separately. For these agreements, lease payments are allocated between the lease and non-lease components based on the relative stand-alone price of these components.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Company has leases for office facilities, computer equipment, and data centers. The Company’s leases have remaining initial lease terms of less than one year to approximately five years, some of which include options to extend the leases for up to 3 years, and some of which include options to terminate the leases.</w:t>
      </w:r>
    </w:p>
    <w:p>
      <w:pPr>
        <w:spacing w:after="0" w:line="61"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Operating leases are included in operating lease ROU assets, and operating lease liabilities on the Company’s consolidated balance sheets. Operating lease ROU assets and liabilities are recognized at the lease commencement date based on the present value of lease payments over the lease term. As the Company’s leases do not provide an implicit rate, the Company uses the incremental borrowing rate based on the information available at the commencement date in determining the present value of lease payments. The incremental borrowing rate is the rate of interest that the Company would have to pay to borrow an amount equal to the lease payments on a collateralized basis over a similar term and in a similar economic environment. The operating lease ROU asset also includes any initial direct costs, lease payments made prior to lease commencement, and lease incentives received. The Company’s lease terms are the noncancelable period including any rent-free periods provided by the lessor and may include options to extend or terminate the lease when it is reasonably certain that it will exercise that option. At lease inception, and upon modification or remeasurement, the Company estimates the lease term based on its assessment of extension and termination options that are reasonably certain to be exercised. Lease cost for lease payments is recognized on a straight-line basis over the lease term.</w:t>
      </w:r>
    </w:p>
    <w:p>
      <w:pPr>
        <w:spacing w:after="0" w:line="78"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Leased property under finance leases are included in property and equipment, net. Finance lease liabilities are included within accrued liabilities, and finance lease and other finance obligations, net of current portion on the Company’s consolidated balance sheets. Property and equipment under finance leases is generally amortized over the lease term and is included in general and administrative expenses. The interest on the finance lease liabilities is included in interest income, net.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ind w:firstLine="494"/>
        <w:spacing w:after="0" w:line="253" w:lineRule="auto"/>
        <w:rPr>
          <w:sz w:val="20"/>
          <w:szCs w:val="20"/>
          <w:color w:val="auto"/>
        </w:rPr>
      </w:pPr>
      <w:r>
        <w:rPr>
          <w:rFonts w:ascii="Arial" w:cs="Arial" w:eastAsia="Arial" w:hAnsi="Arial"/>
          <w:sz w:val="18"/>
          <w:szCs w:val="18"/>
          <w:color w:val="auto"/>
        </w:rPr>
        <w:t>Judgment is required when determining whether any of the Company’s data center contracts contain a lease. The Company concluded a lease exists when the asset is specifically identifiable, substantially all the economic benefit of the asset is obtained, and the right to direct the use of the asset exists during the term of the 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0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either (1) within the same periods as those otherwise applicable to public business entities, or</w:t>
      </w:r>
    </w:p>
    <w:p>
      <w:pPr>
        <w:jc w:val="both"/>
        <w:ind w:firstLine="8"/>
        <w:spacing w:after="0" w:line="242" w:lineRule="auto"/>
        <w:tabs>
          <w:tab w:leader="none" w:pos="2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Accounting Standards Updates ("ASU") not listed below were assessed and determined to be either not applicable or are not expected to have a material impact on the consolidated financial statements.</w:t>
      </w:r>
    </w:p>
    <w:p>
      <w:pPr>
        <w:spacing w:after="0" w:line="4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January 1, 2024, the Company adopted ASU 2023-07, Segment Reporting—Improvements to Reportable Segment Disclosures, which requires public entities to provide disclosures of significant segment expenses and other segment items. The guidance requires public entities to provide in interim periods all disclosures about a reportable segment’s profit or loss and assets that are currently required annually and also applies to public entities with a single reportable segment. Entities are permitted to disclose more than one measure of a segment’s profit or loss if such measures are used by the CODM to allocate resources and assess performance, as long as at least one of those measures is determined in a way that is most consistent with the measurement principles used to measure the corresponding amounts in the consolidated financial statements. The Company adopted this standard which is effective beginning with our 2024 fiscal year Form 10-K, and it has been applied to all prior periods presented in the Consolidated Financial Statements. See Note 11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0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2023, the FASB issued ASU 2023-09 "Income Tax Disclosures". ASU 2023-09 makes changes to annual disclosures of income taxes paid for all entities and requires entities to disclose the amount of income taxes paid, net of refunds received, disaggregated by federal, state and foreign jurisdiction. Additionally, entities are required to disclose income taxes paid, net of refunds received, for individual jurisdictions that comprise 5% or more of total income taxes paid. The 5% threshold is evaluated using the absolute value of the net refund or net payment in each jurisdiction compared to the absolute value of the total income taxes paid (net of refunds received). ASU 2023-09 requires all entities to disclose disaggregated domestic and foreign pre-tax income (or loss) from continuing operations along with disaggregated income tax expense (or benefit) by federal, state and foreign components. Such disaggregation by jurisdiction should classify taxes by jurisdiction based on the jurisdiction imposing the taxes. The amendments in ASU 2023-09 are effective for public companies for fiscal years beginning after December 15, 2024. Early adoption is permitted. The adoption of ASU 2023-09 is not expected to have a material impact on the Company's financial position or results of operations.</w:t>
      </w:r>
    </w:p>
    <w:p>
      <w:pPr>
        <w:spacing w:after="0" w:line="7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November 4, 2024, the FASB issued new guidance requiring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ASU 2024-03, Disaggregation of Income Statement Expenses (DISE), applies to all public business entities (PBEs) and is effective for annual reporting periods beginning after December 15, 2026 and interim reporting periods within annual reporting periods beginning after December 15, 2027. The requirements will be applied prospectively with the option for retrospective application. Early adoption is permitted. The adoption of ASU 2024-03 is not expected to have a material impact on the Company's financial position or results of operations.</w:t>
      </w:r>
    </w:p>
    <w:p>
      <w:pPr>
        <w:spacing w:after="0" w:line="180"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104"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Pursuant to ASC 606, the Company evaluates the services promised in contracts with customers at contract inception, and identifies a performance obligation for each promise to transfer a service that is distinct. For the payment transaction services, the promise to the customer is that the Company stands ready to process payment transactions the customer requests on a daily basis over the contract term. Since the timing and quantity of transactions to be processed by Paymentus is not determinable, the Company views payment services to comprise an obligation to stand ready to process as many transactions as the customer requests. Under a stand-ready obligation, the evaluation of the nature of a performance obligation is focused on each time increment rather than the underlying activities. Therefore, the Company views payment services to comprise a series of distinct days of service that are substantially the same and have the same pattern of transfer to the customer. Accordingly, the promise to stand ready is accounted for as a single-series performance obligation.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jc w:val="both"/>
        <w:ind w:firstLine="494"/>
        <w:spacing w:after="0" w:line="239" w:lineRule="auto"/>
        <w:rPr>
          <w:sz w:val="20"/>
          <w:szCs w:val="20"/>
          <w:color w:val="auto"/>
        </w:rPr>
      </w:pPr>
      <w:r>
        <w:rPr>
          <w:rFonts w:ascii="Arial" w:cs="Arial" w:eastAsia="Arial" w:hAnsi="Arial"/>
          <w:sz w:val="18"/>
          <w:szCs w:val="18"/>
          <w:color w:val="auto"/>
        </w:rPr>
        <w:t>ASC 606 requires that the Company determines for each customer arrangement whether revenue should be recognized at a point in time or over time. Substantially all of the Company’s revenues are recognized over time. The majority of the payment transaction services are priced as a percentage of transaction value or a specified fee per transaction. Given the nature of the promise based on unknown quantities or outcomes of services to be performed over the contract term, the total consideration is determined to be variable consideration. The variable consideration for the Company’s payment service is usage-based and, therefore, it specifically relates to the Company’s efforts to satisfy its payment services obligation. The variability is satisfied each day the service is provided to the customer. The Company directly assigns variable fees to the distinct day of service to which it relates, by considering the services performed each day. Therefore, Paymentus measures revenue for its payment service on a daily basis based on the services that are performed on that day and recognizes revenue once the transaction is complete.</w:t>
      </w:r>
    </w:p>
    <w:p>
      <w:pPr>
        <w:spacing w:after="0" w:line="75"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initial term of customer contracts is typically between three to five years. Termination provisions vary by customer, however the majority of customers may not terminate their contract early without penalty. Some of the contracts include tiered pricing, based primarily on volume. The fee charged per transaction is adjusted up or down if the volume processed for a specified period is different from prior period defined volumes. The Company has concluded that this volume-based pricing approach does not constitute a future material right since the discount is within a range typically offered to a class of customers with similar volume. In addition, some contracts include prescribed annual or monthly minimums, penalties for early termination, and service level agreements that may affect contractual fees if specific service levels are not achieved. The Company has determined that these processing services represent a stand-ready obligation comprising a series of distinct days of services that are substantially the same and have the same pattern of transfer to the customer.</w:t>
      </w:r>
    </w:p>
    <w:p>
      <w:pPr>
        <w:spacing w:after="0" w:line="7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also has reseller and partner agreements, some of which contain guaranteed revenue or transaction minimum commitments and revenue sharing arrangements. Because of these minimum commitments, the Company has to evaluate the agreements to determine the fixed and variable consideration and the amount of revenue to be recognized. For the minimum commitments, the Company records the fixed consideration ratably over the commitment period and the variable consideration to the extent that the Company believes that the variable consideration is not constrained. The revenue recorded for these arrangements is net of any revenue sharing with the customer, which is typically determined based on a calculation of revenue less certain fees incurred by the Company, as defined in the agreement.</w:t>
      </w:r>
    </w:p>
    <w:p>
      <w:pPr>
        <w:spacing w:after="0" w:line="77"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The Company recognizes fees charged to customers primarily on a gross basis as transaction revenue when the Company is the principal in respect of completing a payment transaction. In order to provide payment services, the Company routes and clears each transaction through the applicable payment network. The Company obtains authorization for the transaction and requests funds settlement from the card issuing financial institution through the payment network. When third parties are involved in the transfer of goods or services to customers, the Company considers the nature of each specific promised good or service and applies judgment to determine whether the Company controls the good or service before it is transferred to the customer or whether the Company is acting as an agent of the third party. To determine whether or not the Company controls the good or service before it is transferred to the customer, the Company assesses indicators including whether the Company or the third party is primarily responsible for fulfillment and which party has discretion in determining pricing for the good or service, as well as other considerations. Based on an assessment of these indicators, the Company has concluded that the Company bears primary responsibility for the fulfillment of the payment service with the majority of the customers, contracts directly with customers, controls the product specifications, and defines the value proposal from the Company’s services. The Company therefore bears full margin risk when completing a payment transaction, and on that basis, controls those services prior to being transferred to the customer. The interchange fees charged by the card issuing financial institutions and the fees charged by the payment networks are recognized as transaction expense within cost of revenue in the consolidated statements of operations.</w:t>
      </w:r>
    </w:p>
    <w:p>
      <w:pPr>
        <w:spacing w:after="0" w:line="8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The Company also evaluates and establishes a reserve for expected revenue reversals at the time revenue is recognized if it is probable that credit adjustments will occur and the amount can be reasonably estimated. The reserve is recorded as a reduction to revenue in the period the related revenue is recognized. The reserve amount is determined based on historical credit adjustment trends, customer-specific information, and other relevant factors. Accounts receivable included reserve balance of $1.0 million and $0.2 million for credit adjustments as of December 31, 2024, and 2023, respectively.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jc w:val="both"/>
        <w:ind w:firstLine="494"/>
        <w:spacing w:after="0" w:line="242" w:lineRule="auto"/>
        <w:rPr>
          <w:sz w:val="20"/>
          <w:szCs w:val="20"/>
          <w:color w:val="auto"/>
        </w:rPr>
      </w:pPr>
      <w:r>
        <w:rPr>
          <w:rFonts w:ascii="Arial" w:cs="Arial" w:eastAsia="Arial" w:hAnsi="Arial"/>
          <w:sz w:val="18"/>
          <w:szCs w:val="18"/>
          <w:color w:val="auto"/>
        </w:rPr>
        <w:t>ASC 606 requires disclosure of the aggregate amount of the transaction price allocated to unsatisfied performance obligations. As permitted by ASC 606, the Company has elected to exclude from this disclosure any contracts with an original duration of one year or less and any variable consideration that meets specified criteria. As described above,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820" w:type="dxa"/>
            <w:vAlign w:val="bottom"/>
          </w:tcPr>
          <w:p>
            <w:pPr>
              <w:spacing w:after="0"/>
              <w:rPr>
                <w:sz w:val="17"/>
                <w:szCs w:val="17"/>
                <w:color w:val="auto"/>
              </w:rPr>
            </w:pPr>
          </w:p>
        </w:tc>
        <w:tc>
          <w:tcPr>
            <w:tcW w:w="14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 transaction processing revenue</w:t>
            </w:r>
          </w:p>
        </w:tc>
        <w:tc>
          <w:tcPr>
            <w:tcW w:w="1460" w:type="dxa"/>
            <w:vAlign w:val="bottom"/>
            <w:shd w:val="clear" w:color="auto" w:fill="CFF0FC"/>
          </w:tcPr>
          <w:p>
            <w:pPr>
              <w:jc w:val="right"/>
              <w:ind w:right="127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861,736</w:t>
            </w:r>
          </w:p>
        </w:tc>
        <w:tc>
          <w:tcPr>
            <w:tcW w:w="640" w:type="dxa"/>
            <w:vAlign w:val="bottom"/>
            <w:gridSpan w:val="2"/>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606,595</w:t>
            </w:r>
          </w:p>
        </w:tc>
        <w:tc>
          <w:tcPr>
            <w:tcW w:w="4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490,377</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10,009</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6,624</w:t>
            </w:r>
          </w:p>
        </w:tc>
        <w:tc>
          <w:tcPr>
            <w:tcW w:w="100" w:type="dxa"/>
            <w:vAlign w:val="bottom"/>
          </w:tcPr>
          <w:p>
            <w:pPr>
              <w:spacing w:after="0"/>
              <w:rPr>
                <w:sz w:val="17"/>
                <w:szCs w:val="17"/>
                <w:color w:val="auto"/>
              </w:rPr>
            </w:pPr>
          </w:p>
        </w:tc>
      </w:tr>
      <w:tr>
        <w:trPr>
          <w:trHeight w:val="236"/>
        </w:trPr>
        <w:tc>
          <w:tcPr>
            <w:tcW w:w="4820" w:type="dxa"/>
            <w:vAlign w:val="bottom"/>
            <w:tcBorders>
              <w:bottom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revenue</w:t>
            </w:r>
          </w:p>
        </w:tc>
        <w:tc>
          <w:tcPr>
            <w:tcW w:w="1460" w:type="dxa"/>
            <w:vAlign w:val="bottom"/>
            <w:tcBorders>
              <w:bottom w:val="single" w:sz="8" w:color="auto"/>
            </w:tcBorders>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871,745</w:t>
            </w:r>
          </w:p>
        </w:tc>
        <w:tc>
          <w:tcPr>
            <w:tcW w:w="1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614,490</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497,001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As of December 31, 2024, the aggregate amount of transaction price allocated to performance obligations that are unsatisfied or partially unsatisfied was $5.7 million, which the Company expects to recognize over 72% within the next two years, 21% between two to four years and the remainder thereafter. The timing of revenue recognition within the next year is largely dependent upon the go-live dates of the Company's customers under the Company's contracts.</w:t>
      </w:r>
    </w:p>
    <w:p>
      <w:pPr>
        <w:spacing w:after="0" w:line="66" w:lineRule="exact"/>
        <w:rPr>
          <w:sz w:val="20"/>
          <w:szCs w:val="20"/>
          <w:color w:val="auto"/>
        </w:rPr>
      </w:pPr>
    </w:p>
    <w:p>
      <w:pPr>
        <w:jc w:val="both"/>
        <w:ind w:right="20" w:firstLine="494"/>
        <w:spacing w:after="0" w:line="247" w:lineRule="auto"/>
        <w:rPr>
          <w:sz w:val="20"/>
          <w:szCs w:val="20"/>
          <w:color w:val="auto"/>
        </w:rPr>
      </w:pPr>
      <w:r>
        <w:rPr>
          <w:rFonts w:ascii="Arial" w:cs="Arial" w:eastAsia="Arial" w:hAnsi="Arial"/>
          <w:sz w:val="18"/>
          <w:szCs w:val="18"/>
          <w:color w:val="auto"/>
        </w:rPr>
        <w:t>As of December 31, 2024, the Company has contractual rights under its commercial agreements to receive $75.5 million of fixed consideration related to the future minimum guarantees through 2029. As permitted, the Company has elected to exclude from this disclosure any variable consideration that meets specified criteria. Accordingly, the total unsatisfied or partially unsatisfied performance obligations related to processing services is significantly higher than the amount disclosed.</w:t>
      </w:r>
    </w:p>
    <w:p>
      <w:pPr>
        <w:sectPr>
          <w:pgSz w:w="11900" w:h="16838" w:orient="portrait"/>
          <w:cols w:equalWidth="0" w:num="1">
            <w:col w:w="11240"/>
          </w:cols>
          <w:pgMar w:left="320" w:top="1093" w:right="3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304" w:lineRule="exact"/>
        <w:rPr>
          <w:sz w:val="20"/>
          <w:szCs w:val="20"/>
          <w:color w:val="auto"/>
        </w:rPr>
      </w:pPr>
    </w:p>
    <w:p>
      <w:pPr>
        <w:jc w:val="right"/>
        <w:ind w:right="2200"/>
        <w:spacing w:after="0"/>
        <w:rPr>
          <w:sz w:val="20"/>
          <w:szCs w:val="20"/>
          <w:color w:val="auto"/>
        </w:rPr>
      </w:pPr>
      <w:r>
        <w:rPr>
          <w:rFonts w:ascii="Arial" w:cs="Arial" w:eastAsia="Arial" w:hAnsi="Arial"/>
          <w:sz w:val="18"/>
          <w:szCs w:val="18"/>
          <w:color w:val="auto"/>
        </w:rPr>
        <w:t>Contract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Contract Liabilities: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2023</w:t>
            </w:r>
          </w:p>
        </w:tc>
      </w:tr>
      <w:tr>
        <w:trPr>
          <w:trHeight w:val="240"/>
        </w:trPr>
        <w:tc>
          <w:tcPr>
            <w:tcW w:w="300" w:type="dxa"/>
            <w:vAlign w:val="bottom"/>
          </w:tcPr>
          <w:p>
            <w:pPr>
              <w:spacing w:after="0"/>
              <w:rPr>
                <w:sz w:val="20"/>
                <w:szCs w:val="20"/>
                <w:color w:val="auto"/>
              </w:rPr>
            </w:pPr>
          </w:p>
        </w:tc>
        <w:tc>
          <w:tcPr>
            <w:tcW w:w="4100" w:type="dxa"/>
            <w:vAlign w:val="bottom"/>
            <w:gridSpan w:val="4"/>
          </w:tcPr>
          <w:p>
            <w:pPr>
              <w:jc w:val="right"/>
              <w:ind w:right="1490"/>
              <w:spacing w:after="0"/>
              <w:rPr>
                <w:sz w:val="20"/>
                <w:szCs w:val="20"/>
                <w:color w:val="auto"/>
              </w:rPr>
            </w:pPr>
            <w:r>
              <w:rPr>
                <w:rFonts w:ascii="Arial" w:cs="Arial" w:eastAsia="Arial" w:hAnsi="Arial"/>
                <w:sz w:val="18"/>
                <w:szCs w:val="18"/>
                <w:b w:val="1"/>
                <w:bCs w:val="1"/>
                <w:color w:val="auto"/>
              </w:rPr>
              <w:t>(in thousands)</w:t>
            </w:r>
          </w:p>
        </w:tc>
      </w:tr>
      <w:tr>
        <w:trPr>
          <w:trHeight w:val="342"/>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2,937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4,089</w:t>
            </w:r>
          </w:p>
        </w:tc>
      </w:tr>
      <w:tr>
        <w:trPr>
          <w:trHeight w:val="221"/>
        </w:trPr>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r>
      <w:tr>
        <w:trPr>
          <w:trHeight w:val="196"/>
        </w:trPr>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6,820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-548005</wp:posOffset>
            </wp:positionV>
            <wp:extent cx="713232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-290830</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6020" w:space="720"/>
            <w:col w:w="4500"/>
          </w:cols>
          <w:pgMar w:left="320" w:top="1093" w:right="339" w:bottom="1440" w:gutter="0" w:footer="0" w:header="0"/>
          <w:type w:val="continuous"/>
        </w:sectPr>
      </w:pPr>
    </w:p>
    <w:p>
      <w:pPr>
        <w:ind w:firstLine="494"/>
        <w:spacing w:after="0" w:line="271" w:lineRule="auto"/>
        <w:rPr>
          <w:sz w:val="20"/>
          <w:szCs w:val="20"/>
          <w:color w:val="auto"/>
        </w:rPr>
      </w:pPr>
      <w:r>
        <w:rPr>
          <w:rFonts w:ascii="Arial" w:cs="Arial" w:eastAsia="Arial" w:hAnsi="Arial"/>
          <w:sz w:val="18"/>
          <w:szCs w:val="18"/>
          <w:color w:val="auto"/>
        </w:rPr>
        <w:t>Revenue recognized during the year ended December 31, 2024 and 2023 that was included in the contract liabilities balance at the beginning of each of the periods was $3.9 million and $1.6 million, respectively.</w:t>
      </w:r>
    </w:p>
    <w:p>
      <w:pPr>
        <w:spacing w:after="0" w:line="154"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Financial, Inc.</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On December 19, 2022, the Company completed its acquisition of PROFIT Financial, Inc. ("PROFIT") by acquiring all outstanding shares of PROFIT for a total purchase price of approximately $4.3 million, net of cash acquired, comprised of $3.3 million cash of which $0.1 million is included as a short term payable at December 31, 2022 and a $0.6 million holdback by the Company for a period of 12 to 24 months following the transaction close date and is recorded in accrued liabilities in the consolidated balance sheets. In 2023, $0.2 million of the $0.6 million holdback was released to the former stockholders of PROFIT. PROFIT is a financial and accounting software company with offerings to small business.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7" w:name="page88"/>
    <w:bookmarkEnd w:id="87"/>
    <w:p>
      <w:pPr>
        <w:jc w:val="both"/>
        <w:ind w:firstLine="494"/>
        <w:spacing w:after="0" w:line="253" w:lineRule="auto"/>
        <w:rPr>
          <w:sz w:val="20"/>
          <w:szCs w:val="20"/>
          <w:color w:val="auto"/>
        </w:rPr>
      </w:pPr>
      <w:r>
        <w:rPr>
          <w:rFonts w:ascii="Arial" w:cs="Arial" w:eastAsia="Arial" w:hAnsi="Arial"/>
          <w:sz w:val="18"/>
          <w:szCs w:val="18"/>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7"/>
                <w:szCs w:val="17"/>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1,873</w:t>
            </w:r>
          </w:p>
        </w:tc>
        <w:tc>
          <w:tcPr>
            <w:tcW w:w="100" w:type="dxa"/>
            <w:vAlign w:val="bottom"/>
          </w:tcPr>
          <w:p>
            <w:pPr>
              <w:spacing w:after="0"/>
              <w:rPr>
                <w:sz w:val="17"/>
                <w:szCs w:val="17"/>
                <w:color w:val="auto"/>
              </w:rPr>
            </w:pPr>
          </w:p>
        </w:tc>
      </w:tr>
      <w:tr>
        <w:trPr>
          <w:trHeight w:val="203"/>
        </w:trPr>
        <w:tc>
          <w:tcPr>
            <w:tcW w:w="8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2,509</w:t>
            </w:r>
          </w:p>
        </w:tc>
        <w:tc>
          <w:tcPr>
            <w:tcW w:w="100" w:type="dxa"/>
            <w:vAlign w:val="bottom"/>
            <w:shd w:val="clear" w:color="auto" w:fill="CFF0FC"/>
          </w:tcPr>
          <w:p>
            <w:pPr>
              <w:spacing w:after="0"/>
              <w:rPr>
                <w:sz w:val="17"/>
                <w:szCs w:val="17"/>
                <w:color w:val="auto"/>
              </w:rPr>
            </w:pPr>
          </w:p>
        </w:tc>
      </w:tr>
      <w:tr>
        <w:trPr>
          <w:trHeight w:val="203"/>
        </w:trPr>
        <w:tc>
          <w:tcPr>
            <w:tcW w:w="8900" w:type="dxa"/>
            <w:vAlign w:val="bottom"/>
          </w:tcPr>
          <w:p>
            <w:pPr>
              <w:ind w:left="20"/>
              <w:spacing w:after="0" w:line="202" w:lineRule="exact"/>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(382 )</w:t>
            </w:r>
          </w:p>
        </w:tc>
      </w:tr>
      <w:tr>
        <w:trPr>
          <w:trHeight w:val="236"/>
        </w:trPr>
        <w:tc>
          <w:tcPr>
            <w:tcW w:w="89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finalization of the purchase price allocation did not result in any changes to the preliminary estimate. There were no measurement period adjustments during the year ended December 31, 2023.</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PROFIT and the assembled workforce. The goodwill is not deductible for income tax purposes.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752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Brand</w:t>
            </w:r>
          </w:p>
        </w:tc>
        <w:tc>
          <w:tcPr>
            <w:tcW w:w="1300" w:type="dxa"/>
            <w:vAlign w:val="bottom"/>
            <w:shd w:val="clear" w:color="auto" w:fill="CFF0FC"/>
          </w:tcPr>
          <w:p>
            <w:pPr>
              <w:jc w:val="right"/>
              <w:ind w:right="111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w:t>
            </w:r>
          </w:p>
        </w:tc>
        <w:tc>
          <w:tcPr>
            <w:tcW w:w="18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3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1,828</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jc w:val="right"/>
              <w:ind w:right="1116"/>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1,873</w:t>
            </w:r>
          </w:p>
        </w:tc>
        <w:tc>
          <w:tcPr>
            <w:tcW w:w="1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Costs incurred for the PROFIT acquisition were not material.</w:t>
      </w:r>
    </w:p>
    <w:p>
      <w:pPr>
        <w:spacing w:after="0" w:line="104"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revenue and expenses of the acquired business have been included in the Company's consolidated financial results since the acquisition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6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760" w:type="dxa"/>
            <w:vAlign w:val="bottom"/>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4"/>
        </w:trPr>
        <w:tc>
          <w:tcPr>
            <w:tcW w:w="7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jc w:val="right"/>
              <w:ind w:right="118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6,178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6,059</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1,715</w:t>
            </w:r>
          </w:p>
        </w:tc>
        <w:tc>
          <w:tcPr>
            <w:tcW w:w="100" w:type="dxa"/>
            <w:vAlign w:val="bottom"/>
          </w:tcPr>
          <w:p>
            <w:pPr>
              <w:spacing w:after="0"/>
              <w:rPr>
                <w:sz w:val="17"/>
                <w:szCs w:val="17"/>
                <w:color w:val="auto"/>
              </w:rPr>
            </w:pPr>
          </w:p>
        </w:tc>
      </w:tr>
      <w:tr>
        <w:trPr>
          <w:trHeight w:val="203"/>
        </w:trPr>
        <w:tc>
          <w:tcPr>
            <w:tcW w:w="77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60" w:type="dxa"/>
            <w:vAlign w:val="bottom"/>
          </w:tcPr>
          <w:p>
            <w:pPr>
              <w:ind w:left="140"/>
              <w:spacing w:after="0" w:line="196" w:lineRule="exact"/>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8,277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8,170</w:t>
            </w:r>
          </w:p>
        </w:tc>
        <w:tc>
          <w:tcPr>
            <w:tcW w:w="100" w:type="dxa"/>
            <w:vAlign w:val="bottom"/>
          </w:tcPr>
          <w:p>
            <w:pPr>
              <w:spacing w:after="0"/>
              <w:rPr>
                <w:sz w:val="17"/>
                <w:szCs w:val="17"/>
                <w:color w:val="auto"/>
              </w:rPr>
            </w:pPr>
          </w:p>
        </w:tc>
      </w:tr>
      <w:tr>
        <w:trPr>
          <w:trHeight w:val="203"/>
        </w:trPr>
        <w:tc>
          <w:tcPr>
            <w:tcW w:w="77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(7,120 )</w:t>
            </w:r>
          </w:p>
        </w:tc>
        <w:tc>
          <w:tcPr>
            <w:tcW w:w="1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(6,612 )</w:t>
            </w:r>
          </w:p>
        </w:tc>
      </w:tr>
      <w:tr>
        <w:trPr>
          <w:trHeight w:val="196"/>
        </w:trPr>
        <w:tc>
          <w:tcPr>
            <w:tcW w:w="7760" w:type="dxa"/>
            <w:vAlign w:val="bottom"/>
            <w:tcBorders>
              <w:top w:val="single" w:sz="8" w:color="CFF0FC"/>
            </w:tcBorders>
          </w:tcPr>
          <w:p>
            <w:pPr>
              <w:ind w:left="14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1,558</w:t>
            </w:r>
          </w:p>
        </w:tc>
        <w:tc>
          <w:tcPr>
            <w:tcW w:w="100" w:type="dxa"/>
            <w:vAlign w:val="bottom"/>
            <w:tcBorders>
              <w:top w:val="single" w:sz="8" w:color="CFF0FC"/>
            </w:tcBorders>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-427990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Depreciation expense recorded for property and equipment was $0.8 million, $0.9 million and $1.2 million for the years ended December 31, 2024, 2023 and 2022, respectively.</w:t>
      </w:r>
    </w:p>
    <w:p>
      <w:pPr>
        <w:spacing w:after="0" w:line="154"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Internal-use Software Development Costs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United States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2022</w:t>
            </w:r>
          </w:p>
        </w:tc>
        <w:tc>
          <w:tcPr>
            <w:tcW w:w="3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131,028</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823</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131,851</w:t>
            </w:r>
          </w:p>
        </w:tc>
        <w:tc>
          <w:tcPr>
            <w:tcW w:w="100" w:type="dxa"/>
            <w:vAlign w:val="bottom"/>
            <w:shd w:val="clear" w:color="auto" w:fill="CFF0FC"/>
          </w:tcPr>
          <w:p>
            <w:pPr>
              <w:spacing w:after="0"/>
              <w:rPr>
                <w:sz w:val="17"/>
                <w:szCs w:val="17"/>
                <w:color w:val="auto"/>
              </w:rPr>
            </w:pPr>
          </w:p>
        </w:tc>
      </w:tr>
      <w:tr>
        <w:trPr>
          <w:trHeight w:val="196"/>
        </w:trPr>
        <w:tc>
          <w:tcPr>
            <w:tcW w:w="44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Foreign currency translation adjustments</w:t>
            </w:r>
          </w:p>
        </w:tc>
        <w:tc>
          <w:tcPr>
            <w:tcW w:w="28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00" w:type="dxa"/>
            <w:vAlign w:val="bottom"/>
            <w:tcBorders>
              <w:top w:val="single" w:sz="8" w:color="CFF0FC"/>
            </w:tcBorders>
          </w:tcPr>
          <w:p>
            <w:pPr>
              <w:spacing w:after="0"/>
              <w:rPr>
                <w:sz w:val="17"/>
                <w:szCs w:val="17"/>
                <w:color w:val="auto"/>
              </w:rPr>
            </w:pPr>
          </w:p>
        </w:tc>
      </w:tr>
      <w:tr>
        <w:trPr>
          <w:trHeight w:val="196"/>
        </w:trPr>
        <w:tc>
          <w:tcPr>
            <w:tcW w:w="4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2023</w:t>
            </w:r>
          </w:p>
        </w:tc>
        <w:tc>
          <w:tcPr>
            <w:tcW w:w="2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131,028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832</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00" w:type="dxa"/>
            <w:vAlign w:val="bottom"/>
          </w:tcPr>
          <w:p>
            <w:pPr>
              <w:ind w:left="20"/>
              <w:spacing w:after="0" w:line="196" w:lineRule="exact"/>
              <w:rPr>
                <w:sz w:val="20"/>
                <w:szCs w:val="20"/>
                <w:color w:val="auto"/>
              </w:rPr>
            </w:pPr>
            <w:r>
              <w:rPr>
                <w:rFonts w:ascii="Arial" w:cs="Arial" w:eastAsia="Arial" w:hAnsi="Arial"/>
                <w:sz w:val="18"/>
                <w:szCs w:val="18"/>
                <w:color w:val="auto"/>
              </w:rPr>
              <w:t>Foreign currency translation adjustments</w:t>
            </w: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(45 )</w:t>
            </w:r>
          </w:p>
        </w:tc>
        <w:tc>
          <w:tcPr>
            <w:tcW w:w="26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(45 )</w:t>
            </w:r>
          </w:p>
        </w:tc>
      </w:tr>
      <w:tr>
        <w:trPr>
          <w:trHeight w:val="236"/>
        </w:trPr>
        <w:tc>
          <w:tcPr>
            <w:tcW w:w="44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2024</w:t>
            </w:r>
          </w:p>
        </w:tc>
        <w:tc>
          <w:tcPr>
            <w:tcW w:w="28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131,028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787</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131,815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740"/>
        </w:trPr>
        <w:tc>
          <w:tcPr>
            <w:tcW w:w="4400" w:type="dxa"/>
            <w:vAlign w:val="bottom"/>
          </w:tcPr>
          <w:p>
            <w:pPr>
              <w:spacing w:after="0"/>
              <w:rPr>
                <w:sz w:val="24"/>
                <w:szCs w:val="24"/>
                <w:color w:val="auto"/>
              </w:rPr>
            </w:pPr>
          </w:p>
        </w:tc>
        <w:tc>
          <w:tcPr>
            <w:tcW w:w="2880" w:type="dxa"/>
            <w:vAlign w:val="bottom"/>
          </w:tcPr>
          <w:p>
            <w:pPr>
              <w:jc w:val="right"/>
              <w:ind w:right="147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4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-1542415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-1542415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-1268095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-1268095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-993775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-976630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-993775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-976630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02"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During the years ended December 31, 2024, 2023 and 2022, the Company capitalized $36.2 million, $33.7 million and $29.8 million in software development costs,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included in the consolidated statements of operations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20" w:type="dxa"/>
            <w:vAlign w:val="bottom"/>
            <w:gridSpan w:val="11"/>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Borders>
              <w:top w:val="single" w:sz="8" w:color="auto"/>
              <w:bottom w:val="single" w:sz="8" w:color="auto"/>
            </w:tcBorders>
            <w:gridSpan w:val="4"/>
          </w:tcPr>
          <w:p>
            <w:pPr>
              <w:jc w:val="right"/>
              <w:ind w:right="210"/>
              <w:spacing w:after="0" w:line="196" w:lineRule="exact"/>
              <w:rPr>
                <w:sz w:val="20"/>
                <w:szCs w:val="20"/>
                <w:color w:val="auto"/>
              </w:rPr>
            </w:pPr>
            <w:r>
              <w:rPr>
                <w:rFonts w:ascii="Arial" w:cs="Arial" w:eastAsia="Arial" w:hAnsi="Arial"/>
                <w:sz w:val="18"/>
                <w:szCs w:val="18"/>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94"/>
              </w:rPr>
              <w:t>2023</w:t>
            </w:r>
          </w:p>
        </w:tc>
        <w:tc>
          <w:tcPr>
            <w:tcW w:w="1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left w:val="single" w:sz="8" w:color="CFF0FC"/>
            </w:tcBorders>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17,911</w:t>
            </w:r>
          </w:p>
        </w:tc>
        <w:tc>
          <w:tcPr>
            <w:tcW w:w="520" w:type="dxa"/>
            <w:vAlign w:val="bottom"/>
            <w:gridSpan w:val="3"/>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13,341</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9,675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8,008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00" w:type="dxa"/>
            <w:vAlign w:val="bottom"/>
            <w:tcBorders>
              <w:right w:val="single" w:sz="8" w:color="CFF0FC"/>
            </w:tcBorders>
            <w:shd w:val="clear" w:color="auto" w:fill="CFF0FC"/>
          </w:tcPr>
          <w:p>
            <w:pPr>
              <w:ind w:left="280"/>
              <w:spacing w:after="0" w:line="182"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FF0FC"/>
            </w:tcBorders>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98"/>
              </w:rPr>
              <w:t>27,586</w:t>
            </w:r>
          </w:p>
        </w:tc>
        <w:tc>
          <w:tcPr>
            <w:tcW w:w="520" w:type="dxa"/>
            <w:vAlign w:val="bottom"/>
            <w:gridSpan w:val="3"/>
            <w:shd w:val="clear" w:color="auto" w:fill="CFF0FC"/>
          </w:tcPr>
          <w:p>
            <w:pPr>
              <w:jc w:val="right"/>
              <w:ind w:right="19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FF0FC"/>
          </w:tcPr>
          <w:p>
            <w:pPr>
              <w:jc w:val="right"/>
              <w:ind w:right="20"/>
              <w:spacing w:after="0" w:line="182" w:lineRule="exact"/>
              <w:rPr>
                <w:sz w:val="20"/>
                <w:szCs w:val="20"/>
                <w:color w:val="auto"/>
              </w:rPr>
            </w:pPr>
            <w:r>
              <w:rPr>
                <w:rFonts w:ascii="Arial" w:cs="Arial" w:eastAsia="Arial" w:hAnsi="Arial"/>
                <w:sz w:val="18"/>
                <w:szCs w:val="18"/>
                <w:b w:val="1"/>
                <w:bCs w:val="1"/>
                <w:color w:val="auto"/>
              </w:rPr>
              <w:t>21,349</w:t>
            </w:r>
          </w:p>
        </w:tc>
        <w:tc>
          <w:tcPr>
            <w:tcW w:w="2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14,621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7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26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00" w:type="dxa"/>
            <w:vAlign w:val="bottom"/>
            <w:gridSpan w:val="4"/>
          </w:tcPr>
          <w:p>
            <w:pPr>
              <w:ind w:left="500"/>
              <w:spacing w:after="0"/>
              <w:rPr>
                <w:sz w:val="20"/>
                <w:szCs w:val="20"/>
                <w:color w:val="auto"/>
              </w:rPr>
            </w:pPr>
            <w:r>
              <w:rPr>
                <w:rFonts w:ascii="Arial" w:cs="Arial" w:eastAsia="Arial" w:hAnsi="Arial"/>
                <w:sz w:val="18"/>
                <w:szCs w:val="18"/>
                <w:color w:val="auto"/>
              </w:rPr>
              <w:t>Intangible assets, net consisted of the following (in thousands):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December 31, 2024</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Net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70"/>
              <w:spacing w:after="0" w:line="177"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3"/>
            <w:vMerge w:val="restart"/>
          </w:tcPr>
          <w:p>
            <w:pPr>
              <w:jc w:val="right"/>
              <w:ind w:right="280"/>
              <w:spacing w:after="0" w:line="202" w:lineRule="exact"/>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40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vMerge w:val="restart"/>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7"/>
            <w:vMerge w:val="restart"/>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3"/>
            <w:vMerge w:val="restart"/>
          </w:tcPr>
          <w:p>
            <w:pPr>
              <w:jc w:val="right"/>
              <w:ind w:right="300"/>
              <w:spacing w:after="0" w:line="202" w:lineRule="exact"/>
              <w:rPr>
                <w:sz w:val="20"/>
                <w:szCs w:val="20"/>
                <w:color w:val="auto"/>
              </w:rPr>
            </w:pPr>
            <w:r>
              <w:rPr>
                <w:rFonts w:ascii="Arial" w:cs="Arial" w:eastAsia="Arial" w:hAnsi="Arial"/>
                <w:sz w:val="18"/>
                <w:szCs w:val="18"/>
                <w:b w:val="1"/>
                <w:bCs w:val="1"/>
                <w:color w:val="auto"/>
                <w:w w:val="99"/>
              </w:rPr>
              <w:t>Amortization</w:t>
            </w:r>
          </w:p>
        </w:tc>
        <w:tc>
          <w:tcPr>
            <w:tcW w:w="80" w:type="dxa"/>
            <w:vAlign w:val="bottom"/>
          </w:tcPr>
          <w:p>
            <w:pPr>
              <w:spacing w:after="0"/>
              <w:rPr>
                <w:sz w:val="8"/>
                <w:szCs w:val="8"/>
                <w:color w:val="auto"/>
              </w:rPr>
            </w:pPr>
          </w:p>
        </w:tc>
        <w:tc>
          <w:tcPr>
            <w:tcW w:w="18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3"/>
            <w:vMerge w:val="restart"/>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gridSpan w:val="7"/>
            <w:vMerge w:val="restart"/>
          </w:tcPr>
          <w:p>
            <w:pPr>
              <w:jc w:val="center"/>
              <w:ind w:right="22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7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70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21,798</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80" w:type="dxa"/>
            <w:vAlign w:val="bottom"/>
            <w:gridSpan w:val="5"/>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(18,675 )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3,123</w:t>
            </w:r>
          </w:p>
        </w:tc>
        <w:tc>
          <w:tcPr>
            <w:tcW w:w="1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31,946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(16,689 )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15,257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Software and license</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2,797</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(2,789 )</w:t>
            </w: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Trademark</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(3,350 )</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right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60,579</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980" w:type="dxa"/>
            <w:vAlign w:val="bottom"/>
            <w:gridSpan w:val="5"/>
            <w:shd w:val="clear" w:color="auto" w:fill="CFF0FC"/>
          </w:tcPr>
          <w:p>
            <w:pPr>
              <w:jc w:val="right"/>
              <w:ind w:right="350"/>
              <w:spacing w:after="0" w:line="196" w:lineRule="exact"/>
              <w:rPr>
                <w:sz w:val="20"/>
                <w:szCs w:val="20"/>
                <w:color w:val="auto"/>
              </w:rPr>
            </w:pPr>
            <w:r>
              <w:rPr>
                <w:rFonts w:ascii="Arial" w:cs="Arial" w:eastAsia="Arial" w:hAnsi="Arial"/>
                <w:sz w:val="18"/>
                <w:szCs w:val="18"/>
                <w:color w:val="auto"/>
              </w:rPr>
              <w:t>(41,503 )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1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210"/>
              <w:spacing w:after="0"/>
              <w:rPr>
                <w:sz w:val="20"/>
                <w:szCs w:val="20"/>
                <w:color w:val="auto"/>
              </w:rPr>
            </w:pPr>
            <w:r>
              <w:rPr>
                <w:rFonts w:ascii="Arial" w:cs="Arial" w:eastAsia="Arial" w:hAnsi="Arial"/>
                <w:sz w:val="18"/>
                <w:szCs w:val="18"/>
                <w:b w:val="1"/>
                <w:bCs w:val="1"/>
                <w:color w:val="auto"/>
              </w:rPr>
              <w:t>December 31, 2023</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rPr>
              <w:t>Net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30"/>
              <w:spacing w:after="0" w:line="177"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3"/>
            <w:vMerge w:val="restart"/>
          </w:tcPr>
          <w:p>
            <w:pPr>
              <w:jc w:val="right"/>
              <w:ind w:right="220"/>
              <w:spacing w:after="0" w:line="202"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36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vMerge w:val="restart"/>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gridSpan w:val="6"/>
            <w:vMerge w:val="restart"/>
          </w:tcPr>
          <w:p>
            <w:pPr>
              <w:jc w:val="center"/>
              <w:ind w:right="600"/>
              <w:spacing w:after="0" w:line="202"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3"/>
            <w:vMerge w:val="restart"/>
          </w:tcPr>
          <w:p>
            <w:pPr>
              <w:jc w:val="right"/>
              <w:ind w:right="240"/>
              <w:spacing w:after="0" w:line="202" w:lineRule="exact"/>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3"/>
            <w:vMerge w:val="restart"/>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Useful Life</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5"/>
            <w:vMerge w:val="restart"/>
          </w:tcPr>
          <w:p>
            <w:pPr>
              <w:jc w:val="center"/>
              <w:ind w:right="60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8"/>
              </w:rPr>
              <w:t>(Years)</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7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70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Technology</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21,845</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gridSpan w:val="5"/>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(14,951 ) $</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6,894</w:t>
            </w:r>
          </w:p>
        </w:tc>
        <w:tc>
          <w:tcPr>
            <w:tcW w:w="1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32,006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(13,480 )</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18,526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right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Software and license</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3,019</w:t>
            </w:r>
          </w:p>
        </w:tc>
        <w:tc>
          <w:tcPr>
            <w:tcW w:w="16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(2,979 )</w:t>
            </w:r>
          </w:p>
        </w:tc>
        <w:tc>
          <w:tcPr>
            <w:tcW w:w="4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Trademark</w:t>
            </w: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4,038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(2,340 )</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1,698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right w:val="single" w:sz="8" w:color="CFF0FC"/>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60,908</w:t>
            </w:r>
          </w:p>
        </w:tc>
        <w:tc>
          <w:tcPr>
            <w:tcW w:w="16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gridSpan w:val="5"/>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rPr>
              <w:t>(33,750 ) $</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27,158</w:t>
            </w:r>
          </w:p>
        </w:tc>
        <w:tc>
          <w:tcPr>
            <w:tcW w:w="12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-3368040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-3350895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-3368040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-3350895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-1499870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-1482090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-1499870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-1482090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-1499870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-1482090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Amortization expense of intangible assets was $8.1 million, $8.4 million and $8.3 million for the years ended December 31, 2024, 2023 and 2022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2024, future expected amortization expense is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FF0FC"/>
          </w:tcPr>
          <w:p>
            <w:pPr>
              <w:jc w:val="right"/>
              <w:ind w:right="5530"/>
              <w:spacing w:after="0"/>
              <w:rPr>
                <w:sz w:val="20"/>
                <w:szCs w:val="20"/>
                <w:color w:val="auto"/>
              </w:rPr>
            </w:pPr>
            <w:r>
              <w:rPr>
                <w:rFonts w:ascii="Arial" w:cs="Arial" w:eastAsia="Arial" w:hAnsi="Arial"/>
                <w:sz w:val="18"/>
                <w:szCs w:val="18"/>
                <w:b w:val="1"/>
                <w:bCs w:val="1"/>
                <w:color w:val="auto"/>
              </w:rPr>
              <w:t>Years Ending December 31,</w:t>
            </w:r>
          </w:p>
        </w:tc>
        <w:tc>
          <w:tcPr>
            <w:tcW w:w="132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jc w:val="right"/>
              <w:ind w:right="7390"/>
              <w:spacing w:after="0" w:line="202" w:lineRule="exact"/>
              <w:rPr>
                <w:sz w:val="20"/>
                <w:szCs w:val="20"/>
                <w:color w:val="auto"/>
              </w:rPr>
            </w:pPr>
            <w:r>
              <w:rPr>
                <w:rFonts w:ascii="Arial" w:cs="Arial" w:eastAsia="Arial" w:hAnsi="Arial"/>
                <w:sz w:val="18"/>
                <w:szCs w:val="18"/>
                <w:color w:val="auto"/>
              </w:rPr>
              <w:t>2025</w:t>
            </w:r>
          </w:p>
        </w:tc>
        <w:tc>
          <w:tcPr>
            <w:tcW w:w="1320" w:type="dxa"/>
            <w:vAlign w:val="bottom"/>
          </w:tcPr>
          <w:p>
            <w:pPr>
              <w:jc w:val="right"/>
              <w:ind w:right="11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6,620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jc w:val="right"/>
              <w:ind w:right="7390"/>
              <w:spacing w:after="0" w:line="202" w:lineRule="exact"/>
              <w:rPr>
                <w:sz w:val="20"/>
                <w:szCs w:val="20"/>
                <w:color w:val="auto"/>
              </w:rPr>
            </w:pPr>
            <w:r>
              <w:rPr>
                <w:rFonts w:ascii="Arial" w:cs="Arial" w:eastAsia="Arial" w:hAnsi="Arial"/>
                <w:sz w:val="18"/>
                <w:szCs w:val="18"/>
                <w:color w:val="auto"/>
              </w:rPr>
              <w:t>2026</w:t>
            </w:r>
          </w:p>
        </w:tc>
        <w:tc>
          <w:tcPr>
            <w:tcW w:w="1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3,738</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jc w:val="right"/>
              <w:ind w:right="7390"/>
              <w:spacing w:after="0" w:line="202" w:lineRule="exact"/>
              <w:rPr>
                <w:sz w:val="20"/>
                <w:szCs w:val="20"/>
                <w:color w:val="auto"/>
              </w:rPr>
            </w:pPr>
            <w:r>
              <w:rPr>
                <w:rFonts w:ascii="Arial" w:cs="Arial" w:eastAsia="Arial" w:hAnsi="Arial"/>
                <w:sz w:val="18"/>
                <w:szCs w:val="18"/>
                <w:color w:val="auto"/>
              </w:rPr>
              <w:t>2027</w:t>
            </w:r>
          </w:p>
        </w:tc>
        <w:tc>
          <w:tcPr>
            <w:tcW w:w="13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jc w:val="right"/>
              <w:ind w:right="7390"/>
              <w:spacing w:after="0" w:line="202" w:lineRule="exact"/>
              <w:rPr>
                <w:sz w:val="20"/>
                <w:szCs w:val="20"/>
                <w:color w:val="auto"/>
              </w:rPr>
            </w:pPr>
            <w:r>
              <w:rPr>
                <w:rFonts w:ascii="Arial" w:cs="Arial" w:eastAsia="Arial" w:hAnsi="Arial"/>
                <w:sz w:val="18"/>
                <w:szCs w:val="18"/>
                <w:color w:val="auto"/>
              </w:rPr>
              <w:t>2028</w:t>
            </w:r>
          </w:p>
        </w:tc>
        <w:tc>
          <w:tcPr>
            <w:tcW w:w="13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jc w:val="right"/>
              <w:ind w:right="7390"/>
              <w:spacing w:after="0" w:line="202" w:lineRule="exact"/>
              <w:rPr>
                <w:sz w:val="20"/>
                <w:szCs w:val="20"/>
                <w:color w:val="auto"/>
              </w:rPr>
            </w:pPr>
            <w:r>
              <w:rPr>
                <w:rFonts w:ascii="Arial" w:cs="Arial" w:eastAsia="Arial" w:hAnsi="Arial"/>
                <w:sz w:val="18"/>
                <w:szCs w:val="18"/>
                <w:color w:val="auto"/>
              </w:rPr>
              <w:t>2029</w:t>
            </w:r>
          </w:p>
        </w:tc>
        <w:tc>
          <w:tcPr>
            <w:tcW w:w="1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2,180</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jc w:val="right"/>
              <w:ind w:right="4990"/>
              <w:spacing w:after="0" w:line="196" w:lineRule="exact"/>
              <w:rPr>
                <w:sz w:val="20"/>
                <w:szCs w:val="20"/>
                <w:color w:val="auto"/>
              </w:rPr>
            </w:pPr>
            <w:r>
              <w:rPr>
                <w:rFonts w:ascii="Arial" w:cs="Arial" w:eastAsia="Arial" w:hAnsi="Arial"/>
                <w:sz w:val="18"/>
                <w:szCs w:val="18"/>
                <w:color w:val="auto"/>
              </w:rPr>
              <w:t>Total future amortization expense</w:t>
            </w:r>
          </w:p>
        </w:tc>
        <w:tc>
          <w:tcPr>
            <w:tcW w:w="1320" w:type="dxa"/>
            <w:vAlign w:val="bottom"/>
            <w:tcBorders>
              <w:bottom w:val="single" w:sz="8" w:color="auto"/>
            </w:tcBorders>
            <w:shd w:val="clear" w:color="auto" w:fill="CFF0FC"/>
          </w:tcPr>
          <w:p>
            <w:pPr>
              <w:jc w:val="right"/>
              <w:ind w:right="113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19,076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There were no impairments of goodwill, internal-use software development costs or intangible assets in the years ended December 31, 2024, 2023 and 2022.</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47"/>
        </w:trPr>
        <w:tc>
          <w:tcPr>
            <w:tcW w:w="7640" w:type="dxa"/>
            <w:vAlign w:val="bottom"/>
          </w:tcPr>
          <w:p>
            <w:pPr>
              <w:spacing w:after="0"/>
              <w:rPr>
                <w:sz w:val="20"/>
                <w:szCs w:val="20"/>
                <w:color w:val="auto"/>
              </w:rPr>
            </w:pPr>
            <w:r>
              <w:rPr>
                <w:rFonts w:ascii="Arial" w:cs="Arial" w:eastAsia="Arial" w:hAnsi="Arial"/>
                <w:sz w:val="18"/>
                <w:szCs w:val="18"/>
                <w:b w:val="1"/>
                <w:bCs w:val="1"/>
                <w:color w:val="auto"/>
              </w:rPr>
              <w:t>7. Prepaid expenses and other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03"/>
        </w:trPr>
        <w:tc>
          <w:tcPr>
            <w:tcW w:w="7640" w:type="dxa"/>
            <w:vAlign w:val="bottom"/>
          </w:tcPr>
          <w:p>
            <w:pPr>
              <w:ind w:left="500"/>
              <w:spacing w:after="0"/>
              <w:rPr>
                <w:sz w:val="20"/>
                <w:szCs w:val="20"/>
                <w:color w:val="auto"/>
              </w:rPr>
            </w:pPr>
            <w:r>
              <w:rPr>
                <w:rFonts w:ascii="Arial" w:cs="Arial" w:eastAsia="Arial" w:hAnsi="Arial"/>
                <w:sz w:val="18"/>
                <w:szCs w:val="18"/>
                <w:color w:val="auto"/>
              </w:rPr>
              <w:t>The composition of prepaid expenses and other assets is as follows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4"/>
        </w:trPr>
        <w:tc>
          <w:tcPr>
            <w:tcW w:w="7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64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6,584</w:t>
            </w: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5,996</w:t>
            </w: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Contract acquisition costs</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6,657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7,679</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1,861</w:t>
            </w:r>
          </w:p>
        </w:tc>
        <w:tc>
          <w:tcPr>
            <w:tcW w:w="100" w:type="dxa"/>
            <w:vAlign w:val="bottom"/>
          </w:tcPr>
          <w:p>
            <w:pPr>
              <w:spacing w:after="0"/>
              <w:rPr>
                <w:sz w:val="17"/>
                <w:szCs w:val="17"/>
                <w:color w:val="auto"/>
              </w:rPr>
            </w:pPr>
          </w:p>
        </w:tc>
      </w:tr>
      <w:tr>
        <w:trPr>
          <w:trHeight w:val="236"/>
        </w:trPr>
        <w:tc>
          <w:tcPr>
            <w:tcW w:w="7640" w:type="dxa"/>
            <w:vAlign w:val="bottom"/>
            <w:shd w:val="clear" w:color="auto" w:fill="CFF0FC"/>
          </w:tcPr>
          <w:p>
            <w:pPr>
              <w:ind w:left="280"/>
              <w:spacing w:after="0" w:line="182" w:lineRule="exact"/>
              <w:rPr>
                <w:sz w:val="20"/>
                <w:szCs w:val="20"/>
                <w:color w:val="auto"/>
              </w:rPr>
            </w:pPr>
            <w:r>
              <w:rPr>
                <w:rFonts w:ascii="Arial" w:cs="Arial" w:eastAsia="Arial" w:hAnsi="Arial"/>
                <w:sz w:val="18"/>
                <w:szCs w:val="18"/>
                <w:color w:val="auto"/>
              </w:rPr>
              <w:t>Total prepaid expenses and other assets</w:t>
            </w: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16,073</w:t>
            </w:r>
          </w:p>
        </w:tc>
        <w:tc>
          <w:tcPr>
            <w:tcW w:w="32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15,536</w:t>
            </w:r>
          </w:p>
        </w:tc>
        <w:tc>
          <w:tcPr>
            <w:tcW w:w="100" w:type="dxa"/>
            <w:vAlign w:val="bottom"/>
            <w:shd w:val="clear" w:color="auto" w:fill="CFF0FC"/>
          </w:tcPr>
          <w:p>
            <w:pPr>
              <w:spacing w:after="0"/>
              <w:rPr>
                <w:sz w:val="20"/>
                <w:szCs w:val="20"/>
                <w:color w:val="auto"/>
              </w:rPr>
            </w:pPr>
          </w:p>
        </w:tc>
      </w:tr>
      <w:tr>
        <w:trPr>
          <w:trHeight w:val="183"/>
        </w:trPr>
        <w:tc>
          <w:tcPr>
            <w:tcW w:w="76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6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13,058</w:t>
            </w: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10,505</w:t>
            </w:r>
          </w:p>
        </w:tc>
        <w:tc>
          <w:tcPr>
            <w:tcW w:w="10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3,015</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5,031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320"/>
              <w:spacing w:after="0" w:line="182" w:lineRule="exact"/>
              <w:rPr>
                <w:sz w:val="20"/>
                <w:szCs w:val="20"/>
                <w:color w:val="auto"/>
              </w:rPr>
            </w:pPr>
            <w:r>
              <w:rPr>
                <w:rFonts w:ascii="Arial" w:cs="Arial" w:eastAsia="Arial" w:hAnsi="Arial"/>
                <w:sz w:val="18"/>
                <w:szCs w:val="18"/>
                <w:color w:val="auto"/>
              </w:rPr>
              <w:t>Total prepaid expenses and other assets: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16,073</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15,536</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-702310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-685165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right="20" w:firstLine="499"/>
        <w:spacing w:after="0" w:line="271" w:lineRule="auto"/>
        <w:rPr>
          <w:sz w:val="20"/>
          <w:szCs w:val="20"/>
          <w:color w:val="auto"/>
        </w:rPr>
      </w:pPr>
      <w:r>
        <w:rPr>
          <w:rFonts w:ascii="Arial" w:cs="Arial" w:eastAsia="Arial" w:hAnsi="Arial"/>
          <w:sz w:val="18"/>
          <w:szCs w:val="18"/>
          <w:color w:val="auto"/>
        </w:rPr>
        <w:t>Contract acquisition costs consist of upfront customer contract discounts and unamortized warrants cost and sales commission. Other assets consist of security deposit for leased properties, investment in term deposits and inputs tax receivables.</w:t>
      </w:r>
    </w:p>
    <w:p>
      <w:pPr>
        <w:spacing w:after="0" w:line="154"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seven years, and often include one or more renewal or termination options. These options are not included in the determination of the lease term at commencement unless it is reasonably certain that the Company will exercise the option.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60" w:type="dxa"/>
            <w:vAlign w:val="bottom"/>
          </w:tcPr>
          <w:p>
            <w:pPr>
              <w:ind w:left="500"/>
              <w:spacing w:after="0"/>
              <w:rPr>
                <w:sz w:val="20"/>
                <w:szCs w:val="20"/>
                <w:color w:val="auto"/>
              </w:rPr>
            </w:pPr>
            <w:r>
              <w:rPr>
                <w:rFonts w:ascii="Arial" w:cs="Arial" w:eastAsia="Arial" w:hAnsi="Arial"/>
                <w:sz w:val="18"/>
                <w:szCs w:val="18"/>
                <w:color w:val="auto"/>
              </w:rPr>
              <w:t>The components of lease cost were as follows (in thousands):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Lease costs: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280"/>
              <w:spacing w:after="0" w:line="202" w:lineRule="exact"/>
              <w:rPr>
                <w:sz w:val="20"/>
                <w:szCs w:val="20"/>
                <w:color w:val="auto"/>
              </w:rPr>
            </w:pPr>
            <w:r>
              <w:rPr>
                <w:rFonts w:ascii="Arial" w:cs="Arial" w:eastAsia="Arial" w:hAnsi="Arial"/>
                <w:sz w:val="18"/>
                <w:szCs w:val="18"/>
                <w:color w:val="auto"/>
              </w:rPr>
              <w:t>Finance lease costs: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Amortization of right-of-use-assets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line="202" w:lineRule="exact"/>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Total finance lease costs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280"/>
              <w:spacing w:after="0" w:line="202" w:lineRule="exact"/>
              <w:rPr>
                <w:sz w:val="20"/>
                <w:szCs w:val="20"/>
                <w:color w:val="auto"/>
              </w:rPr>
            </w:pPr>
            <w:r>
              <w:rPr>
                <w:rFonts w:ascii="Arial" w:cs="Arial" w:eastAsia="Arial" w:hAnsi="Arial"/>
                <w:sz w:val="18"/>
                <w:szCs w:val="18"/>
                <w:color w:val="auto"/>
              </w:rPr>
              <w:t>Operating lease costs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2,150</w:t>
            </w:r>
          </w:p>
        </w:tc>
        <w:tc>
          <w:tcPr>
            <w:tcW w:w="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Short-term lease costs</w:t>
            </w: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631</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707</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6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costs</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3,020</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2,923</w:t>
            </w:r>
          </w:p>
        </w:tc>
        <w:tc>
          <w:tcPr>
            <w:tcW w:w="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3,708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-370205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-370205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gridSpan w:val="8"/>
          </w:tcPr>
          <w:p>
            <w:pPr>
              <w:ind w:left="220"/>
              <w:spacing w:after="0"/>
              <w:rPr>
                <w:sz w:val="20"/>
                <w:szCs w:val="20"/>
                <w:color w:val="auto"/>
              </w:rPr>
            </w:pPr>
            <w:r>
              <w:rPr>
                <w:rFonts w:ascii="Arial" w:cs="Arial" w:eastAsia="Arial" w:hAnsi="Arial"/>
                <w:sz w:val="18"/>
                <w:szCs w:val="18"/>
                <w:b w:val="1"/>
                <w:bCs w:val="1"/>
                <w:color w:val="auto"/>
              </w:rPr>
              <w:t>Year Ended December 31,</w:t>
            </w:r>
          </w:p>
        </w:tc>
      </w:tr>
      <w:tr>
        <w:trPr>
          <w:trHeight w:val="196"/>
        </w:trPr>
        <w:tc>
          <w:tcPr>
            <w:tcW w:w="80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8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8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2,361</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2,152</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2,103</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Operating cash flows for finance leases</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280"/>
              <w:spacing w:after="0" w:line="202" w:lineRule="exact"/>
              <w:rPr>
                <w:sz w:val="20"/>
                <w:szCs w:val="20"/>
                <w:color w:val="auto"/>
              </w:rPr>
            </w:pPr>
            <w:r>
              <w:rPr>
                <w:rFonts w:ascii="Arial" w:cs="Arial" w:eastAsia="Arial" w:hAnsi="Arial"/>
                <w:sz w:val="18"/>
                <w:szCs w:val="18"/>
                <w:color w:val="auto"/>
              </w:rPr>
              <w:t>Financing cash flows for finance leases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268</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obtained in exchange of operating lease obligations</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467</w:t>
            </w:r>
          </w:p>
        </w:tc>
        <w:tc>
          <w:tcPr>
            <w:tcW w:w="3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2,132</w:t>
            </w:r>
          </w:p>
        </w:tc>
        <w:tc>
          <w:tcPr>
            <w:tcW w:w="3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3,938</w:t>
            </w:r>
          </w:p>
        </w:tc>
        <w:tc>
          <w:tcPr>
            <w:tcW w:w="100" w:type="dxa"/>
            <w:vAlign w:val="bottom"/>
            <w:shd w:val="clear" w:color="auto" w:fill="CFF0FC"/>
          </w:tcPr>
          <w:p>
            <w:pPr>
              <w:spacing w:after="0"/>
              <w:rPr>
                <w:sz w:val="17"/>
                <w:szCs w:val="17"/>
                <w:color w:val="auto"/>
              </w:rPr>
            </w:pPr>
          </w:p>
        </w:tc>
      </w:tr>
      <w:tr>
        <w:trPr>
          <w:trHeight w:val="544"/>
        </w:trPr>
        <w:tc>
          <w:tcPr>
            <w:tcW w:w="8060" w:type="dxa"/>
            <w:vAlign w:val="bottom"/>
          </w:tcPr>
          <w:p>
            <w:pPr>
              <w:ind w:left="552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8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left="500"/>
        <w:spacing w:after="0"/>
        <w:rPr>
          <w:sz w:val="20"/>
          <w:szCs w:val="20"/>
          <w:color w:val="auto"/>
        </w:rPr>
      </w:pPr>
      <w:r>
        <w:rPr>
          <w:rFonts w:ascii="Arial" w:cs="Arial" w:eastAsia="Arial" w:hAnsi="Arial"/>
          <w:sz w:val="18"/>
          <w:szCs w:val="18"/>
          <w:color w:val="auto"/>
        </w:rPr>
        <w:t>The total remaining lease payments under non-cancelable operating leases as of December 31, 2024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2025</w:t>
            </w:r>
          </w:p>
        </w:tc>
        <w:tc>
          <w:tcPr>
            <w:tcW w:w="14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2,424</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80"/>
              <w:spacing w:after="0" w:line="202" w:lineRule="exact"/>
              <w:rPr>
                <w:sz w:val="20"/>
                <w:szCs w:val="20"/>
                <w:color w:val="auto"/>
              </w:rPr>
            </w:pPr>
            <w:r>
              <w:rPr>
                <w:rFonts w:ascii="Arial" w:cs="Arial" w:eastAsia="Arial" w:hAnsi="Arial"/>
                <w:sz w:val="18"/>
                <w:szCs w:val="18"/>
                <w:color w:val="auto"/>
              </w:rPr>
              <w:t>2026</w:t>
            </w:r>
          </w:p>
        </w:tc>
        <w:tc>
          <w:tcPr>
            <w:tcW w:w="14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2,395</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2027</w:t>
            </w:r>
          </w:p>
        </w:tc>
        <w:tc>
          <w:tcPr>
            <w:tcW w:w="14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1,438</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80"/>
              <w:spacing w:after="0" w:line="202" w:lineRule="exact"/>
              <w:rPr>
                <w:sz w:val="20"/>
                <w:szCs w:val="20"/>
                <w:color w:val="auto"/>
              </w:rPr>
            </w:pPr>
            <w:r>
              <w:rPr>
                <w:rFonts w:ascii="Arial" w:cs="Arial" w:eastAsia="Arial" w:hAnsi="Arial"/>
                <w:sz w:val="18"/>
                <w:szCs w:val="18"/>
                <w:color w:val="auto"/>
              </w:rPr>
              <w:t>2028</w:t>
            </w:r>
          </w:p>
        </w:tc>
        <w:tc>
          <w:tcPr>
            <w:tcW w:w="148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100" w:type="dxa"/>
            <w:vAlign w:val="bottom"/>
          </w:tcPr>
          <w:p>
            <w:pPr>
              <w:spacing w:after="0"/>
              <w:rPr>
                <w:sz w:val="17"/>
                <w:szCs w:val="17"/>
                <w:color w:val="auto"/>
              </w:rPr>
            </w:pPr>
          </w:p>
        </w:tc>
      </w:tr>
      <w:tr>
        <w:trPr>
          <w:trHeight w:val="203"/>
        </w:trPr>
        <w:tc>
          <w:tcPr>
            <w:tcW w:w="784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2029</w:t>
            </w:r>
          </w:p>
        </w:tc>
        <w:tc>
          <w:tcPr>
            <w:tcW w:w="14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80"/>
              <w:spacing w:after="0" w:line="202" w:lineRule="exact"/>
              <w:rPr>
                <w:sz w:val="20"/>
                <w:szCs w:val="20"/>
                <w:color w:val="auto"/>
              </w:rPr>
            </w:pPr>
            <w:r>
              <w:rPr>
                <w:rFonts w:ascii="Arial" w:cs="Arial" w:eastAsia="Arial" w:hAnsi="Arial"/>
                <w:sz w:val="18"/>
                <w:szCs w:val="18"/>
                <w:color w:val="auto"/>
              </w:rPr>
              <w:t>Thereafter</w:t>
            </w:r>
          </w:p>
        </w:tc>
        <w:tc>
          <w:tcPr>
            <w:tcW w:w="14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936</w:t>
            </w:r>
          </w:p>
        </w:tc>
        <w:tc>
          <w:tcPr>
            <w:tcW w:w="100" w:type="dxa"/>
            <w:vAlign w:val="bottom"/>
          </w:tcPr>
          <w:p>
            <w:pPr>
              <w:spacing w:after="0"/>
              <w:rPr>
                <w:sz w:val="17"/>
                <w:szCs w:val="17"/>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 including interest</w:t>
            </w:r>
          </w:p>
        </w:tc>
        <w:tc>
          <w:tcPr>
            <w:tcW w:w="1480" w:type="dxa"/>
            <w:vAlign w:val="bottom"/>
            <w:shd w:val="clear" w:color="auto" w:fill="CFF0FC"/>
          </w:tcPr>
          <w:p>
            <w:pPr>
              <w:jc w:val="right"/>
              <w:ind w:right="1270"/>
              <w:spacing w:after="0" w:line="196" w:lineRule="exact"/>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9,046</w:t>
            </w:r>
          </w:p>
        </w:tc>
        <w:tc>
          <w:tcPr>
            <w:tcW w:w="100" w:type="dxa"/>
            <w:vAlign w:val="bottom"/>
            <w:shd w:val="clear" w:color="auto" w:fill="CFF0FC"/>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480" w:type="dxa"/>
            <w:vAlign w:val="bottom"/>
          </w:tcPr>
          <w:p>
            <w:pPr>
              <w:spacing w:after="0"/>
              <w:rPr>
                <w:sz w:val="17"/>
                <w:szCs w:val="17"/>
                <w:color w:val="auto"/>
              </w:rPr>
            </w:pPr>
          </w:p>
        </w:tc>
        <w:tc>
          <w:tcPr>
            <w:tcW w:w="1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(638 )</w:t>
            </w:r>
          </w:p>
        </w:tc>
      </w:tr>
      <w:tr>
        <w:trPr>
          <w:trHeight w:val="236"/>
        </w:trPr>
        <w:tc>
          <w:tcPr>
            <w:tcW w:w="78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1480" w:type="dxa"/>
            <w:vAlign w:val="bottom"/>
            <w:tcBorders>
              <w:top w:val="single" w:sz="8" w:color="auto"/>
              <w:bottom w:val="single" w:sz="8" w:color="auto"/>
            </w:tcBorders>
            <w:shd w:val="clear" w:color="auto" w:fill="CFF0FC"/>
          </w:tcPr>
          <w:p>
            <w:pPr>
              <w:jc w:val="right"/>
              <w:ind w:right="1270"/>
              <w:spacing w:after="0" w:line="182" w:lineRule="exact"/>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8,408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As of December 31, 2024, and 2023, the weighted-average remaining lease term and discount rate for the Company’s operating leases were 4.6 years and 3.8%, and 5.5 years and 3.7%, respectively.</w:t>
      </w:r>
    </w:p>
    <w:p>
      <w:pPr>
        <w:sectPr>
          <w:pgSz w:w="11900" w:h="16838" w:orient="portrait"/>
          <w:cols w:equalWidth="0" w:num="1">
            <w:col w:w="11240"/>
          </w:cols>
          <w:pgMar w:left="320" w:top="1093" w:right="339" w:bottom="1440" w:gutter="0" w:footer="0" w:header="0"/>
        </w:sectPr>
      </w:pPr>
    </w:p>
    <w:p>
      <w:pPr>
        <w:spacing w:after="0" w:line="154"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04"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The composition of accrued liabilities is as follows: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Payroll and employee-related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r>
      <w:tr>
        <w:trPr>
          <w:trHeight w:val="177"/>
        </w:trPr>
        <w:tc>
          <w:tcPr>
            <w:tcW w:w="180" w:type="dxa"/>
            <w:vAlign w:val="bottom"/>
          </w:tcPr>
          <w:p>
            <w:pPr>
              <w:spacing w:after="0"/>
              <w:rPr>
                <w:sz w:val="15"/>
                <w:szCs w:val="15"/>
                <w:color w:val="auto"/>
              </w:rPr>
            </w:pPr>
          </w:p>
        </w:tc>
        <w:tc>
          <w:tcPr>
            <w:tcW w:w="1420" w:type="dxa"/>
            <w:vAlign w:val="bottom"/>
          </w:tcPr>
          <w:p>
            <w:pPr>
              <w:jc w:val="right"/>
              <w:ind w:right="150"/>
              <w:spacing w:after="0" w:line="177" w:lineRule="exact"/>
              <w:rPr>
                <w:sz w:val="20"/>
                <w:szCs w:val="20"/>
                <w:color w:val="auto"/>
              </w:rPr>
            </w:pPr>
            <w:r>
              <w:rPr>
                <w:rFonts w:ascii="Arial" w:cs="Arial" w:eastAsia="Arial" w:hAnsi="Arial"/>
                <w:sz w:val="18"/>
                <w:szCs w:val="18"/>
                <w:b w:val="1"/>
                <w:bCs w:val="1"/>
                <w:color w:val="auto"/>
              </w:rPr>
              <w:t>(in</w:t>
            </w:r>
          </w:p>
        </w:tc>
        <w:tc>
          <w:tcPr>
            <w:tcW w:w="1900" w:type="dxa"/>
            <w:vAlign w:val="bottom"/>
            <w:gridSpan w:val="3"/>
          </w:tcPr>
          <w:p>
            <w:pPr>
              <w:jc w:val="right"/>
              <w:ind w:right="1030"/>
              <w:spacing w:after="0" w:line="177" w:lineRule="exact"/>
              <w:rPr>
                <w:sz w:val="20"/>
                <w:szCs w:val="20"/>
                <w:color w:val="auto"/>
              </w:rPr>
            </w:pPr>
            <w:r>
              <w:rPr>
                <w:rFonts w:ascii="Arial" w:cs="Arial" w:eastAsia="Arial" w:hAnsi="Arial"/>
                <w:sz w:val="18"/>
                <w:szCs w:val="18"/>
                <w:b w:val="1"/>
                <w:bCs w:val="1"/>
                <w:color w:val="auto"/>
                <w:w w:val="78"/>
              </w:rPr>
              <w:t>thousands)</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16,650</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15,455</w:t>
            </w:r>
          </w:p>
        </w:tc>
      </w:tr>
      <w:tr>
        <w:trPr>
          <w:trHeight w:val="221"/>
        </w:trPr>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r>
      <w:tr>
        <w:trPr>
          <w:trHeight w:val="196"/>
        </w:trPr>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26,462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21,301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920" w:space="720"/>
            <w:col w:w="3600"/>
          </w:cols>
          <w:pgMar w:left="320" w:top="1093" w:right="339" w:bottom="1440" w:gutter="0" w:footer="0" w:header="0"/>
          <w:type w:val="continuous"/>
        </w:sectPr>
      </w:pPr>
    </w:p>
    <w:p>
      <w:pPr>
        <w:jc w:val="both"/>
        <w:ind w:firstLine="499"/>
        <w:spacing w:after="0" w:line="271" w:lineRule="auto"/>
        <w:rPr>
          <w:sz w:val="20"/>
          <w:szCs w:val="20"/>
          <w:color w:val="auto"/>
        </w:rPr>
      </w:pPr>
      <w:r>
        <w:rPr>
          <w:rFonts w:ascii="Arial" w:cs="Arial" w:eastAsia="Arial" w:hAnsi="Arial"/>
          <w:sz w:val="18"/>
          <w:szCs w:val="18"/>
          <w:color w:val="auto"/>
        </w:rPr>
        <w:t>Other accrued liabilities consist of professional services, insurance and legal accruals, acquisition-related holdback liability, obligations related to agency commissions and refunds, as well as other miscellaneous accruals.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minimum payments under other non-cancellable agreements as of December 31, 2024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tcPr>
          <w:p>
            <w:pPr>
              <w:spacing w:after="0"/>
              <w:rPr>
                <w:sz w:val="18"/>
                <w:szCs w:val="18"/>
                <w:color w:val="auto"/>
              </w:rPr>
            </w:pPr>
          </w:p>
        </w:tc>
        <w:tc>
          <w:tcPr>
            <w:tcW w:w="2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16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payments</w:t>
            </w:r>
          </w:p>
        </w:tc>
      </w:tr>
      <w:tr>
        <w:trPr>
          <w:trHeight w:val="196"/>
        </w:trPr>
        <w:tc>
          <w:tcPr>
            <w:tcW w:w="9160" w:type="dxa"/>
            <w:vAlign w:val="bottom"/>
            <w:shd w:val="clear" w:color="auto" w:fill="CFF0FC"/>
          </w:tcPr>
          <w:p>
            <w:pPr>
              <w:jc w:val="right"/>
              <w:ind w:right="6870"/>
              <w:spacing w:after="0" w:line="196" w:lineRule="exact"/>
              <w:rPr>
                <w:sz w:val="20"/>
                <w:szCs w:val="20"/>
                <w:color w:val="auto"/>
              </w:rPr>
            </w:pPr>
            <w:r>
              <w:rPr>
                <w:rFonts w:ascii="Arial" w:cs="Arial" w:eastAsia="Arial" w:hAnsi="Arial"/>
                <w:sz w:val="18"/>
                <w:szCs w:val="18"/>
                <w:color w:val="auto"/>
              </w:rPr>
              <w:t>Year Ending December 31,</w:t>
            </w:r>
          </w:p>
        </w:tc>
        <w:tc>
          <w:tcPr>
            <w:tcW w:w="1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jc w:val="right"/>
              <w:ind w:right="8390"/>
              <w:spacing w:after="0" w:line="202" w:lineRule="exact"/>
              <w:rPr>
                <w:sz w:val="20"/>
                <w:szCs w:val="20"/>
                <w:color w:val="auto"/>
              </w:rPr>
            </w:pPr>
            <w:r>
              <w:rPr>
                <w:rFonts w:ascii="Arial" w:cs="Arial" w:eastAsia="Arial" w:hAnsi="Arial"/>
                <w:sz w:val="18"/>
                <w:szCs w:val="18"/>
                <w:color w:val="auto"/>
              </w:rPr>
              <w:t>2025</w:t>
            </w: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7,716</w:t>
            </w:r>
          </w:p>
        </w:tc>
        <w:tc>
          <w:tcPr>
            <w:tcW w:w="100" w:type="dxa"/>
            <w:vAlign w:val="bottom"/>
          </w:tcPr>
          <w:p>
            <w:pPr>
              <w:spacing w:after="0"/>
              <w:rPr>
                <w:sz w:val="17"/>
                <w:szCs w:val="17"/>
                <w:color w:val="auto"/>
              </w:rPr>
            </w:pPr>
          </w:p>
        </w:tc>
      </w:tr>
      <w:tr>
        <w:trPr>
          <w:trHeight w:val="203"/>
        </w:trPr>
        <w:tc>
          <w:tcPr>
            <w:tcW w:w="9160" w:type="dxa"/>
            <w:vAlign w:val="bottom"/>
            <w:shd w:val="clear" w:color="auto" w:fill="CFF0FC"/>
          </w:tcPr>
          <w:p>
            <w:pPr>
              <w:jc w:val="right"/>
              <w:ind w:right="8390"/>
              <w:spacing w:after="0" w:line="202" w:lineRule="exact"/>
              <w:rPr>
                <w:sz w:val="20"/>
                <w:szCs w:val="20"/>
                <w:color w:val="auto"/>
              </w:rPr>
            </w:pPr>
            <w:r>
              <w:rPr>
                <w:rFonts w:ascii="Arial" w:cs="Arial" w:eastAsia="Arial" w:hAnsi="Arial"/>
                <w:sz w:val="18"/>
                <w:szCs w:val="18"/>
                <w:color w:val="auto"/>
              </w:rPr>
              <w:t>2026</w:t>
            </w:r>
          </w:p>
        </w:tc>
        <w:tc>
          <w:tcPr>
            <w:tcW w:w="1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2,701</w:t>
            </w:r>
          </w:p>
        </w:tc>
        <w:tc>
          <w:tcPr>
            <w:tcW w:w="100" w:type="dxa"/>
            <w:vAlign w:val="bottom"/>
            <w:shd w:val="clear" w:color="auto" w:fill="CFF0FC"/>
          </w:tcPr>
          <w:p>
            <w:pPr>
              <w:spacing w:after="0"/>
              <w:rPr>
                <w:sz w:val="17"/>
                <w:szCs w:val="17"/>
                <w:color w:val="auto"/>
              </w:rPr>
            </w:pPr>
          </w:p>
        </w:tc>
      </w:tr>
      <w:tr>
        <w:trPr>
          <w:trHeight w:val="203"/>
        </w:trPr>
        <w:tc>
          <w:tcPr>
            <w:tcW w:w="9160" w:type="dxa"/>
            <w:vAlign w:val="bottom"/>
          </w:tcPr>
          <w:p>
            <w:pPr>
              <w:jc w:val="right"/>
              <w:ind w:right="8390"/>
              <w:spacing w:after="0" w:line="202" w:lineRule="exact"/>
              <w:rPr>
                <w:sz w:val="20"/>
                <w:szCs w:val="20"/>
                <w:color w:val="auto"/>
              </w:rPr>
            </w:pPr>
            <w:r>
              <w:rPr>
                <w:rFonts w:ascii="Arial" w:cs="Arial" w:eastAsia="Arial" w:hAnsi="Arial"/>
                <w:sz w:val="18"/>
                <w:szCs w:val="18"/>
                <w:color w:val="auto"/>
              </w:rPr>
              <w:t>2027</w:t>
            </w: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r>
      <w:tr>
        <w:trPr>
          <w:trHeight w:val="196"/>
        </w:trPr>
        <w:tc>
          <w:tcPr>
            <w:tcW w:w="9160" w:type="dxa"/>
            <w:vAlign w:val="bottom"/>
          </w:tcPr>
          <w:p>
            <w:pPr>
              <w:spacing w:after="0"/>
              <w:rPr>
                <w:sz w:val="17"/>
                <w:szCs w:val="17"/>
                <w:color w:val="auto"/>
              </w:rPr>
            </w:pP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10,943</w:t>
            </w:r>
          </w:p>
        </w:tc>
        <w:tc>
          <w:tcPr>
            <w:tcW w:w="100" w:type="dxa"/>
            <w:vAlign w:val="bottom"/>
          </w:tcPr>
          <w:p>
            <w:pPr>
              <w:spacing w:after="0"/>
              <w:rPr>
                <w:sz w:val="17"/>
                <w:szCs w:val="17"/>
                <w:color w:val="auto"/>
              </w:rPr>
            </w:pPr>
          </w:p>
        </w:tc>
      </w:tr>
      <w:tr>
        <w:trPr>
          <w:trHeight w:val="20"/>
        </w:trPr>
        <w:tc>
          <w:tcPr>
            <w:tcW w:w="91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02"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also has a Deferred Profit Sharing Plan covering all eligible Canadian employees. The Company made $1.6, $1.4 and $1.2 million of matching contributions to the two retirement plans for the years ended December 31, 2024,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From time to time, the Company is subject to or otherwise involved in various lawsuits, claims and legal proceedings that arise out of or are incidental to the conduct of our business, including those relating to employment matters, and contractual and other commercial disputes. The Company records a liability in its consolidated financial statements for these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91" w:name="page92"/>
    <w:bookmarkEnd w:id="91"/>
    <w:p>
      <w:pPr>
        <w:jc w:val="both"/>
        <w:spacing w:after="0"/>
        <w:rPr>
          <w:sz w:val="20"/>
          <w:szCs w:val="20"/>
          <w:color w:val="auto"/>
        </w:rPr>
      </w:pPr>
      <w:r>
        <w:rPr>
          <w:rFonts w:ascii="Arial" w:cs="Arial" w:eastAsia="Arial" w:hAnsi="Arial"/>
          <w:sz w:val="18"/>
          <w:szCs w:val="18"/>
          <w:color w:val="auto"/>
        </w:rPr>
        <w:t>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records an accrued liability. Accrued liabilities related to legal matters are included within other accrued liabilities in Note 9. If the loss is not probable or cannot be reasonably estimated, a liability is not recorded in its consolidated financial statements. While it is not feasible to predict or determine the ultimate outcome of these matters, the Company believes that, as of December 31, 2024, except for estimated liabilities recorded in the consolidated financial statements, no current claims and legal proceedings are expected to have a material adverse effect on its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The Company generally seeks to limit, or cap, its indemnification exposure in its commercial and other contracts, although some agreements are not limited or capped.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Company conducts business in three operating segments based on geography. Based on quantitative criteria, it identifies the United States of America (“USA”) as its sole reporting segment. The USA segment is the primary driver of the Company’s consolidated revenues and represents the majority of its total consolidated assets. "Other" includes operations in Canada and India. The accounting policies of the segment are the same as those described in Note 2.</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summarizes segment Gross Profit, including Revenue and Cost of sales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48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320"/>
              <w:spacing w:after="0" w:line="202" w:lineRule="exact"/>
              <w:rPr>
                <w:sz w:val="20"/>
                <w:szCs w:val="20"/>
                <w:color w:val="auto"/>
              </w:rPr>
            </w:pPr>
            <w:r>
              <w:rPr>
                <w:rFonts w:ascii="Arial" w:cs="Arial" w:eastAsia="Arial" w:hAnsi="Arial"/>
                <w:sz w:val="18"/>
                <w:szCs w:val="18"/>
                <w:color w:val="auto"/>
              </w:rPr>
              <w:t>USA</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856,374</w:t>
            </w: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603,120</w:t>
            </w:r>
          </w:p>
        </w:tc>
        <w:tc>
          <w:tcPr>
            <w:tcW w:w="5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487,084</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3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15,371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11,370</w:t>
            </w:r>
          </w:p>
        </w:tc>
        <w:tc>
          <w:tcPr>
            <w:tcW w:w="1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Revenue</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871,745</w:t>
            </w:r>
          </w:p>
        </w:tc>
        <w:tc>
          <w:tcPr>
            <w:tcW w:w="44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614,490</w:t>
            </w:r>
          </w:p>
        </w:tc>
        <w:tc>
          <w:tcPr>
            <w:tcW w:w="580" w:type="dxa"/>
            <w:vAlign w:val="bottom"/>
            <w:gridSpan w:val="2"/>
          </w:tcPr>
          <w:p>
            <w:pPr>
              <w:jc w:val="right"/>
              <w:ind w:right="36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497,001</w:t>
            </w:r>
          </w:p>
        </w:tc>
        <w:tc>
          <w:tcPr>
            <w:tcW w:w="100" w:type="dxa"/>
            <w:vAlign w:val="bottom"/>
          </w:tcPr>
          <w:p>
            <w:pPr>
              <w:spacing w:after="0"/>
              <w:rPr>
                <w:sz w:val="17"/>
                <w:szCs w:val="17"/>
                <w:color w:val="auto"/>
              </w:rPr>
            </w:pPr>
          </w:p>
        </w:tc>
      </w:tr>
      <w:tr>
        <w:trPr>
          <w:trHeight w:val="196"/>
        </w:trPr>
        <w:tc>
          <w:tcPr>
            <w:tcW w:w="64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80"/>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320"/>
              <w:spacing w:after="0" w:line="202" w:lineRule="exact"/>
              <w:rPr>
                <w:sz w:val="20"/>
                <w:szCs w:val="20"/>
                <w:color w:val="auto"/>
              </w:rPr>
            </w:pPr>
            <w:r>
              <w:rPr>
                <w:rFonts w:ascii="Arial" w:cs="Arial" w:eastAsia="Arial" w:hAnsi="Arial"/>
                <w:sz w:val="18"/>
                <w:szCs w:val="18"/>
                <w:color w:val="auto"/>
              </w:rPr>
              <w:t>USA</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625,405</w:t>
            </w:r>
          </w:p>
        </w:tc>
        <w:tc>
          <w:tcPr>
            <w:tcW w:w="4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426,488</w:t>
            </w:r>
          </w:p>
        </w:tc>
        <w:tc>
          <w:tcPr>
            <w:tcW w:w="58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342,275</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3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5,660</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5,048</w:t>
            </w:r>
          </w:p>
        </w:tc>
        <w:tc>
          <w:tcPr>
            <w:tcW w:w="100" w:type="dxa"/>
            <w:vAlign w:val="bottom"/>
          </w:tcPr>
          <w:p>
            <w:pPr>
              <w:spacing w:after="0"/>
              <w:rPr>
                <w:sz w:val="17"/>
                <w:szCs w:val="17"/>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Cost of revenue</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633,575</w:t>
            </w:r>
          </w:p>
        </w:tc>
        <w:tc>
          <w:tcPr>
            <w:tcW w:w="4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432,148</w:t>
            </w:r>
          </w:p>
        </w:tc>
        <w:tc>
          <w:tcPr>
            <w:tcW w:w="58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347,323</w:t>
            </w:r>
          </w:p>
        </w:tc>
        <w:tc>
          <w:tcPr>
            <w:tcW w:w="100" w:type="dxa"/>
            <w:vAlign w:val="bottom"/>
            <w:shd w:val="clear" w:color="auto" w:fill="CFF0FC"/>
          </w:tcPr>
          <w:p>
            <w:pPr>
              <w:spacing w:after="0"/>
              <w:rPr>
                <w:sz w:val="17"/>
                <w:szCs w:val="17"/>
                <w:color w:val="auto"/>
              </w:rPr>
            </w:pPr>
          </w:p>
        </w:tc>
      </w:tr>
      <w:tr>
        <w:trPr>
          <w:trHeight w:val="196"/>
        </w:trPr>
        <w:tc>
          <w:tcPr>
            <w:tcW w:w="64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4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320"/>
              <w:spacing w:after="0" w:line="202" w:lineRule="exact"/>
              <w:rPr>
                <w:sz w:val="20"/>
                <w:szCs w:val="20"/>
                <w:color w:val="auto"/>
              </w:rPr>
            </w:pPr>
            <w:r>
              <w:rPr>
                <w:rFonts w:ascii="Arial" w:cs="Arial" w:eastAsia="Arial" w:hAnsi="Arial"/>
                <w:sz w:val="18"/>
                <w:szCs w:val="18"/>
                <w:color w:val="auto"/>
              </w:rPr>
              <w:t>USA</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230,969</w:t>
            </w: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176,632</w:t>
            </w:r>
          </w:p>
        </w:tc>
        <w:tc>
          <w:tcPr>
            <w:tcW w:w="5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144,809</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32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7,201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5,710</w:t>
            </w:r>
          </w:p>
        </w:tc>
        <w:tc>
          <w:tcPr>
            <w:tcW w:w="1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Gross profit</w:t>
            </w:r>
            <w:r>
              <w:rPr>
                <w:rFonts w:ascii="Arial" w:cs="Arial" w:eastAsia="Arial" w:hAnsi="Arial"/>
                <w:sz w:val="21"/>
                <w:szCs w:val="21"/>
                <w:b w:val="1"/>
                <w:bCs w:val="1"/>
                <w:color w:val="auto"/>
                <w:vertAlign w:val="superscript"/>
              </w:rPr>
              <w:t>(1)</w:t>
            </w: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238,170</w:t>
            </w:r>
          </w:p>
        </w:tc>
        <w:tc>
          <w:tcPr>
            <w:tcW w:w="440" w:type="dxa"/>
            <w:vAlign w:val="bottom"/>
            <w:gridSpan w:val="2"/>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182,342</w:t>
            </w:r>
          </w:p>
        </w:tc>
        <w:tc>
          <w:tcPr>
            <w:tcW w:w="580" w:type="dxa"/>
            <w:vAlign w:val="bottom"/>
            <w:gridSpan w:val="2"/>
          </w:tcPr>
          <w:p>
            <w:pPr>
              <w:jc w:val="right"/>
              <w:ind w:right="360"/>
              <w:spacing w:after="0" w:line="18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149,678</w:t>
            </w:r>
          </w:p>
        </w:tc>
        <w:tc>
          <w:tcPr>
            <w:tcW w:w="10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-1482090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-1482090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-685165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-685165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-161925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-161925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Total Gross profit to income before income taxes is reconciled in the Consolidated Statements of Operations and Comprehensive Income (Loss).</w:t>
      </w:r>
    </w:p>
    <w:p>
      <w:pPr>
        <w:spacing w:after="0" w:line="7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The CODM is provided with consolidated information on other operating expenses including sales and marketing, research and development, general and administrative expenses, as well as interest income and other expenses. There are no other significant expense categories regularly provided to the CODM beyond those disclosed in the Consolidated Statements of Operations. There are no intra-entity sales or transfers. The CODM manages the business using consolidated expense information, as well as regularly provided budgeted or forecasted revenue, cost of revenue and operating expenses information on a consolidated basis. Assets provided to the CODM are consistent with those reported on the Consolidated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2" w:name="page93"/>
    <w:bookmarkEnd w:id="92"/>
    <w:p>
      <w:pPr>
        <w:jc w:val="both"/>
        <w:spacing w:after="0" w:line="271" w:lineRule="auto"/>
        <w:rPr>
          <w:sz w:val="20"/>
          <w:szCs w:val="20"/>
          <w:color w:val="auto"/>
        </w:rPr>
      </w:pPr>
      <w:r>
        <w:rPr>
          <w:rFonts w:ascii="Arial" w:cs="Arial" w:eastAsia="Arial" w:hAnsi="Arial"/>
          <w:sz w:val="18"/>
          <w:szCs w:val="18"/>
          <w:color w:val="auto"/>
        </w:rPr>
        <w:t>Balance Sheets with particular emphasis on the Company’s available liquidity, including its cash, cash equivalents and restricted cash and accounts receivable and reduced by current liabilities.</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Company's long lived assets primarily consist of computer equipment and furniture. The table below summarizes long-lived assets based on its geographical area: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77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5"/>
          </w:tcPr>
          <w:p>
            <w:pPr>
              <w:ind w:left="9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7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USA</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17"/>
                <w:szCs w:val="17"/>
                <w:color w:val="auto"/>
              </w:rPr>
            </w:pPr>
          </w:p>
        </w:tc>
      </w:tr>
      <w:tr>
        <w:trPr>
          <w:trHeight w:val="203"/>
        </w:trPr>
        <w:tc>
          <w:tcPr>
            <w:tcW w:w="77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w:t>
            </w:r>
          </w:p>
        </w:tc>
        <w:tc>
          <w:tcPr>
            <w:tcW w:w="100" w:type="dxa"/>
            <w:vAlign w:val="bottom"/>
          </w:tcPr>
          <w:p>
            <w:pPr>
              <w:spacing w:after="0"/>
              <w:rPr>
                <w:sz w:val="17"/>
                <w:szCs w:val="17"/>
                <w:color w:val="auto"/>
              </w:rPr>
            </w:pPr>
          </w:p>
        </w:tc>
      </w:tr>
      <w:tr>
        <w:trPr>
          <w:trHeight w:val="236"/>
        </w:trPr>
        <w:tc>
          <w:tcPr>
            <w:tcW w:w="7760" w:type="dxa"/>
            <w:vAlign w:val="bottom"/>
            <w:tcBorders>
              <w:bottom w:val="single" w:sz="8" w:color="CFF0FC"/>
            </w:tcBorders>
            <w:shd w:val="clear" w:color="auto" w:fill="CFF0FC"/>
          </w:tcPr>
          <w:p>
            <w:pPr>
              <w:ind w:left="14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2"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Company’s amended and restated certificate of incorporation authorizes the issuance of 5,000,000 shares of undesignated preferred stock with a par value of $0.0001 per share with rights and preferences, including voting rights, designated from time to time by the board of directors. The Company had no shares of preferred stock issued or outstanding at December 31, 2024 or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jc w:val="both"/>
        <w:ind w:firstLine="374"/>
        <w:spacing w:after="0"/>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became effective, which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consolidated financial statements, unless otherwise noted. Holders of common stock are entitled to receive any dividends as may be declared from time to time by the board of directors.</w:t>
      </w:r>
    </w:p>
    <w:p>
      <w:pPr>
        <w:spacing w:after="0" w:line="77"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8"/>
          <w:szCs w:val="18"/>
          <w:color w:val="auto"/>
        </w:rPr>
        <w:t>On May 13, 2021, the Company entered into a warrant agreement with JPMC Strategic Investments I Corporation (“JPMC”), an affiliate of J.P. Morgan Securities LLC, an underwriter in our 2021 initial public offering ("IPO"), pursuant to which the Company agreed to issue a warrant to JPMC for up to 509,370 shares of Class A common stock upon completion of the IPO at an exercise price of $18.38 per share (the “May 2021 warrant agreement”). Upon completion of the IPO, 382,027 of the warrant shares vested and were exercisable. The vesting of the remaining 127,343 shares of Class A common stock underlying the warrant were subject to the achievement of certain commercial milestones through December 31, 2025 pursuant to a related commercial agreement with JPMorgan Chase Bank, National Association (“JPM Chase”), an affiliate of JPMC. As discussed below, this commercial agreement was amended in August 2022, and the achievement of certain commercial milestones was extended through December 31, 2026 and minimum revenue commitments were set for each of the calendar years through 2026. As of December 31, 2024 and 2023, 509,370 and 448,880 warrant shares respectively, were vested and exercisable under the May 2021 warrant agreement.</w:t>
      </w:r>
    </w:p>
    <w:p>
      <w:pPr>
        <w:spacing w:after="0" w:line="72" w:lineRule="exact"/>
        <w:rPr>
          <w:sz w:val="20"/>
          <w:szCs w:val="20"/>
          <w:color w:val="auto"/>
        </w:rPr>
      </w:pPr>
    </w:p>
    <w:p>
      <w:pPr>
        <w:jc w:val="both"/>
        <w:ind w:firstLine="374"/>
        <w:spacing w:after="0" w:line="242" w:lineRule="auto"/>
        <w:rPr>
          <w:sz w:val="20"/>
          <w:szCs w:val="20"/>
          <w:color w:val="auto"/>
        </w:rPr>
      </w:pPr>
      <w:r>
        <w:rPr>
          <w:rFonts w:ascii="Arial" w:cs="Arial" w:eastAsia="Arial" w:hAnsi="Arial"/>
          <w:sz w:val="18"/>
          <w:szCs w:val="18"/>
          <w:color w:val="auto"/>
        </w:rPr>
        <w:t>On August 29, 2022, the Company entered into a second warrant agreement with JPMC, in connection with an amendment to the Company's existing commercial agreement with JPM Chase discussed above, pursuant to which the Company issued a warrant to JPMC for up to 684,510 shares of Class A common stock at an exercise price of $10.10 per share (the “August 2022 warrant agreement”). Upon signing the August 2022 warrant agreement, 171,128 of the warrant shares vested and were exercisable. The vesting of the remaining 513,382 shares of Class A common stock underlying the warrant were subject to the achievement of certain commercial milestones through December 31, 2026 pursuant to the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jc w:val="both"/>
        <w:spacing w:after="0" w:line="247" w:lineRule="auto"/>
        <w:rPr>
          <w:sz w:val="20"/>
          <w:szCs w:val="20"/>
          <w:color w:val="auto"/>
        </w:rPr>
      </w:pPr>
      <w:r>
        <w:rPr>
          <w:rFonts w:ascii="Arial" w:cs="Arial" w:eastAsia="Arial" w:hAnsi="Arial"/>
          <w:sz w:val="18"/>
          <w:szCs w:val="18"/>
          <w:color w:val="auto"/>
        </w:rPr>
        <w:t>commercial agreement, as amended. During 2024, the Company reassessed the probability relating to achievement of certain milestones related to the August 2022 warrant, the resulting increase of $ 0.8 million was recorded as additional paid-in capital and as contract acquisition cost included in prepaid expenses and other assets in the consolidated balance sheets. As of December 31, 2024 and 2023, 175,904 and 171,128 warrant shares were vested and exercisable under the August 2022 warrant agreement.</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Warrants granted, vested and exercisable by period, and unvested under outstanding JPMC warrant agreements are shown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May 2021 Warrant</w:t>
            </w:r>
          </w:p>
        </w:tc>
        <w:tc>
          <w:tcPr>
            <w:tcW w:w="200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August 2022 Warrant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Agreement</w:t>
            </w:r>
          </w:p>
        </w:tc>
        <w:tc>
          <w:tcPr>
            <w:tcW w:w="2000" w:type="dxa"/>
            <w:vAlign w:val="bottom"/>
          </w:tcPr>
          <w:p>
            <w:pPr>
              <w:jc w:val="right"/>
              <w:ind w:right="510"/>
              <w:spacing w:after="0"/>
              <w:rPr>
                <w:sz w:val="20"/>
                <w:szCs w:val="20"/>
                <w:color w:val="auto"/>
              </w:rPr>
            </w:pPr>
            <w:r>
              <w:rPr>
                <w:rFonts w:ascii="Arial" w:cs="Arial" w:eastAsia="Arial" w:hAnsi="Arial"/>
                <w:sz w:val="18"/>
                <w:szCs w:val="18"/>
                <w:b w:val="1"/>
                <w:bCs w:val="1"/>
                <w:color w:val="auto"/>
              </w:rPr>
              <w:t>Agreement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196"/>
        </w:trPr>
        <w:tc>
          <w:tcPr>
            <w:tcW w:w="4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Granted</w:t>
            </w:r>
          </w:p>
        </w:tc>
        <w:tc>
          <w:tcPr>
            <w:tcW w:w="200" w:type="dxa"/>
            <w:vAlign w:val="bottom"/>
            <w:tcBorders>
              <w:top w:val="single" w:sz="8" w:color="auto"/>
            </w:tcBorders>
            <w:shd w:val="clear" w:color="auto" w:fill="CFF0FC"/>
          </w:tcPr>
          <w:p>
            <w:pPr>
              <w:spacing w:after="0"/>
              <w:rPr>
                <w:sz w:val="17"/>
                <w:szCs w:val="17"/>
                <w:color w:val="auto"/>
              </w:rPr>
            </w:pPr>
          </w:p>
        </w:tc>
        <w:tc>
          <w:tcPr>
            <w:tcW w:w="1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509,370</w:t>
            </w: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684,510</w:t>
            </w: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1,193,880</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Vesting dates:</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9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Vested upon issuance</w:t>
            </w: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382,027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171,128</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553,155</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80"/>
              <w:spacing w:after="0" w:line="202" w:lineRule="exact"/>
              <w:rPr>
                <w:sz w:val="20"/>
                <w:szCs w:val="20"/>
                <w:color w:val="auto"/>
              </w:rPr>
            </w:pPr>
            <w:r>
              <w:rPr>
                <w:rFonts w:ascii="Arial" w:cs="Arial" w:eastAsia="Arial" w:hAnsi="Arial"/>
                <w:sz w:val="18"/>
                <w:szCs w:val="18"/>
                <w:color w:val="auto"/>
              </w:rPr>
              <w:t>December 31, 2021</w:t>
            </w:r>
          </w:p>
        </w:tc>
        <w:tc>
          <w:tcPr>
            <w:tcW w:w="20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15,917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15,917</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December 31, 2022</w:t>
            </w:r>
          </w:p>
        </w:tc>
        <w:tc>
          <w:tcPr>
            <w:tcW w:w="2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19,101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19,101</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280"/>
              <w:spacing w:after="0" w:line="202" w:lineRule="exact"/>
              <w:rPr>
                <w:sz w:val="20"/>
                <w:szCs w:val="20"/>
                <w:color w:val="auto"/>
              </w:rPr>
            </w:pPr>
            <w:r>
              <w:rPr>
                <w:rFonts w:ascii="Arial" w:cs="Arial" w:eastAsia="Arial" w:hAnsi="Arial"/>
                <w:sz w:val="18"/>
                <w:szCs w:val="18"/>
                <w:color w:val="auto"/>
              </w:rPr>
              <w:t>December 31, 2023</w:t>
            </w:r>
          </w:p>
        </w:tc>
        <w:tc>
          <w:tcPr>
            <w:tcW w:w="20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31,835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31,835</w:t>
            </w:r>
          </w:p>
        </w:tc>
        <w:tc>
          <w:tcPr>
            <w:tcW w:w="100" w:type="dxa"/>
            <w:vAlign w:val="bottom"/>
          </w:tcPr>
          <w:p>
            <w:pPr>
              <w:spacing w:after="0"/>
              <w:rPr>
                <w:sz w:val="17"/>
                <w:szCs w:val="17"/>
                <w:color w:val="auto"/>
              </w:rPr>
            </w:pPr>
          </w:p>
        </w:tc>
      </w:tr>
      <w:tr>
        <w:trPr>
          <w:trHeight w:val="203"/>
        </w:trPr>
        <w:tc>
          <w:tcPr>
            <w:tcW w:w="4900" w:type="dxa"/>
            <w:vAlign w:val="bottom"/>
            <w:tcBorders>
              <w:bottom w:val="single" w:sz="8" w:color="CFF0FC"/>
            </w:tcBorders>
            <w:shd w:val="clear" w:color="auto" w:fill="CFF0FC"/>
          </w:tcPr>
          <w:p>
            <w:pPr>
              <w:ind w:left="280"/>
              <w:spacing w:after="0" w:line="202" w:lineRule="exact"/>
              <w:rPr>
                <w:sz w:val="20"/>
                <w:szCs w:val="20"/>
                <w:color w:val="auto"/>
              </w:rPr>
            </w:pPr>
            <w:r>
              <w:rPr>
                <w:rFonts w:ascii="Arial" w:cs="Arial" w:eastAsia="Arial" w:hAnsi="Arial"/>
                <w:sz w:val="18"/>
                <w:szCs w:val="18"/>
                <w:color w:val="auto"/>
              </w:rPr>
              <w:t>December 31, 2024</w:t>
            </w:r>
          </w:p>
        </w:tc>
        <w:tc>
          <w:tcPr>
            <w:tcW w:w="200" w:type="dxa"/>
            <w:vAlign w:val="bottom"/>
            <w:tcBorders>
              <w:bottom w:val="single" w:sz="8" w:color="auto"/>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60,490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4,776</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65,266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ind w:left="520"/>
              <w:spacing w:after="0" w:line="196" w:lineRule="exact"/>
              <w:rPr>
                <w:sz w:val="20"/>
                <w:szCs w:val="20"/>
                <w:color w:val="auto"/>
              </w:rPr>
            </w:pPr>
            <w:r>
              <w:rPr>
                <w:rFonts w:ascii="Arial" w:cs="Arial" w:eastAsia="Arial" w:hAnsi="Arial"/>
                <w:sz w:val="18"/>
                <w:szCs w:val="18"/>
                <w:color w:val="auto"/>
              </w:rPr>
              <w:t>Total vested and exercisable</w:t>
            </w: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509,370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175,904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685,274</w:t>
            </w:r>
          </w:p>
        </w:tc>
        <w:tc>
          <w:tcPr>
            <w:tcW w:w="100" w:type="dxa"/>
            <w:vAlign w:val="bottom"/>
          </w:tcPr>
          <w:p>
            <w:pPr>
              <w:spacing w:after="0"/>
              <w:rPr>
                <w:sz w:val="17"/>
                <w:szCs w:val="17"/>
                <w:color w:val="auto"/>
              </w:rPr>
            </w:pPr>
          </w:p>
        </w:tc>
      </w:tr>
      <w:tr>
        <w:trPr>
          <w:trHeight w:val="216"/>
        </w:trPr>
        <w:tc>
          <w:tcPr>
            <w:tcW w:w="4900" w:type="dxa"/>
            <w:vAlign w:val="bottom"/>
            <w:shd w:val="clear" w:color="auto" w:fill="CFF0FC"/>
          </w:tcPr>
          <w:p>
            <w:pPr>
              <w:ind w:left="80"/>
              <w:spacing w:after="0" w:line="182" w:lineRule="exact"/>
              <w:rPr>
                <w:sz w:val="20"/>
                <w:szCs w:val="20"/>
                <w:color w:val="auto"/>
              </w:rPr>
            </w:pPr>
            <w:r>
              <w:rPr>
                <w:rFonts w:ascii="Arial" w:cs="Arial" w:eastAsia="Arial" w:hAnsi="Arial"/>
                <w:sz w:val="18"/>
                <w:szCs w:val="18"/>
                <w:color w:val="auto"/>
              </w:rPr>
              <w:t>Unvested at December 31, 2024</w:t>
            </w:r>
          </w:p>
        </w:tc>
        <w:tc>
          <w:tcPr>
            <w:tcW w:w="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160" w:type="dxa"/>
            <w:vAlign w:val="bottom"/>
            <w:gridSpan w:val="3"/>
            <w:shd w:val="clear" w:color="auto" w:fill="CFF0FC"/>
          </w:tcPr>
          <w:p>
            <w:pPr>
              <w:ind w:left="1720"/>
              <w:spacing w:after="0" w:line="182" w:lineRule="exact"/>
              <w:rPr>
                <w:sz w:val="20"/>
                <w:szCs w:val="20"/>
                <w:color w:val="auto"/>
              </w:rPr>
            </w:pPr>
            <w:r>
              <w:rPr>
                <w:rFonts w:ascii="Arial" w:cs="Arial" w:eastAsia="Arial" w:hAnsi="Arial"/>
                <w:sz w:val="18"/>
                <w:szCs w:val="18"/>
                <w:color w:val="auto"/>
              </w:rPr>
              <w:t>—  $</w:t>
            </w:r>
          </w:p>
        </w:tc>
        <w:tc>
          <w:tcPr>
            <w:tcW w:w="2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508,606</w:t>
            </w:r>
          </w:p>
        </w:tc>
        <w:tc>
          <w:tcPr>
            <w:tcW w:w="500" w:type="dxa"/>
            <w:vAlign w:val="bottom"/>
            <w:gridSpan w:val="2"/>
            <w:shd w:val="clear" w:color="auto" w:fill="CFF0FC"/>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508,606</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-299720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-299720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04" w:lineRule="exact"/>
        <w:rPr>
          <w:sz w:val="20"/>
          <w:szCs w:val="20"/>
          <w:color w:val="auto"/>
        </w:rPr>
      </w:pPr>
    </w:p>
    <w:p>
      <w:pPr>
        <w:jc w:val="both"/>
        <w:ind w:firstLine="494"/>
        <w:spacing w:after="0" w:line="238" w:lineRule="auto"/>
        <w:rPr>
          <w:sz w:val="20"/>
          <w:szCs w:val="20"/>
          <w:color w:val="auto"/>
        </w:rPr>
      </w:pPr>
      <w:r>
        <w:rPr>
          <w:rFonts w:ascii="Arial" w:cs="Arial" w:eastAsia="Arial" w:hAnsi="Arial"/>
          <w:sz w:val="18"/>
          <w:szCs w:val="18"/>
          <w:color w:val="auto"/>
        </w:rPr>
        <w:t>In May 2021, the Company’s board of directors (the "Board")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(subject to the Compensation Committee of the Board exercising discretion to increase or decrease such amount, the "Evergreen Addition")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On January 1, 2023 and 2024, pursuant to the Evergreen Addition, approximately 4.9 million and 5.0 million shares of Class A common stock were added to the 2021 Plan issuance reserve. At December 31, 2024, there were 21.8 million remaining shares available for the Company to grant under the 2021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2"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A summary of the Company’s option activity during the year ended December 31, 2024 was as follows (in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rPr>
              <w:t>Weighted-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rPr>
              <w:t>Average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320" w:type="dxa"/>
            <w:vAlign w:val="bottom"/>
          </w:tcPr>
          <w:p>
            <w:pPr>
              <w:spacing w:after="0"/>
              <w:rPr>
                <w:sz w:val="17"/>
                <w:szCs w:val="17"/>
                <w:color w:val="auto"/>
              </w:rPr>
            </w:pPr>
          </w:p>
        </w:tc>
        <w:tc>
          <w:tcPr>
            <w:tcW w:w="1980" w:type="dxa"/>
            <w:vAlign w:val="bottom"/>
            <w:gridSpan w:val="2"/>
          </w:tcPr>
          <w:p>
            <w:pPr>
              <w:jc w:val="right"/>
              <w:ind w:right="700"/>
              <w:spacing w:after="0" w:line="202" w:lineRule="exact"/>
              <w:rPr>
                <w:sz w:val="20"/>
                <w:szCs w:val="20"/>
                <w:color w:val="auto"/>
              </w:rPr>
            </w:pPr>
            <w:r>
              <w:rPr>
                <w:rFonts w:ascii="Arial" w:cs="Arial" w:eastAsia="Arial" w:hAnsi="Arial"/>
                <w:sz w:val="18"/>
                <w:szCs w:val="18"/>
                <w:b w:val="1"/>
                <w:bCs w:val="1"/>
                <w:color w:val="auto"/>
              </w:rPr>
              <w:t>Options</w:t>
            </w:r>
          </w:p>
        </w:tc>
        <w:tc>
          <w:tcPr>
            <w:tcW w:w="18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17"/>
                <w:szCs w:val="17"/>
                <w:color w:val="auto"/>
              </w:rPr>
            </w:pP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21"/>
        </w:trPr>
        <w:tc>
          <w:tcPr>
            <w:tcW w:w="4320" w:type="dxa"/>
            <w:vAlign w:val="bottom"/>
          </w:tcPr>
          <w:p>
            <w:pPr>
              <w:spacing w:after="0"/>
              <w:rPr>
                <w:sz w:val="19"/>
                <w:szCs w:val="19"/>
                <w:color w:val="auto"/>
              </w:rPr>
            </w:pP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rPr>
              <w:t>per Share</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xml:space="preserve">Life </w:t>
            </w:r>
            <w:r>
              <w:rPr>
                <w:rFonts w:ascii="Arial" w:cs="Arial" w:eastAsia="Arial" w:hAnsi="Arial"/>
                <w:sz w:val="18"/>
                <w:szCs w:val="18"/>
                <w:b w:val="1"/>
                <w:bCs w:val="1"/>
                <w:i w:val="1"/>
                <w:iCs w:val="1"/>
                <w:color w:val="auto"/>
                <w:w w:val="99"/>
              </w:rPr>
              <w:t>(years)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19"/>
                <w:szCs w:val="19"/>
                <w:color w:val="auto"/>
              </w:rPr>
            </w:pPr>
          </w:p>
        </w:tc>
      </w:tr>
      <w:tr>
        <w:trPr>
          <w:trHeight w:val="196"/>
        </w:trPr>
        <w:tc>
          <w:tcPr>
            <w:tcW w:w="4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3,849,350</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21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7.87</w:t>
            </w:r>
          </w:p>
        </w:tc>
        <w:tc>
          <w:tcPr>
            <w:tcW w:w="16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5.06</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38,505</w:t>
            </w:r>
          </w:p>
        </w:tc>
        <w:tc>
          <w:tcPr>
            <w:tcW w:w="100" w:type="dxa"/>
            <w:vAlign w:val="bottom"/>
            <w:shd w:val="clear" w:color="auto" w:fill="CFF0FC"/>
          </w:tcPr>
          <w:p>
            <w:pPr>
              <w:spacing w:after="0"/>
              <w:rPr>
                <w:sz w:val="17"/>
                <w:szCs w:val="17"/>
                <w:color w:val="auto"/>
              </w:rPr>
            </w:pPr>
          </w:p>
        </w:tc>
      </w:tr>
      <w:tr>
        <w:trPr>
          <w:trHeight w:val="203"/>
        </w:trPr>
        <w:tc>
          <w:tcPr>
            <w:tcW w:w="4320" w:type="dxa"/>
            <w:vAlign w:val="bottom"/>
          </w:tcPr>
          <w:p>
            <w:pPr>
              <w:ind w:left="280"/>
              <w:spacing w:after="0" w:line="202" w:lineRule="exact"/>
              <w:rPr>
                <w:sz w:val="20"/>
                <w:szCs w:val="20"/>
                <w:color w:val="auto"/>
              </w:rPr>
            </w:pPr>
            <w:r>
              <w:rPr>
                <w:rFonts w:ascii="Arial" w:cs="Arial" w:eastAsia="Arial" w:hAnsi="Arial"/>
                <w:sz w:val="18"/>
                <w:szCs w:val="18"/>
                <w:color w:val="auto"/>
              </w:rPr>
              <w:t>Options exercised</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(312,643 )</w:t>
            </w:r>
          </w:p>
        </w:tc>
        <w:tc>
          <w:tcPr>
            <w:tcW w:w="14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3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Options forfeited</w:t>
            </w:r>
          </w:p>
        </w:tc>
        <w:tc>
          <w:tcPr>
            <w:tcW w:w="19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(2,604 )</w:t>
            </w:r>
          </w:p>
        </w:tc>
        <w:tc>
          <w:tcPr>
            <w:tcW w:w="14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8.66</w:t>
            </w: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3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at December 31, 2024</w:t>
            </w:r>
          </w:p>
        </w:tc>
        <w:tc>
          <w:tcPr>
            <w:tcW w:w="1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3,534,103</w:t>
            </w:r>
          </w:p>
        </w:tc>
        <w:tc>
          <w:tcPr>
            <w:tcW w:w="100" w:type="dxa"/>
            <w:vAlign w:val="bottom"/>
            <w:tcBorders>
              <w:top w:val="single" w:sz="8" w:color="CFF0FC"/>
            </w:tcBorders>
          </w:tcPr>
          <w:p>
            <w:pPr>
              <w:spacing w:after="0"/>
              <w:rPr>
                <w:sz w:val="17"/>
                <w:szCs w:val="17"/>
                <w:color w:val="auto"/>
              </w:rPr>
            </w:pPr>
          </w:p>
        </w:tc>
        <w:tc>
          <w:tcPr>
            <w:tcW w:w="1420" w:type="dxa"/>
            <w:vAlign w:val="bottom"/>
            <w:tcBorders>
              <w:top w:val="single" w:sz="8" w:color="CFF0FC"/>
            </w:tcBorders>
          </w:tcPr>
          <w:p>
            <w:pPr>
              <w:jc w:val="right"/>
              <w:ind w:right="121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8.47</w:t>
            </w:r>
          </w:p>
        </w:tc>
        <w:tc>
          <w:tcPr>
            <w:tcW w:w="16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4.26</w:t>
            </w:r>
          </w:p>
        </w:tc>
        <w:tc>
          <w:tcPr>
            <w:tcW w:w="240" w:type="dxa"/>
            <w:vAlign w:val="bottom"/>
            <w:tcBorders>
              <w:top w:val="single" w:sz="8" w:color="CFF0FC"/>
            </w:tcBorders>
            <w:gridSpan w:val="2"/>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85,525</w:t>
            </w:r>
          </w:p>
        </w:tc>
        <w:tc>
          <w:tcPr>
            <w:tcW w:w="100" w:type="dxa"/>
            <w:vAlign w:val="bottom"/>
            <w:tcBorders>
              <w:top w:val="single" w:sz="8" w:color="CFF0FC"/>
            </w:tcBorders>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Exercisable at December 31, 2024</w:t>
            </w:r>
          </w:p>
        </w:tc>
        <w:tc>
          <w:tcPr>
            <w:tcW w:w="1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3,513,856</w:t>
            </w: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210"/>
              <w:spacing w:after="0" w:line="182"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8.47</w:t>
            </w:r>
          </w:p>
        </w:tc>
        <w:tc>
          <w:tcPr>
            <w:tcW w:w="16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4.25</w:t>
            </w:r>
          </w:p>
        </w:tc>
        <w:tc>
          <w:tcPr>
            <w:tcW w:w="24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85,046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-316865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options granted during the year ended December 31, 2024 and 2023. Aggregate intrinsic value represents the difference between the exercise price of the options and the fair value of the Company’s common stock. The aggregate intrinsic value of options exercised for the years ended December 31, 2024 and 2023 was $7.1 million and $1.6 million, respectively.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4" w:name="page95"/>
    <w:bookmarkEnd w:id="94"/>
    <w:p>
      <w:pPr>
        <w:jc w:val="both"/>
        <w:ind w:firstLine="494"/>
        <w:spacing w:after="0" w:line="253" w:lineRule="auto"/>
        <w:rPr>
          <w:sz w:val="20"/>
          <w:szCs w:val="20"/>
          <w:color w:val="auto"/>
        </w:rPr>
      </w:pPr>
      <w:r>
        <w:rPr>
          <w:rFonts w:ascii="Arial" w:cs="Arial" w:eastAsia="Arial" w:hAnsi="Arial"/>
          <w:sz w:val="18"/>
          <w:szCs w:val="18"/>
          <w:color w:val="auto"/>
        </w:rPr>
        <w:t>The determination of the fair value of stock options on the date of grant using a Black-Scholes option-pricing model is affected by the fair value of the Company’s common stock, as well as assumptions regarding a number of variables that are complex, subjective and generally require significant judgment to determine. The valuation assumptions were determined as follows: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Term</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expected life of options granted to employees was determined by using management’s best estimation of exercise activity.</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Risk-Free Interest Rate</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utilizes a risk-free interest rate in the option valuation model based on U.S. Treasury zero-coupon issues, with remaining terms similar to the expected term of the options.</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Volatility</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As the Company does not have an extensive trading history for its common stock, the expected volatility is based on the historical volatility of the Company’s publicly traded industry peers utilizing a period of time consistent with the Company’s estimate of expected term.</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Dividend Yield</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w:t>
      </w:r>
    </w:p>
    <w:p>
      <w:pPr>
        <w:spacing w:after="0" w:line="4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of Underlying Common Stock</w:t>
      </w:r>
    </w:p>
    <w:p>
      <w:pPr>
        <w:spacing w:after="0" w:line="102" w:lineRule="exact"/>
        <w:rPr>
          <w:sz w:val="20"/>
          <w:szCs w:val="20"/>
          <w:color w:val="auto"/>
        </w:rPr>
      </w:pPr>
    </w:p>
    <w:p>
      <w:pPr>
        <w:jc w:val="both"/>
        <w:ind w:firstLine="494"/>
        <w:spacing w:after="0" w:line="237" w:lineRule="auto"/>
        <w:rPr>
          <w:sz w:val="20"/>
          <w:szCs w:val="20"/>
          <w:color w:val="auto"/>
        </w:rPr>
      </w:pPr>
      <w:r>
        <w:rPr>
          <w:rFonts w:ascii="Arial" w:cs="Arial" w:eastAsia="Arial" w:hAnsi="Arial"/>
          <w:sz w:val="18"/>
          <w:szCs w:val="18"/>
          <w:color w:val="auto"/>
        </w:rPr>
        <w:t>Prior to the IPO, our common stock was not yet publicly traded, therefore we estimated the fair value of common stock. Our board of directors considered numerous objective and subjective factors to determine the fair value of our common stock at each meeting in which awards are approved. These factors included historical and projected financial information, prospects and risks, company performance, various corporate documents, capitalization and economic and financial market conditions. Management, with its third-party valuation firm, also used other economic, industry and market information obtained from other resources considered reliable</w:t>
      </w:r>
      <w:r>
        <w:rPr>
          <w:rFonts w:ascii="Calibri" w:cs="Calibri" w:eastAsia="Calibri" w:hAnsi="Calibri"/>
          <w:sz w:val="19"/>
          <w:szCs w:val="19"/>
          <w:color w:val="auto"/>
        </w:rPr>
        <w:t>.</w:t>
      </w:r>
      <w:r>
        <w:rPr>
          <w:rFonts w:ascii="Arial" w:cs="Arial" w:eastAsia="Arial" w:hAnsi="Arial"/>
          <w:sz w:val="18"/>
          <w:szCs w:val="18"/>
          <w:color w:val="auto"/>
        </w:rPr>
        <w:t xml:space="preserve"> After the IPO, the fair value of</w:t>
      </w:r>
    </w:p>
    <w:p>
      <w:pPr>
        <w:spacing w:after="0" w:line="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shares of common stock underlying stock options was determined using publicly quoted price as reported on the New York Stock Exchange as the fair value of its common stock.</w:t>
      </w:r>
    </w:p>
    <w:p>
      <w:pPr>
        <w:spacing w:after="0" w:line="46"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At December 31, 2024, there was $0.1 million of total unrecognized compensation cost related to unvested stock options granted under the 2012 Equity Incentive Plan, which is expected to be recognized over a remaining weighted-average period of 0.9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RSU activity during the year ended December 31, 2024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Weighted-</w:t>
            </w:r>
          </w:p>
        </w:tc>
      </w:tr>
      <w:tr>
        <w:trPr>
          <w:trHeight w:val="203"/>
        </w:trPr>
        <w:tc>
          <w:tcPr>
            <w:tcW w:w="8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8320" w:type="dxa"/>
            <w:vAlign w:val="bottom"/>
          </w:tcPr>
          <w:p>
            <w:pPr>
              <w:spacing w:after="0"/>
              <w:rPr>
                <w:sz w:val="17"/>
                <w:szCs w:val="17"/>
                <w:color w:val="auto"/>
              </w:rPr>
            </w:pPr>
          </w:p>
        </w:tc>
        <w:tc>
          <w:tcPr>
            <w:tcW w:w="1480" w:type="dxa"/>
            <w:vAlign w:val="bottom"/>
            <w:gridSpan w:val="2"/>
          </w:tcPr>
          <w:p>
            <w:pPr>
              <w:jc w:val="right"/>
              <w:ind w:right="540"/>
              <w:spacing w:after="0" w:line="202" w:lineRule="exact"/>
              <w:rPr>
                <w:sz w:val="20"/>
                <w:szCs w:val="20"/>
                <w:color w:val="auto"/>
              </w:rPr>
            </w:pPr>
            <w:r>
              <w:rPr>
                <w:rFonts w:ascii="Arial" w:cs="Arial" w:eastAsia="Arial" w:hAnsi="Arial"/>
                <w:sz w:val="18"/>
                <w:szCs w:val="18"/>
                <w:b w:val="1"/>
                <w:bCs w:val="1"/>
                <w:color w:val="auto"/>
              </w:rPr>
              <w:t>RSUs</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Grant Date</w:t>
            </w:r>
          </w:p>
        </w:tc>
      </w:tr>
      <w:tr>
        <w:trPr>
          <w:trHeight w:val="221"/>
        </w:trPr>
        <w:tc>
          <w:tcPr>
            <w:tcW w:w="83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Fair Value</w:t>
            </w:r>
          </w:p>
        </w:tc>
      </w:tr>
      <w:tr>
        <w:trPr>
          <w:trHeight w:val="196"/>
        </w:trPr>
        <w:tc>
          <w:tcPr>
            <w:tcW w:w="8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Awarded and unvested at December 31, 2023</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1,946,006</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17"/>
                <w:szCs w:val="17"/>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Awards 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1,047,722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19.24</w:t>
            </w:r>
          </w:p>
        </w:tc>
        <w:tc>
          <w:tcPr>
            <w:tcW w:w="100" w:type="dxa"/>
            <w:vAlign w:val="bottom"/>
          </w:tcPr>
          <w:p>
            <w:pPr>
              <w:spacing w:after="0"/>
              <w:rPr>
                <w:sz w:val="17"/>
                <w:szCs w:val="17"/>
                <w:color w:val="auto"/>
              </w:rPr>
            </w:pPr>
          </w:p>
        </w:tc>
      </w:tr>
      <w:tr>
        <w:trPr>
          <w:trHeight w:val="203"/>
        </w:trPr>
        <w:tc>
          <w:tcPr>
            <w:tcW w:w="832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Awards vested</w:t>
            </w:r>
          </w:p>
        </w:tc>
        <w:tc>
          <w:tcPr>
            <w:tcW w:w="14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(701,029 )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12.89</w:t>
            </w:r>
          </w:p>
        </w:tc>
        <w:tc>
          <w:tcPr>
            <w:tcW w:w="100" w:type="dxa"/>
            <w:vAlign w:val="bottom"/>
            <w:shd w:val="clear" w:color="auto" w:fill="CFF0FC"/>
          </w:tcPr>
          <w:p>
            <w:pPr>
              <w:spacing w:after="0"/>
              <w:rPr>
                <w:sz w:val="17"/>
                <w:szCs w:val="17"/>
                <w:color w:val="auto"/>
              </w:rPr>
            </w:pPr>
          </w:p>
        </w:tc>
      </w:tr>
      <w:tr>
        <w:trPr>
          <w:trHeight w:val="203"/>
        </w:trPr>
        <w:tc>
          <w:tcPr>
            <w:tcW w:w="8320" w:type="dxa"/>
            <w:vAlign w:val="bottom"/>
          </w:tcPr>
          <w:p>
            <w:pPr>
              <w:ind w:left="280"/>
              <w:spacing w:after="0" w:line="202" w:lineRule="exact"/>
              <w:rPr>
                <w:sz w:val="20"/>
                <w:szCs w:val="20"/>
                <w:color w:val="auto"/>
              </w:rPr>
            </w:pPr>
            <w:r>
              <w:rPr>
                <w:rFonts w:ascii="Arial" w:cs="Arial" w:eastAsia="Arial" w:hAnsi="Arial"/>
                <w:sz w:val="18"/>
                <w:szCs w:val="18"/>
                <w:color w:val="auto"/>
              </w:rPr>
              <w:t>Awards forfeited</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(196,531 )</w:t>
            </w: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11.89</w:t>
            </w:r>
          </w:p>
        </w:tc>
        <w:tc>
          <w:tcPr>
            <w:tcW w:w="100" w:type="dxa"/>
            <w:vAlign w:val="bottom"/>
          </w:tcPr>
          <w:p>
            <w:pPr>
              <w:spacing w:after="0"/>
              <w:rPr>
                <w:sz w:val="17"/>
                <w:szCs w:val="17"/>
                <w:color w:val="auto"/>
              </w:rPr>
            </w:pPr>
          </w:p>
        </w:tc>
      </w:tr>
      <w:tr>
        <w:trPr>
          <w:trHeight w:val="236"/>
        </w:trPr>
        <w:tc>
          <w:tcPr>
            <w:tcW w:w="83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Awarded and unvested at December 31, 2024</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2,096,168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generally ranges between four years and five years from the date of grant for employees and one to three years for directors, subject to continued employment for employees and provision of services for non-employees.</w:t>
      </w:r>
    </w:p>
    <w:p>
      <w:pPr>
        <w:spacing w:after="0" w:line="66" w:lineRule="exact"/>
        <w:rPr>
          <w:sz w:val="20"/>
          <w:szCs w:val="20"/>
          <w:color w:val="auto"/>
        </w:rPr>
      </w:pPr>
    </w:p>
    <w:p>
      <w:pPr>
        <w:ind w:firstLine="494"/>
        <w:spacing w:after="0" w:line="271" w:lineRule="auto"/>
        <w:rPr>
          <w:sz w:val="20"/>
          <w:szCs w:val="20"/>
          <w:color w:val="auto"/>
        </w:rPr>
      </w:pPr>
      <w:r>
        <w:rPr>
          <w:rFonts w:ascii="Arial" w:cs="Arial" w:eastAsia="Arial" w:hAnsi="Arial"/>
          <w:sz w:val="18"/>
          <w:szCs w:val="18"/>
          <w:color w:val="auto"/>
        </w:rPr>
        <w:t>At December 31, 2024, there was $29.1 million of total unrecognized compensation cost related to unvested RSUs granted under the 2021 Plan, which is expected to be recognized over a remaining weighted-average period of 3.2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Stock-based compensation expense (including amortization of capitalized warrants cost for 2024 - see note 12) included in the consolidated statements of operations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1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center"/>
              <w:ind w:right="54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2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tcBorders>
              <w:right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100" w:type="dxa"/>
            <w:vAlign w:val="bottom"/>
          </w:tcPr>
          <w:p>
            <w:pPr>
              <w:spacing w:after="0"/>
              <w:rPr>
                <w:sz w:val="17"/>
                <w:szCs w:val="17"/>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5,639</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20" w:type="dxa"/>
            <w:vAlign w:val="bottom"/>
            <w:tcBorders>
              <w:right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2,808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1,736</w:t>
            </w:r>
          </w:p>
        </w:tc>
        <w:tc>
          <w:tcPr>
            <w:tcW w:w="100" w:type="dxa"/>
            <w:vAlign w:val="bottom"/>
            <w:shd w:val="clear" w:color="auto" w:fill="CFF0FC"/>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3,865</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4,436</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3,353</w:t>
            </w:r>
          </w:p>
        </w:tc>
        <w:tc>
          <w:tcPr>
            <w:tcW w:w="100" w:type="dxa"/>
            <w:vAlign w:val="bottom"/>
          </w:tcPr>
          <w:p>
            <w:pPr>
              <w:spacing w:after="0"/>
              <w:rPr>
                <w:sz w:val="17"/>
                <w:szCs w:val="17"/>
                <w:color w:val="auto"/>
              </w:rPr>
            </w:pPr>
          </w:p>
        </w:tc>
      </w:tr>
      <w:tr>
        <w:trPr>
          <w:trHeight w:val="236"/>
        </w:trPr>
        <w:tc>
          <w:tcPr>
            <w:tcW w:w="6140" w:type="dxa"/>
            <w:vAlign w:val="bottom"/>
            <w:shd w:val="clear" w:color="auto" w:fill="CFF0FC"/>
          </w:tcPr>
          <w:p>
            <w:pPr>
              <w:ind w:left="140"/>
              <w:spacing w:after="0" w:line="182" w:lineRule="exact"/>
              <w:rPr>
                <w:sz w:val="20"/>
                <w:szCs w:val="20"/>
                <w:color w:val="auto"/>
              </w:rPr>
            </w:pPr>
            <w:r>
              <w:rPr>
                <w:rFonts w:ascii="Arial" w:cs="Arial" w:eastAsia="Arial" w:hAnsi="Arial"/>
                <w:sz w:val="18"/>
                <w:szCs w:val="18"/>
                <w:color w:val="auto"/>
              </w:rPr>
              <w:t>Total stock-based compensation</w:t>
            </w:r>
          </w:p>
        </w:tc>
        <w:tc>
          <w:tcPr>
            <w:tcW w:w="1020" w:type="dxa"/>
            <w:vAlign w:val="bottom"/>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12,855</w:t>
            </w:r>
          </w:p>
        </w:tc>
        <w:tc>
          <w:tcPr>
            <w:tcW w:w="16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820" w:type="dxa"/>
            <w:vAlign w:val="bottom"/>
            <w:tcBorders>
              <w:right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9,390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6,736</w:t>
            </w:r>
          </w:p>
        </w:tc>
        <w:tc>
          <w:tcPr>
            <w:tcW w:w="100" w:type="dxa"/>
            <w:vAlign w:val="bottom"/>
            <w:shd w:val="clear" w:color="auto" w:fill="CFF0FC"/>
          </w:tcPr>
          <w:p>
            <w:pPr>
              <w:spacing w:after="0"/>
              <w:rPr>
                <w:sz w:val="20"/>
                <w:szCs w:val="20"/>
                <w:color w:val="auto"/>
              </w:rPr>
            </w:pPr>
          </w:p>
        </w:tc>
      </w:tr>
      <w:tr>
        <w:trPr>
          <w:trHeight w:val="735"/>
        </w:trPr>
        <w:tc>
          <w:tcPr>
            <w:tcW w:w="61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14.  Income Taxes</w:t>
            </w:r>
          </w:p>
        </w:tc>
        <w:tc>
          <w:tcPr>
            <w:tcW w:w="10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03"/>
        </w:trPr>
        <w:tc>
          <w:tcPr>
            <w:tcW w:w="7160" w:type="dxa"/>
            <w:vAlign w:val="bottom"/>
            <w:gridSpan w:val="2"/>
          </w:tcPr>
          <w:p>
            <w:pPr>
              <w:ind w:left="380"/>
              <w:spacing w:after="0"/>
              <w:rPr>
                <w:sz w:val="20"/>
                <w:szCs w:val="20"/>
                <w:color w:val="auto"/>
              </w:rPr>
            </w:pPr>
            <w:r>
              <w:rPr>
                <w:rFonts w:ascii="Arial" w:cs="Arial" w:eastAsia="Arial" w:hAnsi="Arial"/>
                <w:sz w:val="18"/>
                <w:szCs w:val="18"/>
                <w:color w:val="auto"/>
              </w:rPr>
              <w:t>The components of income before income taxes were as follows (in thousands):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3"/>
        </w:trPr>
        <w:tc>
          <w:tcPr>
            <w:tcW w:w="6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1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14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United States</w:t>
            </w:r>
          </w:p>
        </w:tc>
        <w:tc>
          <w:tcPr>
            <w:tcW w:w="1020" w:type="dxa"/>
            <w:vAlign w:val="bottom"/>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8"/>
              </w:rPr>
              <w:t>49,116</w:t>
            </w:r>
          </w:p>
        </w:tc>
        <w:tc>
          <w:tcPr>
            <w:tcW w:w="1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21,225</w:t>
            </w: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(4,579 )</w:t>
            </w:r>
          </w:p>
        </w:tc>
      </w:tr>
      <w:tr>
        <w:trPr>
          <w:trHeight w:val="203"/>
        </w:trPr>
        <w:tc>
          <w:tcPr>
            <w:tcW w:w="6140" w:type="dxa"/>
            <w:vAlign w:val="bottom"/>
          </w:tcPr>
          <w:p>
            <w:pPr>
              <w:ind w:left="140"/>
              <w:spacing w:after="0" w:line="202" w:lineRule="exact"/>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4,828</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3,899</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3,271</w:t>
            </w:r>
          </w:p>
        </w:tc>
        <w:tc>
          <w:tcPr>
            <w:tcW w:w="100" w:type="dxa"/>
            <w:vAlign w:val="bottom"/>
          </w:tcPr>
          <w:p>
            <w:pPr>
              <w:spacing w:after="0"/>
              <w:rPr>
                <w:sz w:val="17"/>
                <w:szCs w:val="17"/>
                <w:color w:val="auto"/>
              </w:rPr>
            </w:pPr>
          </w:p>
        </w:tc>
      </w:tr>
      <w:tr>
        <w:trPr>
          <w:trHeight w:val="216"/>
        </w:trPr>
        <w:tc>
          <w:tcPr>
            <w:tcW w:w="6140" w:type="dxa"/>
            <w:vAlign w:val="bottom"/>
            <w:shd w:val="clear" w:color="auto" w:fill="CFF0FC"/>
          </w:tcPr>
          <w:p>
            <w:pPr>
              <w:ind w:left="140"/>
              <w:spacing w:after="0" w:line="182" w:lineRule="exact"/>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right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8"/>
              </w:rPr>
              <w:t>53,944</w:t>
            </w:r>
          </w:p>
        </w:tc>
        <w:tc>
          <w:tcPr>
            <w:tcW w:w="16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25,124</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(1,308 )</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-1447800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-1430655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-1447800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-1430655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provision for income taxes consisted of the following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Year Ended 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1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14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Current:</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40" w:type="dxa"/>
            <w:vAlign w:val="bottom"/>
          </w:tcPr>
          <w:p>
            <w:pPr>
              <w:ind w:left="140"/>
              <w:spacing w:after="0" w:line="202" w:lineRule="exact"/>
              <w:rPr>
                <w:sz w:val="20"/>
                <w:szCs w:val="20"/>
                <w:color w:val="auto"/>
              </w:rPr>
            </w:pPr>
            <w:r>
              <w:rPr>
                <w:rFonts w:ascii="Arial" w:cs="Arial" w:eastAsia="Arial" w:hAnsi="Arial"/>
                <w:sz w:val="18"/>
                <w:szCs w:val="18"/>
                <w:color w:val="auto"/>
              </w:rPr>
              <w:t>Domestic</w:t>
            </w:r>
          </w:p>
        </w:tc>
        <w:tc>
          <w:tcPr>
            <w:tcW w:w="102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9,983</w:t>
            </w:r>
          </w:p>
        </w:tc>
        <w:tc>
          <w:tcPr>
            <w:tcW w:w="120" w:type="dxa"/>
            <w:vAlign w:val="bottom"/>
          </w:tcPr>
          <w:p>
            <w:pPr>
              <w:spacing w:after="0"/>
              <w:rPr>
                <w:sz w:val="17"/>
                <w:szCs w:val="17"/>
                <w:color w:val="auto"/>
              </w:rPr>
            </w:pP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1,303</w:t>
            </w:r>
          </w:p>
        </w:tc>
        <w:tc>
          <w:tcPr>
            <w:tcW w:w="100" w:type="dxa"/>
            <w:vAlign w:val="bottom"/>
          </w:tcPr>
          <w:p>
            <w:pPr>
              <w:spacing w:after="0"/>
              <w:rPr>
                <w:sz w:val="17"/>
                <w:szCs w:val="17"/>
                <w:color w:val="auto"/>
              </w:rPr>
            </w:pPr>
          </w:p>
        </w:tc>
      </w:tr>
      <w:tr>
        <w:trPr>
          <w:trHeight w:val="203"/>
        </w:trPr>
        <w:tc>
          <w:tcPr>
            <w:tcW w:w="61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w:t>
            </w:r>
          </w:p>
        </w:tc>
        <w:tc>
          <w:tcPr>
            <w:tcW w:w="10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1,139</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4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11,122</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2,178</w:t>
            </w:r>
          </w:p>
        </w:tc>
        <w:tc>
          <w:tcPr>
            <w:tcW w:w="100" w:type="dxa"/>
            <w:vAlign w:val="bottom"/>
          </w:tcPr>
          <w:p>
            <w:pPr>
              <w:spacing w:after="0"/>
              <w:rPr>
                <w:sz w:val="17"/>
                <w:szCs w:val="17"/>
                <w:color w:val="auto"/>
              </w:rPr>
            </w:pPr>
          </w:p>
        </w:tc>
      </w:tr>
      <w:tr>
        <w:trPr>
          <w:trHeight w:val="196"/>
        </w:trPr>
        <w:tc>
          <w:tcPr>
            <w:tcW w:w="614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Deferred:</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40" w:type="dxa"/>
            <w:vAlign w:val="bottom"/>
          </w:tcPr>
          <w:p>
            <w:pPr>
              <w:ind w:left="140"/>
              <w:spacing w:after="0" w:line="202" w:lineRule="exact"/>
              <w:rPr>
                <w:sz w:val="20"/>
                <w:szCs w:val="20"/>
                <w:color w:val="auto"/>
              </w:rPr>
            </w:pPr>
            <w:r>
              <w:rPr>
                <w:rFonts w:ascii="Arial" w:cs="Arial" w:eastAsia="Arial" w:hAnsi="Arial"/>
                <w:sz w:val="18"/>
                <w:szCs w:val="18"/>
                <w:color w:val="auto"/>
              </w:rPr>
              <w:t>Domestic</w:t>
            </w:r>
          </w:p>
        </w:tc>
        <w:tc>
          <w:tcPr>
            <w:tcW w:w="10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(1,331 )</w:t>
            </w:r>
          </w:p>
        </w:tc>
        <w:tc>
          <w:tcPr>
            <w:tcW w:w="4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(3,020 )</w:t>
            </w:r>
          </w:p>
        </w:tc>
      </w:tr>
      <w:tr>
        <w:trPr>
          <w:trHeight w:val="203"/>
        </w:trPr>
        <w:tc>
          <w:tcPr>
            <w:tcW w:w="61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(16 )</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7"/>
                <w:szCs w:val="17"/>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140" w:type="dxa"/>
            <w:vAlign w:val="bottom"/>
          </w:tcPr>
          <w:p>
            <w:pPr>
              <w:ind w:left="28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(1,347 )</w:t>
            </w:r>
          </w:p>
        </w:tc>
        <w:tc>
          <w:tcPr>
            <w:tcW w:w="42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(2,973 )</w:t>
            </w:r>
          </w:p>
        </w:tc>
      </w:tr>
      <w:tr>
        <w:trPr>
          <w:trHeight w:val="20"/>
        </w:trPr>
        <w:tc>
          <w:tcPr>
            <w:tcW w:w="6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40" w:type="dxa"/>
            <w:vAlign w:val="bottom"/>
            <w:shd w:val="clear" w:color="auto" w:fill="CFF0FC"/>
          </w:tcPr>
          <w:p>
            <w:pPr>
              <w:ind w:left="140"/>
              <w:spacing w:after="0" w:line="182" w:lineRule="exact"/>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FF0FC"/>
          </w:tcPr>
          <w:p>
            <w:pPr>
              <w:jc w:val="right"/>
              <w:ind w:right="810"/>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9,775</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2,802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(795 )</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-831215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-831215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-299720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The effective income tax rate differs from the federal statutory income tax rate applied to the income before provision for income taxes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7"/>
                <w:szCs w:val="17"/>
                <w:color w:val="auto"/>
              </w:rPr>
            </w:pPr>
          </w:p>
        </w:tc>
        <w:tc>
          <w:tcPr>
            <w:tcW w:w="17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13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rate</w:t>
            </w:r>
          </w:p>
        </w:tc>
        <w:tc>
          <w:tcPr>
            <w:tcW w:w="29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20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15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State taxes</w:t>
            </w:r>
          </w:p>
        </w:tc>
        <w:tc>
          <w:tcPr>
            <w:tcW w:w="2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4.4 %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Non-deductible executive compensation</w:t>
            </w:r>
          </w:p>
        </w:tc>
        <w:tc>
          <w:tcPr>
            <w:tcW w:w="2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Other permanent differences</w:t>
            </w:r>
          </w:p>
        </w:tc>
        <w:tc>
          <w:tcPr>
            <w:tcW w:w="2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Excess tax benefit on stock-based compensation</w:t>
            </w:r>
          </w:p>
        </w:tc>
        <w:tc>
          <w:tcPr>
            <w:tcW w:w="2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(6.1 )%</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675.6 %</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Difference in prior year tax filings from provision</w:t>
            </w:r>
          </w:p>
        </w:tc>
        <w:tc>
          <w:tcPr>
            <w:tcW w:w="2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(0.2 )%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tax rate differences</w:t>
            </w:r>
          </w:p>
        </w:tc>
        <w:tc>
          <w:tcPr>
            <w:tcW w:w="2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0.1 %</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0.3 %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2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(542.8 )%</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R&amp;D Credits</w:t>
            </w:r>
          </w:p>
        </w:tc>
        <w:tc>
          <w:tcPr>
            <w:tcW w:w="2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(0.9 )%</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(0.4 )%</w:t>
            </w:r>
          </w:p>
        </w:tc>
        <w:tc>
          <w:tcPr>
            <w:tcW w:w="15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0.8 %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1.6 %</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95</w:t>
            </w: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47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7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96" w:name="page97"/>
    <w:bookmarkEnd w:id="96"/>
    <w:p>
      <w:pPr>
        <w:jc w:val="both"/>
        <w:ind w:firstLine="374"/>
        <w:spacing w:after="0" w:line="25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at December 31, 2024 and 2023 were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 and other payroll related accruals</w:t>
            </w: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4,298</w:t>
            </w:r>
          </w:p>
        </w:tc>
        <w:tc>
          <w:tcPr>
            <w:tcW w:w="10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3,927</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Federal and state net operating losses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1,531</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Foreign tax credit</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3,752</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1,678</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768</w:t>
            </w:r>
          </w:p>
        </w:tc>
        <w:tc>
          <w:tcPr>
            <w:tcW w:w="100" w:type="dxa"/>
            <w:vAlign w:val="bottom"/>
          </w:tcPr>
          <w:p>
            <w:pPr>
              <w:spacing w:after="0"/>
              <w:rPr>
                <w:sz w:val="17"/>
                <w:szCs w:val="17"/>
                <w:color w:val="auto"/>
              </w:rPr>
            </w:pPr>
          </w:p>
        </w:tc>
      </w:tr>
      <w:tr>
        <w:trPr>
          <w:trHeight w:val="196"/>
        </w:trPr>
        <w:tc>
          <w:tcPr>
            <w:tcW w:w="748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13,178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12,997</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80"/>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(284 )</w:t>
            </w:r>
          </w:p>
        </w:tc>
        <w:tc>
          <w:tcPr>
            <w:tcW w:w="22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(2,454 )</w:t>
            </w:r>
          </w:p>
        </w:tc>
      </w:tr>
      <w:tr>
        <w:trPr>
          <w:trHeight w:val="236"/>
        </w:trPr>
        <w:tc>
          <w:tcPr>
            <w:tcW w:w="7480" w:type="dxa"/>
            <w:vAlign w:val="bottom"/>
            <w:tcBorders>
              <w:bottom w:val="single" w:sz="8" w:color="CFF0FC"/>
            </w:tcBorders>
            <w:shd w:val="clear" w:color="auto" w:fill="CFF0FC"/>
          </w:tcPr>
          <w:p>
            <w:pPr>
              <w:ind w:left="400"/>
              <w:spacing w:after="0" w:line="182" w:lineRule="exact"/>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12,894</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(7,365 )</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(5,418 )</w:t>
            </w:r>
          </w:p>
        </w:tc>
      </w:tr>
      <w:tr>
        <w:trPr>
          <w:trHeight w:val="184"/>
        </w:trPr>
        <w:tc>
          <w:tcPr>
            <w:tcW w:w="7480" w:type="dxa"/>
            <w:vAlign w:val="bottom"/>
          </w:tcPr>
          <w:p>
            <w:pPr>
              <w:ind w:left="140"/>
              <w:spacing w:after="0" w:line="183" w:lineRule="exact"/>
              <w:rPr>
                <w:sz w:val="20"/>
                <w:szCs w:val="20"/>
                <w:color w:val="auto"/>
              </w:rPr>
            </w:pPr>
            <w:r>
              <w:rPr>
                <w:rFonts w:ascii="Arial" w:cs="Arial" w:eastAsia="Arial" w:hAnsi="Arial"/>
                <w:sz w:val="18"/>
                <w:szCs w:val="18"/>
                <w:color w:val="auto"/>
              </w:rPr>
              <w:t>Capitalized research and development costs and capitalized internal-use software</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480" w:type="dxa"/>
            <w:vAlign w:val="bottom"/>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(2,231 )</w:t>
            </w: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(2,466 )</w:t>
            </w: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(2,850 )</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(3,558 )</w:t>
            </w: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Foregone foreign tax credit</w:t>
            </w:r>
          </w:p>
        </w:tc>
        <w:tc>
          <w:tcPr>
            <w:tcW w:w="22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(81 )</w:t>
            </w:r>
          </w:p>
        </w:tc>
        <w:tc>
          <w:tcPr>
            <w:tcW w:w="22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(74 )</w:t>
            </w:r>
          </w:p>
        </w:tc>
      </w:tr>
      <w:tr>
        <w:trPr>
          <w:trHeight w:val="20"/>
        </w:trPr>
        <w:tc>
          <w:tcPr>
            <w:tcW w:w="7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(12,527 )</w:t>
            </w:r>
          </w:p>
        </w:tc>
        <w:tc>
          <w:tcPr>
            <w:tcW w:w="22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(11,516 )</w:t>
            </w:r>
          </w:p>
        </w:tc>
      </w:tr>
      <w:tr>
        <w:trPr>
          <w:trHeight w:val="20"/>
        </w:trPr>
        <w:tc>
          <w:tcPr>
            <w:tcW w:w="74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80" w:type="dxa"/>
            <w:vAlign w:val="bottom"/>
          </w:tcPr>
          <w:p>
            <w:pPr>
              <w:ind w:left="400"/>
              <w:spacing w:after="0" w:line="182" w:lineRule="exact"/>
              <w:rPr>
                <w:sz w:val="20"/>
                <w:szCs w:val="20"/>
                <w:color w:val="auto"/>
              </w:rPr>
            </w:pPr>
            <w:r>
              <w:rPr>
                <w:rFonts w:ascii="Arial" w:cs="Arial" w:eastAsia="Arial" w:hAnsi="Arial"/>
                <w:sz w:val="18"/>
                <w:szCs w:val="18"/>
                <w:color w:val="auto"/>
              </w:rPr>
              <w:t>Net deferred tax assets (liabilities)</w:t>
            </w: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line="182" w:lineRule="exact"/>
              <w:rPr>
                <w:sz w:val="20"/>
                <w:szCs w:val="20"/>
                <w:color w:val="auto"/>
              </w:rPr>
            </w:pPr>
            <w:r>
              <w:rPr>
                <w:rFonts w:ascii="Arial" w:cs="Arial" w:eastAsia="Arial" w:hAnsi="Arial"/>
                <w:sz w:val="18"/>
                <w:szCs w:val="18"/>
                <w:color w:val="auto"/>
              </w:rPr>
              <w:t>367</w:t>
            </w:r>
          </w:p>
        </w:tc>
        <w:tc>
          <w:tcPr>
            <w:tcW w:w="100" w:type="dxa"/>
            <w:vAlign w:val="bottom"/>
          </w:tcPr>
          <w:p>
            <w:pPr>
              <w:spacing w:after="0"/>
              <w:rPr>
                <w:sz w:val="17"/>
                <w:szCs w:val="17"/>
                <w:color w:val="auto"/>
              </w:rPr>
            </w:pPr>
          </w:p>
        </w:tc>
        <w:tc>
          <w:tcPr>
            <w:tcW w:w="22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(973 )</w:t>
            </w:r>
          </w:p>
        </w:tc>
      </w:tr>
      <w:tr>
        <w:trPr>
          <w:trHeight w:val="20"/>
        </w:trPr>
        <w:tc>
          <w:tcPr>
            <w:tcW w:w="7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Reported as:</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Deferred tax asset (non-current)</w:t>
            </w: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140"/>
              <w:spacing w:after="0" w:line="202" w:lineRule="exact"/>
              <w:rPr>
                <w:sz w:val="20"/>
                <w:szCs w:val="20"/>
                <w:color w:val="auto"/>
              </w:rPr>
            </w:pPr>
            <w:r>
              <w:rPr>
                <w:rFonts w:ascii="Arial" w:cs="Arial" w:eastAsia="Arial" w:hAnsi="Arial"/>
                <w:sz w:val="18"/>
                <w:szCs w:val="18"/>
                <w:color w:val="auto"/>
              </w:rPr>
              <w:t>Deferred tax liability (non-current)</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(1,067 )</w:t>
            </w:r>
          </w:p>
        </w:tc>
      </w:tr>
      <w:tr>
        <w:trPr>
          <w:trHeight w:val="20"/>
        </w:trPr>
        <w:tc>
          <w:tcPr>
            <w:tcW w:w="7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480" w:type="dxa"/>
            <w:vAlign w:val="bottom"/>
            <w:shd w:val="clear" w:color="auto" w:fill="CFF0FC"/>
          </w:tcPr>
          <w:p>
            <w:pPr>
              <w:ind w:left="400"/>
              <w:spacing w:after="0" w:line="182" w:lineRule="exact"/>
              <w:rPr>
                <w:sz w:val="20"/>
                <w:szCs w:val="20"/>
                <w:color w:val="auto"/>
              </w:rPr>
            </w:pPr>
            <w:r>
              <w:rPr>
                <w:rFonts w:ascii="Arial" w:cs="Arial" w:eastAsia="Arial" w:hAnsi="Arial"/>
                <w:sz w:val="18"/>
                <w:szCs w:val="18"/>
                <w:color w:val="auto"/>
              </w:rPr>
              <w:t>Net deferred tax assets (liabilities)</w:t>
            </w:r>
          </w:p>
        </w:tc>
        <w:tc>
          <w:tcPr>
            <w:tcW w:w="22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(973 )</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-1774190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-1756410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-1774190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-839470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The Company had a valuation allowance of $0.3 million and $2.5 million as of December 31, 2024 and 2023, respectively. During the third quarter of 2024, given demonstrated profitability net of permanent adjustments resulting in cumulative income in recent years and other positive factors including the utilization of federal net operating losses and continued forecasted profitability, the Company determined to release its valuation allowance against most US deferred tax assets, resulting in a discrete benefit during 2024 of $1.8 million. The Company retains a valuation allowance against certain foreign tax credits that are not more likely than not to be utilized.</w:t>
      </w:r>
    </w:p>
    <w:p>
      <w:pPr>
        <w:spacing w:after="0" w:line="6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As of December 31, 2024, the Company had $0.4 million of federal and $7.2 million of state net operating loss carryforwards available to offset future taxable income. State net operating losses, if not utilized, will begin to expire in 2032.</w:t>
      </w:r>
    </w:p>
    <w:p>
      <w:pPr>
        <w:spacing w:after="0" w:line="46"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As of December 31, 2024 and 2023, the total amount of unrecognized tax benefits that, if recognized, would impact the effective tax rate was not material.</w:t>
      </w:r>
    </w:p>
    <w:p>
      <w:pPr>
        <w:spacing w:after="0" w:line="46" w:lineRule="exact"/>
        <w:rPr>
          <w:sz w:val="20"/>
          <w:szCs w:val="20"/>
          <w:color w:val="auto"/>
        </w:rPr>
      </w:pPr>
    </w:p>
    <w:p>
      <w:pPr>
        <w:jc w:val="both"/>
        <w:ind w:firstLine="374"/>
        <w:spacing w:after="0" w:line="244" w:lineRule="auto"/>
        <w:rPr>
          <w:sz w:val="20"/>
          <w:szCs w:val="20"/>
          <w:color w:val="auto"/>
        </w:rPr>
      </w:pPr>
      <w:r>
        <w:rPr>
          <w:rFonts w:ascii="Arial" w:cs="Arial" w:eastAsia="Arial" w:hAnsi="Arial"/>
          <w:sz w:val="18"/>
          <w:szCs w:val="18"/>
          <w:color w:val="auto"/>
        </w:rPr>
        <w:t>Interest and penalties related to income tax matters are classified as a component of income tax expense and were immaterial for the years ended December 31, 2024, 2023, and 2022. Although it is possible that certain unrecognized tax benefits may increase or decrease within the next 12 months, the Company does not anticipate any significant changes to unrecognized tax benefits over the next 12 months. As of December 31, 2024, the Company is subject to ongoing examinations in various jurisdictions, but is not aware of any potential tax liabilities associated with the ongoing audits.</w:t>
      </w:r>
    </w:p>
    <w:p>
      <w:pPr>
        <w:spacing w:after="0" w:line="68"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 various international jurisdictions. The Company’s tax filings remain subject to audits by applicable tax authorities for a certain length of time following the tax year to which those filings relate. Tax years 2021 and forward generally remain open for examination for federal and state tax purposes. Tax years 2020 and forward generally remain open for examination for foreign tax purposes.</w:t>
      </w:r>
    </w:p>
    <w:p>
      <w:pPr>
        <w:spacing w:after="0" w:line="6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8"/>
          <w:szCs w:val="18"/>
          <w:color w:val="auto"/>
        </w:rPr>
        <w:t>The Company has not recorded foreign withholding taxes or deferred income tax liabilities related to undistributed earnings of foreign operations of approximately $13.0 million and $9.9 million as of December 31, 2024 and 2023, respectively, since such earnings are considered permanently reinvested.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15.  Net Income (Loss) Per Share Attributable to Common Stock</w:t>
      </w:r>
    </w:p>
    <w:p>
      <w:pPr>
        <w:spacing w:after="0" w:line="104"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Basic net income (loss) per share attributable to common stock is computed by dividing the net income for the period attributable to common stockholders by the weighted-average number of common shares outstanding during the period.</w:t>
      </w:r>
    </w:p>
    <w:p>
      <w:pPr>
        <w:spacing w:after="0" w:line="4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Diluted net income (loss) per share attributable to common stock is computed by giving effect to all potentially dilutive common stock equivalents to the extent they are dilutive. The dilutive effect of outstanding options, RSUs and warrants is reflected in diluted net income (loss) per share attributable to common stock by application of the treasury stock method. The calculation of diluted net income (loss) per share attributable to common stock excludes all anti-dilutive common shares.</w:t>
      </w:r>
    </w:p>
    <w:p>
      <w:pPr>
        <w:spacing w:after="0" w:line="66"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66" w:lineRule="exact"/>
        <w:rPr>
          <w:sz w:val="20"/>
          <w:szCs w:val="20"/>
          <w:color w:val="auto"/>
        </w:rPr>
      </w:pPr>
    </w:p>
    <w:p>
      <w:pPr>
        <w:jc w:val="both"/>
        <w:ind w:right="20" w:firstLine="49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 (in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44,169</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22,322</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(513 )</w:t>
            </w:r>
          </w:p>
        </w:tc>
      </w:tr>
      <w:tr>
        <w:trPr>
          <w:trHeight w:val="203"/>
        </w:trPr>
        <w:tc>
          <w:tcPr>
            <w:tcW w:w="6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Weighted-average shares of common stock — basic</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124,372,031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123,511,608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122,099,437</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Dilutive effect of stock options</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2,323,355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1,262,918</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tcPr>
          <w:p>
            <w:pPr>
              <w:ind w:left="400"/>
              <w:spacing w:after="0" w:line="202" w:lineRule="exact"/>
              <w:rPr>
                <w:sz w:val="20"/>
                <w:szCs w:val="20"/>
                <w:color w:val="auto"/>
              </w:rPr>
            </w:pPr>
            <w:r>
              <w:rPr>
                <w:rFonts w:ascii="Arial" w:cs="Arial" w:eastAsia="Arial" w:hAnsi="Arial"/>
                <w:sz w:val="18"/>
                <w:szCs w:val="18"/>
                <w:color w:val="auto"/>
              </w:rPr>
              <w:t>Dilutive effect of RSUs</w:t>
            </w: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850,024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271,754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3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Dilutive effect of warrants</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169,212</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25,549</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30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b w:val="1"/>
                <w:bCs w:val="1"/>
                <w:color w:val="auto"/>
              </w:rPr>
              <w:t>Weighted-average shares of common stock — diluted</w:t>
            </w: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127,714,622</w:t>
            </w: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125,071,829</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122,099,437</w:t>
            </w:r>
          </w:p>
        </w:tc>
        <w:tc>
          <w:tcPr>
            <w:tcW w:w="100" w:type="dxa"/>
            <w:vAlign w:val="bottom"/>
            <w:tcBorders>
              <w:top w:val="single" w:sz="8" w:color="CFF0FC"/>
            </w:tcBorders>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00" w:type="dxa"/>
            <w:vAlign w:val="bottom"/>
          </w:tcPr>
          <w:p>
            <w:pPr>
              <w:ind w:left="280"/>
              <w:spacing w:after="0" w:line="202" w:lineRule="exact"/>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0.18</w:t>
            </w:r>
          </w:p>
        </w:tc>
        <w:tc>
          <w:tcPr>
            <w:tcW w:w="4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0.18</w:t>
            </w:r>
          </w:p>
        </w:tc>
        <w:tc>
          <w:tcPr>
            <w:tcW w:w="4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-548005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-548005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The following table summarizes weighted average securities that were excluded from the computation of diluted net income per share attributable to common stock as their inclusion would have been antidilutive for the respective year: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3680" w:type="dxa"/>
            <w:vAlign w:val="bottom"/>
            <w:tcBorders>
              <w:bottom w:val="single" w:sz="8" w:color="auto"/>
            </w:tcBorders>
            <w:gridSpan w:val="5"/>
          </w:tcPr>
          <w:p>
            <w:pPr>
              <w:ind w:left="132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300" w:type="dxa"/>
            <w:vAlign w:val="bottom"/>
          </w:tcPr>
          <w:p>
            <w:pPr>
              <w:spacing w:after="0"/>
              <w:rPr>
                <w:sz w:val="17"/>
                <w:szCs w:val="17"/>
                <w:color w:val="auto"/>
              </w:rPr>
            </w:pPr>
          </w:p>
        </w:tc>
        <w:tc>
          <w:tcPr>
            <w:tcW w:w="15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r>
      <w:tr>
        <w:trPr>
          <w:trHeight w:val="196"/>
        </w:trPr>
        <w:tc>
          <w:tcPr>
            <w:tcW w:w="6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20" w:type="dxa"/>
            <w:vAlign w:val="bottom"/>
            <w:gridSpan w:val="3"/>
            <w:shd w:val="clear" w:color="auto" w:fill="CFF0FC"/>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5,335,115</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20"/>
              <w:spacing w:after="0" w:line="202" w:lineRule="exact"/>
              <w:rPr>
                <w:sz w:val="20"/>
                <w:szCs w:val="20"/>
                <w:color w:val="auto"/>
              </w:rPr>
            </w:pPr>
            <w:r>
              <w:rPr>
                <w:rFonts w:ascii="Arial" w:cs="Arial" w:eastAsia="Arial" w:hAnsi="Arial"/>
                <w:sz w:val="18"/>
                <w:szCs w:val="18"/>
                <w:color w:val="auto"/>
              </w:rPr>
              <w:t>RSUs</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171,101</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1,055,467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996,256</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Warrants</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417,132</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456,602</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0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6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 spouse of the Company’s Chief Executive Officer serves as a vice president for the Company. She received aggregate compensation, inclusive of her base salary and bonus, of $0.3 million for her employment with the Company for each of the years ended December 31, 2024, 2023 and 2022.</w:t>
      </w:r>
    </w:p>
    <w:p>
      <w:pPr>
        <w:spacing w:after="0" w:line="61"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In addition, the son of a member of the Company’s board of directors serves as a vice president of the Company. He received aggregate compensation, inclusive of his base salary and bonus, of $0.4 million for his employment with the Company for the year ended December 31, 2024 and $0.3 million for each of the years ended December 31, 2023 and 2022. In addition, for the year ended December 31, 2024, he received a grant of restricted stock units with a value of $0.4 million that vests over five years from the grant date, and for the years ended December 31, 2023 and 2022, he received grants of restricted stock units with an aggregate value of $1.1 million and $0.3 million, respectively, that each vest over four years from the grant date.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3073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07330" cy="8255"/>
                    </a:xfrm>
                    <a:prstGeom prst="rect">
                      <a:avLst/>
                    </a:prstGeom>
                    <a:noFill/>
                  </pic:spPr>
                </pic:pic>
              </a:graphicData>
            </a:graphic>
          </wp:anchor>
        </w:drawing>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408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2"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December 31, 2024. Based on such evaluation, our Chief Executive Officer and Chief Financial Officer have concluded that, as of such date,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2" w:lineRule="exact"/>
        <w:rPr>
          <w:sz w:val="20"/>
          <w:szCs w:val="20"/>
          <w:color w:val="auto"/>
        </w:rPr>
      </w:pPr>
    </w:p>
    <w:p>
      <w:pPr>
        <w:jc w:val="both"/>
        <w:ind w:firstLine="494"/>
        <w:spacing w:after="0" w:line="23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its financial statements.</w:t>
      </w:r>
    </w:p>
    <w:p>
      <w:pPr>
        <w:spacing w:after="0" w:line="7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any evaluation of effectiveness to future periods is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jc w:val="both"/>
        <w:ind w:firstLine="494"/>
        <w:spacing w:after="0" w:line="244" w:lineRule="auto"/>
        <w:rPr>
          <w:sz w:val="20"/>
          <w:szCs w:val="20"/>
          <w:color w:val="auto"/>
        </w:rPr>
      </w:pPr>
      <w:r>
        <w:rPr>
          <w:rFonts w:ascii="Arial" w:cs="Arial" w:eastAsia="Arial" w:hAnsi="Arial"/>
          <w:sz w:val="18"/>
          <w:szCs w:val="18"/>
          <w:color w:val="auto"/>
        </w:rPr>
        <w:t>Our management, including our Chief Executive Officer and Chief Financial Officer conducted an assessment of the effectiveness of our internal control over financial reporting as of December 31, 2024. In making this assessment, our management used the criteria set forth in Internal Control-Integrated Framework (2013) issued by the Committee of Sponsoring Organizations of the Treadway Commission (COSO). Based upon this evaluation, management concluded the Company’s internal control over financial reporting was effective as of December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Identified Material Weaknesses</w:t>
      </w:r>
    </w:p>
    <w:p>
      <w:pPr>
        <w:spacing w:after="0" w:line="102"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As previously disclosed in our Annual Report on Form 10-K for the year ended December 31, 2023, and in subsequent quarterly reports, management concluded that the following material weaknesses existed in our internal control over financial reporting:</w:t>
      </w:r>
    </w:p>
    <w:p>
      <w:pPr>
        <w:spacing w:after="0" w:line="46" w:lineRule="exact"/>
        <w:rPr>
          <w:sz w:val="20"/>
          <w:szCs w:val="20"/>
          <w:color w:val="auto"/>
        </w:rPr>
      </w:pPr>
    </w:p>
    <w:p>
      <w:pPr>
        <w:jc w:val="both"/>
        <w:ind w:left="1020" w:hanging="503"/>
        <w:spacing w:after="0" w:line="243"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ind w:left="1020"/>
        <w:spacing w:after="0" w:line="271" w:lineRule="auto"/>
        <w:rPr>
          <w:sz w:val="20"/>
          <w:szCs w:val="20"/>
          <w:color w:val="auto"/>
        </w:rPr>
      </w:pPr>
      <w:r>
        <w:rPr>
          <w:rFonts w:ascii="Arial" w:cs="Arial" w:eastAsia="Arial" w:hAnsi="Arial"/>
          <w:sz w:val="18"/>
          <w:szCs w:val="18"/>
          <w:color w:val="auto"/>
        </w:rPr>
        <w:t>and (2) user access controls to ensure appropriate segregation of duties and that adequately restrict user and privileged access to financial applications, programs and data to appropriate company personnel.</w:t>
      </w:r>
    </w:p>
    <w:p>
      <w:pPr>
        <w:spacing w:after="0" w:line="46"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We began the implementation of certain remediation measures in fiscal year 2022 and continued to develop remediation plans and implemented additional measures throughout fiscal year 2023 and 2024, completing the following actions and measures in order to remediate the control deficiencies that had led to the material weaknesses:</w:t>
      </w:r>
    </w:p>
    <w:p>
      <w:pPr>
        <w:spacing w:after="0" w:line="6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onboarded experienced finance and accounting professionals at various senior roles;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updated the design of our general ledger accounting system to allow for effective restricted access and segregation of duties to govern the preparation and review of journal entries;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management review controls over journal entries and the identification and review of complex transactions;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secured the general ledger accounting system by implementing single sign-on (SSO); and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implemented additional change management and access controls for our relevant IT applications to further restrict privileged access and implemented controls to review activities, which may materially affect our financial statements, for those users who have privileged access.</w:t>
      </w:r>
    </w:p>
    <w:p>
      <w:pPr>
        <w:spacing w:after="0" w:line="63"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8"/>
          <w:szCs w:val="18"/>
          <w:color w:val="auto"/>
        </w:rPr>
        <w:t>Management completed its operating effectiveness testing of the newly designed and enhanced control activities that were implemented as part of the remediation plan and determined that, as of December 31, 2024 these control activities are appropriately designed and have operated effectively for a sufficient period of time to conclude that the previously identified material weaknesses have been remediated as of December 31, 2024.</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2"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02" w:lineRule="exact"/>
        <w:rPr>
          <w:sz w:val="20"/>
          <w:szCs w:val="20"/>
          <w:color w:val="auto"/>
        </w:rPr>
      </w:pPr>
    </w:p>
    <w:p>
      <w:pPr>
        <w:jc w:val="both"/>
        <w:ind w:firstLine="494"/>
        <w:spacing w:after="0"/>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408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84" w:lineRule="exact"/>
        <w:rPr>
          <w:sz w:val="20"/>
          <w:szCs w:val="20"/>
          <w:color w:val="auto"/>
        </w:rPr>
      </w:pPr>
    </w:p>
    <w:p>
      <w:pPr>
        <w:jc w:val="both"/>
        <w:ind w:firstLine="494"/>
        <w:spacing w:after="0" w:line="223" w:lineRule="exact"/>
        <w:rPr>
          <w:sz w:val="20"/>
          <w:szCs w:val="20"/>
          <w:color w:val="auto"/>
        </w:rPr>
      </w:pPr>
      <w:r>
        <w:rPr>
          <w:rFonts w:ascii="Arial" w:cs="Arial" w:eastAsia="Arial" w:hAnsi="Arial"/>
          <w:sz w:val="18"/>
          <w:szCs w:val="18"/>
          <w:color w:val="auto"/>
        </w:rPr>
        <w:t>Except as set forth below, during the quarter ended December 31, 2024, none of the Company’s directors or officers adopted or terminated a “Rule 10b5-1 trading arrangement” or “non-Rule 10b5-1 trading arrangement,” as such terms are defined in Item 408(a) of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48" w:lineRule="exact"/>
        <w:rPr>
          <w:sz w:val="20"/>
          <w:szCs w:val="20"/>
          <w:color w:val="auto"/>
        </w:rPr>
      </w:pPr>
    </w:p>
    <w:p>
      <w:pPr>
        <w:jc w:val="both"/>
        <w:ind w:firstLine="494"/>
        <w:spacing w:after="0" w:line="242" w:lineRule="auto"/>
        <w:rPr>
          <w:sz w:val="20"/>
          <w:szCs w:val="20"/>
          <w:color w:val="auto"/>
        </w:rPr>
      </w:pPr>
      <w:r>
        <w:rPr>
          <w:rFonts w:ascii="Arial" w:cs="Arial" w:eastAsia="Arial" w:hAnsi="Arial"/>
          <w:sz w:val="18"/>
          <w:szCs w:val="18"/>
          <w:color w:val="auto"/>
        </w:rPr>
        <w:t>On November 7, 2024, Sanjay Kalra, the Company’s Chief Financial Officer, terminated a trading arrangement he had previously adopted with respect to the sale of shares of the Company’s Class A common stock that was intended to satisfy the affirmative defense conditions of Securities Exchange Act Rule 10b5-1(c) (a "Rule 10b5-1 Trading Plan"). Mr. Kalra’s Rule 10b5-1 Trading Plan was adopted on June 13, 2024, had a term effective through June 14, 2025 and provided for the sale of up to 50,000 shares of Class A common stock pursuant to the terms of the Rule 10b5-1 Trading Plan. As of the date of termination of the Rule 10b-5 Trading Plan, Mr. Kalra had sold no shares of Class A common stock under the terms of the Rule 10b5-1 Trading Plan.</w:t>
      </w:r>
    </w:p>
    <w:p>
      <w:pPr>
        <w:spacing w:after="0" w:line="71" w:lineRule="exact"/>
        <w:rPr>
          <w:sz w:val="20"/>
          <w:szCs w:val="20"/>
          <w:color w:val="auto"/>
        </w:rPr>
      </w:pPr>
    </w:p>
    <w:p>
      <w:pPr>
        <w:jc w:val="both"/>
        <w:ind w:firstLine="494"/>
        <w:spacing w:after="0" w:line="253" w:lineRule="auto"/>
        <w:rPr>
          <w:sz w:val="20"/>
          <w:szCs w:val="20"/>
          <w:color w:val="auto"/>
        </w:rPr>
      </w:pPr>
      <w:r>
        <w:rPr>
          <w:rFonts w:ascii="Arial" w:cs="Arial" w:eastAsia="Arial" w:hAnsi="Arial"/>
          <w:sz w:val="18"/>
          <w:szCs w:val="18"/>
          <w:color w:val="auto"/>
        </w:rPr>
        <w:t>On December 6, 2024, Mr. Kalra adopted a new Rule 10b5-1 Trading Plan for the sale of the Company’s Class A common stock. Mr. Kalra’s Rule 10b5-1 Trading Plan, which expires March 2, 2026, provides for the sale of up to 50,000 shares of Class A common stock pursuant to the terms of the Rule 10b5-1 Trading Plan.</w:t>
      </w:r>
    </w:p>
    <w:p>
      <w:pPr>
        <w:spacing w:after="0" w:line="61" w:lineRule="exact"/>
        <w:rPr>
          <w:sz w:val="20"/>
          <w:szCs w:val="20"/>
          <w:color w:val="auto"/>
        </w:rPr>
      </w:pPr>
    </w:p>
    <w:p>
      <w:pPr>
        <w:jc w:val="both"/>
        <w:ind w:right="20" w:firstLine="494"/>
        <w:spacing w:after="0" w:line="253" w:lineRule="auto"/>
        <w:rPr>
          <w:sz w:val="20"/>
          <w:szCs w:val="20"/>
          <w:color w:val="auto"/>
        </w:rPr>
      </w:pPr>
      <w:r>
        <w:rPr>
          <w:rFonts w:ascii="Arial" w:cs="Arial" w:eastAsia="Arial" w:hAnsi="Arial"/>
          <w:sz w:val="18"/>
          <w:szCs w:val="18"/>
          <w:color w:val="auto"/>
        </w:rPr>
        <w:t>On December 5, 2024, Andrew Gerber, the Company’s General Counsel, terminated a Rule 10b5-1 Trading Plan. Mr. Gerber’s Rule 10b5-1 Trading Plan was adopted on September 4, 2024, had a term effective through February 27, 2026 and provided for the sale of up to 56,765 shares of Class A common stock pursuant to the terms of the Rule 10b5-1 Trading</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0" w:name="page101"/>
    <w:bookmarkEnd w:id="100"/>
    <w:p>
      <w:pPr>
        <w:spacing w:after="0" w:line="271" w:lineRule="auto"/>
        <w:rPr>
          <w:sz w:val="20"/>
          <w:szCs w:val="20"/>
          <w:color w:val="auto"/>
        </w:rPr>
      </w:pPr>
      <w:r>
        <w:rPr>
          <w:rFonts w:ascii="Arial" w:cs="Arial" w:eastAsia="Arial" w:hAnsi="Arial"/>
          <w:sz w:val="18"/>
          <w:szCs w:val="18"/>
          <w:color w:val="auto"/>
        </w:rPr>
        <w:t>Plan. As of the date of termination of the Rule 10b-5 Trading Plan, Mr. Gerber had sold 34,272 shares of Class A common stock under the terms of the Rule 10b5-1 Trading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2087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We expect to file a definitive proxy statement relating to our 2025 Annual Meeting of Stockholders with the SEC pursuant to Regulation 14A, not later than 120 days after the end of our most recent fiscal year. Accordingly, certain information required by Part III of this Annual Report on Form 10-K has been omitted under General Instruction G(3) to Form 10-K. Only the information from the definitive proxy statement that specifically addresses disclosure requirements of Items 10-14 below is incorporated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2425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524250" cy="8890"/>
                    </a:xfrm>
                    <a:prstGeom prst="rect">
                      <a:avLst/>
                    </a:prstGeom>
                    <a:noFill/>
                  </pic:spPr>
                </pic:pic>
              </a:graphicData>
            </a:graphic>
          </wp:anchor>
        </w:drawing>
      </w:r>
    </w:p>
    <w:p>
      <w:pPr>
        <w:spacing w:after="0" w:line="8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information required under this Item is incorporated herein by reference to the information set forth in our Proxy Statement for the 2025 Annual Meeting of Stockholders, or the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154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1546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985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9851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5904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590415"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289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28900" cy="8890"/>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under this Item is incorporated herein by reference to the information set forth in the Proxy Statement.</w:t>
      </w:r>
    </w:p>
    <w:p>
      <w:pPr>
        <w:spacing w:after="0" w:line="10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505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line="84"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03" w:lineRule="exact"/>
        <w:rPr>
          <w:rFonts w:ascii="Arial" w:cs="Arial" w:eastAsia="Arial" w:hAnsi="Arial"/>
          <w:sz w:val="18"/>
          <w:szCs w:val="18"/>
          <w:color w:val="auto"/>
        </w:rPr>
      </w:pPr>
    </w:p>
    <w:p>
      <w:pPr>
        <w:ind w:left="780" w:hanging="263"/>
        <w:spacing w:after="0"/>
        <w:tabs>
          <w:tab w:leader="none" w:pos="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Our consolidated financial statements are included in Part II, Item 8, "Financial Statements and Supplementary Data."</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Index to Financial Statement Schedules:</w:t>
      </w:r>
    </w:p>
    <w:p>
      <w:pPr>
        <w:spacing w:after="0" w:line="104" w:lineRule="exact"/>
        <w:rPr>
          <w:sz w:val="20"/>
          <w:szCs w:val="20"/>
          <w:color w:val="auto"/>
        </w:rPr>
      </w:pPr>
    </w:p>
    <w:p>
      <w:pPr>
        <w:ind w:left="520" w:firstLine="509"/>
        <w:spacing w:after="0" w:line="271" w:lineRule="auto"/>
        <w:rPr>
          <w:sz w:val="20"/>
          <w:szCs w:val="20"/>
          <w:color w:val="auto"/>
        </w:rPr>
      </w:pPr>
      <w:r>
        <w:rPr>
          <w:rFonts w:ascii="Arial" w:cs="Arial" w:eastAsia="Arial" w:hAnsi="Arial"/>
          <w:sz w:val="18"/>
          <w:szCs w:val="18"/>
          <w:color w:val="auto"/>
        </w:rPr>
        <w:t>All schedules have been omitted because the required information is included in the consolidated financial statements or notes, thereto, or because it is not required.</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 Index to Exhibits</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exhibits listed under Part (b) below:</w:t>
      </w:r>
    </w:p>
    <w:p>
      <w:pPr>
        <w:spacing w:after="0" w:line="212"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w:t>
      </w:r>
      <w:r>
        <w:rPr>
          <w:rFonts w:ascii="Arial" w:cs="Arial" w:eastAsia="Arial" w:hAnsi="Arial"/>
          <w:sz w:val="16"/>
          <w:szCs w:val="16"/>
          <w:color w:val="auto"/>
        </w:rPr>
        <w:t>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Incorporated by Reference</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Number</w:t>
            </w:r>
          </w:p>
        </w:tc>
        <w:tc>
          <w:tcPr>
            <w:tcW w:w="26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gridSpan w:val="17"/>
          </w:tcPr>
          <w:p>
            <w:pPr>
              <w:ind w:left="1380"/>
              <w:spacing w:after="0"/>
              <w:rPr>
                <w:sz w:val="20"/>
                <w:szCs w:val="20"/>
                <w:color w:val="auto"/>
              </w:rPr>
            </w:pPr>
            <w:r>
              <w:rPr>
                <w:rFonts w:ascii="Arial" w:cs="Arial" w:eastAsia="Arial" w:hAnsi="Arial"/>
                <w:sz w:val="16"/>
                <w:szCs w:val="16"/>
                <w:b w:val="1"/>
                <w:bCs w:val="1"/>
                <w:color w:val="auto"/>
              </w:rPr>
              <w:t>Description</w:t>
            </w: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Form</w:t>
            </w: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File 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6"/>
        </w:trPr>
        <w:tc>
          <w:tcPr>
            <w:tcW w:w="1140" w:type="dxa"/>
            <w:vAlign w:val="bottom"/>
          </w:tcPr>
          <w:p>
            <w:pPr>
              <w:jc w:val="center"/>
              <w:ind w:right="79"/>
              <w:spacing w:after="0" w:line="155" w:lineRule="exact"/>
              <w:rPr>
                <w:sz w:val="20"/>
                <w:szCs w:val="20"/>
                <w:color w:val="auto"/>
              </w:rPr>
            </w:pPr>
            <w:r>
              <w:rPr>
                <w:rFonts w:ascii="Arial" w:cs="Arial" w:eastAsia="Arial" w:hAnsi="Arial"/>
                <w:sz w:val="16"/>
                <w:szCs w:val="16"/>
                <w:color w:val="auto"/>
                <w:w w:val="98"/>
              </w:rPr>
              <w:t>3.1</w:t>
            </w:r>
          </w:p>
        </w:tc>
        <w:tc>
          <w:tcPr>
            <w:tcW w:w="4260" w:type="dxa"/>
            <w:vAlign w:val="bottom"/>
            <w:gridSpan w:val="18"/>
          </w:tcPr>
          <w:p>
            <w:pPr>
              <w:spacing w:after="0" w:line="155" w:lineRule="exact"/>
              <w:rPr>
                <w:rFonts w:ascii="Arial" w:cs="Arial" w:eastAsia="Arial" w:hAnsi="Arial"/>
                <w:sz w:val="16"/>
                <w:szCs w:val="16"/>
                <w:color w:val="0000FF"/>
              </w:rPr>
            </w:pPr>
            <w:hyperlink r:id="rId426">
              <w:r>
                <w:rPr>
                  <w:rFonts w:ascii="Arial" w:cs="Arial" w:eastAsia="Arial" w:hAnsi="Arial"/>
                  <w:sz w:val="16"/>
                  <w:szCs w:val="16"/>
                  <w:color w:val="0000FF"/>
                </w:rPr>
                <w:t>Amended and Restated Certificate of Incorporation of</w:t>
              </w:r>
            </w:hyperlink>
          </w:p>
        </w:tc>
        <w:tc>
          <w:tcPr>
            <w:tcW w:w="860" w:type="dxa"/>
            <w:vAlign w:val="bottom"/>
          </w:tcPr>
          <w:p>
            <w:pPr>
              <w:jc w:val="center"/>
              <w:ind w:left="39"/>
              <w:spacing w:after="0" w:line="155" w:lineRule="exact"/>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line="155" w:lineRule="exact"/>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w w:val="98"/>
              </w:rPr>
              <w:t>3.1</w:t>
            </w:r>
          </w:p>
        </w:tc>
        <w:tc>
          <w:tcPr>
            <w:tcW w:w="1620" w:type="dxa"/>
            <w:vAlign w:val="bottom"/>
          </w:tcPr>
          <w:p>
            <w:pPr>
              <w:jc w:val="center"/>
              <w:spacing w:after="0" w:line="155" w:lineRule="exact"/>
              <w:rPr>
                <w:sz w:val="20"/>
                <w:szCs w:val="20"/>
                <w:color w:val="auto"/>
              </w:rPr>
            </w:pPr>
            <w:r>
              <w:rPr>
                <w:rFonts w:ascii="Arial" w:cs="Arial" w:eastAsia="Arial" w:hAnsi="Arial"/>
                <w:sz w:val="16"/>
                <w:szCs w:val="16"/>
                <w:color w:val="auto"/>
              </w:rPr>
              <w:t>May 28, 2021</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86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426">
              <w:r>
                <w:rPr>
                  <w:rFonts w:ascii="Arial" w:cs="Arial" w:eastAsia="Arial" w:hAnsi="Arial"/>
                  <w:sz w:val="16"/>
                  <w:szCs w:val="16"/>
                  <w:color w:val="0000FF"/>
                </w:rPr>
                <w:t>Paymentus Holdings, Inc.</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59"/>
              <w:spacing w:after="0"/>
              <w:rPr>
                <w:sz w:val="20"/>
                <w:szCs w:val="20"/>
                <w:color w:val="auto"/>
              </w:rPr>
            </w:pPr>
            <w:r>
              <w:rPr>
                <w:rFonts w:ascii="Arial" w:cs="Arial" w:eastAsia="Arial" w:hAnsi="Arial"/>
                <w:sz w:val="16"/>
                <w:szCs w:val="16"/>
                <w:color w:val="auto"/>
              </w:rPr>
              <w:t>3.1.1</w:t>
            </w:r>
          </w:p>
        </w:tc>
        <w:tc>
          <w:tcPr>
            <w:tcW w:w="4260" w:type="dxa"/>
            <w:vAlign w:val="bottom"/>
            <w:gridSpan w:val="18"/>
          </w:tcPr>
          <w:p>
            <w:pPr>
              <w:spacing w:after="0"/>
              <w:rPr>
                <w:rFonts w:ascii="Arial" w:cs="Arial" w:eastAsia="Arial" w:hAnsi="Arial"/>
                <w:sz w:val="16"/>
                <w:szCs w:val="16"/>
                <w:color w:val="0000FF"/>
              </w:rPr>
            </w:pPr>
            <w:hyperlink r:id="rId427">
              <w:r>
                <w:rPr>
                  <w:rFonts w:ascii="Arial" w:cs="Arial" w:eastAsia="Arial" w:hAnsi="Arial"/>
                  <w:sz w:val="16"/>
                  <w:szCs w:val="16"/>
                  <w:color w:val="0000FF"/>
                </w:rPr>
                <w:t>Amendment to Amended and Restated Certificate of</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20" w:type="dxa"/>
            <w:vAlign w:val="bottom"/>
          </w:tcPr>
          <w:p>
            <w:pPr>
              <w:jc w:val="center"/>
              <w:spacing w:after="0"/>
              <w:rPr>
                <w:sz w:val="20"/>
                <w:szCs w:val="20"/>
                <w:color w:val="auto"/>
              </w:rPr>
            </w:pPr>
            <w:r>
              <w:rPr>
                <w:rFonts w:ascii="Arial" w:cs="Arial" w:eastAsia="Arial" w:hAnsi="Arial"/>
                <w:sz w:val="16"/>
                <w:szCs w:val="16"/>
                <w:color w:val="auto"/>
              </w:rPr>
              <w:t>August 7,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3780" w:type="dxa"/>
            <w:vAlign w:val="bottom"/>
            <w:gridSpan w:val="11"/>
          </w:tcPr>
          <w:p>
            <w:pPr>
              <w:spacing w:after="0" w:line="169" w:lineRule="exact"/>
              <w:rPr>
                <w:rFonts w:ascii="Arial" w:cs="Arial" w:eastAsia="Arial" w:hAnsi="Arial"/>
                <w:sz w:val="16"/>
                <w:szCs w:val="16"/>
                <w:color w:val="0000FF"/>
              </w:rPr>
            </w:pPr>
            <w:hyperlink r:id="rId427">
              <w:r>
                <w:rPr>
                  <w:rFonts w:ascii="Arial" w:cs="Arial" w:eastAsia="Arial" w:hAnsi="Arial"/>
                  <w:sz w:val="16"/>
                  <w:szCs w:val="16"/>
                  <w:color w:val="0000FF"/>
                </w:rPr>
                <w:t>Incorporation of Paymentus Holdings, Inc.</w:t>
              </w:r>
            </w:hyperlink>
          </w:p>
        </w:tc>
        <w:tc>
          <w:tcPr>
            <w:tcW w:w="18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79"/>
              <w:spacing w:after="0"/>
              <w:rPr>
                <w:sz w:val="20"/>
                <w:szCs w:val="20"/>
                <w:color w:val="auto"/>
              </w:rPr>
            </w:pPr>
            <w:r>
              <w:rPr>
                <w:rFonts w:ascii="Arial" w:cs="Arial" w:eastAsia="Arial" w:hAnsi="Arial"/>
                <w:sz w:val="16"/>
                <w:szCs w:val="16"/>
                <w:color w:val="auto"/>
                <w:w w:val="98"/>
              </w:rPr>
              <w:t>3.2</w:t>
            </w:r>
          </w:p>
        </w:tc>
        <w:tc>
          <w:tcPr>
            <w:tcW w:w="4260" w:type="dxa"/>
            <w:vAlign w:val="bottom"/>
            <w:gridSpan w:val="18"/>
          </w:tcPr>
          <w:p>
            <w:pPr>
              <w:spacing w:after="0"/>
              <w:rPr>
                <w:rFonts w:ascii="Arial" w:cs="Arial" w:eastAsia="Arial" w:hAnsi="Arial"/>
                <w:sz w:val="16"/>
                <w:szCs w:val="16"/>
                <w:color w:val="0000FF"/>
              </w:rPr>
            </w:pPr>
            <w:hyperlink r:id="rId428">
              <w:r>
                <w:rPr>
                  <w:rFonts w:ascii="Arial" w:cs="Arial" w:eastAsia="Arial" w:hAnsi="Arial"/>
                  <w:sz w:val="16"/>
                  <w:szCs w:val="16"/>
                  <w:color w:val="0000FF"/>
                </w:rPr>
                <w:t>Amended and Restated Bylaws of Paymentus Holdings,</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620" w:type="dxa"/>
            <w:vAlign w:val="bottom"/>
          </w:tcPr>
          <w:p>
            <w:pPr>
              <w:jc w:val="center"/>
              <w:spacing w:after="0"/>
              <w:rPr>
                <w:sz w:val="20"/>
                <w:szCs w:val="20"/>
                <w:color w:val="auto"/>
              </w:rPr>
            </w:pPr>
            <w:r>
              <w:rPr>
                <w:rFonts w:ascii="Arial" w:cs="Arial" w:eastAsia="Arial" w:hAnsi="Arial"/>
                <w:sz w:val="16"/>
                <w:szCs w:val="16"/>
                <w:color w:val="auto"/>
              </w:rPr>
              <w:t>November 14, 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428">
              <w:r>
                <w:rPr>
                  <w:rFonts w:ascii="Arial" w:cs="Arial" w:eastAsia="Arial" w:hAnsi="Arial"/>
                  <w:sz w:val="16"/>
                  <w:szCs w:val="16"/>
                  <w:color w:val="0000FF"/>
                </w:rPr>
                <w:t>Inc.</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w w:val="98"/>
              </w:rPr>
              <w:t>4.1</w:t>
            </w:r>
          </w:p>
        </w:tc>
        <w:tc>
          <w:tcPr>
            <w:tcW w:w="4260" w:type="dxa"/>
            <w:vAlign w:val="bottom"/>
            <w:gridSpan w:val="18"/>
          </w:tcPr>
          <w:p>
            <w:pPr>
              <w:spacing w:after="0"/>
              <w:rPr>
                <w:rFonts w:ascii="Arial" w:cs="Arial" w:eastAsia="Arial" w:hAnsi="Arial"/>
                <w:sz w:val="16"/>
                <w:szCs w:val="16"/>
                <w:color w:val="0000FF"/>
              </w:rPr>
            </w:pPr>
            <w:hyperlink r:id="rId429">
              <w:r>
                <w:rPr>
                  <w:rFonts w:ascii="Arial" w:cs="Arial" w:eastAsia="Arial" w:hAnsi="Arial"/>
                  <w:sz w:val="16"/>
                  <w:szCs w:val="16"/>
                  <w:color w:val="0000FF"/>
                </w:rPr>
                <w:t>Form of Class A Common Stock Certificate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w w:val="98"/>
              </w:rPr>
              <w:t>4.2</w:t>
            </w:r>
          </w:p>
        </w:tc>
        <w:tc>
          <w:tcPr>
            <w:tcW w:w="4260" w:type="dxa"/>
            <w:vAlign w:val="bottom"/>
            <w:gridSpan w:val="18"/>
          </w:tcPr>
          <w:p>
            <w:pPr>
              <w:spacing w:after="0"/>
              <w:rPr>
                <w:rFonts w:ascii="Arial" w:cs="Arial" w:eastAsia="Arial" w:hAnsi="Arial"/>
                <w:sz w:val="16"/>
                <w:szCs w:val="16"/>
                <w:color w:val="0000FF"/>
              </w:rPr>
            </w:pPr>
            <w:hyperlink r:id="rId430">
              <w:r>
                <w:rPr>
                  <w:rFonts w:ascii="Arial" w:cs="Arial" w:eastAsia="Arial" w:hAnsi="Arial"/>
                  <w:sz w:val="16"/>
                  <w:szCs w:val="16"/>
                  <w:color w:val="0000FF"/>
                </w:rPr>
                <w:t>Registration Rights Agreement, dated as of May 24,</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78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430">
              <w:r>
                <w:rPr>
                  <w:rFonts w:ascii="Arial" w:cs="Arial" w:eastAsia="Arial" w:hAnsi="Arial"/>
                  <w:sz w:val="16"/>
                  <w:szCs w:val="16"/>
                  <w:color w:val="0000FF"/>
                </w:rPr>
                <w:t>2021, by and among Paymentus Holdings, Inc. and</w:t>
              </w:r>
            </w:hyperlink>
          </w:p>
        </w:tc>
        <w:tc>
          <w:tcPr>
            <w:tcW w:w="480" w:type="dxa"/>
            <w:vAlign w:val="bottom"/>
            <w:gridSpan w:val="7"/>
          </w:tcPr>
          <w:p>
            <w:pPr>
              <w:spacing w:after="0" w:line="169" w:lineRule="exact"/>
              <w:rPr>
                <w:rFonts w:ascii="Arial" w:cs="Arial" w:eastAsia="Arial" w:hAnsi="Arial"/>
                <w:sz w:val="16"/>
                <w:szCs w:val="16"/>
                <w:color w:val="0000FF"/>
              </w:rPr>
            </w:pPr>
            <w:hyperlink r:id="rId430">
              <w:r>
                <w:rPr>
                  <w:rFonts w:ascii="Arial" w:cs="Arial" w:eastAsia="Arial" w:hAnsi="Arial"/>
                  <w:sz w:val="16"/>
                  <w:szCs w:val="16"/>
                  <w:color w:val="0000FF"/>
                </w:rPr>
                <w:t>the</w:t>
              </w:r>
            </w:hyperlink>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82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430">
              <w:r>
                <w:rPr>
                  <w:rFonts w:ascii="Arial" w:cs="Arial" w:eastAsia="Arial" w:hAnsi="Arial"/>
                  <w:sz w:val="16"/>
                  <w:szCs w:val="16"/>
                  <w:color w:val="0000FF"/>
                </w:rPr>
                <w:t>other signatories thereto</w:t>
              </w:r>
            </w:hyperlink>
          </w:p>
        </w:tc>
        <w:tc>
          <w:tcPr>
            <w:tcW w:w="216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w w:val="98"/>
              </w:rPr>
              <w:t>4.3</w:t>
            </w:r>
          </w:p>
        </w:tc>
        <w:tc>
          <w:tcPr>
            <w:tcW w:w="4260" w:type="dxa"/>
            <w:vAlign w:val="bottom"/>
            <w:gridSpan w:val="18"/>
          </w:tcPr>
          <w:p>
            <w:pPr>
              <w:spacing w:after="0"/>
              <w:rPr>
                <w:rFonts w:ascii="Arial" w:cs="Arial" w:eastAsia="Arial" w:hAnsi="Arial"/>
                <w:sz w:val="16"/>
                <w:szCs w:val="16"/>
                <w:color w:val="0000FF"/>
              </w:rPr>
            </w:pPr>
            <w:hyperlink r:id="rId431">
              <w:r>
                <w:rPr>
                  <w:rFonts w:ascii="Arial" w:cs="Arial" w:eastAsia="Arial" w:hAnsi="Arial"/>
                  <w:sz w:val="16"/>
                  <w:szCs w:val="16"/>
                  <w:color w:val="0000FF"/>
                </w:rPr>
                <w:t>Description of Securities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3,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10.1+</w:t>
            </w:r>
          </w:p>
        </w:tc>
        <w:tc>
          <w:tcPr>
            <w:tcW w:w="4260" w:type="dxa"/>
            <w:vAlign w:val="bottom"/>
            <w:gridSpan w:val="18"/>
          </w:tcPr>
          <w:p>
            <w:pPr>
              <w:spacing w:after="0"/>
              <w:rPr>
                <w:rFonts w:ascii="Arial" w:cs="Arial" w:eastAsia="Arial" w:hAnsi="Arial"/>
                <w:sz w:val="16"/>
                <w:szCs w:val="16"/>
                <w:color w:val="0000FF"/>
              </w:rPr>
            </w:pPr>
            <w:hyperlink r:id="rId432">
              <w:r>
                <w:rPr>
                  <w:rFonts w:ascii="Arial" w:cs="Arial" w:eastAsia="Arial" w:hAnsi="Arial"/>
                  <w:sz w:val="16"/>
                  <w:szCs w:val="16"/>
                  <w:color w:val="0000FF"/>
                </w:rPr>
                <w:t>Form of Director and Officer Indemnification Agreement</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13,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10.2+</w:t>
            </w:r>
          </w:p>
        </w:tc>
        <w:tc>
          <w:tcPr>
            <w:tcW w:w="4260" w:type="dxa"/>
            <w:vAlign w:val="bottom"/>
            <w:gridSpan w:val="18"/>
          </w:tcPr>
          <w:p>
            <w:pPr>
              <w:spacing w:after="0"/>
              <w:rPr>
                <w:rFonts w:ascii="Arial" w:cs="Arial" w:eastAsia="Arial" w:hAnsi="Arial"/>
                <w:sz w:val="16"/>
                <w:szCs w:val="16"/>
                <w:color w:val="0000FF"/>
              </w:rPr>
            </w:pPr>
            <w:hyperlink r:id="rId433">
              <w:r>
                <w:rPr>
                  <w:rFonts w:ascii="Arial" w:cs="Arial" w:eastAsia="Arial" w:hAnsi="Arial"/>
                  <w:sz w:val="16"/>
                  <w:szCs w:val="16"/>
                  <w:color w:val="0000FF"/>
                </w:rPr>
                <w:t>2012 Equity Incentive Plan and related form agreements</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10.3+</w:t>
            </w:r>
          </w:p>
        </w:tc>
        <w:tc>
          <w:tcPr>
            <w:tcW w:w="4260" w:type="dxa"/>
            <w:vAlign w:val="bottom"/>
            <w:gridSpan w:val="18"/>
          </w:tcPr>
          <w:p>
            <w:pPr>
              <w:spacing w:after="0"/>
              <w:rPr>
                <w:rFonts w:ascii="Arial" w:cs="Arial" w:eastAsia="Arial" w:hAnsi="Arial"/>
                <w:sz w:val="16"/>
                <w:szCs w:val="16"/>
                <w:color w:val="0000FF"/>
              </w:rPr>
            </w:pPr>
            <w:hyperlink r:id="rId434">
              <w:r>
                <w:rPr>
                  <w:rFonts w:ascii="Arial" w:cs="Arial" w:eastAsia="Arial" w:hAnsi="Arial"/>
                  <w:sz w:val="16"/>
                  <w:szCs w:val="16"/>
                  <w:color w:val="0000FF"/>
                </w:rPr>
                <w:t>Executive Incentive Compensation Plan</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10.4</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10.4+</w:t>
            </w:r>
          </w:p>
        </w:tc>
        <w:tc>
          <w:tcPr>
            <w:tcW w:w="4260" w:type="dxa"/>
            <w:vAlign w:val="bottom"/>
            <w:gridSpan w:val="18"/>
          </w:tcPr>
          <w:p>
            <w:pPr>
              <w:spacing w:after="0"/>
              <w:rPr>
                <w:rFonts w:ascii="Arial" w:cs="Arial" w:eastAsia="Arial" w:hAnsi="Arial"/>
                <w:sz w:val="16"/>
                <w:szCs w:val="16"/>
                <w:color w:val="0000FF"/>
              </w:rPr>
            </w:pPr>
            <w:hyperlink r:id="rId435">
              <w:r>
                <w:rPr>
                  <w:rFonts w:ascii="Arial" w:cs="Arial" w:eastAsia="Arial" w:hAnsi="Arial"/>
                  <w:sz w:val="16"/>
                  <w:szCs w:val="16"/>
                  <w:color w:val="0000FF"/>
                </w:rPr>
                <w:t>Outside Director Compensation Policy</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20" w:type="dxa"/>
            <w:vAlign w:val="bottom"/>
          </w:tcPr>
          <w:p>
            <w:pPr>
              <w:jc w:val="center"/>
              <w:spacing w:after="0"/>
              <w:rPr>
                <w:sz w:val="20"/>
                <w:szCs w:val="20"/>
                <w:color w:val="auto"/>
              </w:rPr>
            </w:pPr>
            <w:r>
              <w:rPr>
                <w:rFonts w:ascii="Arial" w:cs="Arial" w:eastAsia="Arial" w:hAnsi="Arial"/>
                <w:sz w:val="16"/>
                <w:szCs w:val="16"/>
                <w:color w:val="auto"/>
              </w:rPr>
              <w:t>February 14,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10.5+</w:t>
            </w:r>
          </w:p>
        </w:tc>
        <w:tc>
          <w:tcPr>
            <w:tcW w:w="4260" w:type="dxa"/>
            <w:vAlign w:val="bottom"/>
            <w:gridSpan w:val="18"/>
          </w:tcPr>
          <w:p>
            <w:pPr>
              <w:spacing w:after="0"/>
              <w:rPr>
                <w:rFonts w:ascii="Arial" w:cs="Arial" w:eastAsia="Arial" w:hAnsi="Arial"/>
                <w:sz w:val="16"/>
                <w:szCs w:val="16"/>
                <w:color w:val="0000FF"/>
              </w:rPr>
            </w:pPr>
            <w:hyperlink r:id="rId436">
              <w:r>
                <w:rPr>
                  <w:rFonts w:ascii="Arial" w:cs="Arial" w:eastAsia="Arial" w:hAnsi="Arial"/>
                  <w:sz w:val="16"/>
                  <w:szCs w:val="16"/>
                  <w:color w:val="0000FF"/>
                </w:rPr>
                <w:t>Confirmatory Employment Letter by and between the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333- 255683</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620" w:type="dxa"/>
            <w:vAlign w:val="bottom"/>
          </w:tcPr>
          <w:p>
            <w:pPr>
              <w:jc w:val="center"/>
              <w:spacing w:after="0"/>
              <w:rPr>
                <w:sz w:val="20"/>
                <w:szCs w:val="20"/>
                <w:color w:val="auto"/>
              </w:rPr>
            </w:pPr>
            <w:r>
              <w:rPr>
                <w:rFonts w:ascii="Arial" w:cs="Arial" w:eastAsia="Arial" w:hAnsi="Arial"/>
                <w:sz w:val="16"/>
                <w:szCs w:val="16"/>
                <w:color w:val="auto"/>
              </w:rPr>
              <w:t>May 17, 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140" w:type="dxa"/>
            <w:vAlign w:val="bottom"/>
            <w:gridSpan w:val="17"/>
          </w:tcPr>
          <w:p>
            <w:pPr>
              <w:spacing w:after="0" w:line="169" w:lineRule="exact"/>
              <w:rPr>
                <w:rFonts w:ascii="Arial" w:cs="Arial" w:eastAsia="Arial" w:hAnsi="Arial"/>
                <w:sz w:val="16"/>
                <w:szCs w:val="16"/>
                <w:color w:val="0000FF"/>
              </w:rPr>
            </w:pPr>
            <w:hyperlink r:id="rId436">
              <w:r>
                <w:rPr>
                  <w:rFonts w:ascii="Arial" w:cs="Arial" w:eastAsia="Arial" w:hAnsi="Arial"/>
                  <w:sz w:val="16"/>
                  <w:szCs w:val="16"/>
                  <w:color w:val="0000FF"/>
                </w:rPr>
                <w:t>registrant and Dushyant Sharma</w:t>
              </w:r>
            </w:hyperlink>
          </w:p>
        </w:tc>
        <w:tc>
          <w:tcPr>
            <w:tcW w:w="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10.6+</w:t>
            </w:r>
          </w:p>
        </w:tc>
        <w:tc>
          <w:tcPr>
            <w:tcW w:w="4260" w:type="dxa"/>
            <w:vAlign w:val="bottom"/>
            <w:gridSpan w:val="18"/>
          </w:tcPr>
          <w:p>
            <w:pPr>
              <w:spacing w:after="0"/>
              <w:rPr>
                <w:rFonts w:ascii="Arial" w:cs="Arial" w:eastAsia="Arial" w:hAnsi="Arial"/>
                <w:sz w:val="16"/>
                <w:szCs w:val="16"/>
                <w:color w:val="0000FF"/>
              </w:rPr>
            </w:pPr>
            <w:hyperlink r:id="rId437">
              <w:r>
                <w:rPr>
                  <w:rFonts w:ascii="Arial" w:cs="Arial" w:eastAsia="Arial" w:hAnsi="Arial"/>
                  <w:sz w:val="16"/>
                  <w:szCs w:val="16"/>
                  <w:color w:val="0000FF"/>
                </w:rPr>
                <w:t>Confirmatory Employment Letter by and between the</w:t>
              </w:r>
            </w:hyperlink>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6,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140" w:type="dxa"/>
            <w:vAlign w:val="bottom"/>
            <w:gridSpan w:val="17"/>
          </w:tcPr>
          <w:p>
            <w:pPr>
              <w:spacing w:after="0" w:line="169" w:lineRule="exact"/>
              <w:rPr>
                <w:rFonts w:ascii="Arial" w:cs="Arial" w:eastAsia="Arial" w:hAnsi="Arial"/>
                <w:sz w:val="16"/>
                <w:szCs w:val="16"/>
                <w:color w:val="0000FF"/>
              </w:rPr>
            </w:pPr>
            <w:hyperlink r:id="rId437">
              <w:r>
                <w:rPr>
                  <w:rFonts w:ascii="Arial" w:cs="Arial" w:eastAsia="Arial" w:hAnsi="Arial"/>
                  <w:sz w:val="16"/>
                  <w:szCs w:val="16"/>
                  <w:color w:val="0000FF"/>
                </w:rPr>
                <w:t>registrant and Sanjay Kalra</w:t>
              </w:r>
            </w:hyperlink>
          </w:p>
        </w:tc>
        <w:tc>
          <w:tcPr>
            <w:tcW w:w="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10.7+</w:t>
            </w:r>
          </w:p>
        </w:tc>
        <w:tc>
          <w:tcPr>
            <w:tcW w:w="4260" w:type="dxa"/>
            <w:vAlign w:val="bottom"/>
            <w:gridSpan w:val="18"/>
          </w:tcPr>
          <w:p>
            <w:pPr>
              <w:spacing w:after="0"/>
              <w:rPr>
                <w:rFonts w:ascii="Arial" w:cs="Arial" w:eastAsia="Arial" w:hAnsi="Arial"/>
                <w:sz w:val="16"/>
                <w:szCs w:val="16"/>
                <w:color w:val="0000FF"/>
              </w:rPr>
            </w:pPr>
            <w:hyperlink r:id="rId438">
              <w:r>
                <w:rPr>
                  <w:rFonts w:ascii="Arial" w:cs="Arial" w:eastAsia="Arial" w:hAnsi="Arial"/>
                  <w:sz w:val="16"/>
                  <w:szCs w:val="16"/>
                  <w:color w:val="0000FF"/>
                </w:rPr>
                <w:t>Confirmatory Employment Letter by and between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10-K</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162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60" w:type="dxa"/>
            <w:vAlign w:val="bottom"/>
            <w:gridSpan w:val="7"/>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140" w:type="dxa"/>
            <w:vAlign w:val="bottom"/>
            <w:gridSpan w:val="17"/>
          </w:tcPr>
          <w:p>
            <w:pPr>
              <w:spacing w:after="0" w:line="169" w:lineRule="exact"/>
              <w:rPr>
                <w:rFonts w:ascii="Arial" w:cs="Arial" w:eastAsia="Arial" w:hAnsi="Arial"/>
                <w:sz w:val="16"/>
                <w:szCs w:val="16"/>
                <w:color w:val="0000FF"/>
              </w:rPr>
            </w:pPr>
            <w:hyperlink r:id="rId438">
              <w:r>
                <w:rPr>
                  <w:rFonts w:ascii="Arial" w:cs="Arial" w:eastAsia="Arial" w:hAnsi="Arial"/>
                  <w:sz w:val="16"/>
                  <w:szCs w:val="16"/>
                  <w:color w:val="0000FF"/>
                </w:rPr>
                <w:t>registrant and Gerasimos (Jerry) Portocalis</w:t>
              </w:r>
            </w:hyperlink>
          </w:p>
        </w:tc>
        <w:tc>
          <w:tcPr>
            <w:tcW w:w="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jc w:val="center"/>
              <w:ind w:right="39"/>
              <w:spacing w:after="0"/>
              <w:rPr>
                <w:sz w:val="20"/>
                <w:szCs w:val="20"/>
                <w:color w:val="auto"/>
              </w:rPr>
            </w:pPr>
            <w:r>
              <w:rPr>
                <w:rFonts w:ascii="Arial" w:cs="Arial" w:eastAsia="Arial" w:hAnsi="Arial"/>
                <w:sz w:val="16"/>
                <w:szCs w:val="16"/>
                <w:color w:val="auto"/>
              </w:rPr>
              <w:t>10.8+</w:t>
            </w:r>
          </w:p>
        </w:tc>
        <w:tc>
          <w:tcPr>
            <w:tcW w:w="4260" w:type="dxa"/>
            <w:vAlign w:val="bottom"/>
            <w:gridSpan w:val="18"/>
          </w:tcPr>
          <w:p>
            <w:pPr>
              <w:spacing w:after="0"/>
              <w:rPr>
                <w:rFonts w:ascii="Arial" w:cs="Arial" w:eastAsia="Arial" w:hAnsi="Arial"/>
                <w:sz w:val="16"/>
                <w:szCs w:val="16"/>
                <w:color w:val="0000FF"/>
              </w:rPr>
            </w:pPr>
            <w:hyperlink r:id="rId439">
              <w:r>
                <w:rPr>
                  <w:rFonts w:ascii="Arial" w:cs="Arial" w:eastAsia="Arial" w:hAnsi="Arial"/>
                  <w:sz w:val="16"/>
                  <w:szCs w:val="16"/>
                  <w:color w:val="0000FF"/>
                </w:rPr>
                <w:t>Confirmatory Employment Letter by and between the</w:t>
              </w:r>
            </w:hyperlink>
          </w:p>
        </w:tc>
        <w:tc>
          <w:tcPr>
            <w:tcW w:w="860" w:type="dxa"/>
            <w:vAlign w:val="bottom"/>
          </w:tcPr>
          <w:p>
            <w:pPr>
              <w:jc w:val="center"/>
              <w:ind w:left="59"/>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ind w:left="39"/>
              <w:spacing w:after="0"/>
              <w:rPr>
                <w:sz w:val="20"/>
                <w:szCs w:val="20"/>
                <w:color w:val="auto"/>
              </w:rPr>
            </w:pPr>
            <w:r>
              <w:rPr>
                <w:rFonts w:ascii="Arial" w:cs="Arial" w:eastAsia="Arial" w:hAnsi="Arial"/>
                <w:sz w:val="16"/>
                <w:szCs w:val="16"/>
                <w:color w:val="auto"/>
              </w:rPr>
              <w:t>001-40429</w:t>
            </w:r>
          </w:p>
        </w:tc>
        <w:tc>
          <w:tcPr>
            <w:tcW w:w="8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May 8,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020" w:type="dxa"/>
            <w:vAlign w:val="bottom"/>
            <w:gridSpan w:val="12"/>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4140" w:type="dxa"/>
            <w:vAlign w:val="bottom"/>
            <w:gridSpan w:val="17"/>
          </w:tcPr>
          <w:p>
            <w:pPr>
              <w:spacing w:after="0" w:line="169" w:lineRule="exact"/>
              <w:rPr>
                <w:rFonts w:ascii="Arial" w:cs="Arial" w:eastAsia="Arial" w:hAnsi="Arial"/>
                <w:sz w:val="16"/>
                <w:szCs w:val="16"/>
                <w:color w:val="0000FF"/>
              </w:rPr>
            </w:pPr>
            <w:hyperlink r:id="rId439">
              <w:r>
                <w:rPr>
                  <w:rFonts w:ascii="Arial" w:cs="Arial" w:eastAsia="Arial" w:hAnsi="Arial"/>
                  <w:sz w:val="16"/>
                  <w:szCs w:val="16"/>
                  <w:color w:val="0000FF"/>
                </w:rPr>
                <w:t>registrant and Andrew Gerber</w:t>
              </w:r>
            </w:hyperlink>
          </w:p>
        </w:tc>
        <w:tc>
          <w:tcPr>
            <w:tcW w:w="1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Number</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23"/>
          </w:tcPr>
          <w:p>
            <w:pPr>
              <w:ind w:left="120"/>
              <w:spacing w:after="0"/>
              <w:rPr>
                <w:sz w:val="20"/>
                <w:szCs w:val="20"/>
                <w:color w:val="auto"/>
              </w:rPr>
            </w:pPr>
            <w:r>
              <w:rPr>
                <w:rFonts w:ascii="Arial" w:cs="Arial" w:eastAsia="Arial" w:hAnsi="Arial"/>
                <w:sz w:val="16"/>
                <w:szCs w:val="16"/>
                <w:b w:val="1"/>
                <w:bCs w:val="1"/>
                <w:color w:val="auto"/>
              </w:rPr>
              <w:t>Description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Exhibit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6"/>
        </w:trPr>
        <w:tc>
          <w:tcPr>
            <w:tcW w:w="1020" w:type="dxa"/>
            <w:vAlign w:val="bottom"/>
          </w:tcPr>
          <w:p>
            <w:pPr>
              <w:jc w:val="center"/>
              <w:spacing w:after="0" w:line="155" w:lineRule="exact"/>
              <w:rPr>
                <w:sz w:val="20"/>
                <w:szCs w:val="20"/>
                <w:color w:val="auto"/>
              </w:rPr>
            </w:pPr>
            <w:r>
              <w:rPr>
                <w:rFonts w:ascii="Arial" w:cs="Arial" w:eastAsia="Arial" w:hAnsi="Arial"/>
                <w:sz w:val="16"/>
                <w:szCs w:val="16"/>
                <w:color w:val="auto"/>
              </w:rPr>
              <w:t>10.9+</w:t>
            </w:r>
          </w:p>
        </w:tc>
        <w:tc>
          <w:tcPr>
            <w:tcW w:w="160" w:type="dxa"/>
            <w:vAlign w:val="bottom"/>
          </w:tcPr>
          <w:p>
            <w:pPr>
              <w:spacing w:after="0"/>
              <w:rPr>
                <w:sz w:val="13"/>
                <w:szCs w:val="13"/>
                <w:color w:val="auto"/>
              </w:rPr>
            </w:pPr>
          </w:p>
        </w:tc>
        <w:tc>
          <w:tcPr>
            <w:tcW w:w="4300" w:type="dxa"/>
            <w:vAlign w:val="bottom"/>
            <w:gridSpan w:val="28"/>
          </w:tcPr>
          <w:p>
            <w:pPr>
              <w:spacing w:after="0" w:line="155" w:lineRule="exact"/>
              <w:rPr>
                <w:rFonts w:ascii="Arial" w:cs="Arial" w:eastAsia="Arial" w:hAnsi="Arial"/>
                <w:sz w:val="16"/>
                <w:szCs w:val="16"/>
                <w:color w:val="0000FF"/>
              </w:rPr>
            </w:pPr>
            <w:hyperlink r:id="rId441">
              <w:r>
                <w:rPr>
                  <w:rFonts w:ascii="Arial" w:cs="Arial" w:eastAsia="Arial" w:hAnsi="Arial"/>
                  <w:sz w:val="16"/>
                  <w:szCs w:val="16"/>
                  <w:color w:val="0000FF"/>
                </w:rPr>
                <w:t>Change in Control and Severance Agreement by and</w:t>
              </w:r>
            </w:hyperlink>
          </w:p>
        </w:tc>
        <w:tc>
          <w:tcPr>
            <w:tcW w:w="880" w:type="dxa"/>
            <w:vAlign w:val="bottom"/>
          </w:tcPr>
          <w:p>
            <w:pPr>
              <w:jc w:val="center"/>
              <w:spacing w:after="0" w:line="155" w:lineRule="exact"/>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line="155" w:lineRule="exact"/>
              <w:rPr>
                <w:sz w:val="20"/>
                <w:szCs w:val="20"/>
                <w:color w:val="auto"/>
              </w:rPr>
            </w:pPr>
            <w:r>
              <w:rPr>
                <w:rFonts w:ascii="Arial" w:cs="Arial" w:eastAsia="Arial" w:hAnsi="Arial"/>
                <w:sz w:val="16"/>
                <w:szCs w:val="16"/>
                <w:color w:val="auto"/>
              </w:rPr>
              <w:t>333- 255683</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10.9</w:t>
            </w:r>
          </w:p>
        </w:tc>
        <w:tc>
          <w:tcPr>
            <w:tcW w:w="1480" w:type="dxa"/>
            <w:vAlign w:val="bottom"/>
          </w:tcPr>
          <w:p>
            <w:pPr>
              <w:jc w:val="center"/>
              <w:spacing w:after="0" w:line="155" w:lineRule="exact"/>
              <w:rPr>
                <w:sz w:val="20"/>
                <w:szCs w:val="20"/>
                <w:color w:val="auto"/>
              </w:rPr>
            </w:pPr>
            <w:r>
              <w:rPr>
                <w:rFonts w:ascii="Arial" w:cs="Arial" w:eastAsia="Arial" w:hAnsi="Arial"/>
                <w:sz w:val="16"/>
                <w:szCs w:val="16"/>
                <w:color w:val="auto"/>
              </w:rPr>
              <w:t>May 17, 2021</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2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41">
              <w:r>
                <w:rPr>
                  <w:rFonts w:ascii="Arial" w:cs="Arial" w:eastAsia="Arial" w:hAnsi="Arial"/>
                  <w:sz w:val="16"/>
                  <w:szCs w:val="16"/>
                  <w:color w:val="0000FF"/>
                </w:rPr>
                <w:t>between the registrant and Dushyant Sharma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10.10+</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2">
              <w:r>
                <w:rPr>
                  <w:rFonts w:ascii="Arial" w:cs="Arial" w:eastAsia="Arial" w:hAnsi="Arial"/>
                  <w:sz w:val="16"/>
                  <w:szCs w:val="16"/>
                  <w:color w:val="0000FF"/>
                </w:rPr>
                <w:t>Change in Control and Severance Agreement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10.2</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6,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2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42">
              <w:r>
                <w:rPr>
                  <w:rFonts w:ascii="Arial" w:cs="Arial" w:eastAsia="Arial" w:hAnsi="Arial"/>
                  <w:sz w:val="16"/>
                  <w:szCs w:val="16"/>
                  <w:color w:val="0000FF"/>
                </w:rPr>
                <w:t>between the registrant and Sanjay Kalra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10.11+</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3">
              <w:r>
                <w:rPr>
                  <w:rFonts w:ascii="Arial" w:cs="Arial" w:eastAsia="Arial" w:hAnsi="Arial"/>
                  <w:sz w:val="16"/>
                  <w:szCs w:val="16"/>
                  <w:color w:val="0000FF"/>
                </w:rPr>
                <w:t>Change in Control and Severance Agreement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ind w:left="300"/>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10.13</w:t>
            </w:r>
          </w:p>
        </w:tc>
        <w:tc>
          <w:tcPr>
            <w:tcW w:w="1480" w:type="dxa"/>
            <w:vAlign w:val="bottom"/>
          </w:tcPr>
          <w:p>
            <w:pPr>
              <w:ind w:left="240"/>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17"/>
          </w:tcPr>
          <w:p>
            <w:pPr>
              <w:spacing w:after="0" w:line="169" w:lineRule="exact"/>
              <w:rPr>
                <w:rFonts w:ascii="Arial" w:cs="Arial" w:eastAsia="Arial" w:hAnsi="Arial"/>
                <w:sz w:val="16"/>
                <w:szCs w:val="16"/>
                <w:color w:val="0000FF"/>
              </w:rPr>
            </w:pPr>
            <w:hyperlink r:id="rId443">
              <w:r>
                <w:rPr>
                  <w:rFonts w:ascii="Arial" w:cs="Arial" w:eastAsia="Arial" w:hAnsi="Arial"/>
                  <w:sz w:val="16"/>
                  <w:szCs w:val="16"/>
                  <w:color w:val="0000FF"/>
                </w:rPr>
                <w:t>between the registrant and Gerasimos (Jerry) Portocalis</w:t>
              </w:r>
            </w:hyperlink>
          </w:p>
        </w:tc>
        <w:tc>
          <w:tcPr>
            <w:tcW w:w="10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10.12+</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4">
              <w:r>
                <w:rPr>
                  <w:rFonts w:ascii="Arial" w:cs="Arial" w:eastAsia="Arial" w:hAnsi="Arial"/>
                  <w:sz w:val="16"/>
                  <w:szCs w:val="16"/>
                  <w:color w:val="0000FF"/>
                </w:rPr>
                <w:t>Change in Control and Severance Agreement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10.6</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8,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2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44">
              <w:r>
                <w:rPr>
                  <w:rFonts w:ascii="Arial" w:cs="Arial" w:eastAsia="Arial" w:hAnsi="Arial"/>
                  <w:sz w:val="16"/>
                  <w:szCs w:val="16"/>
                  <w:color w:val="0000FF"/>
                </w:rPr>
                <w:t>between the registrant and Andrew Gerber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ind w:left="280"/>
              <w:spacing w:after="0"/>
              <w:rPr>
                <w:sz w:val="20"/>
                <w:szCs w:val="20"/>
                <w:color w:val="auto"/>
              </w:rPr>
            </w:pPr>
            <w:r>
              <w:rPr>
                <w:rFonts w:ascii="Arial" w:cs="Arial" w:eastAsia="Arial" w:hAnsi="Arial"/>
                <w:sz w:val="16"/>
                <w:szCs w:val="16"/>
                <w:color w:val="auto"/>
              </w:rPr>
              <w:t>10.13</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5">
              <w:r>
                <w:rPr>
                  <w:rFonts w:ascii="Arial" w:cs="Arial" w:eastAsia="Arial" w:hAnsi="Arial"/>
                  <w:sz w:val="16"/>
                  <w:szCs w:val="16"/>
                  <w:color w:val="0000FF"/>
                </w:rPr>
                <w:t>Stockholders Agreement, dated as of May 24, 2021, by</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445">
              <w:r>
                <w:rPr>
                  <w:rFonts w:ascii="Arial" w:cs="Arial" w:eastAsia="Arial" w:hAnsi="Arial"/>
                  <w:sz w:val="16"/>
                  <w:szCs w:val="16"/>
                  <w:color w:val="0000FF"/>
                </w:rPr>
                <w:t>and among Paymentus Holdings, Inc. and the other</w:t>
              </w:r>
            </w:hyperlink>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445">
              <w:r>
                <w:rPr>
                  <w:rFonts w:ascii="Arial" w:cs="Arial" w:eastAsia="Arial" w:hAnsi="Arial"/>
                  <w:sz w:val="16"/>
                  <w:szCs w:val="16"/>
                  <w:color w:val="0000FF"/>
                </w:rPr>
                <w:t>signatories thereto</w:t>
              </w:r>
            </w:hyperlink>
          </w:p>
        </w:tc>
        <w:tc>
          <w:tcPr>
            <w:tcW w:w="286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6">
              <w:r>
                <w:rPr>
                  <w:rFonts w:ascii="Arial" w:cs="Arial" w:eastAsia="Arial" w:hAnsi="Arial"/>
                  <w:sz w:val="16"/>
                  <w:szCs w:val="16"/>
                  <w:color w:val="0000FF"/>
                </w:rPr>
                <w:t>2021 Equity Incentive Plan</w:t>
              </w:r>
            </w:hyperlink>
          </w:p>
        </w:tc>
        <w:tc>
          <w:tcPr>
            <w:tcW w:w="88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10.16</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7">
              <w:r>
                <w:rPr>
                  <w:rFonts w:ascii="Arial" w:cs="Arial" w:eastAsia="Arial" w:hAnsi="Arial"/>
                  <w:sz w:val="16"/>
                  <w:szCs w:val="16"/>
                  <w:color w:val="0000FF"/>
                </w:rPr>
                <w:t>Form of Stock Option Award Agreement under the 2021</w:t>
              </w:r>
            </w:hyperlink>
          </w:p>
        </w:tc>
        <w:tc>
          <w:tcPr>
            <w:tcW w:w="880" w:type="dxa"/>
            <w:vAlign w:val="bottom"/>
          </w:tcPr>
          <w:p>
            <w:pPr>
              <w:jc w:val="center"/>
              <w:ind w:left="19"/>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ind w:left="180"/>
              <w:spacing w:after="0"/>
              <w:rPr>
                <w:sz w:val="20"/>
                <w:szCs w:val="20"/>
                <w:color w:val="auto"/>
              </w:rPr>
            </w:pPr>
            <w:r>
              <w:rPr>
                <w:rFonts w:ascii="Arial" w:cs="Arial" w:eastAsia="Arial" w:hAnsi="Arial"/>
                <w:sz w:val="16"/>
                <w:szCs w:val="16"/>
                <w:color w:val="auto"/>
              </w:rPr>
              <w:t>10.17</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447">
              <w:r>
                <w:rPr>
                  <w:rFonts w:ascii="Arial" w:cs="Arial" w:eastAsia="Arial" w:hAnsi="Arial"/>
                  <w:sz w:val="16"/>
                  <w:szCs w:val="16"/>
                  <w:color w:val="0000FF"/>
                </w:rPr>
                <w:t>Equity Incentive Plan</w:t>
              </w:r>
            </w:hyperlink>
          </w:p>
        </w:tc>
        <w:tc>
          <w:tcPr>
            <w:tcW w:w="2740" w:type="dxa"/>
            <w:vAlign w:val="bottom"/>
            <w:tcBorders>
              <w:top w:val="single" w:sz="8" w:color="0000FF"/>
            </w:tcBorders>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10.16+</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8">
              <w:r>
                <w:rPr>
                  <w:rFonts w:ascii="Arial" w:cs="Arial" w:eastAsia="Arial" w:hAnsi="Arial"/>
                  <w:sz w:val="16"/>
                  <w:szCs w:val="16"/>
                  <w:color w:val="0000FF"/>
                </w:rPr>
                <w:t>Form of Restricted Stock Unit Award Agreement under</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448">
              <w:r>
                <w:rPr>
                  <w:rFonts w:ascii="Arial" w:cs="Arial" w:eastAsia="Arial" w:hAnsi="Arial"/>
                  <w:sz w:val="16"/>
                  <w:szCs w:val="16"/>
                  <w:color w:val="0000FF"/>
                </w:rPr>
                <w:t>the 2021 Equity Incentive Plan</w:t>
              </w:r>
            </w:hyperlink>
          </w:p>
        </w:tc>
        <w:tc>
          <w:tcPr>
            <w:tcW w:w="190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10.17+</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49">
              <w:r>
                <w:rPr>
                  <w:rFonts w:ascii="Arial" w:cs="Arial" w:eastAsia="Arial" w:hAnsi="Arial"/>
                  <w:sz w:val="16"/>
                  <w:szCs w:val="16"/>
                  <w:color w:val="0000FF"/>
                </w:rPr>
                <w:t>Form of Restricted Stock Unit Award Agreement for</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May 6,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6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49">
              <w:r>
                <w:rPr>
                  <w:rFonts w:ascii="Arial" w:cs="Arial" w:eastAsia="Arial" w:hAnsi="Arial"/>
                  <w:sz w:val="16"/>
                  <w:szCs w:val="16"/>
                  <w:color w:val="0000FF"/>
                </w:rPr>
                <w:t>Outside Directors under the 2021 Equity Incentive Plan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50">
              <w:r>
                <w:rPr>
                  <w:rFonts w:ascii="Arial" w:cs="Arial" w:eastAsia="Arial" w:hAnsi="Arial"/>
                  <w:sz w:val="16"/>
                  <w:szCs w:val="16"/>
                  <w:color w:val="0000FF"/>
                </w:rPr>
                <w:t>Warrant Agreement, dated as of May 13, 2021, by and</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333-255683</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80" w:type="dxa"/>
            <w:vAlign w:val="bottom"/>
          </w:tcPr>
          <w:p>
            <w:pPr>
              <w:jc w:val="center"/>
              <w:spacing w:after="0"/>
              <w:rPr>
                <w:sz w:val="20"/>
                <w:szCs w:val="20"/>
                <w:color w:val="auto"/>
              </w:rPr>
            </w:pPr>
            <w:r>
              <w:rPr>
                <w:rFonts w:ascii="Arial" w:cs="Arial" w:eastAsia="Arial" w:hAnsi="Arial"/>
                <w:sz w:val="16"/>
                <w:szCs w:val="16"/>
                <w:color w:val="auto"/>
              </w:rPr>
              <w:t>May 28, 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450">
              <w:r>
                <w:rPr>
                  <w:rFonts w:ascii="Arial" w:cs="Arial" w:eastAsia="Arial" w:hAnsi="Arial"/>
                  <w:sz w:val="16"/>
                  <w:szCs w:val="16"/>
                  <w:color w:val="0000FF"/>
                </w:rPr>
                <w:t>between the Registrant and JPMC Strategic Investments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450">
              <w:r>
                <w:rPr>
                  <w:rFonts w:ascii="Arial" w:cs="Arial" w:eastAsia="Arial" w:hAnsi="Arial"/>
                  <w:sz w:val="16"/>
                  <w:szCs w:val="16"/>
                  <w:color w:val="0000FF"/>
                </w:rPr>
                <w:t>| Corporation.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51">
              <w:r>
                <w:rPr>
                  <w:rFonts w:ascii="Arial" w:cs="Arial" w:eastAsia="Arial" w:hAnsi="Arial"/>
                  <w:sz w:val="16"/>
                  <w:szCs w:val="16"/>
                  <w:color w:val="0000FF"/>
                </w:rPr>
                <w:t>Warrant Agreement, dated as of August 29, 2022, by</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480" w:type="dxa"/>
            <w:vAlign w:val="bottom"/>
          </w:tcPr>
          <w:p>
            <w:pPr>
              <w:jc w:val="center"/>
              <w:spacing w:after="0"/>
              <w:rPr>
                <w:sz w:val="20"/>
                <w:szCs w:val="20"/>
                <w:color w:val="auto"/>
              </w:rPr>
            </w:pPr>
            <w:r>
              <w:rPr>
                <w:rFonts w:ascii="Arial" w:cs="Arial" w:eastAsia="Arial" w:hAnsi="Arial"/>
                <w:sz w:val="16"/>
                <w:szCs w:val="16"/>
                <w:color w:val="auto"/>
              </w:rPr>
              <w:t>August 30,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451">
              <w:r>
                <w:rPr>
                  <w:rFonts w:ascii="Arial" w:cs="Arial" w:eastAsia="Arial" w:hAnsi="Arial"/>
                  <w:sz w:val="16"/>
                  <w:szCs w:val="16"/>
                  <w:color w:val="0000FF"/>
                </w:rPr>
                <w:t>and  between  Paymentus  Holdings,  Inc.  and  JPMC</w:t>
              </w:r>
            </w:hyperlink>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451">
              <w:r>
                <w:rPr>
                  <w:rFonts w:ascii="Arial" w:cs="Arial" w:eastAsia="Arial" w:hAnsi="Arial"/>
                  <w:sz w:val="16"/>
                  <w:szCs w:val="16"/>
                  <w:color w:val="0000FF"/>
                </w:rPr>
                <w:t>Strategic Investments | Corporation.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24"/>
                <w:szCs w:val="24"/>
                <w:color w:val="auto"/>
              </w:rPr>
            </w:pPr>
          </w:p>
        </w:tc>
        <w:tc>
          <w:tcPr>
            <w:tcW w:w="4300" w:type="dxa"/>
            <w:vAlign w:val="bottom"/>
            <w:gridSpan w:val="28"/>
          </w:tcPr>
          <w:p>
            <w:pPr>
              <w:spacing w:after="0"/>
              <w:rPr>
                <w:rFonts w:ascii="Arial" w:cs="Arial" w:eastAsia="Arial" w:hAnsi="Arial"/>
                <w:sz w:val="16"/>
                <w:szCs w:val="16"/>
                <w:color w:val="0000FF"/>
              </w:rPr>
            </w:pPr>
            <w:hyperlink r:id="rId452">
              <w:r>
                <w:rPr>
                  <w:rFonts w:ascii="Arial" w:cs="Arial" w:eastAsia="Arial" w:hAnsi="Arial"/>
                  <w:sz w:val="16"/>
                  <w:szCs w:val="16"/>
                  <w:color w:val="0000FF"/>
                </w:rPr>
                <w:t>Paymentus Holdings, Inc. Insider Trading Policy</w:t>
              </w:r>
            </w:hyperlink>
          </w:p>
        </w:tc>
        <w:tc>
          <w:tcPr>
            <w:tcW w:w="880" w:type="dxa"/>
            <w:vAlign w:val="bottom"/>
          </w:tcPr>
          <w:p>
            <w:pPr>
              <w:jc w:val="center"/>
              <w:spacing w:after="0"/>
              <w:rPr>
                <w:sz w:val="20"/>
                <w:szCs w:val="20"/>
                <w:color w:val="auto"/>
              </w:rPr>
            </w:pPr>
            <w:r>
              <w:rPr>
                <w:rFonts w:ascii="Arial" w:cs="Arial" w:eastAsia="Arial" w:hAnsi="Arial"/>
                <w:sz w:val="16"/>
                <w:szCs w:val="16"/>
                <w:color w:val="auto"/>
              </w:rPr>
              <w:t>10-Q</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19.1</w:t>
            </w:r>
          </w:p>
        </w:tc>
        <w:tc>
          <w:tcPr>
            <w:tcW w:w="1480" w:type="dxa"/>
            <w:vAlign w:val="bottom"/>
          </w:tcPr>
          <w:p>
            <w:pPr>
              <w:jc w:val="center"/>
              <w:spacing w:after="0"/>
              <w:rPr>
                <w:sz w:val="20"/>
                <w:szCs w:val="20"/>
                <w:color w:val="auto"/>
              </w:rPr>
            </w:pPr>
            <w:r>
              <w:rPr>
                <w:rFonts w:ascii="Arial" w:cs="Arial" w:eastAsia="Arial" w:hAnsi="Arial"/>
                <w:sz w:val="16"/>
                <w:szCs w:val="16"/>
                <w:color w:val="auto"/>
              </w:rPr>
              <w:t>August 7,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r:id="rId453">
              <w:r>
                <w:rPr>
                  <w:rFonts w:ascii="Arial" w:cs="Arial" w:eastAsia="Arial" w:hAnsi="Arial"/>
                  <w:sz w:val="16"/>
                  <w:szCs w:val="16"/>
                  <w:color w:val="0000FF"/>
                </w:rPr>
                <w:t>Subsidiaries of the Registrant</w:t>
              </w:r>
            </w:hyperlink>
          </w:p>
        </w:tc>
        <w:tc>
          <w:tcPr>
            <w:tcW w:w="1320" w:type="dxa"/>
            <w:vAlign w:val="bottom"/>
            <w:tcBorders>
              <w:top w:val="single" w:sz="8" w:color="0000FF"/>
            </w:tcBorders>
            <w:gridSpan w:val="8"/>
          </w:tcPr>
          <w:p>
            <w:pPr>
              <w:spacing w:after="0"/>
              <w:rPr>
                <w:sz w:val="24"/>
                <w:szCs w:val="24"/>
                <w:color w:val="auto"/>
              </w:rPr>
            </w:pPr>
          </w:p>
        </w:tc>
        <w:tc>
          <w:tcPr>
            <w:tcW w:w="860" w:type="dxa"/>
            <w:vAlign w:val="bottom"/>
            <w:gridSpan w:val="1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10-K</w:t>
            </w:r>
          </w:p>
        </w:tc>
        <w:tc>
          <w:tcPr>
            <w:tcW w:w="1280" w:type="dxa"/>
            <w:vAlign w:val="bottom"/>
          </w:tcPr>
          <w:p>
            <w:pPr>
              <w:jc w:val="center"/>
              <w:spacing w:after="0"/>
              <w:rPr>
                <w:sz w:val="20"/>
                <w:szCs w:val="20"/>
                <w:color w:val="auto"/>
              </w:rPr>
            </w:pPr>
            <w:r>
              <w:rPr>
                <w:rFonts w:ascii="Arial" w:cs="Arial" w:eastAsia="Arial" w:hAnsi="Arial"/>
                <w:sz w:val="16"/>
                <w:szCs w:val="16"/>
                <w:color w:val="auto"/>
              </w:rPr>
              <w:t>001-40429</w:t>
            </w:r>
          </w:p>
        </w:tc>
        <w:tc>
          <w:tcPr>
            <w:tcW w:w="860" w:type="dxa"/>
            <w:vAlign w:val="bottom"/>
          </w:tcPr>
          <w:p>
            <w:pPr>
              <w:jc w:val="center"/>
              <w:spacing w:after="0"/>
              <w:rPr>
                <w:sz w:val="20"/>
                <w:szCs w:val="20"/>
                <w:color w:val="auto"/>
              </w:rPr>
            </w:pPr>
            <w:r>
              <w:rPr>
                <w:rFonts w:ascii="Arial" w:cs="Arial" w:eastAsia="Arial" w:hAnsi="Arial"/>
                <w:sz w:val="16"/>
                <w:szCs w:val="16"/>
                <w:color w:val="auto"/>
              </w:rPr>
              <w:t>21.1</w:t>
            </w:r>
          </w:p>
        </w:tc>
        <w:tc>
          <w:tcPr>
            <w:tcW w:w="1480" w:type="dxa"/>
            <w:vAlign w:val="bottom"/>
          </w:tcPr>
          <w:p>
            <w:pPr>
              <w:jc w:val="center"/>
              <w:spacing w:after="0"/>
              <w:rPr>
                <w:sz w:val="20"/>
                <w:szCs w:val="20"/>
                <w:color w:val="auto"/>
              </w:rPr>
            </w:pPr>
            <w:r>
              <w:rPr>
                <w:rFonts w:ascii="Arial" w:cs="Arial" w:eastAsia="Arial" w:hAnsi="Arial"/>
                <w:sz w:val="16"/>
                <w:szCs w:val="16"/>
                <w:color w:val="auto"/>
              </w:rPr>
              <w:t>March 3, 2023</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23.1</w:t>
            </w:r>
          </w:p>
        </w:tc>
        <w:tc>
          <w:tcPr>
            <w:tcW w:w="160" w:type="dxa"/>
            <w:vAlign w:val="bottom"/>
          </w:tcPr>
          <w:p>
            <w:pPr>
              <w:spacing w:after="0"/>
              <w:rPr>
                <w:sz w:val="24"/>
                <w:szCs w:val="24"/>
                <w:color w:val="auto"/>
              </w:rPr>
            </w:pPr>
          </w:p>
        </w:tc>
        <w:tc>
          <w:tcPr>
            <w:tcW w:w="4300" w:type="dxa"/>
            <w:vAlign w:val="bottom"/>
            <w:gridSpan w:val="28"/>
          </w:tcPr>
          <w:p>
            <w:pPr>
              <w:spacing w:after="0"/>
              <w:rPr>
                <w:sz w:val="20"/>
                <w:szCs w:val="20"/>
                <w:color w:val="auto"/>
              </w:rPr>
            </w:pPr>
            <w:r>
              <w:rPr>
                <w:rFonts w:ascii="Arial" w:cs="Arial" w:eastAsia="Arial" w:hAnsi="Arial"/>
                <w:sz w:val="16"/>
                <w:szCs w:val="16"/>
                <w:color w:val="0000FF"/>
              </w:rPr>
              <w:t>Consent of PricewaterhouseCoopers LLP, Independent</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6"/>
                <w:szCs w:val="16"/>
                <w:color w:val="0000FF"/>
              </w:rPr>
              <w:t>Registered Public Accounting Firm</w:t>
            </w: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24.1</w:t>
            </w:r>
          </w:p>
        </w:tc>
        <w:tc>
          <w:tcPr>
            <w:tcW w:w="160" w:type="dxa"/>
            <w:vAlign w:val="bottom"/>
          </w:tcPr>
          <w:p>
            <w:pPr>
              <w:spacing w:after="0"/>
              <w:rPr>
                <w:sz w:val="24"/>
                <w:szCs w:val="24"/>
                <w:color w:val="auto"/>
              </w:rPr>
            </w:pPr>
          </w:p>
        </w:tc>
        <w:tc>
          <w:tcPr>
            <w:tcW w:w="4300" w:type="dxa"/>
            <w:vAlign w:val="bottom"/>
            <w:gridSpan w:val="28"/>
          </w:tcPr>
          <w:p>
            <w:pPr>
              <w:spacing w:after="0"/>
              <w:rPr>
                <w:sz w:val="20"/>
                <w:szCs w:val="20"/>
                <w:color w:val="auto"/>
              </w:rPr>
            </w:pPr>
            <w:r>
              <w:rPr>
                <w:rFonts w:ascii="Arial" w:cs="Arial" w:eastAsia="Arial" w:hAnsi="Arial"/>
                <w:sz w:val="16"/>
                <w:szCs w:val="16"/>
                <w:color w:val="0000FF"/>
              </w:rPr>
              <w:t>Power  of  Attorney  (included  on  the  signature  page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hereto)</w:t>
            </w:r>
          </w:p>
        </w:tc>
        <w:tc>
          <w:tcPr>
            <w:tcW w:w="2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20" w:type="dxa"/>
            <w:vAlign w:val="bottom"/>
          </w:tcPr>
          <w:p>
            <w:pPr>
              <w:jc w:val="center"/>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422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gridSpan w:val="25"/>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20" w:type="dxa"/>
            <w:vAlign w:val="bottom"/>
            <w:tcBorders>
              <w:bottom w:val="single" w:sz="8" w:color="0000FF"/>
            </w:tcBorders>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1500" w:type="dxa"/>
            <w:vAlign w:val="bottom"/>
            <w:gridSpan w:val="17"/>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22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40" w:type="dxa"/>
            <w:vAlign w:val="bottom"/>
            <w:gridSpan w:val="25"/>
          </w:tcPr>
          <w:p>
            <w:pPr>
              <w:spacing w:after="0" w:line="169" w:lineRule="exact"/>
              <w:rPr>
                <w:sz w:val="20"/>
                <w:szCs w:val="20"/>
                <w:color w:val="auto"/>
              </w:rPr>
            </w:pPr>
            <w:r>
              <w:rPr>
                <w:rFonts w:ascii="Arial" w:cs="Arial" w:eastAsia="Arial" w:hAnsi="Arial"/>
                <w:sz w:val="16"/>
                <w:szCs w:val="16"/>
                <w:color w:val="0000FF"/>
              </w:rPr>
              <w:t>Rules  13a-14(a)  and  15d-14(a)  under  the  Securities</w:t>
            </w: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bottom w:val="single" w:sz="8" w:color="0000FF"/>
            </w:tcBorders>
            <w:gridSpan w:val="27"/>
          </w:tcPr>
          <w:p>
            <w:pPr>
              <w:spacing w:after="0" w:line="169" w:lineRule="exact"/>
              <w:rPr>
                <w:sz w:val="20"/>
                <w:szCs w:val="20"/>
                <w:color w:val="auto"/>
              </w:rPr>
            </w:pPr>
            <w:r>
              <w:rPr>
                <w:rFonts w:ascii="Arial" w:cs="Arial" w:eastAsia="Arial" w:hAnsi="Arial"/>
                <w:sz w:val="16"/>
                <w:szCs w:val="16"/>
                <w:color w:val="0000FF"/>
              </w:rPr>
              <w:t>Exchange Act of 1934, as Adopted Pursuant to Section</w:t>
            </w:r>
          </w:p>
        </w:tc>
        <w:tc>
          <w:tcPr>
            <w:tcW w:w="20" w:type="dxa"/>
            <w:vAlign w:val="bottom"/>
            <w:tcBorders>
              <w:bottom w:val="single" w:sz="8" w:color="0000FF"/>
            </w:tcBorders>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302 of the Sarbanes-Oxley Act of 2002</w:t>
            </w:r>
          </w:p>
        </w:tc>
        <w:tc>
          <w:tcPr>
            <w:tcW w:w="1500" w:type="dxa"/>
            <w:vAlign w:val="bottom"/>
            <w:gridSpan w:val="17"/>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3"/>
        </w:trPr>
        <w:tc>
          <w:tcPr>
            <w:tcW w:w="12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Exhibit</w:t>
            </w:r>
          </w:p>
        </w:tc>
        <w:tc>
          <w:tcPr>
            <w:tcW w:w="1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Incorporated by Reference</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w:t>
            </w:r>
          </w:p>
        </w:tc>
        <w:tc>
          <w:tcPr>
            <w:tcW w:w="0" w:type="dxa"/>
            <w:vAlign w:val="bottom"/>
          </w:tcPr>
          <w:p>
            <w:pPr>
              <w:spacing w:after="0"/>
              <w:rPr>
                <w:sz w:val="1"/>
                <w:szCs w:val="1"/>
                <w:color w:val="auto"/>
              </w:rPr>
            </w:pPr>
          </w:p>
        </w:tc>
      </w:tr>
      <w:tr>
        <w:trPr>
          <w:trHeight w:val="168"/>
        </w:trPr>
        <w:tc>
          <w:tcPr>
            <w:tcW w:w="12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rPr>
              <w:t>Number</w:t>
            </w: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Description</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Filing 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56"/>
        </w:trPr>
        <w:tc>
          <w:tcPr>
            <w:tcW w:w="1200" w:type="dxa"/>
            <w:vAlign w:val="bottom"/>
          </w:tcPr>
          <w:p>
            <w:pPr>
              <w:jc w:val="center"/>
              <w:ind w:right="59"/>
              <w:spacing w:after="0" w:line="155" w:lineRule="exact"/>
              <w:rPr>
                <w:sz w:val="20"/>
                <w:szCs w:val="20"/>
                <w:color w:val="auto"/>
              </w:rPr>
            </w:pPr>
            <w:r>
              <w:rPr>
                <w:rFonts w:ascii="Arial" w:cs="Arial" w:eastAsia="Arial" w:hAnsi="Arial"/>
                <w:sz w:val="16"/>
                <w:szCs w:val="16"/>
                <w:color w:val="auto"/>
              </w:rPr>
              <w:t>32.1*</w:t>
            </w:r>
          </w:p>
        </w:tc>
        <w:tc>
          <w:tcPr>
            <w:tcW w:w="4220" w:type="dxa"/>
            <w:vAlign w:val="bottom"/>
            <w:gridSpan w:val="6"/>
          </w:tcPr>
          <w:p>
            <w:pPr>
              <w:spacing w:after="0" w:line="155" w:lineRule="exact"/>
              <w:rPr>
                <w:sz w:val="20"/>
                <w:szCs w:val="20"/>
                <w:color w:val="auto"/>
              </w:rPr>
            </w:pPr>
            <w:r>
              <w:rPr>
                <w:rFonts w:ascii="Arial" w:cs="Arial" w:eastAsia="Arial" w:hAnsi="Arial"/>
                <w:sz w:val="16"/>
                <w:szCs w:val="16"/>
                <w:color w:val="0000FF"/>
              </w:rPr>
              <w:t>Certification of Principal Executive Officer Pursuant to 18</w:t>
            </w: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1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080" w:type="dxa"/>
            <w:vAlign w:val="bottom"/>
            <w:gridSpan w:val="3"/>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jc w:val="center"/>
              <w:ind w:right="59"/>
              <w:spacing w:after="0"/>
              <w:rPr>
                <w:sz w:val="20"/>
                <w:szCs w:val="20"/>
                <w:color w:val="auto"/>
              </w:rPr>
            </w:pPr>
            <w:r>
              <w:rPr>
                <w:rFonts w:ascii="Arial" w:cs="Arial" w:eastAsia="Arial" w:hAnsi="Arial"/>
                <w:sz w:val="16"/>
                <w:szCs w:val="16"/>
                <w:color w:val="auto"/>
              </w:rPr>
              <w:t>32.2*</w:t>
            </w:r>
          </w:p>
        </w:tc>
        <w:tc>
          <w:tcPr>
            <w:tcW w:w="4220" w:type="dxa"/>
            <w:vAlign w:val="bottom"/>
            <w:gridSpan w:val="6"/>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100" w:type="dxa"/>
            <w:vAlign w:val="bottom"/>
            <w:gridSpan w:val="4"/>
          </w:tcPr>
          <w:p>
            <w:pPr>
              <w:spacing w:after="0" w:line="169" w:lineRule="exact"/>
              <w:rPr>
                <w:sz w:val="20"/>
                <w:szCs w:val="20"/>
                <w:color w:val="auto"/>
              </w:rPr>
            </w:pPr>
            <w:r>
              <w:rPr>
                <w:rFonts w:ascii="Arial" w:cs="Arial" w:eastAsia="Arial" w:hAnsi="Arial"/>
                <w:sz w:val="16"/>
                <w:szCs w:val="16"/>
                <w:color w:val="0000FF"/>
              </w:rPr>
              <w:t>U.S.C. Section 1350, as Adopted Pursuant to Section</w:t>
            </w: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080" w:type="dxa"/>
            <w:vAlign w:val="bottom"/>
            <w:gridSpan w:val="3"/>
          </w:tcPr>
          <w:p>
            <w:pPr>
              <w:spacing w:after="0" w:line="169" w:lineRule="exact"/>
              <w:rPr>
                <w:sz w:val="20"/>
                <w:szCs w:val="20"/>
                <w:color w:val="auto"/>
              </w:rPr>
            </w:pPr>
            <w:r>
              <w:rPr>
                <w:rFonts w:ascii="Arial" w:cs="Arial" w:eastAsia="Arial" w:hAnsi="Arial"/>
                <w:sz w:val="16"/>
                <w:szCs w:val="16"/>
                <w:color w:val="0000FF"/>
              </w:rPr>
              <w:t>906 of the Sarbanes-Oxley Act of 2002</w:t>
            </w:r>
          </w:p>
        </w:tc>
        <w:tc>
          <w:tcPr>
            <w:tcW w:w="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jc w:val="center"/>
              <w:ind w:right="59"/>
              <w:spacing w:after="0"/>
              <w:rPr>
                <w:sz w:val="20"/>
                <w:szCs w:val="20"/>
                <w:color w:val="auto"/>
              </w:rPr>
            </w:pPr>
            <w:r>
              <w:rPr>
                <w:rFonts w:ascii="Arial" w:cs="Arial" w:eastAsia="Arial" w:hAnsi="Arial"/>
                <w:sz w:val="16"/>
                <w:szCs w:val="16"/>
                <w:color w:val="auto"/>
                <w:w w:val="96"/>
              </w:rPr>
              <w:t>97.1</w:t>
            </w:r>
          </w:p>
        </w:tc>
        <w:tc>
          <w:tcPr>
            <w:tcW w:w="4220" w:type="dxa"/>
            <w:vAlign w:val="bottom"/>
            <w:gridSpan w:val="6"/>
          </w:tcPr>
          <w:p>
            <w:pPr>
              <w:spacing w:after="0"/>
              <w:rPr>
                <w:rFonts w:ascii="Arial" w:cs="Arial" w:eastAsia="Arial" w:hAnsi="Arial"/>
                <w:sz w:val="16"/>
                <w:szCs w:val="16"/>
                <w:color w:val="0000FF"/>
              </w:rPr>
            </w:pPr>
            <w:hyperlink r:id="rId455">
              <w:r>
                <w:rPr>
                  <w:rFonts w:ascii="Arial" w:cs="Arial" w:eastAsia="Arial" w:hAnsi="Arial"/>
                  <w:sz w:val="16"/>
                  <w:szCs w:val="16"/>
                  <w:color w:val="0000FF"/>
                </w:rPr>
                <w:t>Policy  for  the  Recovery  of  Erroneously  Awarded</w:t>
              </w:r>
            </w:hyperlink>
          </w:p>
        </w:tc>
        <w:tc>
          <w:tcPr>
            <w:tcW w:w="980" w:type="dxa"/>
            <w:vAlign w:val="bottom"/>
          </w:tcPr>
          <w:p>
            <w:pPr>
              <w:jc w:val="center"/>
              <w:spacing w:after="0"/>
              <w:rPr>
                <w:sz w:val="20"/>
                <w:szCs w:val="20"/>
                <w:color w:val="auto"/>
              </w:rPr>
            </w:pPr>
            <w:r>
              <w:rPr>
                <w:rFonts w:ascii="Arial" w:cs="Arial" w:eastAsia="Arial" w:hAnsi="Arial"/>
                <w:sz w:val="16"/>
                <w:szCs w:val="16"/>
                <w:color w:val="auto"/>
              </w:rPr>
              <w:t>10-K</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001-40429</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97.1</w:t>
            </w:r>
          </w:p>
        </w:tc>
        <w:tc>
          <w:tcPr>
            <w:tcW w:w="1460" w:type="dxa"/>
            <w:vAlign w:val="bottom"/>
          </w:tcPr>
          <w:p>
            <w:pPr>
              <w:jc w:val="center"/>
              <w:spacing w:after="0"/>
              <w:rPr>
                <w:sz w:val="20"/>
                <w:szCs w:val="20"/>
                <w:color w:val="auto"/>
              </w:rPr>
            </w:pPr>
            <w:r>
              <w:rPr>
                <w:rFonts w:ascii="Arial" w:cs="Arial" w:eastAsia="Arial" w:hAnsi="Arial"/>
                <w:sz w:val="16"/>
                <w:szCs w:val="16"/>
                <w:color w:val="auto"/>
              </w:rPr>
              <w:t>March 5, 2024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100" w:type="dxa"/>
            <w:vAlign w:val="bottom"/>
            <w:gridSpan w:val="4"/>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4120" w:type="dxa"/>
            <w:vAlign w:val="bottom"/>
            <w:gridSpan w:val="5"/>
          </w:tcPr>
          <w:p>
            <w:pPr>
              <w:spacing w:after="0" w:line="169" w:lineRule="exact"/>
              <w:rPr>
                <w:rFonts w:ascii="Arial" w:cs="Arial" w:eastAsia="Arial" w:hAnsi="Arial"/>
                <w:sz w:val="16"/>
                <w:szCs w:val="16"/>
                <w:color w:val="0000FF"/>
              </w:rPr>
            </w:pPr>
            <w:hyperlink r:id="rId455">
              <w:r>
                <w:rPr>
                  <w:rFonts w:ascii="Arial" w:cs="Arial" w:eastAsia="Arial" w:hAnsi="Arial"/>
                  <w:sz w:val="16"/>
                  <w:szCs w:val="16"/>
                  <w:color w:val="0000FF"/>
                </w:rPr>
                <w:t>Compensation</w:t>
              </w:r>
            </w:hyperlink>
          </w:p>
        </w:tc>
        <w:tc>
          <w:tcPr>
            <w:tcW w:w="1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200" w:type="dxa"/>
            <w:vAlign w:val="bottom"/>
          </w:tcPr>
          <w:p>
            <w:pPr>
              <w:jc w:val="center"/>
              <w:ind w:right="59"/>
              <w:spacing w:after="0"/>
              <w:rPr>
                <w:sz w:val="20"/>
                <w:szCs w:val="20"/>
                <w:color w:val="auto"/>
              </w:rPr>
            </w:pPr>
            <w:r>
              <w:rPr>
                <w:rFonts w:ascii="Arial" w:cs="Arial" w:eastAsia="Arial" w:hAnsi="Arial"/>
                <w:sz w:val="16"/>
                <w:szCs w:val="16"/>
                <w:color w:val="auto"/>
              </w:rPr>
              <w:t>101.SCH</w:t>
            </w:r>
          </w:p>
        </w:tc>
        <w:tc>
          <w:tcPr>
            <w:tcW w:w="422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 Document</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52"/>
        </w:trPr>
        <w:tc>
          <w:tcPr>
            <w:tcW w:w="1200" w:type="dxa"/>
            <w:vAlign w:val="bottom"/>
          </w:tcPr>
          <w:p>
            <w:pPr>
              <w:jc w:val="center"/>
              <w:ind w:right="59"/>
              <w:spacing w:after="0"/>
              <w:rPr>
                <w:sz w:val="20"/>
                <w:szCs w:val="20"/>
                <w:color w:val="auto"/>
              </w:rPr>
            </w:pPr>
            <w:r>
              <w:rPr>
                <w:rFonts w:ascii="Arial" w:cs="Arial" w:eastAsia="Arial" w:hAnsi="Arial"/>
                <w:sz w:val="16"/>
                <w:szCs w:val="16"/>
                <w:color w:val="auto"/>
                <w:w w:val="99"/>
              </w:rPr>
              <w:t>101.CAL</w:t>
            </w:r>
          </w:p>
        </w:tc>
        <w:tc>
          <w:tcPr>
            <w:tcW w:w="422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200" w:type="dxa"/>
            <w:vAlign w:val="bottom"/>
          </w:tcPr>
          <w:p>
            <w:pPr>
              <w:jc w:val="center"/>
              <w:ind w:right="79"/>
              <w:spacing w:after="0"/>
              <w:rPr>
                <w:sz w:val="20"/>
                <w:szCs w:val="20"/>
                <w:color w:val="auto"/>
              </w:rPr>
            </w:pPr>
            <w:r>
              <w:rPr>
                <w:rFonts w:ascii="Arial" w:cs="Arial" w:eastAsia="Arial" w:hAnsi="Arial"/>
                <w:sz w:val="16"/>
                <w:szCs w:val="16"/>
                <w:color w:val="auto"/>
              </w:rPr>
              <w:t>101.DEF</w:t>
            </w:r>
          </w:p>
        </w:tc>
        <w:tc>
          <w:tcPr>
            <w:tcW w:w="422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200" w:type="dxa"/>
            <w:vAlign w:val="bottom"/>
          </w:tcPr>
          <w:p>
            <w:pPr>
              <w:jc w:val="center"/>
              <w:ind w:right="59"/>
              <w:spacing w:after="0"/>
              <w:rPr>
                <w:sz w:val="20"/>
                <w:szCs w:val="20"/>
                <w:color w:val="auto"/>
              </w:rPr>
            </w:pPr>
            <w:r>
              <w:rPr>
                <w:rFonts w:ascii="Arial" w:cs="Arial" w:eastAsia="Arial" w:hAnsi="Arial"/>
                <w:sz w:val="16"/>
                <w:szCs w:val="16"/>
                <w:color w:val="auto"/>
              </w:rPr>
              <w:t>101.LAB</w:t>
            </w:r>
          </w:p>
        </w:tc>
        <w:tc>
          <w:tcPr>
            <w:tcW w:w="4220" w:type="dxa"/>
            <w:vAlign w:val="bottom"/>
            <w:gridSpan w:val="6"/>
          </w:tcPr>
          <w:p>
            <w:pPr>
              <w:spacing w:after="0"/>
              <w:rPr>
                <w:sz w:val="20"/>
                <w:szCs w:val="20"/>
                <w:color w:val="auto"/>
              </w:rPr>
            </w:pPr>
            <w:r>
              <w:rPr>
                <w:rFonts w:ascii="Arial" w:cs="Arial" w:eastAsia="Arial" w:hAnsi="Arial"/>
                <w:sz w:val="16"/>
                <w:szCs w:val="16"/>
                <w:color w:val="auto"/>
              </w:rPr>
              <w:t>Inline  XBRL  Taxonomy  Extension  Label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200" w:type="dxa"/>
            <w:vAlign w:val="bottom"/>
          </w:tcPr>
          <w:p>
            <w:pPr>
              <w:jc w:val="center"/>
              <w:ind w:right="59"/>
              <w:spacing w:after="0"/>
              <w:rPr>
                <w:sz w:val="20"/>
                <w:szCs w:val="20"/>
                <w:color w:val="auto"/>
              </w:rPr>
            </w:pPr>
            <w:r>
              <w:rPr>
                <w:rFonts w:ascii="Arial" w:cs="Arial" w:eastAsia="Arial" w:hAnsi="Arial"/>
                <w:sz w:val="16"/>
                <w:szCs w:val="16"/>
                <w:color w:val="auto"/>
              </w:rPr>
              <w:t>101.PRE</w:t>
            </w:r>
          </w:p>
        </w:tc>
        <w:tc>
          <w:tcPr>
            <w:tcW w:w="422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auto"/>
              </w:rPr>
              <w:t>Document</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1200" w:type="dxa"/>
            <w:vAlign w:val="bottom"/>
          </w:tcPr>
          <w:p>
            <w:pPr>
              <w:jc w:val="center"/>
              <w:ind w:right="59"/>
              <w:spacing w:after="0"/>
              <w:rPr>
                <w:sz w:val="20"/>
                <w:szCs w:val="20"/>
                <w:color w:val="auto"/>
              </w:rPr>
            </w:pPr>
            <w:r>
              <w:rPr>
                <w:rFonts w:ascii="Arial" w:cs="Arial" w:eastAsia="Arial" w:hAnsi="Arial"/>
                <w:sz w:val="16"/>
                <w:szCs w:val="16"/>
                <w:color w:val="auto"/>
                <w:w w:val="97"/>
              </w:rPr>
              <w:t>104</w:t>
            </w:r>
          </w:p>
        </w:tc>
        <w:tc>
          <w:tcPr>
            <w:tcW w:w="4220" w:type="dxa"/>
            <w:vAlign w:val="bottom"/>
            <w:gridSpan w:val="6"/>
          </w:tcPr>
          <w:p>
            <w:pPr>
              <w:spacing w:after="0"/>
              <w:rPr>
                <w:sz w:val="20"/>
                <w:szCs w:val="20"/>
                <w:color w:val="auto"/>
              </w:rPr>
            </w:pPr>
            <w:r>
              <w:rPr>
                <w:rFonts w:ascii="Arial" w:cs="Arial" w:eastAsia="Arial" w:hAnsi="Arial"/>
                <w:sz w:val="16"/>
                <w:szCs w:val="16"/>
                <w:color w:val="auto"/>
              </w:rPr>
              <w:t>Cover Page Interactive Data File (formatted as Inline</w:t>
            </w: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20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Arial" w:cs="Arial" w:eastAsia="Arial" w:hAnsi="Arial"/>
                <w:sz w:val="16"/>
                <w:szCs w:val="16"/>
                <w:color w:val="auto"/>
              </w:rPr>
              <w:t>XBRL and contained in Exhibit 101)</w:t>
            </w: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Where applicable, schedules and exhibits have been omitted pursuant to Item 601(a)(5) of Regulation S-K. The registrant agrees to furnish supplementally a copy of any omitted schedule or exhibit to the U.S. Securities and Exchange Commission upon request.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+Indicates a management contract or compensatory plan or arrangement.</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certifications attached as Exhibit 32.1 and 32.2 that accompany this report are not deemed filed with the Securities and Exchange Commission and are not to be incorporated by reference into any filing of Paymentus Holdings, Inc. under the Securities Act or the Securities Exchange Act of 1934, as amended, whether made before or after the date of this report, irrespective of any general incorporation language contained in such filing.</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48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7486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748665" cy="8255"/>
                    </a:xfrm>
                    <a:prstGeom prst="rect">
                      <a:avLst/>
                    </a:prstGeom>
                    <a:noFill/>
                  </pic:spPr>
                </pic:pic>
              </a:graphicData>
            </a:graphic>
          </wp:anchor>
        </w:drawing>
      </w:r>
    </w:p>
    <w:p>
      <w:pPr>
        <w:spacing w:after="0" w:line="19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8890</wp:posOffset>
            </wp:positionV>
            <wp:extent cx="35401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92"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March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8890</wp:posOffset>
            </wp:positionV>
            <wp:extent cx="326580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Dushyant Sharma</w:t>
      </w:r>
    </w:p>
    <w:p>
      <w:pPr>
        <w:ind w:left="6120"/>
        <w:spacing w:after="0"/>
        <w:rPr>
          <w:sz w:val="20"/>
          <w:szCs w:val="20"/>
          <w:color w:val="auto"/>
        </w:rPr>
      </w:pPr>
      <w:r>
        <w:rPr>
          <w:rFonts w:ascii="Arial" w:cs="Arial" w:eastAsia="Arial" w:hAnsi="Arial"/>
          <w:sz w:val="18"/>
          <w:szCs w:val="18"/>
          <w:color w:val="auto"/>
        </w:rPr>
        <w:t>Chairman, President and Chief Executive Officer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Each person whose signature appears below hereby severally constitutes and appoints each of Dushyant Sharma, Sanjay Kalra and Andrew A. Gerber as his true and lawful attorney-in-fact and agent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each said attorney-in-fact and agent or his substitute or substitutes may lawfully do or cause to be done by virtue hereof.</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 w:type="dxa"/>
            <w:vAlign w:val="bottom"/>
          </w:tcPr>
          <w:p>
            <w:pPr>
              <w:spacing w:after="0"/>
              <w:rPr>
                <w:sz w:val="19"/>
                <w:szCs w:val="19"/>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800" w:type="dxa"/>
            <w:vAlign w:val="bottom"/>
            <w:tcBorders>
              <w:bottom w:val="single" w:sz="8" w:color="auto"/>
            </w:tcBorders>
          </w:tcPr>
          <w:p>
            <w:pPr>
              <w:jc w:val="right"/>
              <w:ind w:right="4330"/>
              <w:spacing w:after="0"/>
              <w:rPr>
                <w:sz w:val="20"/>
                <w:szCs w:val="20"/>
                <w:color w:val="auto"/>
              </w:rPr>
            </w:pPr>
            <w:r>
              <w:rPr>
                <w:rFonts w:ascii="Arial" w:cs="Arial" w:eastAsia="Arial" w:hAnsi="Arial"/>
                <w:sz w:val="18"/>
                <w:szCs w:val="18"/>
                <w:b w:val="1"/>
                <w:bCs w:val="1"/>
                <w:color w:val="auto"/>
                <w:w w:val="97"/>
              </w:rPr>
              <w:t>Title</w:t>
            </w:r>
          </w:p>
        </w:tc>
        <w:tc>
          <w:tcPr>
            <w:tcW w:w="2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Date</w:t>
            </w:r>
          </w:p>
        </w:tc>
        <w:tc>
          <w:tcPr>
            <w:tcW w:w="60" w:type="dxa"/>
            <w:vAlign w:val="bottom"/>
          </w:tcPr>
          <w:p>
            <w:pPr>
              <w:spacing w:after="0"/>
              <w:rPr>
                <w:sz w:val="19"/>
                <w:szCs w:val="19"/>
                <w:color w:val="auto"/>
              </w:rPr>
            </w:pPr>
          </w:p>
        </w:tc>
      </w:tr>
      <w:tr>
        <w:trPr>
          <w:trHeight w:val="196"/>
        </w:trPr>
        <w:tc>
          <w:tcPr>
            <w:tcW w:w="80" w:type="dxa"/>
            <w:vAlign w:val="bottom"/>
          </w:tcPr>
          <w:p>
            <w:pPr>
              <w:spacing w:after="0"/>
              <w:rPr>
                <w:sz w:val="17"/>
                <w:szCs w:val="17"/>
                <w:color w:val="auto"/>
              </w:rPr>
            </w:pPr>
          </w:p>
        </w:tc>
        <w:tc>
          <w:tcPr>
            <w:tcW w:w="3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/s/Dushyant Sharma</w:t>
            </w:r>
          </w:p>
        </w:tc>
        <w:tc>
          <w:tcPr>
            <w:tcW w:w="4800" w:type="dxa"/>
            <w:vAlign w:val="bottom"/>
          </w:tcPr>
          <w:p>
            <w:pPr>
              <w:jc w:val="center"/>
              <w:ind w:left="150"/>
              <w:spacing w:after="0" w:line="196" w:lineRule="exact"/>
              <w:rPr>
                <w:sz w:val="20"/>
                <w:szCs w:val="20"/>
                <w:color w:val="auto"/>
              </w:rPr>
            </w:pPr>
            <w:r>
              <w:rPr>
                <w:rFonts w:ascii="Arial" w:cs="Arial" w:eastAsia="Arial" w:hAnsi="Arial"/>
                <w:sz w:val="18"/>
                <w:szCs w:val="18"/>
                <w:color w:val="auto"/>
                <w:w w:val="99"/>
              </w:rPr>
              <w:t>Chairman, President, and Chief Executive Officer</w:t>
            </w:r>
          </w:p>
        </w:tc>
        <w:tc>
          <w:tcPr>
            <w:tcW w:w="2380" w:type="dxa"/>
            <w:vAlign w:val="bottom"/>
          </w:tcPr>
          <w:p>
            <w:pPr>
              <w:ind w:left="280"/>
              <w:spacing w:after="0" w:line="196" w:lineRule="exact"/>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17"/>
                <w:szCs w:val="17"/>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Dushyant Sharma</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9"/>
              </w:rPr>
              <w:t>(Principal Executive Officer)</w:t>
            </w: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/s/Sanjay Kalra</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9"/>
              </w:rPr>
              <w:t>Senior Vice President and Chief Financial Officer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Sanjay Kalra</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9"/>
              </w:rPr>
              <w:t>(Principal Financial Officer and Accounting Officer)</w:t>
            </w: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Jody Davids</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Jody Davids</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Ingram</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William Ingram</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Klein</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Jason Klein</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Malinowski</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Adam Malinowski</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Arun Oberoi</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Arun Oberoi</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Palumbo</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Robert Palumbo</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Trainor</w:t>
            </w:r>
          </w:p>
        </w:tc>
        <w:tc>
          <w:tcPr>
            <w:tcW w:w="4800" w:type="dxa"/>
            <w:vAlign w:val="bottom"/>
          </w:tcPr>
          <w:p>
            <w:pPr>
              <w:jc w:val="center"/>
              <w:ind w:left="170"/>
              <w:spacing w:after="0"/>
              <w:rPr>
                <w:sz w:val="20"/>
                <w:szCs w:val="20"/>
                <w:color w:val="auto"/>
              </w:rPr>
            </w:pPr>
            <w:r>
              <w:rPr>
                <w:rFonts w:ascii="Arial" w:cs="Arial" w:eastAsia="Arial" w:hAnsi="Arial"/>
                <w:sz w:val="18"/>
                <w:szCs w:val="18"/>
                <w:color w:val="auto"/>
                <w:w w:val="98"/>
              </w:rPr>
              <w:t>Director</w:t>
            </w:r>
          </w:p>
        </w:tc>
        <w:tc>
          <w:tcPr>
            <w:tcW w:w="2380" w:type="dxa"/>
            <w:vAlign w:val="bottom"/>
          </w:tcPr>
          <w:p>
            <w:pPr>
              <w:ind w:left="280"/>
              <w:spacing w:after="0"/>
              <w:rPr>
                <w:sz w:val="20"/>
                <w:szCs w:val="20"/>
                <w:color w:val="auto"/>
              </w:rPr>
            </w:pPr>
            <w:r>
              <w:rPr>
                <w:rFonts w:ascii="Arial" w:cs="Arial" w:eastAsia="Arial" w:hAnsi="Arial"/>
                <w:sz w:val="18"/>
                <w:szCs w:val="18"/>
                <w:color w:val="auto"/>
              </w:rPr>
              <w:t>March 10, 2025</w:t>
            </w:r>
          </w:p>
        </w:tc>
        <w:tc>
          <w:tcPr>
            <w:tcW w:w="60" w:type="dxa"/>
            <w:vAlign w:val="bottom"/>
          </w:tcPr>
          <w:p>
            <w:pPr>
              <w:spacing w:after="0"/>
              <w:rPr>
                <w:sz w:val="24"/>
                <w:szCs w:val="24"/>
                <w:color w:val="auto"/>
              </w:rPr>
            </w:pPr>
          </w:p>
        </w:tc>
      </w:tr>
      <w:tr>
        <w:trPr>
          <w:trHeight w:val="232"/>
        </w:trPr>
        <w:tc>
          <w:tcPr>
            <w:tcW w:w="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Gary Trainor</w:t>
            </w:r>
          </w:p>
        </w:tc>
        <w:tc>
          <w:tcPr>
            <w:tcW w:w="4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97"/>
        </w:trPr>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00" w:type="dxa"/>
            <w:vAlign w:val="bottom"/>
          </w:tcPr>
          <w:p>
            <w:pPr>
              <w:jc w:val="right"/>
              <w:ind w:right="2930"/>
              <w:spacing w:after="0"/>
              <w:rPr>
                <w:sz w:val="20"/>
                <w:szCs w:val="20"/>
                <w:color w:val="auto"/>
              </w:rPr>
            </w:pPr>
            <w:r>
              <w:rPr>
                <w:rFonts w:ascii="Arial" w:cs="Arial" w:eastAsia="Arial" w:hAnsi="Arial"/>
                <w:sz w:val="18"/>
                <w:szCs w:val="18"/>
                <w:color w:val="auto"/>
              </w:rPr>
              <w:t>106</w:t>
            </w: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6"/>
        </w:trPr>
        <w:tc>
          <w:tcPr>
            <w:tcW w:w="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333-256505, 333-263274, 333-270283 and 333-277669) of Paymentus Holdings, Inc. of our report dated March 10, 2025, relating to the financial statements, which appears in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6482715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ind w:left="10200"/>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Dushyant Sharma, certify that:</w:t>
      </w:r>
    </w:p>
    <w:p>
      <w:pPr>
        <w:spacing w:after="0" w:line="212"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Paymentus Holdings, Inc.;</w:t>
      </w:r>
    </w:p>
    <w:p>
      <w:pPr>
        <w:spacing w:after="0" w:line="211" w:lineRule="exact"/>
        <w:rPr>
          <w:rFonts w:ascii="Arial" w:cs="Arial" w:eastAsia="Arial" w:hAnsi="Arial"/>
          <w:sz w:val="18"/>
          <w:szCs w:val="18"/>
          <w:color w:val="auto"/>
        </w:rPr>
      </w:pPr>
    </w:p>
    <w:p>
      <w:pPr>
        <w:ind w:left="380" w:hanging="372"/>
        <w:spacing w:after="0" w:line="253"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380" w:right="80" w:hanging="372"/>
        <w:spacing w:after="0" w:line="271"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380" w:right="60" w:hanging="372"/>
        <w:spacing w:after="0" w:line="245"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8"/>
          <w:szCs w:val="18"/>
          <w:color w:val="auto"/>
        </w:rPr>
      </w:pPr>
    </w:p>
    <w:p>
      <w:pPr>
        <w:jc w:val="both"/>
        <w:ind w:left="1060" w:right="280" w:hanging="628"/>
        <w:spacing w:after="0" w:line="253" w:lineRule="auto"/>
        <w:tabs>
          <w:tab w:leader="none" w:pos="1006" w:val="left"/>
        </w:tabs>
        <w:numPr>
          <w:ilvl w:val="2"/>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60" w:right="220" w:hanging="678"/>
        <w:spacing w:after="0" w:line="253" w:lineRule="auto"/>
        <w:tabs>
          <w:tab w:leader="none" w:pos="105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8"/>
          <w:szCs w:val="18"/>
          <w:color w:val="auto"/>
        </w:rPr>
      </w:pPr>
    </w:p>
    <w:p>
      <w:pPr>
        <w:jc w:val="both"/>
        <w:ind w:left="1060" w:right="160" w:hanging="678"/>
        <w:spacing w:after="0" w:line="253" w:lineRule="auto"/>
        <w:tabs>
          <w:tab w:leader="none" w:pos="10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8"/>
          <w:szCs w:val="18"/>
          <w:color w:val="auto"/>
        </w:rPr>
      </w:pPr>
    </w:p>
    <w:p>
      <w:pPr>
        <w:ind w:left="1060" w:right="80" w:hanging="678"/>
        <w:spacing w:after="0" w:line="253" w:lineRule="auto"/>
        <w:tabs>
          <w:tab w:leader="none" w:pos="786"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380" w:right="60" w:hanging="372"/>
        <w:spacing w:after="0" w:line="253"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1060" w:right="120" w:hanging="678"/>
        <w:spacing w:after="0" w:line="301" w:lineRule="auto"/>
        <w:tabs>
          <w:tab w:leader="none" w:pos="786"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60" w:right="340" w:hanging="678"/>
        <w:spacing w:after="0" w:line="271" w:lineRule="auto"/>
        <w:tabs>
          <w:tab w:leader="none" w:pos="78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ind w:left="20"/>
        <w:spacing w:after="0"/>
        <w:tabs>
          <w:tab w:leader="none" w:pos="5640" w:val="left"/>
          <w:tab w:leader="none" w:pos="7740" w:val="left"/>
        </w:tabs>
        <w:rPr>
          <w:sz w:val="20"/>
          <w:szCs w:val="20"/>
          <w:color w:val="auto"/>
        </w:rPr>
      </w:pPr>
      <w:r>
        <w:rPr>
          <w:rFonts w:ascii="Arial" w:cs="Arial" w:eastAsia="Arial" w:hAnsi="Arial"/>
          <w:sz w:val="18"/>
          <w:szCs w:val="18"/>
          <w:color w:val="auto"/>
        </w:rPr>
        <w:t>Date: March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Dushyant Sharma</w:t>
      </w:r>
    </w:p>
    <w:p>
      <w:pPr>
        <w:jc w:val="center"/>
        <w:ind w:left="6000"/>
        <w:spacing w:after="0" w:line="234" w:lineRule="auto"/>
        <w:rPr>
          <w:sz w:val="20"/>
          <w:szCs w:val="20"/>
          <w:color w:val="auto"/>
        </w:rPr>
      </w:pPr>
      <w:r>
        <w:rPr>
          <w:rFonts w:ascii="Arial" w:cs="Arial" w:eastAsia="Arial" w:hAnsi="Arial"/>
          <w:sz w:val="18"/>
          <w:szCs w:val="18"/>
          <w:b w:val="1"/>
          <w:bCs w:val="1"/>
          <w:color w:val="auto"/>
        </w:rPr>
        <w:t>Chairman, President and,</w:t>
      </w:r>
    </w:p>
    <w:p>
      <w:pPr>
        <w:jc w:val="center"/>
        <w:ind w:left="6000"/>
        <w:spacing w:after="0" w:line="235"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9" w:name="page110"/>
    <w:bookmarkEnd w:id="109"/>
    <w:p>
      <w:pPr>
        <w:ind w:left="10200"/>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Sanjay Kalra, certify that:</w:t>
      </w:r>
    </w:p>
    <w:p>
      <w:pPr>
        <w:spacing w:after="0" w:line="212"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Paymentus Holdings, Inc.;</w:t>
      </w:r>
    </w:p>
    <w:p>
      <w:pPr>
        <w:spacing w:after="0" w:line="211" w:lineRule="exact"/>
        <w:rPr>
          <w:rFonts w:ascii="Arial" w:cs="Arial" w:eastAsia="Arial" w:hAnsi="Arial"/>
          <w:sz w:val="18"/>
          <w:szCs w:val="18"/>
          <w:color w:val="auto"/>
        </w:rPr>
      </w:pPr>
    </w:p>
    <w:p>
      <w:pPr>
        <w:ind w:left="380" w:right="20" w:hanging="372"/>
        <w:spacing w:after="0" w:line="25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380" w:right="100" w:hanging="372"/>
        <w:spacing w:after="0" w:line="271"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380" w:right="80" w:hanging="372"/>
        <w:spacing w:after="0" w:line="245"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26" w:lineRule="exact"/>
        <w:rPr>
          <w:rFonts w:ascii="Arial" w:cs="Arial" w:eastAsia="Arial" w:hAnsi="Arial"/>
          <w:sz w:val="18"/>
          <w:szCs w:val="18"/>
          <w:color w:val="auto"/>
        </w:rPr>
      </w:pPr>
    </w:p>
    <w:p>
      <w:pPr>
        <w:ind w:left="1060" w:right="260" w:hanging="628"/>
        <w:spacing w:after="0" w:line="253" w:lineRule="auto"/>
        <w:tabs>
          <w:tab w:leader="none" w:pos="1056" w:val="left"/>
        </w:tabs>
        <w:numPr>
          <w:ilvl w:val="2"/>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ind w:left="1060" w:right="300" w:hanging="678"/>
        <w:spacing w:after="0" w:line="253" w:lineRule="auto"/>
        <w:tabs>
          <w:tab w:leader="none" w:pos="10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Arial" w:cs="Arial" w:eastAsia="Arial" w:hAnsi="Arial"/>
          <w:sz w:val="18"/>
          <w:szCs w:val="18"/>
          <w:color w:val="auto"/>
        </w:rPr>
      </w:pPr>
    </w:p>
    <w:p>
      <w:pPr>
        <w:jc w:val="both"/>
        <w:ind w:left="1060" w:right="180" w:hanging="628"/>
        <w:spacing w:after="0" w:line="253" w:lineRule="auto"/>
        <w:tabs>
          <w:tab w:leader="none" w:pos="1046" w:val="left"/>
        </w:tabs>
        <w:numPr>
          <w:ilvl w:val="2"/>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sz w:val="20"/>
          <w:szCs w:val="20"/>
          <w:color w:val="auto"/>
        </w:rPr>
      </w:pPr>
    </w:p>
    <w:p>
      <w:pPr>
        <w:ind w:left="1060" w:right="100" w:hanging="678"/>
        <w:spacing w:after="0" w:line="253" w:lineRule="auto"/>
        <w:tabs>
          <w:tab w:leader="none" w:pos="78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8"/>
          <w:szCs w:val="18"/>
          <w:color w:val="auto"/>
        </w:rPr>
      </w:pPr>
    </w:p>
    <w:p>
      <w:pPr>
        <w:ind w:left="380" w:right="80" w:hanging="372"/>
        <w:spacing w:after="0" w:line="253"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8"/>
          <w:szCs w:val="18"/>
          <w:color w:val="auto"/>
        </w:rPr>
      </w:pPr>
    </w:p>
    <w:p>
      <w:pPr>
        <w:ind w:left="1060" w:right="140" w:hanging="678"/>
        <w:spacing w:after="0" w:line="301" w:lineRule="auto"/>
        <w:tabs>
          <w:tab w:leader="none" w:pos="786"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060" w:right="360" w:hanging="678"/>
        <w:spacing w:after="0" w:line="271" w:lineRule="auto"/>
        <w:tabs>
          <w:tab w:leader="none" w:pos="78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ind w:left="20"/>
              <w:spacing w:after="0"/>
              <w:rPr>
                <w:sz w:val="20"/>
                <w:szCs w:val="20"/>
                <w:color w:val="auto"/>
              </w:rPr>
            </w:pPr>
            <w:r>
              <w:rPr>
                <w:rFonts w:ascii="Arial" w:cs="Arial" w:eastAsia="Arial" w:hAnsi="Arial"/>
                <w:sz w:val="16"/>
                <w:szCs w:val="16"/>
                <w:color w:val="auto"/>
              </w:rPr>
              <w:t>Date: March 10, 2025</w:t>
            </w:r>
          </w:p>
        </w:tc>
        <w:tc>
          <w:tcPr>
            <w:tcW w:w="2400" w:type="dxa"/>
            <w:vAlign w:val="bottom"/>
          </w:tcPr>
          <w:p>
            <w:pPr>
              <w:ind w:left="2040"/>
              <w:spacing w:after="0"/>
              <w:rPr>
                <w:sz w:val="20"/>
                <w:szCs w:val="20"/>
                <w:color w:val="auto"/>
              </w:rPr>
            </w:pPr>
            <w:r>
              <w:rPr>
                <w:rFonts w:ascii="Arial" w:cs="Arial" w:eastAsia="Arial" w:hAnsi="Arial"/>
                <w:sz w:val="16"/>
                <w:szCs w:val="16"/>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Sanjay Kalra</w:t>
            </w:r>
          </w:p>
        </w:tc>
      </w:tr>
      <w:tr>
        <w:trPr>
          <w:trHeight w:val="168"/>
        </w:trPr>
        <w:tc>
          <w:tcPr>
            <w:tcW w:w="3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Sanjay Kalra</w:t>
            </w:r>
          </w:p>
        </w:tc>
      </w:tr>
      <w:tr>
        <w:trPr>
          <w:trHeight w:val="191"/>
        </w:trPr>
        <w:tc>
          <w:tcPr>
            <w:tcW w:w="36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rPr>
              <w:t>Chief Financial Officer</w:t>
            </w:r>
          </w:p>
        </w:tc>
      </w:tr>
      <w:tr>
        <w:trPr>
          <w:trHeight w:val="221"/>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(Principal Financial Officer)</w:t>
            </w:r>
          </w:p>
        </w:tc>
      </w:tr>
      <w:tr>
        <w:trPr>
          <w:trHeight w:val="2040"/>
        </w:trPr>
        <w:tc>
          <w:tcPr>
            <w:tcW w:w="36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220" w:firstLine="578"/>
        <w:spacing w:after="0" w:line="253" w:lineRule="auto"/>
        <w:rPr>
          <w:sz w:val="20"/>
          <w:szCs w:val="20"/>
          <w:color w:val="auto"/>
        </w:rPr>
      </w:pPr>
      <w:r>
        <w:rPr>
          <w:rFonts w:ascii="Arial" w:cs="Arial" w:eastAsia="Arial" w:hAnsi="Arial"/>
          <w:sz w:val="18"/>
          <w:szCs w:val="18"/>
          <w:color w:val="auto"/>
        </w:rPr>
        <w:t>In connection with the Annual Report on Form 10-K of Paymentus Holdings, Inc. (the “Company”) for the year ended December 31, 2024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999"/>
        <w:spacing w:after="0" w:line="27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56" w:lineRule="exact"/>
        <w:rPr>
          <w:rFonts w:ascii="Arial" w:cs="Arial" w:eastAsia="Arial" w:hAnsi="Arial"/>
          <w:sz w:val="18"/>
          <w:szCs w:val="18"/>
          <w:color w:val="auto"/>
        </w:rPr>
      </w:pPr>
    </w:p>
    <w:p>
      <w:pPr>
        <w:ind w:left="920" w:right="260" w:hanging="899"/>
        <w:spacing w:after="0" w:line="271" w:lineRule="auto"/>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5640" w:val="left"/>
          <w:tab w:leader="none" w:pos="7760" w:val="left"/>
        </w:tabs>
        <w:rPr>
          <w:sz w:val="20"/>
          <w:szCs w:val="20"/>
          <w:color w:val="auto"/>
        </w:rPr>
      </w:pPr>
      <w:r>
        <w:rPr>
          <w:rFonts w:ascii="Arial" w:cs="Arial" w:eastAsia="Arial" w:hAnsi="Arial"/>
          <w:sz w:val="18"/>
          <w:szCs w:val="18"/>
          <w:color w:val="auto"/>
        </w:rPr>
        <w:t>Date: March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Dushyant Sharma</w:t>
      </w:r>
    </w:p>
    <w:p>
      <w:pPr>
        <w:jc w:val="center"/>
        <w:ind w:left="6000"/>
        <w:spacing w:after="0" w:line="234" w:lineRule="auto"/>
        <w:rPr>
          <w:sz w:val="20"/>
          <w:szCs w:val="20"/>
          <w:color w:val="auto"/>
        </w:rPr>
      </w:pPr>
      <w:r>
        <w:rPr>
          <w:rFonts w:ascii="Arial" w:cs="Arial" w:eastAsia="Arial" w:hAnsi="Arial"/>
          <w:sz w:val="18"/>
          <w:szCs w:val="18"/>
          <w:b w:val="1"/>
          <w:bCs w:val="1"/>
          <w:color w:val="auto"/>
        </w:rPr>
        <w:t>Chairman, President and,</w:t>
      </w:r>
    </w:p>
    <w:p>
      <w:pPr>
        <w:jc w:val="center"/>
        <w:ind w:left="6000"/>
        <w:spacing w:after="0" w:line="235"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396" w:lineRule="exact"/>
        <w:rPr>
          <w:sz w:val="20"/>
          <w:szCs w:val="20"/>
          <w:color w:val="auto"/>
        </w:rPr>
      </w:pPr>
    </w:p>
    <w:p>
      <w:pPr>
        <w:jc w:val="both"/>
        <w:ind w:firstLine="578"/>
        <w:spacing w:after="0" w:line="242" w:lineRule="auto"/>
        <w:rPr>
          <w:sz w:val="20"/>
          <w:szCs w:val="20"/>
          <w:color w:val="auto"/>
        </w:rPr>
      </w:pPr>
      <w:r>
        <w:rPr>
          <w:rFonts w:ascii="Arial" w:cs="Arial" w:eastAsia="Arial" w:hAnsi="Arial"/>
          <w:sz w:val="18"/>
          <w:szCs w:val="18"/>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Exhibit 32.2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220" w:firstLine="578"/>
        <w:spacing w:after="0" w:line="253" w:lineRule="auto"/>
        <w:rPr>
          <w:sz w:val="20"/>
          <w:szCs w:val="20"/>
          <w:color w:val="auto"/>
        </w:rPr>
      </w:pPr>
      <w:r>
        <w:rPr>
          <w:rFonts w:ascii="Arial" w:cs="Arial" w:eastAsia="Arial" w:hAnsi="Arial"/>
          <w:sz w:val="18"/>
          <w:szCs w:val="18"/>
          <w:color w:val="auto"/>
        </w:rPr>
        <w:t>In connection with the Annual Report on Form 10-K of Paymentus Holdings, Inc. (the “Company”) for the year ended December 31, 2024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right="160" w:hanging="999"/>
        <w:spacing w:after="0" w:line="27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356" w:lineRule="exact"/>
        <w:rPr>
          <w:rFonts w:ascii="Arial" w:cs="Arial" w:eastAsia="Arial" w:hAnsi="Arial"/>
          <w:sz w:val="18"/>
          <w:szCs w:val="18"/>
          <w:color w:val="auto"/>
        </w:rPr>
      </w:pPr>
    </w:p>
    <w:p>
      <w:pPr>
        <w:ind w:left="1040" w:right="140" w:hanging="1019"/>
        <w:spacing w:after="0" w:line="271"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left="20"/>
        <w:spacing w:after="0"/>
        <w:tabs>
          <w:tab w:leader="none" w:pos="5640" w:val="left"/>
          <w:tab w:leader="none" w:pos="7980" w:val="left"/>
        </w:tabs>
        <w:rPr>
          <w:sz w:val="20"/>
          <w:szCs w:val="20"/>
          <w:color w:val="auto"/>
        </w:rPr>
      </w:pPr>
      <w:r>
        <w:rPr>
          <w:rFonts w:ascii="Arial" w:cs="Arial" w:eastAsia="Arial" w:hAnsi="Arial"/>
          <w:sz w:val="18"/>
          <w:szCs w:val="18"/>
          <w:color w:val="auto"/>
        </w:rPr>
        <w:t>Date: March 10,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Kalra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8890</wp:posOffset>
            </wp:positionV>
            <wp:extent cx="33172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Sanjay Kalra</w:t>
      </w:r>
    </w:p>
    <w:p>
      <w:pPr>
        <w:jc w:val="center"/>
        <w:ind w:left="60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both"/>
        <w:ind w:firstLine="578"/>
        <w:spacing w:after="0" w:line="242" w:lineRule="auto"/>
        <w:rPr>
          <w:sz w:val="20"/>
          <w:szCs w:val="20"/>
          <w:color w:val="auto"/>
        </w:rPr>
      </w:pPr>
      <w:r>
        <w:rPr>
          <w:rFonts w:ascii="Arial" w:cs="Arial" w:eastAsia="Arial" w:hAnsi="Arial"/>
          <w:sz w:val="18"/>
          <w:szCs w:val="18"/>
          <w:color w:val="auto"/>
        </w:rPr>
        <w:t>A signed original of this written statement required by Section 906 has been provided to Paymentus Holdings, Inc. and will be retained by Paymentus Holdings, Inc. and furnished to the Securities and Exchange Commission or its staff upon request. This written statement shall not be deemed filed by Paymentus Holdings, Inc. for purposes of Section 18 of the Securities Exchange Act of 1934, as amended (the “Exchange Act”), or otherwise subject to liability under that section, and will not be deemed to be incorporated by reference into any filing under the Securities Act of 1933, as amended, or the Exchange Act, except to the extent that Paymentus Holdings, Inc.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3"/>
    </w:lvl>
  </w:abstractNum>
  <w:abstractNum w:abstractNumId="36">
    <w:nsid w:val="6DE91B18"/>
    <w:multiLevelType w:val="hybridMultilevel"/>
    <w:lvl w:ilvl="0">
      <w:lvlJc w:val="left"/>
      <w:lvlText w:val="%1."/>
      <w:numFmt w:val="decimal"/>
      <w:start w:val="2"/>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decimal"/>
      <w:start w:val="3"/>
    </w:lvl>
  </w:abstractNum>
  <w:abstractNum w:abstractNumId="41">
    <w:nsid w:val="579478FE"/>
    <w:multiLevelType w:val="hybridMultilevel"/>
    <w:lvl w:ilvl="0">
      <w:lvlJc w:val="left"/>
      <w:lvlText w:val="%1."/>
      <w:numFmt w:val="decimal"/>
      <w:start w:val="4"/>
    </w:lvl>
  </w:abstractNum>
  <w:abstractNum w:abstractNumId="42">
    <w:nsid w:val="749ABB43"/>
    <w:multiLevelType w:val="hybridMultilevel"/>
    <w:lvl w:ilvl="0">
      <w:lvlJc w:val="left"/>
      <w:lvlText w:val="%1."/>
      <w:numFmt w:val="decimal"/>
      <w:start w:val="6"/>
    </w:lvl>
  </w:abstractNum>
  <w:abstractNum w:abstractNumId="43">
    <w:nsid w:val="3DC240FB"/>
    <w:multiLevelType w:val="hybridMultilevel"/>
    <w:lvl w:ilvl="0">
      <w:lvlJc w:val="left"/>
      <w:lvlText w:val="%1."/>
      <w:numFmt w:val="decimal"/>
      <w:start w:val="8"/>
    </w:lvl>
  </w:abstractNum>
  <w:abstractNum w:abstractNumId="44">
    <w:nsid w:val="1BA026FA"/>
    <w:multiLevelType w:val="hybridMultilevel"/>
    <w:lvl w:ilvl="0">
      <w:lvlJc w:val="left"/>
      <w:lvlText w:val="%1."/>
      <w:numFmt w:val="decimal"/>
      <w:start w:val="9"/>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lvl w:ilvl="1">
      <w:lvlJc w:val="left"/>
      <w:lvlText w:val="(%2)"/>
      <w:numFmt w:val="decimal"/>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1">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3">
    <w:nsid w:val="649BB77C"/>
    <w:multiLevelType w:val="hybridMultilevel"/>
    <w:lvl w:ilvl="0">
      <w:lvlJc w:val="left"/>
      <w:lvlText w:val="%1"/>
      <w:numFmt w:val="decimal"/>
      <w:start w:val="1"/>
    </w:lvl>
    <w:lvl w:ilvl="1">
      <w:lvlJc w:val="left"/>
      <w:lvlText w:val="(%2)"/>
      <w:numFmt w:val="lowerLetter"/>
      <w:start w:val="4"/>
    </w:lvl>
  </w:abstractNum>
  <w:abstractNum w:abstractNumId="54">
    <w:nsid w:val="275AC794"/>
    <w:multiLevelType w:val="hybridMultilevel"/>
    <w:lvl w:ilvl="0">
      <w:lvlJc w:val="left"/>
      <w:lvlText w:val="%1."/>
      <w:numFmt w:val="decimal"/>
      <w:start w:val="5"/>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40" Type="http://schemas.openxmlformats.org/officeDocument/2006/relationships/image" Target="media/image419.png"/><Relationship Id="rId454"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26" Type="http://schemas.openxmlformats.org/officeDocument/2006/relationships/hyperlink" Target="https://www.sec.gov/Archives/edgar/data/1841156/000156459021030840/ck7045120534-ex31_9.htm" TargetMode="External"/><Relationship Id="rId427" Type="http://schemas.openxmlformats.org/officeDocument/2006/relationships/hyperlink" Target="https://www.sec.gov/Archives/edgar/data/1841156/000095017023039173/pay-ex3_1.htm" TargetMode="External"/><Relationship Id="rId428" Type="http://schemas.openxmlformats.org/officeDocument/2006/relationships/hyperlink" Target="https://www.sec.gov/Archives/edgar/data/1841156/000095017022025091/pay-ex3_2.htm" TargetMode="External"/><Relationship Id="rId429" Type="http://schemas.openxmlformats.org/officeDocument/2006/relationships/hyperlink" Target="https://www.sec.gov/Archives/edgar/data/1841156/000156459021027416/ck7045120534-ex41_105.htm" TargetMode="External"/><Relationship Id="rId430" Type="http://schemas.openxmlformats.org/officeDocument/2006/relationships/hyperlink" Target="https://www.sec.gov/Archives/edgar/data/1841156/000156459021030840/ck7045120534-ex41_7.htm" TargetMode="External"/><Relationship Id="rId431" Type="http://schemas.openxmlformats.org/officeDocument/2006/relationships/hyperlink" Target="https://www.sec.gov/Archives/edgar/data/1841156/000095017023005995/pay-ex4_3.htm" TargetMode="External"/><Relationship Id="rId432" Type="http://schemas.openxmlformats.org/officeDocument/2006/relationships/hyperlink" Target="https://www.sec.gov/Archives/edgar/data/1841156/000156459021027416/ck7045120534-ex101_15.htm" TargetMode="External"/><Relationship Id="rId433" Type="http://schemas.openxmlformats.org/officeDocument/2006/relationships/hyperlink" Target="https://www.sec.gov/Archives/edgar/data/1841156/000156459021028164/ck7045120534-ex102_397.htm" TargetMode="External"/><Relationship Id="rId434" Type="http://schemas.openxmlformats.org/officeDocument/2006/relationships/hyperlink" Target="https://www.sec.gov/Archives/edgar/data/1841156/000156459021028164/ck7045120534-ex104_394.htm" TargetMode="External"/><Relationship Id="rId435" Type="http://schemas.openxmlformats.org/officeDocument/2006/relationships/hyperlink" Target="https://www.sec.gov/Archives/edgar/data/1841156/000095017023002793/pay-ex10_2.htm" TargetMode="External"/><Relationship Id="rId436" Type="http://schemas.openxmlformats.org/officeDocument/2006/relationships/hyperlink" Target="https://www.sec.gov/Archives/edgar/data/1841156/000156459021028164/ck7045120534-ex106_274.htm" TargetMode="External"/><Relationship Id="rId437" Type="http://schemas.openxmlformats.org/officeDocument/2006/relationships/hyperlink" Target="https://www.sec.gov/Archives/edgar/data/1841156/000095017023006116/pay-ex10_1.htm" TargetMode="External"/><Relationship Id="rId438" Type="http://schemas.openxmlformats.org/officeDocument/2006/relationships/hyperlink" Target="https://www.sec.gov/Archives/edgar/data/1841156/000095017022002823/pay-ex10_9.htm" TargetMode="External"/><Relationship Id="rId439" Type="http://schemas.openxmlformats.org/officeDocument/2006/relationships/hyperlink" Target="https://www.sec.gov/Archives/edgar/data/1841156/000095017023018898/pay-ex10_5.htm" TargetMode="External"/><Relationship Id="rId441" Type="http://schemas.openxmlformats.org/officeDocument/2006/relationships/hyperlink" Target="https://www.sec.gov/Archives/edgar/data/1841156/000156459021028164/ck7045120534-ex109_277.htm" TargetMode="External"/><Relationship Id="rId442" Type="http://schemas.openxmlformats.org/officeDocument/2006/relationships/hyperlink" Target="https://www.sec.gov/Archives/edgar/data/1841156/000095017023006116/pay-ex10_2.htm" TargetMode="External"/><Relationship Id="rId443" Type="http://schemas.openxmlformats.org/officeDocument/2006/relationships/hyperlink" Target="https://www.sec.gov/Archives/edgar/data/1841156/000095017022002823/pay-ex10_13.htm" TargetMode="External"/><Relationship Id="rId444" Type="http://schemas.openxmlformats.org/officeDocument/2006/relationships/hyperlink" Target="https://www.sec.gov/Archives/edgar/data/1841156/000095017023018898/pay-ex10_6.htm" TargetMode="External"/><Relationship Id="rId445" Type="http://schemas.openxmlformats.org/officeDocument/2006/relationships/hyperlink" Target="https://www.sec.gov/Archives/edgar/data/1841156/000156459021030840/ck7045120534-ex101_6.htm" TargetMode="External"/><Relationship Id="rId446" Type="http://schemas.openxmlformats.org/officeDocument/2006/relationships/hyperlink" Target="https://www.sec.gov/Archives/edgar/data/1841156/000095017022002823/pay-ex10_16.htm" TargetMode="External"/><Relationship Id="rId447" Type="http://schemas.openxmlformats.org/officeDocument/2006/relationships/hyperlink" Target="https://www.sec.gov/Archives/edgar/data/1841156/000095017022002823/pay-ex10_17.htm" TargetMode="External"/><Relationship Id="rId448" Type="http://schemas.openxmlformats.org/officeDocument/2006/relationships/hyperlink" Target="https://www.sec.gov/Archives/edgar/data/1841156/000095017023005995/pay-ex10_14.htm" TargetMode="External"/><Relationship Id="rId449" Type="http://schemas.openxmlformats.org/officeDocument/2006/relationships/hyperlink" Target="https://www.sec.gov/Archives/edgar/data/1841156/000095017022008141/pay-ex10_1.htm" TargetMode="External"/><Relationship Id="rId450" Type="http://schemas.openxmlformats.org/officeDocument/2006/relationships/hyperlink" Target="https://www.sec.gov/Archives/edgar/data/1841156/000156459021028164/ck7045120534-ex1014_32.htm" TargetMode="External"/><Relationship Id="rId451" Type="http://schemas.openxmlformats.org/officeDocument/2006/relationships/hyperlink" Target="https://www.sec.gov/Archives/edgar/data/1841156/000095017022017910/pay-ex10_1.htm" TargetMode="External"/><Relationship Id="rId452" Type="http://schemas.openxmlformats.org/officeDocument/2006/relationships/hyperlink" Target="https://www.sec.gov/Archives/edgar/data/1841156/000095017023039173/pay-ex19_1.htm" TargetMode="External"/><Relationship Id="rId453" Type="http://schemas.openxmlformats.org/officeDocument/2006/relationships/hyperlink" Target="https://www.sec.gov/Archives/edgar/data/1841156/000095017023005995/pay-ex21_1.htm" TargetMode="External"/><Relationship Id="rId455" Type="http://schemas.openxmlformats.org/officeDocument/2006/relationships/hyperlink" Target="https://www.sec.gov/Archives/edgar/data/1841156/000095017024025084/pay-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2025-03-11T05:18:30Z</dcterms:created>
  <dcterms:modified xsi:type="dcterms:W3CDTF">2025-03-11T05:18:30Z</dcterms:modified>
</cp:coreProperties>
</file>