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700" w:right="1520" w:hanging="3692"/>
        <w:spacing w:after="0" w:line="264" w:lineRule="auto"/>
        <w:tabs>
          <w:tab w:leader="none" w:pos="45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2025</w:t>
      </w:r>
    </w:p>
    <w:p>
      <w:pPr>
        <w:spacing w:after="0" w:line="13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26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incorporation or organization)</w:t>
            </w:r>
          </w:p>
        </w:tc>
        <w:tc>
          <w:tcPr>
            <w:tcW w:w="4260" w:type="dxa"/>
            <w:vAlign w:val="bottom"/>
          </w:tcPr>
          <w:p>
            <w:pPr>
              <w:jc w:val="center"/>
              <w:ind w:left="2650"/>
              <w:spacing w:after="0" w:line="202" w:lineRule="exact"/>
              <w:rPr>
                <w:sz w:val="20"/>
                <w:szCs w:val="20"/>
                <w:color w:val="auto"/>
              </w:rPr>
            </w:pPr>
            <w:r>
              <w:rPr>
                <w:rFonts w:ascii="Arial" w:cs="Arial" w:eastAsia="Arial" w:hAnsi="Arial"/>
                <w:sz w:val="18"/>
                <w:szCs w:val="18"/>
                <w:b w:val="1"/>
                <w:bCs w:val="1"/>
                <w:color w:val="auto"/>
                <w:w w:val="99"/>
              </w:rPr>
              <w:t>Identification No.)</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11605 North Community House Road, Suite 300</w:t>
            </w:r>
          </w:p>
        </w:tc>
        <w:tc>
          <w:tcPr>
            <w:tcW w:w="4260" w:type="dxa"/>
            <w:vAlign w:val="bottom"/>
          </w:tcPr>
          <w:p>
            <w:pPr>
              <w:spacing w:after="0"/>
              <w:rPr>
                <w:sz w:val="17"/>
                <w:szCs w:val="17"/>
                <w:color w:val="auto"/>
              </w:rPr>
            </w:pP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Charlotte, NC</w:t>
            </w:r>
          </w:p>
        </w:tc>
        <w:tc>
          <w:tcPr>
            <w:tcW w:w="42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28277</w:t>
            </w:r>
          </w:p>
        </w:tc>
      </w:tr>
      <w:tr>
        <w:trPr>
          <w:trHeight w:val="203"/>
        </w:trPr>
        <w:tc>
          <w:tcPr>
            <w:tcW w:w="41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(Address of principal executive offices)</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rPr>
              <w:t>(Zip Code)</w:t>
            </w:r>
          </w:p>
        </w:tc>
      </w:tr>
      <w:tr>
        <w:trPr>
          <w:trHeight w:val="220"/>
        </w:trPr>
        <w:tc>
          <w:tcPr>
            <w:tcW w:w="4140" w:type="dxa"/>
            <w:vAlign w:val="bottom"/>
          </w:tcPr>
          <w:p>
            <w:pPr>
              <w:spacing w:after="0"/>
              <w:rPr>
                <w:sz w:val="19"/>
                <w:szCs w:val="19"/>
                <w:color w:val="auto"/>
              </w:rPr>
            </w:pPr>
          </w:p>
        </w:tc>
        <w:tc>
          <w:tcPr>
            <w:tcW w:w="4260" w:type="dxa"/>
            <w:vAlign w:val="bottom"/>
          </w:tcPr>
          <w:p>
            <w:pPr>
              <w:jc w:val="right"/>
              <w:ind w:right="2850"/>
              <w:spacing w:after="0"/>
              <w:rPr>
                <w:sz w:val="20"/>
                <w:szCs w:val="20"/>
                <w:color w:val="auto"/>
              </w:rPr>
            </w:pPr>
            <w:r>
              <w:rPr>
                <w:rFonts w:ascii="Arial" w:cs="Arial" w:eastAsia="Arial" w:hAnsi="Arial"/>
                <w:sz w:val="18"/>
                <w:szCs w:val="18"/>
                <w:b w:val="1"/>
                <w:bCs w:val="1"/>
                <w:color w:val="auto"/>
              </w:rPr>
              <w:t>(888) 440-4826</w:t>
            </w: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PAY</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61" w:lineRule="exact"/>
        <w:rPr>
          <w:sz w:val="24"/>
          <w:szCs w:val="24"/>
          <w:color w:val="auto"/>
        </w:rPr>
      </w:pPr>
    </w:p>
    <w:p>
      <w:pPr>
        <w:ind w:right="260" w:firstLine="494"/>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660" w:firstLine="49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94"/>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line="202" w:lineRule="exact"/>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72" w:lineRule="exact"/>
        <w:rPr>
          <w:sz w:val="24"/>
          <w:szCs w:val="24"/>
          <w:color w:val="auto"/>
        </w:rPr>
      </w:pPr>
    </w:p>
    <w:p>
      <w:pPr>
        <w:ind w:right="560" w:firstLine="49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left="500"/>
        <w:spacing w:after="0" w:line="207" w:lineRule="exact"/>
        <w:tabs>
          <w:tab w:leader="none" w:pos="9720" w:val="left"/>
          <w:tab w:leader="none" w:pos="105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4"/>
          <w:szCs w:val="24"/>
          <w:color w:val="auto"/>
        </w:rPr>
      </w:pPr>
    </w:p>
    <w:p>
      <w:pPr>
        <w:ind w:right="360" w:firstLine="494"/>
        <w:spacing w:after="0" w:line="271" w:lineRule="auto"/>
        <w:rPr>
          <w:sz w:val="20"/>
          <w:szCs w:val="20"/>
          <w:color w:val="auto"/>
        </w:rPr>
      </w:pPr>
      <w:r>
        <w:rPr>
          <w:rFonts w:ascii="Arial" w:cs="Arial" w:eastAsia="Arial" w:hAnsi="Arial"/>
          <w:sz w:val="18"/>
          <w:szCs w:val="18"/>
          <w:color w:val="auto"/>
        </w:rPr>
        <w:t>As of July 31, 2025, the registrant had 45,348,953 shares of Class A Common Stock, $0.0001 par value per share and 79,915,356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8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19"/>
            <w:vMerge w:val="restart"/>
          </w:tcPr>
          <w:p>
            <w:pPr>
              <w:spacing w:after="0"/>
              <w:rPr>
                <w:sz w:val="20"/>
                <w:szCs w:val="20"/>
                <w:color w:val="auto"/>
              </w:rPr>
            </w:pPr>
            <w:r>
              <w:rPr>
                <w:rFonts w:ascii="Arial" w:cs="Arial" w:eastAsia="Arial" w:hAnsi="Arial"/>
                <w:sz w:val="18"/>
                <w:szCs w:val="18"/>
                <w:color w:val="auto"/>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3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9"/>
              </w:rPr>
              <w:t>FINANCIAL INFORMATION</w:t>
            </w:r>
          </w:p>
        </w:tc>
        <w:tc>
          <w:tcPr>
            <w:tcW w:w="1960" w:type="dxa"/>
            <w:vAlign w:val="bottom"/>
            <w:tcBorders>
              <w:top w:val="single" w:sz="8" w:color="auto"/>
            </w:tcBorders>
            <w:gridSpan w:val="5"/>
          </w:tcPr>
          <w:p>
            <w:pPr>
              <w:spacing w:after="0"/>
              <w:rPr>
                <w:sz w:val="24"/>
                <w:szCs w:val="24"/>
                <w:color w:val="auto"/>
              </w:rPr>
            </w:pPr>
          </w:p>
        </w:tc>
        <w:tc>
          <w:tcPr>
            <w:tcW w:w="50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auto"/>
            </w:tcBorders>
            <w:gridSpan w:val="9"/>
          </w:tcPr>
          <w:p>
            <w:pPr>
              <w:spacing w:after="0" w:line="182" w:lineRule="exact"/>
              <w:rPr>
                <w:sz w:val="20"/>
                <w:szCs w:val="20"/>
                <w:color w:val="auto"/>
              </w:rPr>
            </w:pPr>
            <w:r>
              <w:rPr>
                <w:rFonts w:ascii="Arial" w:cs="Arial" w:eastAsia="Arial" w:hAnsi="Arial"/>
                <w:sz w:val="18"/>
                <w:szCs w:val="18"/>
                <w:color w:val="auto"/>
                <w:w w:val="97"/>
              </w:rPr>
              <w:t>Condensed Consolidated Balance</w:t>
            </w:r>
          </w:p>
        </w:tc>
        <w:tc>
          <w:tcPr>
            <w:tcW w:w="6640" w:type="dxa"/>
            <w:vAlign w:val="bottom"/>
            <w:gridSpan w:val="10"/>
          </w:tcPr>
          <w:p>
            <w:pPr>
              <w:ind w:left="100"/>
              <w:spacing w:after="0" w:line="182" w:lineRule="exact"/>
              <w:rPr>
                <w:sz w:val="20"/>
                <w:szCs w:val="20"/>
                <w:color w:val="auto"/>
              </w:rPr>
            </w:pPr>
            <w:r>
              <w:rPr>
                <w:rFonts w:ascii="Arial" w:cs="Arial" w:eastAsia="Arial" w:hAnsi="Arial"/>
                <w:sz w:val="18"/>
                <w:szCs w:val="18"/>
                <w:color w:val="auto"/>
              </w:rPr>
              <w:t>Sheets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auto"/>
            </w:tcBorders>
            <w:gridSpan w:val="10"/>
          </w:tcPr>
          <w:p>
            <w:pPr>
              <w:spacing w:after="0" w:line="182" w:lineRule="exact"/>
              <w:rPr>
                <w:sz w:val="20"/>
                <w:szCs w:val="20"/>
                <w:color w:val="auto"/>
              </w:rPr>
            </w:pPr>
            <w:r>
              <w:rPr>
                <w:rFonts w:ascii="Arial" w:cs="Arial" w:eastAsia="Arial" w:hAnsi="Arial"/>
                <w:sz w:val="18"/>
                <w:szCs w:val="18"/>
                <w:color w:val="auto"/>
              </w:rPr>
              <w:t>Condensed Consolidated Statements of</w:t>
            </w:r>
          </w:p>
        </w:tc>
        <w:tc>
          <w:tcPr>
            <w:tcW w:w="5980" w:type="dxa"/>
            <w:vAlign w:val="bottom"/>
            <w:gridSpan w:val="9"/>
          </w:tcPr>
          <w:p>
            <w:pPr>
              <w:spacing w:after="0" w:line="182" w:lineRule="exact"/>
              <w:rPr>
                <w:sz w:val="20"/>
                <w:szCs w:val="20"/>
                <w:color w:val="auto"/>
              </w:rPr>
            </w:pPr>
            <w:r>
              <w:rPr>
                <w:rFonts w:ascii="Arial" w:cs="Arial" w:eastAsia="Arial" w:hAnsi="Arial"/>
                <w:sz w:val="18"/>
                <w:szCs w:val="18"/>
                <w:color w:val="auto"/>
              </w:rPr>
              <w:t>Operations and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20" w:type="dxa"/>
            <w:vAlign w:val="bottom"/>
            <w:tcBorders>
              <w:top w:val="single" w:sz="8" w:color="auto"/>
            </w:tcBorders>
            <w:gridSpan w:val="17"/>
          </w:tcPr>
          <w:p>
            <w:pPr>
              <w:spacing w:after="0" w:line="182" w:lineRule="exact"/>
              <w:rPr>
                <w:sz w:val="20"/>
                <w:szCs w:val="20"/>
                <w:color w:val="auto"/>
              </w:rPr>
            </w:pPr>
            <w:r>
              <w:rPr>
                <w:rFonts w:ascii="Arial" w:cs="Arial" w:eastAsia="Arial" w:hAnsi="Arial"/>
                <w:sz w:val="18"/>
                <w:szCs w:val="18"/>
                <w:color w:val="auto"/>
              </w:rPr>
              <w:t>Condensed Consolidated Statements of Stockholders' Equity</w:t>
            </w: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EE"/>
              <w:bottom w:val="single" w:sz="8" w:color="auto"/>
            </w:tcBorders>
            <w:gridSpan w:val="11"/>
          </w:tcPr>
          <w:p>
            <w:pPr>
              <w:spacing w:after="0" w:line="182" w:lineRule="exact"/>
              <w:rPr>
                <w:sz w:val="20"/>
                <w:szCs w:val="20"/>
                <w:color w:val="auto"/>
              </w:rPr>
            </w:pPr>
            <w:r>
              <w:rPr>
                <w:rFonts w:ascii="Arial" w:cs="Arial" w:eastAsia="Arial" w:hAnsi="Arial"/>
                <w:sz w:val="18"/>
                <w:szCs w:val="18"/>
                <w:color w:val="auto"/>
                <w:w w:val="99"/>
              </w:rPr>
              <w:t>Condensed Consolidated Statements of Cash Flows</w:t>
            </w:r>
          </w:p>
        </w:tc>
        <w:tc>
          <w:tcPr>
            <w:tcW w:w="680" w:type="dxa"/>
            <w:vAlign w:val="bottom"/>
            <w:tcBorders>
              <w:top w:val="single" w:sz="8" w:color="0000EE"/>
            </w:tcBorders>
            <w:gridSpan w:val="4"/>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180" w:type="dxa"/>
            <w:vAlign w:val="bottom"/>
            <w:gridSpan w:val="2"/>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auto"/>
            </w:tcBorders>
            <w:gridSpan w:val="13"/>
          </w:tcPr>
          <w:p>
            <w:pPr>
              <w:spacing w:after="0" w:line="182" w:lineRule="exact"/>
              <w:rPr>
                <w:sz w:val="20"/>
                <w:szCs w:val="20"/>
                <w:color w:val="auto"/>
              </w:rPr>
            </w:pPr>
            <w:r>
              <w:rPr>
                <w:rFonts w:ascii="Arial" w:cs="Arial" w:eastAsia="Arial" w:hAnsi="Arial"/>
                <w:sz w:val="18"/>
                <w:szCs w:val="18"/>
                <w:color w:val="auto"/>
                <w:w w:val="99"/>
              </w:rPr>
              <w:t>Notes to Condensed Consolidated Financial Statements</w:t>
            </w:r>
          </w:p>
        </w:tc>
        <w:tc>
          <w:tcPr>
            <w:tcW w:w="48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20" w:type="dxa"/>
            <w:vAlign w:val="bottom"/>
            <w:gridSpan w:val="19"/>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auto"/>
            </w:tcBorders>
            <w:gridSpan w:val="18"/>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auto"/>
              <w:bottom w:val="single" w:sz="8" w:color="auto"/>
            </w:tcBorders>
            <w:gridSpan w:val="6"/>
          </w:tcPr>
          <w:p>
            <w:pPr>
              <w:spacing w:after="0" w:line="182" w:lineRule="exact"/>
              <w:rPr>
                <w:sz w:val="20"/>
                <w:szCs w:val="20"/>
                <w:color w:val="auto"/>
              </w:rPr>
            </w:pPr>
            <w:r>
              <w:rPr>
                <w:rFonts w:ascii="Arial" w:cs="Arial" w:eastAsia="Arial" w:hAnsi="Arial"/>
                <w:sz w:val="18"/>
                <w:szCs w:val="18"/>
                <w:color w:val="auto"/>
                <w:w w:val="99"/>
              </w:rPr>
              <w:t>Controls and Procedures</w:t>
            </w:r>
          </w:p>
        </w:tc>
        <w:tc>
          <w:tcPr>
            <w:tcW w:w="2720" w:type="dxa"/>
            <w:vAlign w:val="bottom"/>
            <w:tcBorders>
              <w:top w:val="single" w:sz="8" w:color="auto"/>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Risk Factors</w:t>
            </w:r>
          </w:p>
        </w:tc>
        <w:tc>
          <w:tcPr>
            <w:tcW w:w="44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5"/>
              </w:rPr>
              <w:t>Unregistered</w:t>
            </w:r>
          </w:p>
        </w:tc>
        <w:tc>
          <w:tcPr>
            <w:tcW w:w="8320" w:type="dxa"/>
            <w:vAlign w:val="bottom"/>
            <w:gridSpan w:val="17"/>
          </w:tcPr>
          <w:p>
            <w:pPr>
              <w:ind w:left="80"/>
              <w:spacing w:after="0" w:line="182" w:lineRule="exact"/>
              <w:rPr>
                <w:sz w:val="20"/>
                <w:szCs w:val="20"/>
                <w:color w:val="auto"/>
              </w:rPr>
            </w:pPr>
            <w:r>
              <w:rPr>
                <w:rFonts w:ascii="Arial" w:cs="Arial" w:eastAsia="Arial" w:hAnsi="Arial"/>
                <w:sz w:val="18"/>
                <w:szCs w:val="18"/>
                <w:color w:val="auto"/>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Defaults Upon Senior Securities</w:t>
            </w: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auto"/>
            </w:tcBorders>
            <w:gridSpan w:val="8"/>
          </w:tcPr>
          <w:p>
            <w:pPr>
              <w:spacing w:after="0" w:line="182" w:lineRule="exact"/>
              <w:rPr>
                <w:sz w:val="20"/>
                <w:szCs w:val="20"/>
                <w:color w:val="auto"/>
              </w:rPr>
            </w:pPr>
            <w:r>
              <w:rPr>
                <w:rFonts w:ascii="Arial" w:cs="Arial" w:eastAsia="Arial" w:hAnsi="Arial"/>
                <w:sz w:val="18"/>
                <w:szCs w:val="18"/>
                <w:color w:val="auto"/>
              </w:rPr>
              <w:t>Mine Safety Disclosures</w:t>
            </w:r>
          </w:p>
        </w:tc>
        <w:tc>
          <w:tcPr>
            <w:tcW w:w="67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color w:val="auto"/>
              </w:rPr>
              <w:t>Other Information</w:t>
            </w:r>
          </w:p>
        </w:tc>
        <w:tc>
          <w:tcPr>
            <w:tcW w:w="738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Exhibits</w:t>
            </w:r>
          </w:p>
        </w:tc>
        <w:tc>
          <w:tcPr>
            <w:tcW w:w="760" w:type="dxa"/>
            <w:vAlign w:val="bottom"/>
            <w:tcBorders>
              <w:top w:val="single" w:sz="8" w:color="auto"/>
            </w:tcBorders>
            <w:gridSpan w:val="2"/>
          </w:tcPr>
          <w:p>
            <w:pPr>
              <w:spacing w:after="0"/>
              <w:rPr>
                <w:sz w:val="15"/>
                <w:szCs w:val="15"/>
                <w:color w:val="auto"/>
              </w:rPr>
            </w:pPr>
          </w:p>
        </w:tc>
        <w:tc>
          <w:tcPr>
            <w:tcW w:w="79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Signatures</w:t>
            </w:r>
          </w:p>
        </w:tc>
        <w:tc>
          <w:tcPr>
            <w:tcW w:w="4720" w:type="dxa"/>
            <w:vAlign w:val="bottom"/>
            <w:gridSpan w:val="14"/>
            <w:vMerge w:val="restart"/>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42"/>
        </w:trPr>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gridSpan w:val="14"/>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This report on Form 10-Q for the quarterly period ended June 30, 2025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changes in trade policies and tariffs, and their impact on us, consumer demand, average bill amounts and interchange fees;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those factors described in the sections titled “Risk Factors” and “Management’s Discussion and Analysis of Financial Conditions and Results of Operations” in our Annual Report on Form 10-K for the year ended December 31, 2024 and our subsequent Quarterly Reports on Form 10-Q, and the section titled “Management’s Discussion and Analysis of Financial Condition and Results of Operations” in this Quarterly Report.</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 w:name="page4"/>
    <w:bookmarkEnd w:id="3"/>
    <w:p>
      <w:pPr>
        <w:jc w:val="both"/>
        <w:ind w:right="20"/>
        <w:spacing w:after="0" w:line="271" w:lineRule="auto"/>
        <w:rPr>
          <w:sz w:val="20"/>
          <w:szCs w:val="20"/>
          <w:color w:val="auto"/>
        </w:rPr>
      </w:pPr>
      <w:r>
        <w:rPr>
          <w:rFonts w:ascii="Arial" w:cs="Arial" w:eastAsia="Arial" w:hAnsi="Arial"/>
          <w:sz w:val="18"/>
          <w:szCs w:val="18"/>
          <w:color w:val="auto"/>
        </w:rPr>
        <w:t>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jc w:val="both"/>
        <w:ind w:right="20"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BALANCE SHEETS</w:t>
      </w:r>
    </w:p>
    <w:p>
      <w:pPr>
        <w:ind w:left="358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8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8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266,422</w:t>
            </w:r>
          </w:p>
        </w:tc>
        <w:tc>
          <w:tcPr>
            <w:tcW w:w="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205,900</w:t>
            </w:r>
          </w:p>
        </w:tc>
        <w:tc>
          <w:tcPr>
            <w:tcW w:w="100" w:type="dxa"/>
            <w:vAlign w:val="bottom"/>
            <w:shd w:val="clear" w:color="auto" w:fill="CFF0FC"/>
          </w:tcPr>
          <w:p>
            <w:pPr>
              <w:spacing w:after="0"/>
              <w:rPr>
                <w:sz w:val="17"/>
                <w:szCs w:val="17"/>
                <w:color w:val="auto"/>
              </w:rPr>
            </w:pPr>
          </w:p>
        </w:tc>
      </w:tr>
      <w:tr>
        <w:trPr>
          <w:trHeight w:val="202"/>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Restricted cash and cash equivalents</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3,623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3,511</w:t>
            </w:r>
          </w:p>
        </w:tc>
        <w:tc>
          <w:tcPr>
            <w:tcW w:w="100" w:type="dxa"/>
            <w:vAlign w:val="bottom"/>
          </w:tcPr>
          <w:p>
            <w:pPr>
              <w:spacing w:after="0"/>
              <w:rPr>
                <w:sz w:val="17"/>
                <w:szCs w:val="17"/>
                <w:color w:val="auto"/>
              </w:rPr>
            </w:pPr>
          </w:p>
        </w:tc>
      </w:tr>
      <w:tr>
        <w:trPr>
          <w:trHeight w:val="184"/>
        </w:trPr>
        <w:tc>
          <w:tcPr>
            <w:tcW w:w="810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Accounts and other receivables, net of allowance for expected credit losses of $71 and $257,</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8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96,589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119,816</w:t>
            </w:r>
          </w:p>
        </w:tc>
        <w:tc>
          <w:tcPr>
            <w:tcW w:w="100" w:type="dxa"/>
            <w:vAlign w:val="bottom"/>
            <w:shd w:val="clear" w:color="auto" w:fill="CFF0FC"/>
          </w:tcPr>
          <w:p>
            <w:pPr>
              <w:spacing w:after="0"/>
              <w:rPr>
                <w:sz w:val="19"/>
                <w:szCs w:val="19"/>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3,781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3,356</w:t>
            </w:r>
          </w:p>
        </w:tc>
        <w:tc>
          <w:tcPr>
            <w:tcW w:w="100" w:type="dxa"/>
            <w:vAlign w:val="bottom"/>
          </w:tcPr>
          <w:p>
            <w:pPr>
              <w:spacing w:after="0"/>
              <w:rPr>
                <w:sz w:val="17"/>
                <w:szCs w:val="17"/>
                <w:color w:val="auto"/>
              </w:rPr>
            </w:pPr>
          </w:p>
        </w:tc>
      </w:tr>
      <w:tr>
        <w:trPr>
          <w:trHeight w:val="203"/>
        </w:trPr>
        <w:tc>
          <w:tcPr>
            <w:tcW w:w="810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10,511</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380,926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345,641</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 development costs, net</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69,053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67,375</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14,809</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19,076</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131,836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00" w:type="dxa"/>
            <w:vAlign w:val="bottom"/>
          </w:tcPr>
          <w:p>
            <w:pPr>
              <w:spacing w:after="0"/>
              <w:rPr>
                <w:sz w:val="17"/>
                <w:szCs w:val="17"/>
                <w:color w:val="auto"/>
              </w:rPr>
            </w:pPr>
          </w:p>
        </w:tc>
      </w:tr>
      <w:tr>
        <w:trPr>
          <w:trHeight w:val="202"/>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7,494</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7,801</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2,364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r>
      <w:tr>
        <w:trPr>
          <w:trHeight w:val="203"/>
        </w:trPr>
        <w:tc>
          <w:tcPr>
            <w:tcW w:w="8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assets, less current portion</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2,001</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609,523</w:t>
            </w:r>
          </w:p>
        </w:tc>
        <w:tc>
          <w:tcPr>
            <w:tcW w:w="80" w:type="dxa"/>
            <w:vAlign w:val="bottom"/>
          </w:tcPr>
          <w:p>
            <w:pPr>
              <w:spacing w:after="0"/>
              <w:rPr>
                <w:sz w:val="17"/>
                <w:szCs w:val="17"/>
                <w:color w:val="auto"/>
              </w:rPr>
            </w:pPr>
          </w:p>
        </w:tc>
        <w:tc>
          <w:tcPr>
            <w:tcW w:w="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52,584</w:t>
            </w:r>
          </w:p>
        </w:tc>
        <w:tc>
          <w:tcPr>
            <w:tcW w:w="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49,871</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24,891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2,233</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3,771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Income tax payable</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7"/>
                <w:szCs w:val="17"/>
                <w:color w:val="auto"/>
              </w:rPr>
            </w:pPr>
          </w:p>
        </w:tc>
      </w:tr>
      <w:tr>
        <w:trPr>
          <w:trHeight w:val="196"/>
        </w:trPr>
        <w:tc>
          <w:tcPr>
            <w:tcW w:w="810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83,479</w:t>
            </w:r>
          </w:p>
        </w:tc>
        <w:tc>
          <w:tcPr>
            <w:tcW w:w="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81,550</w:t>
            </w:r>
          </w:p>
        </w:tc>
        <w:tc>
          <w:tcPr>
            <w:tcW w:w="100" w:type="dxa"/>
            <w:vAlign w:val="bottom"/>
            <w:tcBorders>
              <w:top w:val="single" w:sz="8" w:color="CFF0FC"/>
            </w:tcBorders>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6,318</w:t>
            </w:r>
          </w:p>
        </w:tc>
        <w:tc>
          <w:tcPr>
            <w:tcW w:w="100" w:type="dxa"/>
            <w:vAlign w:val="bottom"/>
            <w:shd w:val="clear" w:color="auto" w:fill="CFF0FC"/>
          </w:tcPr>
          <w:p>
            <w:pPr>
              <w:spacing w:after="0"/>
              <w:rPr>
                <w:sz w:val="17"/>
                <w:szCs w:val="17"/>
                <w:color w:val="auto"/>
              </w:rPr>
            </w:pPr>
          </w:p>
        </w:tc>
      </w:tr>
      <w:tr>
        <w:trPr>
          <w:trHeight w:val="202"/>
        </w:trPr>
        <w:tc>
          <w:tcPr>
            <w:tcW w:w="8100" w:type="dxa"/>
            <w:vAlign w:val="bottom"/>
          </w:tcPr>
          <w:p>
            <w:pPr>
              <w:spacing w:after="0" w:line="202" w:lineRule="exact"/>
              <w:rPr>
                <w:sz w:val="20"/>
                <w:szCs w:val="20"/>
                <w:color w:val="auto"/>
              </w:rPr>
            </w:pPr>
            <w:r>
              <w:rPr>
                <w:rFonts w:ascii="Arial" w:cs="Arial" w:eastAsia="Arial" w:hAnsi="Arial"/>
                <w:sz w:val="18"/>
                <w:szCs w:val="18"/>
                <w:color w:val="auto"/>
              </w:rPr>
              <w:t>Contract liabilities, less current portion</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2,666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2,783</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and other liabilities, less current portion</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810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92,824</w:t>
            </w:r>
          </w:p>
        </w:tc>
        <w:tc>
          <w:tcPr>
            <w:tcW w:w="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90,651</w:t>
            </w:r>
          </w:p>
        </w:tc>
        <w:tc>
          <w:tcPr>
            <w:tcW w:w="100" w:type="dxa"/>
            <w:vAlign w:val="bottom"/>
            <w:tcBorders>
              <w:top w:val="single" w:sz="8" w:color="CFF0FC"/>
            </w:tcBorders>
          </w:tcPr>
          <w:p>
            <w:pPr>
              <w:spacing w:after="0"/>
              <w:rPr>
                <w:sz w:val="17"/>
                <w:szCs w:val="17"/>
                <w:color w:val="auto"/>
              </w:rPr>
            </w:pPr>
          </w:p>
        </w:tc>
      </w:tr>
      <w:tr>
        <w:trPr>
          <w:trHeight w:val="196"/>
        </w:trPr>
        <w:tc>
          <w:tcPr>
            <w:tcW w:w="8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8100" w:type="dxa"/>
            <w:vAlign w:val="bottom"/>
          </w:tcPr>
          <w:p>
            <w:pPr>
              <w:ind w:left="220"/>
              <w:spacing w:after="0" w:line="183" w:lineRule="exact"/>
              <w:rPr>
                <w:sz w:val="20"/>
                <w:szCs w:val="20"/>
                <w:color w:val="auto"/>
              </w:rPr>
            </w:pPr>
            <w:r>
              <w:rPr>
                <w:rFonts w:ascii="Arial" w:cs="Arial" w:eastAsia="Arial" w:hAnsi="Arial"/>
                <w:sz w:val="18"/>
                <w:szCs w:val="18"/>
                <w:color w:val="auto"/>
              </w:rPr>
              <w:t>Class A common stock, $0.0001 par value per share, 883,950,000 shares authorized as of June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30, 2025 and December 31, 2024; 45,277,062 and 32,136,989 shares issued and outstanding as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100" w:type="dxa"/>
            <w:vAlign w:val="bottom"/>
          </w:tcPr>
          <w:p>
            <w:pPr>
              <w:ind w:left="220"/>
              <w:spacing w:after="0"/>
              <w:rPr>
                <w:sz w:val="20"/>
                <w:szCs w:val="20"/>
                <w:color w:val="auto"/>
              </w:rPr>
            </w:pPr>
            <w:r>
              <w:rPr>
                <w:rFonts w:ascii="Arial" w:cs="Arial" w:eastAsia="Arial" w:hAnsi="Arial"/>
                <w:sz w:val="18"/>
                <w:szCs w:val="18"/>
                <w:color w:val="auto"/>
              </w:rPr>
              <w:t>of June 30, 2025 and December 31, 2024,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184"/>
        </w:trPr>
        <w:tc>
          <w:tcPr>
            <w:tcW w:w="810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Class B common stock, $0.0001 par value per share, 111,050,000 shares authorized as of June</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30, 2025 and December 31, 2024; 79,986,209 and 92,699,294 shares issued and outstanding as</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8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of June 30, 2025 and December 31, 2024, respectively</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392,478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389,904</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(224)</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124,433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95,913</w:t>
            </w:r>
          </w:p>
        </w:tc>
        <w:tc>
          <w:tcPr>
            <w:tcW w:w="100" w:type="dxa"/>
            <w:vAlign w:val="bottom"/>
          </w:tcPr>
          <w:p>
            <w:pPr>
              <w:spacing w:after="0"/>
              <w:rPr>
                <w:sz w:val="17"/>
                <w:szCs w:val="17"/>
                <w:color w:val="auto"/>
              </w:rPr>
            </w:pPr>
          </w:p>
        </w:tc>
      </w:tr>
      <w:tr>
        <w:trPr>
          <w:trHeight w:val="196"/>
        </w:trPr>
        <w:tc>
          <w:tcPr>
            <w:tcW w:w="810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516,699</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485,596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609,523</w:t>
            </w:r>
          </w:p>
        </w:tc>
        <w:tc>
          <w:tcPr>
            <w:tcW w:w="80" w:type="dxa"/>
            <w:vAlign w:val="bottom"/>
          </w:tcPr>
          <w:p>
            <w:pPr>
              <w:spacing w:after="0"/>
              <w:rPr>
                <w:sz w:val="17"/>
                <w:szCs w:val="17"/>
                <w:color w:val="auto"/>
              </w:rPr>
            </w:pPr>
          </w:p>
        </w:tc>
        <w:tc>
          <w:tcPr>
            <w:tcW w:w="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-4354195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-3317240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-3317240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-2253615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-1731010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19"/>
                <w:szCs w:val="19"/>
                <w:color w:val="auto"/>
              </w:rPr>
            </w:pPr>
          </w:p>
        </w:tc>
        <w:tc>
          <w:tcPr>
            <w:tcW w:w="28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4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280,077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197,422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555,312</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382,297</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208,600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138,671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417,811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270,821</w:t>
            </w:r>
          </w:p>
        </w:tc>
        <w:tc>
          <w:tcPr>
            <w:tcW w:w="100" w:type="dxa"/>
            <w:vAlign w:val="bottom"/>
          </w:tcPr>
          <w:p>
            <w:pPr>
              <w:spacing w:after="0"/>
              <w:rPr>
                <w:sz w:val="17"/>
                <w:szCs w:val="17"/>
                <w:color w:val="auto"/>
              </w:rPr>
            </w:pPr>
          </w:p>
        </w:tc>
      </w:tr>
      <w:tr>
        <w:trPr>
          <w:trHeight w:val="196"/>
        </w:trPr>
        <w:tc>
          <w:tcPr>
            <w:tcW w:w="49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71,477</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58,751</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137,501</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111,476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15,231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30,332</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24,586</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29,610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26,766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55,661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50,005</w:t>
            </w:r>
          </w:p>
        </w:tc>
        <w:tc>
          <w:tcPr>
            <w:tcW w:w="10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10,714</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9,214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19,897</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55,555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105,890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92,897</w:t>
            </w:r>
          </w:p>
        </w:tc>
        <w:tc>
          <w:tcPr>
            <w:tcW w:w="100" w:type="dxa"/>
            <w:vAlign w:val="bottom"/>
          </w:tcPr>
          <w:p>
            <w:pPr>
              <w:spacing w:after="0"/>
              <w:rPr>
                <w:sz w:val="17"/>
                <w:szCs w:val="17"/>
                <w:color w:val="auto"/>
              </w:rPr>
            </w:pPr>
          </w:p>
        </w:tc>
      </w:tr>
      <w:tr>
        <w:trPr>
          <w:trHeight w:val="196"/>
        </w:trPr>
        <w:tc>
          <w:tcPr>
            <w:tcW w:w="490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15,922</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10,236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31,611</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140"/>
              <w:spacing w:after="0" w:line="196" w:lineRule="exact"/>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4,398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4,380</w:t>
            </w:r>
          </w:p>
        </w:tc>
        <w:tc>
          <w:tcPr>
            <w:tcW w:w="10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18,369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12,469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36,170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23,229</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(3,662)</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(3,105)</w:t>
            </w:r>
          </w:p>
        </w:tc>
        <w:tc>
          <w:tcPr>
            <w:tcW w:w="20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(7,650)</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(6,639)</w:t>
            </w:r>
          </w:p>
        </w:tc>
      </w:tr>
      <w:tr>
        <w:trPr>
          <w:trHeight w:val="20"/>
        </w:trPr>
        <w:tc>
          <w:tcPr>
            <w:tcW w:w="4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14,707</w:t>
            </w: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9,364</w:t>
            </w:r>
          </w:p>
        </w:tc>
        <w:tc>
          <w:tcPr>
            <w:tcW w:w="1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28,520</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16,590</w:t>
            </w:r>
          </w:p>
        </w:tc>
        <w:tc>
          <w:tcPr>
            <w:tcW w:w="10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0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900" w:type="dxa"/>
            <w:vAlign w:val="bottom"/>
          </w:tcPr>
          <w:p>
            <w:pPr>
              <w:ind w:left="260"/>
              <w:spacing w:after="0" w:line="202" w:lineRule="exact"/>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0.22</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7"/>
                <w:szCs w:val="17"/>
                <w:color w:val="auto"/>
              </w:rPr>
            </w:pPr>
          </w:p>
        </w:tc>
      </w:tr>
      <w:tr>
        <w:trPr>
          <w:trHeight w:val="184"/>
        </w:trPr>
        <w:tc>
          <w:tcPr>
            <w:tcW w:w="4900" w:type="dxa"/>
            <w:vAlign w:val="bottom"/>
          </w:tcPr>
          <w:p>
            <w:pPr>
              <w:ind w:left="140"/>
              <w:spacing w:after="0" w:line="183" w:lineRule="exact"/>
              <w:rPr>
                <w:sz w:val="20"/>
                <w:szCs w:val="20"/>
                <w:color w:val="auto"/>
              </w:rPr>
            </w:pPr>
            <w:r>
              <w:rPr>
                <w:rFonts w:ascii="Arial" w:cs="Arial" w:eastAsia="Arial" w:hAnsi="Arial"/>
                <w:sz w:val="18"/>
                <w:szCs w:val="18"/>
                <w:color w:val="auto"/>
              </w:rPr>
              <w:t>Weighted-average number of shares used to compute net</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90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9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125,077,964</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124,264,789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125,066,334</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124,106,046</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60"/>
              <w:spacing w:after="0" w:line="202"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129,030,539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127,252,366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128,967,807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127,074,921</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60"/>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14,707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28,520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16,590</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(82)</w:t>
            </w:r>
          </w:p>
        </w:tc>
      </w:tr>
      <w:tr>
        <w:trPr>
          <w:trHeight w:val="20"/>
        </w:trPr>
        <w:tc>
          <w:tcPr>
            <w:tcW w:w="4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00" w:type="dxa"/>
            <w:vAlign w:val="bottom"/>
          </w:tcPr>
          <w:p>
            <w:pPr>
              <w:ind w:left="260"/>
              <w:spacing w:after="0" w:line="196" w:lineRule="exact"/>
              <w:rPr>
                <w:sz w:val="20"/>
                <w:szCs w:val="20"/>
                <w:color w:val="auto"/>
              </w:rPr>
            </w:pPr>
            <w:r>
              <w:rPr>
                <w:rFonts w:ascii="Arial" w:cs="Arial" w:eastAsia="Arial" w:hAnsi="Arial"/>
                <w:sz w:val="18"/>
                <w:szCs w:val="18"/>
                <w:color w:val="auto"/>
              </w:rPr>
              <w:t>Comprehensive income</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14,770</w:t>
            </w: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9,324</w:t>
            </w:r>
          </w:p>
        </w:tc>
        <w:tc>
          <w:tcPr>
            <w:tcW w:w="1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28,529</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16,508</w:t>
            </w:r>
          </w:p>
        </w:tc>
        <w:tc>
          <w:tcPr>
            <w:tcW w:w="10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-2939415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-2939415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-2939415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-2416810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-2416810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-2416810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-2142490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-2142490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-2142490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-1876425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-1876425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-1876425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-1610995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-1610995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-1610995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-161925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w w:val="99"/>
              </w:rPr>
              <w:t>Additional</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right="42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40" w:type="dxa"/>
            <w:vAlign w:val="bottom"/>
            <w:tcBorders>
              <w:bottom w:val="single" w:sz="8" w:color="auto"/>
            </w:tcBorders>
            <w:gridSpan w:val="4"/>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Paid-In</w:t>
            </w:r>
          </w:p>
        </w:tc>
        <w:tc>
          <w:tcPr>
            <w:tcW w:w="4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56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2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17"/>
                <w:szCs w:val="17"/>
                <w:color w:val="auto"/>
              </w:rPr>
            </w:pPr>
          </w:p>
        </w:tc>
        <w:tc>
          <w:tcPr>
            <w:tcW w:w="8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9"/>
              </w:rPr>
              <w:t>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right="420"/>
              <w:spacing w:after="0" w:line="19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408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2024</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124,836,2</w:t>
            </w: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389,904</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w:t>
            </w: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485,596</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8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328,201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9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(73,798)</w:t>
            </w: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408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b w:val="1"/>
                <w:bCs w:val="1"/>
                <w:color w:val="auto"/>
              </w:rPr>
              <w:t>Balances at March 31, 2025</w:t>
            </w: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125,124,4</w:t>
            </w:r>
          </w:p>
        </w:tc>
        <w:tc>
          <w:tcPr>
            <w:tcW w:w="6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6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390,944</w:t>
            </w: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109,726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500,395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0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3,315</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3,315</w:t>
            </w: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8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28,240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9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of restricted stock units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157,818</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80" w:type="dxa"/>
            <w:vAlign w:val="bottom"/>
          </w:tcPr>
          <w:p>
            <w:pPr>
              <w:spacing w:after="0" w:line="183" w:lineRule="exact"/>
              <w:rPr>
                <w:sz w:val="20"/>
                <w:szCs w:val="20"/>
                <w:color w:val="auto"/>
              </w:rPr>
            </w:pPr>
            <w:r>
              <w:rPr>
                <w:rFonts w:ascii="Arial" w:cs="Arial" w:eastAsia="Arial" w:hAnsi="Arial"/>
                <w:sz w:val="18"/>
                <w:szCs w:val="18"/>
                <w:color w:val="auto"/>
              </w:rPr>
              <w:t>Shares withheld for the withholding tax on vesting</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of restricted stock units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(47,209)</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(1,821)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14,707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14,707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408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June 30, 2025</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125,263,2</w:t>
            </w: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40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392,478</w:t>
            </w:r>
          </w:p>
        </w:tc>
        <w:tc>
          <w:tcPr>
            <w:tcW w:w="8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124,433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w:t>
            </w: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516,699</w:t>
            </w:r>
          </w:p>
        </w:tc>
        <w:tc>
          <w:tcPr>
            <w:tcW w:w="12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120" w:type="dxa"/>
            <w:vAlign w:val="bottom"/>
          </w:tcPr>
          <w:p>
            <w:pPr>
              <w:spacing w:after="0"/>
              <w:rPr>
                <w:sz w:val="24"/>
                <w:szCs w:val="24"/>
                <w:color w:val="auto"/>
              </w:rPr>
            </w:pPr>
          </w:p>
        </w:tc>
        <w:tc>
          <w:tcPr>
            <w:tcW w:w="40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-2579370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-2579370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-2579370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-2579370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-2579370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-2579370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-864870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-847725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-864870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-847725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-864870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-847725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-864870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-847725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-864870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-847725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-864870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-847725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7"/>
                <w:szCs w:val="17"/>
                <w:color w:val="auto"/>
              </w:rPr>
            </w:pPr>
          </w:p>
        </w:tc>
        <w:tc>
          <w:tcPr>
            <w:tcW w:w="10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58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84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7"/>
                <w:szCs w:val="17"/>
                <w:color w:val="auto"/>
              </w:rPr>
            </w:pPr>
          </w:p>
        </w:tc>
        <w:tc>
          <w:tcPr>
            <w:tcW w:w="102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December 31, 2023</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123,821,1</w:t>
            </w:r>
          </w:p>
        </w:tc>
        <w:tc>
          <w:tcPr>
            <w:tcW w:w="10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377,773</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51,744</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69,246</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235,619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March 31, 2024</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124,125,9</w:t>
            </w:r>
          </w:p>
        </w:tc>
        <w:tc>
          <w:tcPr>
            <w:tcW w:w="10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380,357</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58,970</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439,384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Stock-based compensation</w:t>
            </w: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2,882</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2,882</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 exercise</w:t>
            </w: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115,775</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 vesting</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8"/>
                <w:szCs w:val="18"/>
                <w:color w:val="auto"/>
              </w:rPr>
              <w:t>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232,728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9,364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Balances at June 30, 2024</w:t>
            </w:r>
          </w:p>
        </w:tc>
        <w:tc>
          <w:tcPr>
            <w:tcW w:w="96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124,474,4</w:t>
            </w:r>
          </w:p>
        </w:tc>
        <w:tc>
          <w:tcPr>
            <w:tcW w:w="10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6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383,276</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68,334</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-1216660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-1199515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-1216660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-1199515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-1216660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-1199515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-1216660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-1199515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-1216660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-1199515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-1216660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-1199515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67"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jc w:val="center"/>
        <w:spacing w:after="0" w:line="238"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7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Net income</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28,520</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16,590</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17,506</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Deferred income taxes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5,303</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capitalized warrants cost</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Non-cash lease expense</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capitalized contract acquisition cost</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Provision for expected credit losses and credit adjustments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non-cash adjustments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Accounts and other receivables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(15,321)</w:t>
            </w: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Accounts payable</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7,950</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Accrued and other liabilities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(2,421)</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(4,118)</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Operating lease liabilities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(1,225)</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(1,168)</w:t>
            </w:r>
          </w:p>
        </w:tc>
      </w:tr>
      <w:tr>
        <w:trPr>
          <w:trHeight w:val="189"/>
        </w:trPr>
        <w:tc>
          <w:tcPr>
            <w:tcW w:w="7400" w:type="dxa"/>
            <w:vAlign w:val="bottom"/>
          </w:tcPr>
          <w:p>
            <w:pPr>
              <w:ind w:left="340"/>
              <w:spacing w:after="0"/>
              <w:rPr>
                <w:sz w:val="20"/>
                <w:szCs w:val="20"/>
                <w:color w:val="auto"/>
              </w:rPr>
            </w:pPr>
            <w:r>
              <w:rPr>
                <w:rFonts w:ascii="Arial" w:cs="Arial" w:eastAsia="Arial" w:hAnsi="Arial"/>
                <w:sz w:val="16"/>
                <w:szCs w:val="16"/>
                <w:color w:val="auto"/>
              </w:rPr>
              <w:t>Contract liabilities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(1,053)</w:t>
            </w:r>
          </w:p>
        </w:tc>
      </w:tr>
      <w:tr>
        <w:trPr>
          <w:trHeight w:val="189"/>
        </w:trPr>
        <w:tc>
          <w:tcPr>
            <w:tcW w:w="74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Income taxes receivable, net of payable</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(587)</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(1,345)</w:t>
            </w:r>
          </w:p>
        </w:tc>
      </w:tr>
      <w:tr>
        <w:trPr>
          <w:trHeight w:val="183"/>
        </w:trPr>
        <w:tc>
          <w:tcPr>
            <w:tcW w:w="7400" w:type="dxa"/>
            <w:vAlign w:val="bottom"/>
            <w:tcBorders>
              <w:top w:val="single" w:sz="8" w:color="CFF0FC"/>
            </w:tcBorders>
          </w:tcPr>
          <w:p>
            <w:pPr>
              <w:ind w:left="4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81,920</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28,984</w:t>
            </w:r>
          </w:p>
        </w:tc>
        <w:tc>
          <w:tcPr>
            <w:tcW w:w="100" w:type="dxa"/>
            <w:vAlign w:val="bottom"/>
            <w:tcBorders>
              <w:top w:val="single" w:sz="8" w:color="CFF0FC"/>
            </w:tcBorders>
          </w:tcPr>
          <w:p>
            <w:pPr>
              <w:spacing w:after="0"/>
              <w:rPr>
                <w:sz w:val="15"/>
                <w:szCs w:val="15"/>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w:t>
            </w: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Purchases of interest-bearing deposits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(913)</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(1,313)</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Proceeds from matured interest-bearing deposits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Capitalized internal-use software development costs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(18,166)</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(18,362)</w:t>
            </w:r>
          </w:p>
        </w:tc>
      </w:tr>
      <w:tr>
        <w:trPr>
          <w:trHeight w:val="20"/>
        </w:trPr>
        <w:tc>
          <w:tcPr>
            <w:tcW w:w="74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400" w:type="dxa"/>
            <w:vAlign w:val="bottom"/>
          </w:tcPr>
          <w:p>
            <w:pPr>
              <w:ind w:left="340"/>
              <w:spacing w:after="0" w:line="183" w:lineRule="exact"/>
              <w:rPr>
                <w:sz w:val="20"/>
                <w:szCs w:val="20"/>
                <w:color w:val="auto"/>
              </w:rPr>
            </w:pPr>
            <w:r>
              <w:rPr>
                <w:rFonts w:ascii="Arial" w:cs="Arial" w:eastAsia="Arial" w:hAnsi="Arial"/>
                <w:sz w:val="16"/>
                <w:szCs w:val="16"/>
                <w:color w:val="auto"/>
              </w:rPr>
              <w:t>Net cash used in investing activities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(17,708)</w:t>
            </w:r>
          </w:p>
        </w:tc>
        <w:tc>
          <w:tcPr>
            <w:tcW w:w="220" w:type="dxa"/>
            <w:vAlign w:val="bottom"/>
          </w:tcPr>
          <w:p>
            <w:pPr>
              <w:spacing w:after="0"/>
              <w:rPr>
                <w:sz w:val="15"/>
                <w:szCs w:val="15"/>
                <w:color w:val="auto"/>
              </w:rPr>
            </w:pPr>
          </w:p>
        </w:tc>
        <w:tc>
          <w:tcPr>
            <w:tcW w:w="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(18,789)</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Proceeds from exercise of stock-based awards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Payments of taxes withheld on net settled vesting of restricted stock units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(3,764)</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Settlement of holdback liability related to prior acquisitions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r>
      <w:tr>
        <w:trPr>
          <w:trHeight w:val="20"/>
        </w:trPr>
        <w:tc>
          <w:tcPr>
            <w:tcW w:w="7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00" w:type="dxa"/>
            <w:vAlign w:val="bottom"/>
            <w:shd w:val="clear" w:color="auto" w:fill="CFF0FC"/>
          </w:tcPr>
          <w:p>
            <w:pPr>
              <w:ind w:left="340"/>
              <w:spacing w:after="0" w:line="183" w:lineRule="exact"/>
              <w:rPr>
                <w:sz w:val="20"/>
                <w:szCs w:val="20"/>
                <w:color w:val="auto"/>
              </w:rPr>
            </w:pPr>
            <w:r>
              <w:rPr>
                <w:rFonts w:ascii="Arial" w:cs="Arial" w:eastAsia="Arial" w:hAnsi="Arial"/>
                <w:sz w:val="16"/>
                <w:szCs w:val="16"/>
                <w:color w:val="auto"/>
              </w:rPr>
              <w:t>Net cash used in financing activities</w:t>
            </w: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(3,673)</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(369)</w:t>
            </w:r>
          </w:p>
        </w:tc>
      </w:tr>
      <w:tr>
        <w:trPr>
          <w:trHeight w:val="20"/>
        </w:trPr>
        <w:tc>
          <w:tcPr>
            <w:tcW w:w="74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 and Restricted cash</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(141)</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increase in cash, cash equivalents and Restricted cash</w:t>
            </w:r>
          </w:p>
        </w:tc>
        <w:tc>
          <w:tcPr>
            <w:tcW w:w="13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60,634</w:t>
            </w: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9,685</w:t>
            </w: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Cash and cash equivalents and Restricted cash at the beginning of period</w:t>
            </w:r>
          </w:p>
        </w:tc>
        <w:tc>
          <w:tcPr>
            <w:tcW w:w="1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183,195</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and cash equivalents and Restricted cash at the end of period</w:t>
            </w:r>
          </w:p>
        </w:tc>
        <w:tc>
          <w:tcPr>
            <w:tcW w:w="14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270,045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192,880</w:t>
            </w:r>
          </w:p>
        </w:tc>
        <w:tc>
          <w:tcPr>
            <w:tcW w:w="100" w:type="dxa"/>
            <w:vAlign w:val="bottom"/>
            <w:shd w:val="clear" w:color="auto" w:fill="CFF0FC"/>
          </w:tcPr>
          <w:p>
            <w:pPr>
              <w:spacing w:after="0"/>
              <w:rPr>
                <w:sz w:val="19"/>
                <w:szCs w:val="19"/>
                <w:color w:val="auto"/>
              </w:rPr>
            </w:pPr>
          </w:p>
        </w:tc>
      </w:tr>
      <w:tr>
        <w:trPr>
          <w:trHeight w:val="170"/>
        </w:trPr>
        <w:tc>
          <w:tcPr>
            <w:tcW w:w="74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Reconciliation of Cash and cash equivalents and Restricted Cash:</w:t>
            </w:r>
          </w:p>
        </w:tc>
        <w:tc>
          <w:tcPr>
            <w:tcW w:w="13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 at the beginning of period</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205,900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179,361</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Restricted cash at the beginning of period</w:t>
            </w:r>
          </w:p>
        </w:tc>
        <w:tc>
          <w:tcPr>
            <w:tcW w:w="1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Restricted cash at the beginning of period</w:t>
            </w:r>
          </w:p>
        </w:tc>
        <w:tc>
          <w:tcPr>
            <w:tcW w:w="14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209,411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183,195</w:t>
            </w:r>
          </w:p>
        </w:tc>
        <w:tc>
          <w:tcPr>
            <w:tcW w:w="100" w:type="dxa"/>
            <w:vAlign w:val="bottom"/>
            <w:shd w:val="clear" w:color="auto" w:fill="CFF0FC"/>
          </w:tcPr>
          <w:p>
            <w:pPr>
              <w:spacing w:after="0"/>
              <w:rPr>
                <w:sz w:val="19"/>
                <w:szCs w:val="19"/>
                <w:color w:val="auto"/>
              </w:rPr>
            </w:pPr>
          </w:p>
        </w:tc>
      </w:tr>
      <w:tr>
        <w:trPr>
          <w:trHeight w:val="170"/>
        </w:trPr>
        <w:tc>
          <w:tcPr>
            <w:tcW w:w="7400" w:type="dxa"/>
            <w:vAlign w:val="bottom"/>
            <w:tcBorders>
              <w:top w:val="single" w:sz="8" w:color="CFF0FC"/>
            </w:tcBorders>
          </w:tcPr>
          <w:p>
            <w:pPr>
              <w:ind w:left="180"/>
              <w:spacing w:after="0" w:line="170" w:lineRule="exact"/>
              <w:rPr>
                <w:sz w:val="20"/>
                <w:szCs w:val="20"/>
                <w:color w:val="auto"/>
              </w:rPr>
            </w:pPr>
            <w:r>
              <w:rPr>
                <w:rFonts w:ascii="Arial" w:cs="Arial" w:eastAsia="Arial" w:hAnsi="Arial"/>
                <w:sz w:val="16"/>
                <w:szCs w:val="16"/>
                <w:color w:val="auto"/>
              </w:rPr>
              <w:t>Cash and cash equivalents at the end of period</w:t>
            </w:r>
          </w:p>
        </w:tc>
        <w:tc>
          <w:tcPr>
            <w:tcW w:w="13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266,422</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188,810</w:t>
            </w:r>
          </w:p>
        </w:tc>
        <w:tc>
          <w:tcPr>
            <w:tcW w:w="100" w:type="dxa"/>
            <w:vAlign w:val="bottom"/>
            <w:tcBorders>
              <w:top w:val="single" w:sz="8" w:color="CFF0FC"/>
            </w:tcBorders>
          </w:tcPr>
          <w:p>
            <w:pPr>
              <w:spacing w:after="0"/>
              <w:rPr>
                <w:sz w:val="14"/>
                <w:szCs w:val="14"/>
                <w:color w:val="auto"/>
              </w:rPr>
            </w:pPr>
          </w:p>
        </w:tc>
      </w:tr>
      <w:tr>
        <w:trPr>
          <w:trHeight w:val="189"/>
        </w:trPr>
        <w:tc>
          <w:tcPr>
            <w:tcW w:w="7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Restricted cash at the end of period</w:t>
            </w:r>
          </w:p>
        </w:tc>
        <w:tc>
          <w:tcPr>
            <w:tcW w:w="13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3,623</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6"/>
                <w:szCs w:val="16"/>
                <w:color w:val="auto"/>
              </w:rPr>
              <w:t>Cash and cash equivalents and Restricted cash at the end of period</w:t>
            </w:r>
          </w:p>
        </w:tc>
        <w:tc>
          <w:tcPr>
            <w:tcW w:w="14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270,045</w:t>
            </w:r>
          </w:p>
        </w:tc>
        <w:tc>
          <w:tcPr>
            <w:tcW w:w="1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192,880</w:t>
            </w:r>
          </w:p>
        </w:tc>
        <w:tc>
          <w:tcPr>
            <w:tcW w:w="10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4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Cash paid for income taxes, net of refunds</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10,256</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activities: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740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of operating lease obligations</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-3418840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-3418840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-2681605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-2681605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-1936115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-1936115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-1430020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-1412875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-1430020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-1412875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-915670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-898525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-650240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(In thousands,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Santa Clara, California, Richmond Hill, Ontario (Canada), and Gurugram, Mohali and Bangalore (India). The Company is currently headquartered in Charlotte, North Carolina.</w:t>
      </w:r>
    </w:p>
    <w:p>
      <w:pPr>
        <w:spacing w:after="0" w:line="1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2024 filed with the SEC on March 11, 2025 (the “2024 Form 10-K”).</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and six months ended June 30, 2025 and 2024 are not necessarily indicative of the results to be expected for the full year or any other future interim or annual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$128.9 million and $147.2 million as of June 30, 2025 and December 31, 2024, respectively.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condensed consolidated balance sheets. As of December 31, 2024 and June 30, 2025, one reseller accounted for more than 10% of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Effective January 1, 2025, the Company changed its reporting segment structure to a single reporting segment, and the composition of the information package provided to the chief operating decision maker (“CODM”) was amended to deliver more focused and relevant data for decision-making. Previously, the Company identified three operating segments with one reportable segment. Following an internal assessment and a change in the manner in which financial results are provided to and reviewed by the CODM, the Company determined that it now operates and reports as a single operating and reportable segment. The determination was made based on the evaluation of factors, including resource allocation, management oversight, and the consolidated review of financial performance by the CODM. As a result, segment disclosures in the Company’s financial statements is updated to reflect the new reporting structure.</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Company’s CODM is its chief executive officer, and the CODM evaluates financial performance and makes resource allocation decisions based on consolidated financial information. The measure of segment profit or loss that the CODM uses to allocate resources and assess performance is the Company’s consolidated net income, as reported on the condensed consolidated statements of operations and comprehensive income. The CODM uses consolidated net income to assess overall Company performance, monitor progress toward financial targets, and make strategic decisions regarding the allocation of resources across functions and initiatives.</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accounting policies applied to the segments are the same as those described in the summary of significant accounting policies. All expense categories on the condensed consolidated statements of operations and comprehensive income are significant, and there are no other significant expenses that are reviewed or provided to the CODM, which would require disclosure.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provided to the CODM are consistent with those reported on the condensed consolidated balance sheets.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Information related to the Company’s products and services is disclosed in Note 1. Information about geographical distribution of the Company’s revenue and long-lived assets is disclosed in Notes 3 and 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2024 and 2023 and for the years ended December 31, 2024, 2023 and 2022 included in the 2024 Form 10-K. There have been no significant changes to these policies during the three and six months ended June 30, 2025, except for "Segment Information" as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w:t>
      </w:r>
    </w:p>
    <w:p>
      <w:pPr>
        <w:jc w:val="both"/>
        <w:ind w:firstLine="8"/>
        <w:spacing w:after="0" w:line="242"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7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December 2023, the FASB issued ASU 2023-09, “Improvements to Income Tax Disclosures,” which is intended to enhance income tax disclosures around the rate reconciliation and income taxes paid. The purpose of the amendment is to provide readers of the financial statements with information to better assess the differences between the effective tax rate and the statutory tax rate across multiple jurisdictions, enabling them to understand tax implications around operational opportunities and potential future cash flows. The guidance is effective beginning with the Company's Form 10-K for the fiscal year ending December 31, 2025. The adoption of ASU 2023-09 is not expected to have a material impact on the Company's financial position or results of operations.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1" w:name="page12"/>
    <w:bookmarkEnd w:id="11"/>
    <w:p>
      <w:pPr>
        <w:jc w:val="both"/>
        <w:ind w:firstLine="494"/>
        <w:spacing w:after="0"/>
        <w:rPr>
          <w:sz w:val="20"/>
          <w:szCs w:val="20"/>
          <w:color w:val="auto"/>
        </w:rPr>
      </w:pPr>
      <w:r>
        <w:rPr>
          <w:rFonts w:ascii="Arial" w:cs="Arial" w:eastAsia="Arial" w:hAnsi="Arial"/>
          <w:sz w:val="18"/>
          <w:szCs w:val="18"/>
          <w:color w:val="auto"/>
        </w:rPr>
        <w:t>In November 2024, the Financial Accounting Standards Board issued ASU 2024-03, Disaggregation of Income Statement Expenses (Topic 220), which requires additional disclosures, for interim and annual reporting, of expenses by nature, such as employee compensation, depreciation and amortization, and selling expenses. The updated standard will be effective for annual periods beginning in fiscal 2027 and interim periods beginning in the first quarter of fiscal 2028. Early adoption is permitted. This ASU will result in the required additional disclosures being included in the consolidated financial statements on a prospective basis, with the option for retrospective application, once adopted. The guidance is effective beginning with the Company's Form 10-K for the fiscal year ending December 31, 2027. The Company is currently evaluating the potential impact of adopting this new guidance on its condensed consolidated financial statements and related disclosures.</w:t>
      </w:r>
    </w:p>
    <w:p>
      <w:pPr>
        <w:spacing w:after="0" w:line="180" w:lineRule="exact"/>
        <w:rPr>
          <w:sz w:val="20"/>
          <w:szCs w:val="20"/>
          <w:color w:val="auto"/>
        </w:rPr>
      </w:pPr>
    </w:p>
    <w:p>
      <w:pPr>
        <w:ind w:right="5840" w:firstLine="8"/>
        <w:spacing w:after="0" w:line="360" w:lineRule="auto"/>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Performance Obligations and Contract Balances </w:t>
      </w:r>
      <w:r>
        <w:rPr>
          <w:rFonts w:ascii="Arial" w:cs="Arial" w:eastAsia="Arial" w:hAnsi="Arial"/>
          <w:sz w:val="18"/>
          <w:szCs w:val="18"/>
          <w:b w:val="1"/>
          <w:bCs w:val="1"/>
          <w:i w:val="1"/>
          <w:iCs w:val="1"/>
          <w:color w:val="auto"/>
        </w:rPr>
        <w:t>Disaggregation of Revenue</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disaggregation of revenue from contracts with customers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19"/>
                <w:szCs w:val="19"/>
                <w:color w:val="auto"/>
              </w:rPr>
            </w:pPr>
          </w:p>
        </w:tc>
        <w:tc>
          <w:tcPr>
            <w:tcW w:w="260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4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transaction processing revenue</w:t>
            </w:r>
          </w:p>
        </w:tc>
        <w:tc>
          <w:tcPr>
            <w:tcW w:w="1600" w:type="dxa"/>
            <w:vAlign w:val="bottom"/>
            <w:gridSpan w:val="2"/>
            <w:shd w:val="clear" w:color="auto" w:fill="CFF0FC"/>
          </w:tcPr>
          <w:p>
            <w:pPr>
              <w:ind w:left="13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278,080</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193,564</w:t>
            </w:r>
          </w:p>
        </w:tc>
        <w:tc>
          <w:tcPr>
            <w:tcW w:w="3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551,360</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376,316</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5,981</w:t>
            </w:r>
          </w:p>
        </w:tc>
        <w:tc>
          <w:tcPr>
            <w:tcW w:w="100" w:type="dxa"/>
            <w:vAlign w:val="bottom"/>
          </w:tcPr>
          <w:p>
            <w:pPr>
              <w:spacing w:after="0"/>
              <w:rPr>
                <w:sz w:val="17"/>
                <w:szCs w:val="17"/>
                <w:color w:val="auto"/>
              </w:rPr>
            </w:pPr>
          </w:p>
        </w:tc>
      </w:tr>
      <w:tr>
        <w:trPr>
          <w:trHeight w:val="216"/>
        </w:trPr>
        <w:tc>
          <w:tcPr>
            <w:tcW w:w="46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 revenue</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280,077</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197,422</w:t>
            </w:r>
          </w:p>
        </w:tc>
        <w:tc>
          <w:tcPr>
            <w:tcW w:w="3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555,312</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382,297</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19"/>
                <w:szCs w:val="19"/>
                <w:color w:val="auto"/>
              </w:rPr>
            </w:pPr>
          </w:p>
        </w:tc>
        <w:tc>
          <w:tcPr>
            <w:tcW w:w="258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700" w:type="dxa"/>
            <w:vAlign w:val="bottom"/>
            <w:gridSpan w:val="2"/>
            <w:shd w:val="clear" w:color="auto" w:fill="CFF0FC"/>
          </w:tcPr>
          <w:p>
            <w:pPr>
              <w:ind w:left="24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275,417</w:t>
            </w:r>
          </w:p>
        </w:tc>
        <w:tc>
          <w:tcPr>
            <w:tcW w:w="3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193,483</w:t>
            </w:r>
          </w:p>
        </w:tc>
        <w:tc>
          <w:tcPr>
            <w:tcW w:w="3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546,096</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374,784</w:t>
            </w:r>
          </w:p>
        </w:tc>
        <w:tc>
          <w:tcPr>
            <w:tcW w:w="100" w:type="dxa"/>
            <w:vAlign w:val="bottom"/>
            <w:shd w:val="clear" w:color="auto" w:fill="CFF0FC"/>
          </w:tcPr>
          <w:p>
            <w:pPr>
              <w:spacing w:after="0"/>
              <w:rPr>
                <w:sz w:val="17"/>
                <w:szCs w:val="17"/>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4,660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9,216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7,513</w:t>
            </w:r>
          </w:p>
        </w:tc>
        <w:tc>
          <w:tcPr>
            <w:tcW w:w="100" w:type="dxa"/>
            <w:vAlign w:val="bottom"/>
          </w:tcPr>
          <w:p>
            <w:pPr>
              <w:spacing w:after="0"/>
              <w:rPr>
                <w:sz w:val="17"/>
                <w:szCs w:val="17"/>
                <w:color w:val="auto"/>
              </w:rPr>
            </w:pPr>
          </w:p>
        </w:tc>
      </w:tr>
      <w:tr>
        <w:trPr>
          <w:trHeight w:val="216"/>
        </w:trPr>
        <w:tc>
          <w:tcPr>
            <w:tcW w:w="35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280,077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197,422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555,312</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382,297</w:t>
            </w:r>
          </w:p>
        </w:tc>
        <w:tc>
          <w:tcPr>
            <w:tcW w:w="100" w:type="dxa"/>
            <w:vAlign w:val="bottom"/>
            <w:shd w:val="clear" w:color="auto" w:fill="CFF0FC"/>
          </w:tcPr>
          <w:p>
            <w:pPr>
              <w:spacing w:after="0"/>
              <w:rPr>
                <w:sz w:val="18"/>
                <w:szCs w:val="18"/>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June 30, 2025, the aggregate amount of transaction price allocated to performance obligations that are unsatisfied or partially unsatisfied was $6.4 million, of which the Company expects to recognize over 75% within the next two years, 17% between two to four years and the remainder thereafter. The timing of revenue recognition within the next four years is largely dependent upon the go-live dates of the Company's customers under the Company’s contracts.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June 30, 2025, the Company has contractual rights under its commercial agreements with customers and resellers to receive $54.1 million of fixed consideration related to the future minimum guarantees through 2029.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tcPr>
          <w:p>
            <w:pPr>
              <w:spacing w:after="0"/>
              <w:rPr>
                <w:sz w:val="20"/>
                <w:szCs w:val="20"/>
                <w:color w:val="auto"/>
              </w:rPr>
            </w:pPr>
            <w:r>
              <w:rPr>
                <w:rFonts w:ascii="Arial" w:cs="Arial" w:eastAsia="Arial" w:hAnsi="Arial"/>
                <w:sz w:val="18"/>
                <w:szCs w:val="18"/>
                <w:b w:val="1"/>
                <w:bCs w:val="1"/>
                <w:i w:val="1"/>
                <w:iCs w:val="1"/>
                <w:color w:val="auto"/>
              </w:rPr>
              <w:t>Contract Liabilities</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880" w:type="dxa"/>
            <w:vAlign w:val="bottom"/>
          </w:tcPr>
          <w:p>
            <w:pPr>
              <w:ind w:left="500"/>
              <w:spacing w:after="0"/>
              <w:rPr>
                <w:sz w:val="20"/>
                <w:szCs w:val="20"/>
                <w:color w:val="auto"/>
              </w:rPr>
            </w:pPr>
            <w:r>
              <w:rPr>
                <w:rFonts w:ascii="Arial" w:cs="Arial" w:eastAsia="Arial" w:hAnsi="Arial"/>
                <w:sz w:val="18"/>
                <w:szCs w:val="18"/>
                <w:color w:val="auto"/>
              </w:rPr>
              <w:t>Contract liabilities consist of the following (in thousands):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Liabilities:</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100"/>
              <w:spacing w:after="0" w:line="202" w:lineRule="exact"/>
              <w:rPr>
                <w:sz w:val="20"/>
                <w:szCs w:val="20"/>
                <w:color w:val="auto"/>
              </w:rPr>
            </w:pPr>
            <w:r>
              <w:rPr>
                <w:rFonts w:ascii="Arial" w:cs="Arial" w:eastAsia="Arial" w:hAnsi="Arial"/>
                <w:sz w:val="18"/>
                <w:szCs w:val="18"/>
                <w:color w:val="auto"/>
              </w:rPr>
              <w:t>Current</w:t>
            </w:r>
          </w:p>
        </w:tc>
        <w:tc>
          <w:tcPr>
            <w:tcW w:w="1160" w:type="dxa"/>
            <w:vAlign w:val="bottom"/>
            <w:gridSpan w:val="2"/>
          </w:tcPr>
          <w:p>
            <w:pPr>
              <w:jc w:val="right"/>
              <w:ind w:right="97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3,771</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Non-current</w:t>
            </w:r>
          </w:p>
        </w:tc>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2,666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220"/>
              <w:spacing w:after="0" w:line="182" w:lineRule="exact"/>
              <w:rPr>
                <w:sz w:val="20"/>
                <w:szCs w:val="20"/>
                <w:color w:val="auto"/>
              </w:rPr>
            </w:pPr>
            <w:r>
              <w:rPr>
                <w:rFonts w:ascii="Arial" w:cs="Arial" w:eastAsia="Arial" w:hAnsi="Arial"/>
                <w:sz w:val="18"/>
                <w:szCs w:val="18"/>
                <w:color w:val="auto"/>
              </w:rPr>
              <w:t>Total contract liabilities</w:t>
            </w:r>
          </w:p>
        </w:tc>
        <w:tc>
          <w:tcPr>
            <w:tcW w:w="1160" w:type="dxa"/>
            <w:vAlign w:val="bottom"/>
            <w:gridSpan w:val="2"/>
          </w:tcPr>
          <w:p>
            <w:pPr>
              <w:jc w:val="right"/>
              <w:ind w:right="97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w w:val="97"/>
              </w:rPr>
              <w:t>6,437</w:t>
            </w:r>
          </w:p>
        </w:tc>
        <w:tc>
          <w:tcPr>
            <w:tcW w:w="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5,720</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Revenue recognized during the three months ended June 30, 2025 and 2024 that was included in the contract liabilities balance at the beginning of each of the periods was $0.3 million and $2.1 million, respectively. Revenue recognized during the six months ended June 30, 2025 and 2024 that was included in the contract liabilities balance at the beginning of each of the periods was $0.9 million and $2.9 million, respectively.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7"/>
        </w:trPr>
        <w:tc>
          <w:tcPr>
            <w:tcW w:w="78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88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8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6,467</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6,178</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r>
      <w:tr>
        <w:trPr>
          <w:trHeight w:val="203"/>
        </w:trPr>
        <w:tc>
          <w:tcPr>
            <w:tcW w:w="7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8,686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8,277</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FF0FC"/>
          </w:tcPr>
          <w:p>
            <w:pPr>
              <w:spacing w:after="0"/>
              <w:rPr>
                <w:sz w:val="17"/>
                <w:szCs w:val="17"/>
                <w:color w:val="auto"/>
              </w:rPr>
            </w:pPr>
          </w:p>
        </w:tc>
        <w:tc>
          <w:tcPr>
            <w:tcW w:w="148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(7,646)</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(7,120)</w:t>
            </w:r>
          </w:p>
        </w:tc>
      </w:tr>
      <w:tr>
        <w:trPr>
          <w:trHeight w:val="20"/>
        </w:trPr>
        <w:tc>
          <w:tcPr>
            <w:tcW w:w="78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80" w:type="dxa"/>
            <w:vAlign w:val="bottom"/>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1,040</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1,157</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-427990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Depreciation expense recorded for property and equipment was $0.2 million and $0.2 million for the three months ended June 30, 2025 and 2024, respectively, and $0.3 million and $0.4 million for the six months ended June 30, 2025 and 2024, respectively.</w:t>
      </w:r>
    </w:p>
    <w:p>
      <w:pPr>
        <w:spacing w:after="0" w:line="46"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The Company's long-lived assets primarily consist of computer equipment and furniture. The table below summarizes long-lived assets based on its geographical area (in thousands):</w:t>
      </w:r>
    </w:p>
    <w:tbl>
      <w:tblPr>
        <w:tblLayout w:type="fixed"/>
        <w:tblInd w:w="0" w:type="dxa"/>
        <w:tblCellMar>
          <w:top w:w="0" w:type="dxa"/>
          <w:left w:w="0" w:type="dxa"/>
          <w:bottom w:w="0" w:type="dxa"/>
          <w:right w:w="0" w:type="dxa"/>
        </w:tblCellMar>
      </w:tblPr>
      <w:tr>
        <w:trPr>
          <w:trHeight w:val="204"/>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50"/>
              <w:spacing w:after="0" w:line="204"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79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361</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00" w:type="dxa"/>
            <w:vAlign w:val="bottom"/>
          </w:tcPr>
          <w:p>
            <w:pPr>
              <w:spacing w:after="0"/>
              <w:rPr>
                <w:sz w:val="17"/>
                <w:szCs w:val="17"/>
                <w:color w:val="auto"/>
              </w:rPr>
            </w:pPr>
          </w:p>
        </w:tc>
      </w:tr>
      <w:tr>
        <w:trPr>
          <w:trHeight w:val="216"/>
        </w:trPr>
        <w:tc>
          <w:tcPr>
            <w:tcW w:w="7980" w:type="dxa"/>
            <w:vAlign w:val="bottom"/>
            <w:shd w:val="clear" w:color="auto" w:fill="CFF0FC"/>
          </w:tcPr>
          <w:p>
            <w:pPr>
              <w:ind w:left="120"/>
              <w:spacing w:after="0" w:line="18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1,040</w:t>
            </w:r>
          </w:p>
        </w:tc>
        <w:tc>
          <w:tcPr>
            <w:tcW w:w="24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8"/>
                <w:szCs w:val="18"/>
                <w:color w:val="auto"/>
              </w:rPr>
            </w:pPr>
          </w:p>
        </w:tc>
      </w:tr>
      <w:tr>
        <w:trPr>
          <w:trHeight w:val="20"/>
        </w:trPr>
        <w:tc>
          <w:tcPr>
            <w:tcW w:w="7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Goodwill, Internal-use Software Development Costs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goodwill reporting units were realigned into a single reporting unit, consistent with the change to the Company's segment structure described in Note 2, "Segment Information." The changes in the carrying amount of goodwill during the three and six months ended June 30, 2025 relate to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During the three months ended June 30, 2025 and 2024, the Company capitalized $8.9 million and $9.1 million of costs related to internal-use software development, respectively. During the six months ended June 30, 2025 and 2024, the Company capitalized $18.3 million and $18.4 million of costs related to internal-use software development, respectively.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included in the condensed consolidated statements of operations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19"/>
                <w:szCs w:val="19"/>
                <w:color w:val="auto"/>
              </w:rPr>
            </w:pPr>
          </w:p>
        </w:tc>
        <w:tc>
          <w:tcPr>
            <w:tcW w:w="258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3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2860" w:type="dxa"/>
            <w:vAlign w:val="bottom"/>
            <w:gridSpan w:val="2"/>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5,517</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4,366</w:t>
            </w:r>
          </w:p>
        </w:tc>
        <w:tc>
          <w:tcPr>
            <w:tcW w:w="3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11,155</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8,395</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2,672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4,655</w:t>
            </w:r>
          </w:p>
        </w:tc>
        <w:tc>
          <w:tcPr>
            <w:tcW w:w="100" w:type="dxa"/>
            <w:vAlign w:val="bottom"/>
          </w:tcPr>
          <w:p>
            <w:pPr>
              <w:spacing w:after="0"/>
              <w:rPr>
                <w:sz w:val="17"/>
                <w:szCs w:val="17"/>
                <w:color w:val="auto"/>
              </w:rPr>
            </w:pPr>
          </w:p>
        </w:tc>
      </w:tr>
      <w:tr>
        <w:trPr>
          <w:trHeight w:val="236"/>
        </w:trPr>
        <w:tc>
          <w:tcPr>
            <w:tcW w:w="386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FF0FC"/>
          </w:tcPr>
          <w:p>
            <w:pPr>
              <w:jc w:val="right"/>
              <w:ind w:right="670"/>
              <w:spacing w:after="0" w:line="18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7"/>
              </w:rPr>
              <w:t>8,189</w:t>
            </w:r>
          </w:p>
        </w:tc>
        <w:tc>
          <w:tcPr>
            <w:tcW w:w="3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6,739</w:t>
            </w:r>
          </w:p>
        </w:tc>
        <w:tc>
          <w:tcPr>
            <w:tcW w:w="360" w:type="dxa"/>
            <w:vAlign w:val="bottom"/>
            <w:gridSpan w:val="2"/>
            <w:shd w:val="clear" w:color="auto" w:fill="CFF0FC"/>
          </w:tcPr>
          <w:p>
            <w:pPr>
              <w:jc w:val="right"/>
              <w:ind w:right="70"/>
              <w:spacing w:after="0" w:line="18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16,615</w:t>
            </w:r>
          </w:p>
        </w:tc>
        <w:tc>
          <w:tcPr>
            <w:tcW w:w="34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13,050</w:t>
            </w:r>
          </w:p>
        </w:tc>
        <w:tc>
          <w:tcPr>
            <w:tcW w:w="100" w:type="dxa"/>
            <w:vAlign w:val="bottom"/>
            <w:shd w:val="clear" w:color="auto" w:fill="CFF0FC"/>
          </w:tcPr>
          <w:p>
            <w:pPr>
              <w:spacing w:after="0"/>
              <w:rPr>
                <w:sz w:val="20"/>
                <w:szCs w:val="20"/>
                <w:color w:val="auto"/>
              </w:rPr>
            </w:pPr>
          </w:p>
        </w:tc>
      </w:tr>
      <w:tr>
        <w:trPr>
          <w:trHeight w:val="740"/>
        </w:trPr>
        <w:tc>
          <w:tcPr>
            <w:tcW w:w="386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rPr>
              <w:t>13</w:t>
            </w: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38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-993775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-976630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-993775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-976630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-993775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-976630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gridSpan w:val="4"/>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3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June 30, 2025</w:t>
            </w: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jc w:val="right"/>
              <w:ind w:right="42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jc w:val="right"/>
              <w:ind w:right="440"/>
              <w:spacing w:after="0" w:line="202" w:lineRule="exact"/>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21,827</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(20,818)</w:t>
            </w:r>
          </w:p>
        </w:tc>
        <w:tc>
          <w:tcPr>
            <w:tcW w:w="32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1,009</w:t>
            </w:r>
          </w:p>
        </w:tc>
        <w:tc>
          <w:tcPr>
            <w:tcW w:w="1400" w:type="dxa"/>
            <w:vAlign w:val="bottom"/>
            <w:tcBorders>
              <w:left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31,982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(18,360)</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13,622</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2,926</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(2,926)</w:t>
            </w: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left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(3,860)</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right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60,773</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(45,964)</w:t>
            </w:r>
          </w:p>
        </w:tc>
        <w:tc>
          <w:tcPr>
            <w:tcW w:w="32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14,809</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jc w:val="right"/>
              <w:ind w:right="40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2"/>
            <w:vMerge w:val="restart"/>
          </w:tcPr>
          <w:p>
            <w:pPr>
              <w:jc w:val="right"/>
              <w:ind w:right="400"/>
              <w:spacing w:after="0" w:line="202" w:lineRule="exact"/>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3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21,798</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(18,675)</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3,123</w:t>
            </w:r>
          </w:p>
        </w:tc>
        <w:tc>
          <w:tcPr>
            <w:tcW w:w="1420" w:type="dxa"/>
            <w:vAlign w:val="bottom"/>
            <w:tcBorders>
              <w:left w:val="single" w:sz="8" w:color="CFF0FC"/>
            </w:tcBorders>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31,946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(16,689)</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15,257</w:t>
            </w: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2,797</w:t>
            </w:r>
          </w:p>
        </w:tc>
        <w:tc>
          <w:tcPr>
            <w:tcW w:w="120" w:type="dxa"/>
            <w:vAlign w:val="bottom"/>
            <w:tcBorders>
              <w:left w:val="single" w:sz="8" w:color="CFF0FC"/>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(2,789)</w:t>
            </w: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420" w:type="dxa"/>
            <w:vAlign w:val="bottom"/>
            <w:tcBorders>
              <w:left w:val="single" w:sz="8" w:color="CFF0FC"/>
            </w:tcBorders>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(3,350)</w:t>
            </w:r>
          </w:p>
        </w:tc>
        <w:tc>
          <w:tcPr>
            <w:tcW w:w="3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right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60,579</w:t>
            </w:r>
          </w:p>
        </w:tc>
        <w:tc>
          <w:tcPr>
            <w:tcW w:w="12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(41,503)</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19,076</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-1628140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-1610995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-1628140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-1610995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-1628140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-1610995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Amortization expense of intangible assets was $2.1 million and $2.0 million for the three months ended June 30, 2025 and 2024, respectively, and $4.3 million and $4.0 million for the six months ended June 30, 2025 and 2024,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jc w:val="right"/>
              <w:ind w:right="150"/>
              <w:spacing w:after="0"/>
              <w:rPr>
                <w:sz w:val="20"/>
                <w:szCs w:val="20"/>
                <w:color w:val="auto"/>
              </w:rPr>
            </w:pPr>
            <w:r>
              <w:rPr>
                <w:rFonts w:ascii="Arial" w:cs="Arial" w:eastAsia="Arial" w:hAnsi="Arial"/>
                <w:sz w:val="18"/>
                <w:szCs w:val="18"/>
                <w:color w:val="auto"/>
              </w:rPr>
              <w:t>As of June 30, 2025, future expected amortization expense is as follows (in thousands):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0"/>
        </w:trPr>
        <w:tc>
          <w:tcPr>
            <w:tcW w:w="7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7700" w:type="dxa"/>
            <w:vAlign w:val="bottom"/>
            <w:shd w:val="clear" w:color="auto" w:fill="CFF0FC"/>
          </w:tcPr>
          <w:p>
            <w:pPr>
              <w:jc w:val="right"/>
              <w:ind w:right="5230"/>
              <w:spacing w:after="0" w:line="202" w:lineRule="exact"/>
              <w:rPr>
                <w:sz w:val="20"/>
                <w:szCs w:val="20"/>
                <w:color w:val="auto"/>
              </w:rPr>
            </w:pPr>
            <w:r>
              <w:rPr>
                <w:rFonts w:ascii="Arial" w:cs="Arial" w:eastAsia="Arial" w:hAnsi="Arial"/>
                <w:sz w:val="18"/>
                <w:szCs w:val="18"/>
                <w:b w:val="1"/>
                <w:bCs w:val="1"/>
                <w:color w:val="auto"/>
                <w:w w:val="99"/>
              </w:rPr>
              <w:t>Years Ending December 31,</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jc w:val="right"/>
              <w:ind w:right="7090"/>
              <w:spacing w:after="0" w:line="202" w:lineRule="exact"/>
              <w:rPr>
                <w:sz w:val="20"/>
                <w:szCs w:val="20"/>
                <w:color w:val="auto"/>
              </w:rPr>
            </w:pPr>
            <w:r>
              <w:rPr>
                <w:rFonts w:ascii="Arial" w:cs="Arial" w:eastAsia="Arial" w:hAnsi="Arial"/>
                <w:sz w:val="18"/>
                <w:szCs w:val="18"/>
                <w:color w:val="auto"/>
              </w:rPr>
              <w:t>2025</w:t>
            </w:r>
          </w:p>
        </w:tc>
        <w:tc>
          <w:tcPr>
            <w:tcW w:w="160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2,822</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jc w:val="right"/>
              <w:ind w:right="7090"/>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jc w:val="right"/>
              <w:ind w:right="7090"/>
              <w:spacing w:after="0" w:line="202"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jc w:val="right"/>
              <w:ind w:right="7090"/>
              <w:spacing w:after="0" w:line="202" w:lineRule="exact"/>
              <w:rPr>
                <w:sz w:val="20"/>
                <w:szCs w:val="20"/>
                <w:color w:val="auto"/>
              </w:rPr>
            </w:pPr>
            <w:r>
              <w:rPr>
                <w:rFonts w:ascii="Arial" w:cs="Arial" w:eastAsia="Arial" w:hAnsi="Arial"/>
                <w:sz w:val="18"/>
                <w:szCs w:val="18"/>
                <w:color w:val="auto"/>
              </w:rPr>
              <w:t>2028</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jc w:val="right"/>
              <w:ind w:right="7090"/>
              <w:spacing w:after="0" w:line="202" w:lineRule="exact"/>
              <w:rPr>
                <w:sz w:val="20"/>
                <w:szCs w:val="20"/>
                <w:color w:val="auto"/>
              </w:rPr>
            </w:pPr>
            <w:r>
              <w:rPr>
                <w:rFonts w:ascii="Arial" w:cs="Arial" w:eastAsia="Arial" w:hAnsi="Arial"/>
                <w:sz w:val="18"/>
                <w:szCs w:val="18"/>
                <w:color w:val="auto"/>
              </w:rPr>
              <w:t>2029</w:t>
            </w:r>
          </w:p>
        </w:tc>
        <w:tc>
          <w:tcPr>
            <w:tcW w:w="24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jc w:val="right"/>
              <w:ind w:right="4730"/>
              <w:spacing w:after="0" w:line="196" w:lineRule="exact"/>
              <w:rPr>
                <w:sz w:val="20"/>
                <w:szCs w:val="20"/>
                <w:color w:val="auto"/>
              </w:rPr>
            </w:pPr>
            <w:r>
              <w:rPr>
                <w:rFonts w:ascii="Arial" w:cs="Arial" w:eastAsia="Arial" w:hAnsi="Arial"/>
                <w:sz w:val="18"/>
                <w:szCs w:val="18"/>
                <w:color w:val="auto"/>
              </w:rPr>
              <w:t>Total future amortization expense</w:t>
            </w:r>
          </w:p>
        </w:tc>
        <w:tc>
          <w:tcPr>
            <w:tcW w:w="1600" w:type="dxa"/>
            <w:vAlign w:val="bottom"/>
            <w:gridSpan w:val="2"/>
            <w:shd w:val="clear" w:color="auto" w:fill="CFF0FC"/>
          </w:tcPr>
          <w:p>
            <w:pPr>
              <w:jc w:val="right"/>
              <w:ind w:right="1260"/>
              <w:spacing w:after="0" w:line="196" w:lineRule="exact"/>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14,809</w:t>
            </w:r>
          </w:p>
        </w:tc>
        <w:tc>
          <w:tcPr>
            <w:tcW w:w="10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three or six months ended June 30, 2025 or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80" w:type="dxa"/>
            <w:vAlign w:val="bottom"/>
          </w:tcPr>
          <w:p>
            <w:pPr>
              <w:spacing w:after="0"/>
              <w:rPr>
                <w:sz w:val="20"/>
                <w:szCs w:val="20"/>
                <w:color w:val="auto"/>
              </w:rPr>
            </w:pPr>
            <w:r>
              <w:rPr>
                <w:rFonts w:ascii="Arial" w:cs="Arial" w:eastAsia="Arial" w:hAnsi="Arial"/>
                <w:sz w:val="18"/>
                <w:szCs w:val="18"/>
                <w:b w:val="1"/>
                <w:bCs w:val="1"/>
                <w:color w:val="auto"/>
              </w:rPr>
              <w:t>6.   Prepaid expenses and other 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680" w:type="dxa"/>
            <w:vAlign w:val="bottom"/>
          </w:tcPr>
          <w:p>
            <w:pPr>
              <w:ind w:left="500"/>
              <w:spacing w:after="0"/>
              <w:rPr>
                <w:sz w:val="20"/>
                <w:szCs w:val="20"/>
                <w:color w:val="auto"/>
              </w:rPr>
            </w:pPr>
            <w:r>
              <w:rPr>
                <w:rFonts w:ascii="Arial" w:cs="Arial" w:eastAsia="Arial" w:hAnsi="Arial"/>
                <w:sz w:val="18"/>
                <w:szCs w:val="18"/>
                <w:color w:val="auto"/>
              </w:rPr>
              <w:t>The composition of prepaid expenses and other assets is as follows (in thousands):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5,362</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6,584</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Contract acquisition costs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2,832</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prepaid expenses and other assets</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12,512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16,073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Contract acquisition costs consist of upfront customer contract discounts, unamortized warrants cost and sales commissions. Other assets consist of security deposits for leased properties, investment in term deposits and input tax receivables.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4" w:name="page15"/>
    <w:bookmarkEnd w:id="14"/>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80" w:type="dxa"/>
            <w:vAlign w:val="bottom"/>
          </w:tcPr>
          <w:p>
            <w:pPr>
              <w:spacing w:after="0"/>
              <w:rPr>
                <w:sz w:val="20"/>
                <w:szCs w:val="20"/>
                <w:color w:val="auto"/>
              </w:rPr>
            </w:pPr>
            <w:r>
              <w:rPr>
                <w:rFonts w:ascii="Arial" w:cs="Arial" w:eastAsia="Arial" w:hAnsi="Arial"/>
                <w:sz w:val="18"/>
                <w:szCs w:val="18"/>
                <w:b w:val="1"/>
                <w:bCs w:val="1"/>
                <w:color w:val="auto"/>
              </w:rPr>
              <w:t>7.   Accrued and Other Liabilities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680" w:type="dxa"/>
            <w:vAlign w:val="bottom"/>
          </w:tcPr>
          <w:p>
            <w:pPr>
              <w:ind w:left="500"/>
              <w:spacing w:after="0"/>
              <w:rPr>
                <w:sz w:val="20"/>
                <w:szCs w:val="20"/>
                <w:color w:val="auto"/>
              </w:rPr>
            </w:pPr>
            <w:r>
              <w:rPr>
                <w:rFonts w:ascii="Arial" w:cs="Arial" w:eastAsia="Arial" w:hAnsi="Arial"/>
                <w:sz w:val="18"/>
                <w:szCs w:val="18"/>
                <w:color w:val="auto"/>
              </w:rPr>
              <w:t>The composition of accrued and other liabilities is as follows (in thousands):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Accrued and other liabilities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Payroll and employee-related expenses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11,030</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16,650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accrued expenses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9,335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accrued and other liabilities</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25,760</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26,462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Other accrued expenses consist of professional services, insurance and legal accruals, obligations related to agency commissions and other miscellaneous accruals. Other liabilities primarily consist of amounts payable to customers related to refunds arising from various circumstances, including dispute settlements and other customer-related transactions.</w:t>
      </w:r>
    </w:p>
    <w:p>
      <w:pPr>
        <w:spacing w:after="0" w:line="169"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2024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From time to time as appropriate, the Company accrues liabilities related to legal claims in its financial statements. Accrued liabilities related to legal matters are included within other accrued expenses in Note 7. If the loss is not probable or cannot be reasonably estimated, a liability is not recorded in its condensed consolidated financial statements. While it is not feasible to predict or determine the ultimate outcome of these matters, the Company believes that, as of June 30, 2025, except for potential losses associated with the estimated liabilities recorded in the condensed consolidated financial statements, no current claims and legal proceedings are expected to have a material adverse effect on its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8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was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certain commercial milestones was extended through December 31, 2026 and minimum revenue commitments were set for each of the calendar years through 2026. As of June 30, 2025, all 509,370 warrant shares were vested and exercisable under the May 2021 warrant agreement.</w:t>
      </w:r>
    </w:p>
    <w:p>
      <w:pPr>
        <w:spacing w:after="0" w:line="6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is subject to the achievement of certain commercial milestones through December 31, 2026 pursuant to the commercial agreement, as amended. As of June 30, 2025, 175,904 warrant shares were vested and exercisable under the August 2022 warrant agreement.</w:t>
      </w:r>
    </w:p>
    <w:p>
      <w:pPr>
        <w:spacing w:after="0" w:line="77"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cs="Arial" w:eastAsia="Arial" w:hAnsi="Arial"/>
          <w:sz w:val="18"/>
          <w:szCs w:val="18"/>
          <w:i w:val="1"/>
          <w:iCs w:val="1"/>
          <w:color w:val="auto"/>
        </w:rPr>
        <w:t>Compensation-Stock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2025, pursuant to the Evergreen Addition, approximately 5.0 million shares of Class A common stock were added to the 2021 Plan issuance reserve. At June 30, 2025, there were approximately 26.4 million remaining shares available for the Company to grant under the 2021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 summary of the Company’s option activity during the six months ended June 30, 2025 was as follows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Weighted-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740" w:type="dxa"/>
            <w:vAlign w:val="bottom"/>
          </w:tcPr>
          <w:p>
            <w:pPr>
              <w:spacing w:after="0"/>
              <w:rPr>
                <w:sz w:val="17"/>
                <w:szCs w:val="17"/>
                <w:color w:val="auto"/>
              </w:rPr>
            </w:pPr>
          </w:p>
        </w:tc>
        <w:tc>
          <w:tcPr>
            <w:tcW w:w="17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Options</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740" w:type="dxa"/>
            <w:vAlign w:val="bottom"/>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rPr>
              <w:t>per Share</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3,534,103</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8.47</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4.26</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85,525</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Options exercised</w:t>
            </w: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(61,976)</w:t>
            </w:r>
          </w:p>
        </w:tc>
        <w:tc>
          <w:tcPr>
            <w:tcW w:w="12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1.46</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Options forfeited</w:t>
            </w:r>
          </w:p>
        </w:tc>
        <w:tc>
          <w:tcPr>
            <w:tcW w:w="1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(7,667)</w:t>
            </w:r>
          </w:p>
        </w:tc>
        <w:tc>
          <w:tcPr>
            <w:tcW w:w="12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0.28</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7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at June 30, 2025</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3,464,460</w:t>
            </w:r>
          </w:p>
        </w:tc>
        <w:tc>
          <w:tcPr>
            <w:tcW w:w="10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96"/>
              </w:rPr>
              <w:t>8.61</w:t>
            </w:r>
          </w:p>
        </w:tc>
        <w:tc>
          <w:tcPr>
            <w:tcW w:w="16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3.81</w:t>
            </w:r>
          </w:p>
        </w:tc>
        <w:tc>
          <w:tcPr>
            <w:tcW w:w="260" w:type="dxa"/>
            <w:vAlign w:val="bottom"/>
            <w:tcBorders>
              <w:top w:val="single" w:sz="8" w:color="CFF0FC"/>
            </w:tcBorders>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83,620</w:t>
            </w:r>
          </w:p>
        </w:tc>
        <w:tc>
          <w:tcPr>
            <w:tcW w:w="100" w:type="dxa"/>
            <w:vAlign w:val="bottom"/>
            <w:tcBorders>
              <w:top w:val="single" w:sz="8" w:color="CFF0FC"/>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Exercisable at June 30, 2025</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3,456,085</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6"/>
              </w:rPr>
              <w:t>8.61</w:t>
            </w:r>
          </w:p>
        </w:tc>
        <w:tc>
          <w:tcPr>
            <w:tcW w:w="16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3.81</w:t>
            </w:r>
          </w:p>
        </w:tc>
        <w:tc>
          <w:tcPr>
            <w:tcW w:w="26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83,422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-316230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options granted during the six months ended June 30, 2025. Aggregate intrinsic value represents the difference between the exercise price of the options and the fair value of the Company’s common stock.</w:t>
      </w:r>
    </w:p>
    <w:p>
      <w:pPr>
        <w:spacing w:after="0" w:line="4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At June 30, 2025, there was $0.1 million of total unrecognized compensation cost related to unvested stock options granted under the 2012 Equity Incentive Plan, which is expected to be recognized over a remaining weighted-average period of 0.5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six months ended June 30, 2025 was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788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RSUs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7880" w:type="dxa"/>
            <w:vAlign w:val="bottom"/>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Awarded and unvested at December 31, 2024</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2,096,168</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605,306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29.39</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Awards vested</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(486,019)</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16.56</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forfeited</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(40,967)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17.17</w:t>
            </w:r>
          </w:p>
        </w:tc>
        <w:tc>
          <w:tcPr>
            <w:tcW w:w="100" w:type="dxa"/>
            <w:vAlign w:val="bottom"/>
          </w:tcPr>
          <w:p>
            <w:pPr>
              <w:spacing w:after="0"/>
              <w:rPr>
                <w:sz w:val="17"/>
                <w:szCs w:val="17"/>
                <w:color w:val="auto"/>
              </w:rPr>
            </w:pPr>
          </w:p>
        </w:tc>
      </w:tr>
      <w:tr>
        <w:trPr>
          <w:trHeight w:val="236"/>
        </w:trPr>
        <w:tc>
          <w:tcPr>
            <w:tcW w:w="7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Awarded and unvested at June 30, 2025</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2,174,488</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is one year from the date of grant for directors and generally ranges between four years and five years from the date of grant for employees, subject to continued provision of services for non-employees and continued employment for employees.</w:t>
      </w:r>
    </w:p>
    <w:p>
      <w:pPr>
        <w:spacing w:after="0" w:line="6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At June 30, 2025, there was $39.9 million of total unrecognized compensation cost related to unvested RSUs granted under the 2021 Plan, which is expected to be recognized over a remaining weighted-average period of 3.7 years.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Stock-based compensation expense (including amortization of capitalized warrants cost) included in the condensed consolidated statements of operations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40" w:type="dxa"/>
            <w:vAlign w:val="bottom"/>
          </w:tcPr>
          <w:p>
            <w:pPr>
              <w:spacing w:after="0"/>
              <w:rPr>
                <w:sz w:val="19"/>
                <w:szCs w:val="19"/>
                <w:color w:val="auto"/>
              </w:rPr>
            </w:pPr>
          </w:p>
        </w:tc>
        <w:tc>
          <w:tcPr>
            <w:tcW w:w="26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19"/>
                <w:szCs w:val="19"/>
                <w:color w:val="auto"/>
              </w:rPr>
            </w:pPr>
          </w:p>
        </w:tc>
        <w:tc>
          <w:tcPr>
            <w:tcW w:w="260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58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3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2,804</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1,881</w:t>
            </w:r>
          </w:p>
        </w:tc>
        <w:tc>
          <w:tcPr>
            <w:tcW w:w="100" w:type="dxa"/>
            <w:vAlign w:val="bottom"/>
          </w:tcPr>
          <w:p>
            <w:pPr>
              <w:spacing w:after="0"/>
              <w:rPr>
                <w:sz w:val="17"/>
                <w:szCs w:val="17"/>
                <w:color w:val="auto"/>
              </w:rPr>
            </w:pPr>
          </w:p>
        </w:tc>
      </w:tr>
      <w:tr>
        <w:trPr>
          <w:trHeight w:val="216"/>
        </w:trPr>
        <w:tc>
          <w:tcPr>
            <w:tcW w:w="584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Total stock-based compensation</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5,288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3,323</w:t>
            </w:r>
          </w:p>
        </w:tc>
        <w:tc>
          <w:tcPr>
            <w:tcW w:w="380" w:type="dxa"/>
            <w:vAlign w:val="bottom"/>
            <w:gridSpan w:val="2"/>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8,833</w:t>
            </w:r>
          </w:p>
        </w:tc>
        <w:tc>
          <w:tcPr>
            <w:tcW w:w="32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6,256</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Company computes its tax provision for the three and six months ended June 30, 2025 by applying the estimated annual effective tax rate to year-to-date income from recurring operations and adjusting for discrete items arising in that quarter.</w:t>
      </w:r>
    </w:p>
    <w:p>
      <w:pPr>
        <w:spacing w:after="0" w:line="46"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Company’s effective tax rate for the three and six months ended June 30, 2025 was 19.9% and 21.2%, respectively, and for the three and six months ended June 30, 2024 was 24.9% and 28.6%, respectively. The difference between the Company’s effective tax rate and the U.S. federal statutory rate of 21% in the above periods was primarily the result of permanent differences for disallowed stock-based compensation pursuant to Internal Revenue Code ("IRC") Section 162(m), state taxes and discrete benefits for excess tax benefits on stock-based compensation and prior year Canadian research and development ("R&amp;D") credit claims. In 2024, it was primarily the result of permanent differences for disallowed stock-based compensation pursuant to IRC Section 162(m), state taxes and the impact of the full valuation allowance.</w:t>
      </w:r>
    </w:p>
    <w:p>
      <w:pPr>
        <w:spacing w:after="0" w:line="77"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Company forecasts an estimated effective tax rate in 2025, exclusive of discrete benefits, of 27%, which primarily differs from the U.S. federal statutory rate due to state taxes and permanent differences on nondeductible compensation.</w:t>
      </w:r>
    </w:p>
    <w:p>
      <w:pPr>
        <w:spacing w:after="0" w:line="4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On July 4, 2025, H.R. 1, known as The One Big Beautiful Bill Act (the "OBBBA"), was enacted. The OBBBA contains significant changes to corporate taxation, including increased deductions for capital spending, expensing of domestic R&amp;D costs, and increased deductibility of interest expense deductions. The Company is currently evaluating the provisions of the new law and potential effects to the financial statements as a result of the enactment of the OBBBA.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 Attributable to Common Stock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Basic net income per share attributable to common stock is computed by dividing net income for the period by the weighted average number of common shares outstanding during the period.</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7" w:name="page18"/>
    <w:bookmarkEnd w:id="17"/>
    <w:p>
      <w:pPr>
        <w:jc w:val="both"/>
        <w:ind w:right="20"/>
        <w:spacing w:after="0" w:line="271" w:lineRule="auto"/>
        <w:rPr>
          <w:sz w:val="20"/>
          <w:szCs w:val="20"/>
          <w:color w:val="auto"/>
        </w:rPr>
      </w:pPr>
      <w:r>
        <w:rPr>
          <w:rFonts w:ascii="Arial" w:cs="Arial" w:eastAsia="Arial" w:hAnsi="Arial"/>
          <w:sz w:val="18"/>
          <w:szCs w:val="18"/>
          <w:color w:val="auto"/>
        </w:rPr>
        <w:t>reflected in diluted net income per share attributable to common stock by application of the treasury stock method. The calculation of diluted net income per share attributable to common stock excludes all anti-dilutive common shares.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14,707</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9,364</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28,520</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60" w:type="dxa"/>
            <w:vAlign w:val="bottom"/>
          </w:tcPr>
          <w:p>
            <w:pPr>
              <w:ind w:left="120"/>
              <w:spacing w:after="0" w:line="183" w:lineRule="exact"/>
              <w:rPr>
                <w:sz w:val="20"/>
                <w:szCs w:val="20"/>
                <w:color w:val="auto"/>
              </w:rPr>
            </w:pPr>
            <w:r>
              <w:rPr>
                <w:rFonts w:ascii="Arial" w:cs="Arial" w:eastAsia="Arial" w:hAnsi="Arial"/>
                <w:sz w:val="18"/>
                <w:szCs w:val="18"/>
                <w:b w:val="1"/>
                <w:bCs w:val="1"/>
                <w:color w:val="auto"/>
              </w:rPr>
              <w:t>Weighted-average shares of common stock —</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125,077,964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124,264,789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125,066,334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124,106,046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2,584,773</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2,167,559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2,551,462</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2,157,147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RSUs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1,016,437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709,580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1,018,724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721,860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Dilutive effect of warrants</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351,365</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110,438</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331,287</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89,868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360" w:type="dxa"/>
            <w:vAlign w:val="bottom"/>
          </w:tcPr>
          <w:p>
            <w:pPr>
              <w:ind w:left="120"/>
              <w:spacing w:after="0" w:line="177" w:lineRule="exact"/>
              <w:rPr>
                <w:sz w:val="20"/>
                <w:szCs w:val="20"/>
                <w:color w:val="auto"/>
              </w:rPr>
            </w:pPr>
            <w:r>
              <w:rPr>
                <w:rFonts w:ascii="Arial" w:cs="Arial" w:eastAsia="Arial" w:hAnsi="Arial"/>
                <w:sz w:val="18"/>
                <w:szCs w:val="18"/>
                <w:b w:val="1"/>
                <w:bCs w:val="1"/>
                <w:color w:val="auto"/>
              </w:rPr>
              <w:t>Weighted-average shares of common stock —</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129,030,539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127,252,366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128,967,807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127,074,921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60" w:type="dxa"/>
            <w:vAlign w:val="bottom"/>
          </w:tcPr>
          <w:p>
            <w:pPr>
              <w:ind w:left="120"/>
              <w:spacing w:after="0" w:line="161" w:lineRule="exact"/>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0.22</w:t>
            </w:r>
          </w:p>
        </w:tc>
        <w:tc>
          <w:tcPr>
            <w:tcW w:w="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-650875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-650875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-650875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summarizes the weighted average securities that were excluded from the computation of diluted net income per share attributable to common stock as their inclusion would have been antidilutive: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32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19"/>
                <w:szCs w:val="19"/>
                <w:color w:val="auto"/>
              </w:rPr>
            </w:pPr>
          </w:p>
        </w:tc>
        <w:tc>
          <w:tcPr>
            <w:tcW w:w="3320" w:type="dxa"/>
            <w:vAlign w:val="bottom"/>
            <w:gridSpan w:val="4"/>
          </w:tcPr>
          <w:p>
            <w:pPr>
              <w:ind w:left="44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46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3,633</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206,514</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3,730</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205,176</w:t>
            </w:r>
          </w:p>
        </w:tc>
        <w:tc>
          <w:tcPr>
            <w:tcW w:w="100" w:type="dxa"/>
            <w:vAlign w:val="bottom"/>
            <w:shd w:val="clear" w:color="auto" w:fill="CFF0FC"/>
          </w:tcPr>
          <w:p>
            <w:pPr>
              <w:spacing w:after="0"/>
              <w:rPr>
                <w:sz w:val="17"/>
                <w:szCs w:val="17"/>
                <w:color w:val="auto"/>
              </w:rPr>
            </w:pPr>
          </w:p>
        </w:tc>
      </w:tr>
      <w:tr>
        <w:trPr>
          <w:trHeight w:val="544"/>
        </w:trPr>
        <w:tc>
          <w:tcPr>
            <w:tcW w:w="4600" w:type="dxa"/>
            <w:vAlign w:val="bottom"/>
          </w:tcPr>
          <w:p>
            <w:pPr>
              <w:spacing w:after="0"/>
              <w:rPr>
                <w:sz w:val="24"/>
                <w:szCs w:val="24"/>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2,500 biller business and financial institution clients. Our platform was used by approximately 46 million consumers and businesses globally in December 2024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5"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80" w:type="dxa"/>
            <w:vAlign w:val="bottom"/>
          </w:tcPr>
          <w:p>
            <w:pPr>
              <w:spacing w:after="0"/>
              <w:rPr>
                <w:sz w:val="20"/>
                <w:szCs w:val="20"/>
                <w:color w:val="auto"/>
              </w:rPr>
            </w:pPr>
            <w:r>
              <w:rPr>
                <w:rFonts w:ascii="Arial" w:cs="Arial" w:eastAsia="Arial" w:hAnsi="Arial"/>
                <w:sz w:val="18"/>
                <w:szCs w:val="18"/>
                <w:b w:val="1"/>
                <w:bCs w:val="1"/>
                <w:color w:val="auto"/>
              </w:rPr>
              <w:t>Transactions Processed</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85"/>
        </w:trPr>
        <w:tc>
          <w:tcPr>
            <w:tcW w:w="5680" w:type="dxa"/>
            <w:vAlign w:val="bottom"/>
          </w:tcPr>
          <w:p>
            <w:pPr>
              <w:spacing w:after="0"/>
              <w:rPr>
                <w:sz w:val="24"/>
                <w:szCs w:val="24"/>
                <w:color w:val="auto"/>
              </w:rPr>
            </w:pPr>
          </w:p>
        </w:tc>
        <w:tc>
          <w:tcPr>
            <w:tcW w:w="28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27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Six Months Ended June 30,</w:t>
            </w:r>
          </w:p>
        </w:tc>
      </w:tr>
      <w:tr>
        <w:trPr>
          <w:trHeight w:val="177"/>
        </w:trPr>
        <w:tc>
          <w:tcPr>
            <w:tcW w:w="56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270"/>
              <w:spacing w:after="0" w:line="177"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21"/>
        </w:trPr>
        <w:tc>
          <w:tcPr>
            <w:tcW w:w="5680" w:type="dxa"/>
            <w:vAlign w:val="bottom"/>
          </w:tcPr>
          <w:p>
            <w:pPr>
              <w:spacing w:after="0"/>
              <w:rPr>
                <w:sz w:val="19"/>
                <w:szCs w:val="1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Growth</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Growth</w:t>
            </w:r>
          </w:p>
        </w:tc>
        <w:tc>
          <w:tcPr>
            <w:tcW w:w="180" w:type="dxa"/>
            <w:vAlign w:val="bottom"/>
          </w:tcPr>
          <w:p>
            <w:pPr>
              <w:spacing w:after="0"/>
              <w:rPr>
                <w:sz w:val="19"/>
                <w:szCs w:val="19"/>
                <w:color w:val="auto"/>
              </w:rPr>
            </w:pPr>
          </w:p>
        </w:tc>
      </w:tr>
      <w:tr>
        <w:trPr>
          <w:trHeight w:val="196"/>
        </w:trPr>
        <w:tc>
          <w:tcPr>
            <w:tcW w:w="5680" w:type="dxa"/>
            <w:vAlign w:val="bottom"/>
          </w:tcPr>
          <w:p>
            <w:pPr>
              <w:spacing w:after="0"/>
              <w:rPr>
                <w:sz w:val="17"/>
                <w:szCs w:val="17"/>
                <w:color w:val="auto"/>
              </w:rPr>
            </w:pPr>
          </w:p>
        </w:tc>
        <w:tc>
          <w:tcPr>
            <w:tcW w:w="16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Transactions processed</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175.8</w:t>
            </w:r>
          </w:p>
        </w:tc>
        <w:tc>
          <w:tcPr>
            <w:tcW w:w="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140.4</w:t>
            </w: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349.0</w:t>
            </w: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275.7</w:t>
            </w:r>
          </w:p>
        </w:tc>
        <w:tc>
          <w:tcPr>
            <w:tcW w:w="11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26.6%</w:t>
            </w:r>
          </w:p>
        </w:tc>
      </w:tr>
    </w:tbl>
    <w:p>
      <w:pPr>
        <w:spacing w:after="0" w:line="8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increase in number of transactions processed during the three and six months ended June 30, 2025 as compared to the same periods in 2024 was primarily driven by the addition of new billers and increased transactions from our existing billers.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the 2024 Form 10-K. Further, we are currently analyzing the provisions of the One Big Beautiful Bill Act and assessing its potential effects on our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Economic and Inflationary Trends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Significant economic uncertainty is expected to persist through the remainder of 2025, driven by concerns over trade policies, geopolitical tensions, stubborn inflation, and the interest rate outlook. For our business, these pressures may influence consumer payment patterns in competing ways. An economic slowdown could reduce our revenue per transaction and overall volume should consumers switch to lower-cost payment methods or defer payments. Conversely, a higher frequency of partial payments could increase our total transaction count, providing a potential offset. The net effect of these variables on our transaction-based revenues remains the key uncertainty for our financial performance.</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Additionally, elevated inflation could negatively affect our results due to the time lag between inflationary impacts and our ability to adjust pricing strategies. We are closely monitoring these macroeconomic trends and will take further action as needed to maintain operational resilience, while continuing to adapt our financial and operational approach in response to the evolving economic landscape.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Non-GAAP Measures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calculate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method or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8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r>
              <w:rPr>
                <w:rFonts w:ascii="Arial" w:cs="Arial" w:eastAsia="Arial" w:hAnsi="Arial"/>
                <w:sz w:val="18"/>
                <w:szCs w:val="18"/>
                <w:i w:val="1"/>
                <w:iCs w:val="1"/>
                <w:color w:val="auto"/>
              </w:rPr>
              <w:t>Contribution Profit</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44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23"/>
                <w:szCs w:val="23"/>
                <w:color w:val="auto"/>
              </w:rPr>
            </w:pPr>
          </w:p>
        </w:tc>
        <w:tc>
          <w:tcPr>
            <w:tcW w:w="234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w:t>
            </w:r>
          </w:p>
        </w:tc>
      </w:tr>
      <w:tr>
        <w:trPr>
          <w:trHeight w:val="221"/>
        </w:trPr>
        <w:tc>
          <w:tcPr>
            <w:tcW w:w="4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4"/>
          </w:tcPr>
          <w:p>
            <w:pPr>
              <w:jc w:val="right"/>
              <w:ind w:right="390"/>
              <w:spacing w:after="0" w:line="196" w:lineRule="exact"/>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2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71,477</w:t>
            </w:r>
          </w:p>
        </w:tc>
        <w:tc>
          <w:tcPr>
            <w:tcW w:w="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58,751</w:t>
            </w:r>
          </w:p>
        </w:tc>
        <w:tc>
          <w:tcPr>
            <w:tcW w:w="3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137,501</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111,476</w:t>
            </w:r>
          </w:p>
        </w:tc>
        <w:tc>
          <w:tcPr>
            <w:tcW w:w="100" w:type="dxa"/>
            <w:vAlign w:val="bottom"/>
            <w:shd w:val="clear" w:color="auto" w:fill="CFF0FC"/>
          </w:tcPr>
          <w:p>
            <w:pPr>
              <w:spacing w:after="0"/>
              <w:rPr>
                <w:sz w:val="17"/>
                <w:szCs w:val="17"/>
                <w:color w:val="auto"/>
              </w:rPr>
            </w:pPr>
          </w:p>
        </w:tc>
      </w:tr>
      <w:tr>
        <w:trPr>
          <w:trHeight w:val="203"/>
        </w:trPr>
        <w:tc>
          <w:tcPr>
            <w:tcW w:w="4440" w:type="dxa"/>
            <w:vAlign w:val="bottom"/>
          </w:tcPr>
          <w:p>
            <w:pPr>
              <w:ind w:left="100"/>
              <w:spacing w:after="0" w:line="202" w:lineRule="exact"/>
              <w:rPr>
                <w:sz w:val="20"/>
                <w:szCs w:val="20"/>
                <w:color w:val="auto"/>
              </w:rPr>
            </w:pPr>
            <w:r>
              <w:rPr>
                <w:rFonts w:ascii="Arial" w:cs="Arial" w:eastAsia="Arial" w:hAnsi="Arial"/>
                <w:sz w:val="18"/>
                <w:szCs w:val="18"/>
                <w:color w:val="auto"/>
              </w:rPr>
              <w:t>Plus: other cost of revenue</w:t>
            </w:r>
          </w:p>
        </w:tc>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22,051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17,730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43,669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34,372</w:t>
            </w:r>
          </w:p>
        </w:tc>
        <w:tc>
          <w:tcPr>
            <w:tcW w:w="100" w:type="dxa"/>
            <w:vAlign w:val="bottom"/>
          </w:tcPr>
          <w:p>
            <w:pPr>
              <w:spacing w:after="0"/>
              <w:rPr>
                <w:sz w:val="17"/>
                <w:szCs w:val="17"/>
                <w:color w:val="auto"/>
              </w:rPr>
            </w:pPr>
          </w:p>
        </w:tc>
      </w:tr>
      <w:tr>
        <w:trPr>
          <w:trHeight w:val="216"/>
        </w:trPr>
        <w:tc>
          <w:tcPr>
            <w:tcW w:w="444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Contribution profit</w:t>
            </w:r>
          </w:p>
        </w:tc>
        <w:tc>
          <w:tcPr>
            <w:tcW w:w="23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93,528</w:t>
            </w:r>
          </w:p>
        </w:tc>
        <w:tc>
          <w:tcPr>
            <w:tcW w:w="40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76,481</w:t>
            </w:r>
          </w:p>
        </w:tc>
        <w:tc>
          <w:tcPr>
            <w:tcW w:w="320" w:type="dxa"/>
            <w:vAlign w:val="bottom"/>
            <w:gridSpan w:val="2"/>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181,170</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145,848</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six months ended June 30, 2025 increased approximately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0" w:name="page21"/>
    <w:bookmarkEnd w:id="20"/>
    <w:p>
      <w:pPr>
        <w:jc w:val="both"/>
        <w:ind w:right="20"/>
        <w:spacing w:after="0" w:line="271" w:lineRule="auto"/>
        <w:rPr>
          <w:sz w:val="20"/>
          <w:szCs w:val="20"/>
          <w:color w:val="auto"/>
        </w:rPr>
      </w:pPr>
      <w:r>
        <w:rPr>
          <w:rFonts w:ascii="Arial" w:cs="Arial" w:eastAsia="Arial" w:hAnsi="Arial"/>
          <w:sz w:val="18"/>
          <w:szCs w:val="18"/>
          <w:color w:val="auto"/>
        </w:rPr>
        <w:t>22.3% and 24.2%, respectively, as compared to the same periods in 2024. The increase was driven by growth in transaction count and volume driven from both new and existing billers and financial institutions.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0" w:type="dxa"/>
            <w:vAlign w:val="bottom"/>
          </w:tcPr>
          <w:p>
            <w:pPr>
              <w:spacing w:after="0"/>
              <w:rPr>
                <w:sz w:val="20"/>
                <w:szCs w:val="20"/>
                <w:color w:val="auto"/>
              </w:rPr>
            </w:pPr>
            <w:r>
              <w:rPr>
                <w:rFonts w:ascii="Arial" w:cs="Arial" w:eastAsia="Arial" w:hAnsi="Arial"/>
                <w:sz w:val="18"/>
                <w:szCs w:val="18"/>
                <w:i w:val="1"/>
                <w:iCs w:val="1"/>
                <w:color w:val="auto"/>
              </w:rPr>
              <w:t>Adjusted Gross Profit</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3"/>
                <w:szCs w:val="23"/>
                <w:color w:val="auto"/>
              </w:rPr>
            </w:pPr>
          </w:p>
        </w:tc>
        <w:tc>
          <w:tcPr>
            <w:tcW w:w="230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w:t>
            </w:r>
          </w:p>
        </w:tc>
      </w:tr>
      <w:tr>
        <w:trPr>
          <w:trHeight w:val="221"/>
        </w:trPr>
        <w:tc>
          <w:tcPr>
            <w:tcW w:w="6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71,477</w:t>
            </w:r>
          </w:p>
        </w:tc>
        <w:tc>
          <w:tcPr>
            <w:tcW w:w="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58,751</w:t>
            </w:r>
          </w:p>
        </w:tc>
        <w:tc>
          <w:tcPr>
            <w:tcW w:w="3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137,501</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111,476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5,517</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11,155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1,657</w:t>
            </w: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gross profit</w:t>
            </w: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77,906</w:t>
            </w:r>
          </w:p>
        </w:tc>
        <w:tc>
          <w:tcPr>
            <w:tcW w:w="42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64,010</w:t>
            </w:r>
          </w:p>
        </w:tc>
        <w:tc>
          <w:tcPr>
            <w:tcW w:w="320" w:type="dxa"/>
            <w:vAlign w:val="bottom"/>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150,462</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121,645</w:t>
            </w:r>
          </w:p>
        </w:tc>
        <w:tc>
          <w:tcPr>
            <w:tcW w:w="10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gross profit for the three and six months ended June 30, 2025 increased 21.7% and 23.7%, respectively, as compared to the</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same periods in 2024. Adjusted gross profit improved in line with contribution profit. Adjusted gross profit as a percentage of contribution profit decreased modestly, as a result of changes in customer mix resulting primarily from the addition of large, high-volume enterprise billers with lower margins in our biller mix. This decline was partially offset by the realization of economies of scale. Adjusted gross profit is driven primarily by the same factors that impact gross profit with the exception of excluding the amortization and stock-based compensation recorded in cost of revenue. The increase in amortization was driven by additional capitalization of software development costs.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r>
              <w:rPr>
                <w:rFonts w:ascii="Arial" w:cs="Arial" w:eastAsia="Arial" w:hAnsi="Arial"/>
                <w:sz w:val="18"/>
                <w:szCs w:val="18"/>
                <w:i w:val="1"/>
                <w:iCs w:val="1"/>
                <w:color w:val="auto"/>
              </w:rPr>
              <w:t>Adjusted EBITDA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2240" w:type="dxa"/>
            <w:vAlign w:val="bottom"/>
            <w:gridSpan w:val="7"/>
          </w:tcPr>
          <w:p>
            <w:pPr>
              <w:ind w:left="20"/>
              <w:spacing w:after="0"/>
              <w:rPr>
                <w:sz w:val="20"/>
                <w:szCs w:val="20"/>
                <w:color w:val="auto"/>
              </w:rPr>
            </w:pPr>
            <w:r>
              <w:rPr>
                <w:rFonts w:ascii="Arial" w:cs="Arial" w:eastAsia="Arial" w:hAnsi="Arial"/>
                <w:sz w:val="18"/>
                <w:szCs w:val="18"/>
                <w:b w:val="1"/>
                <w:bCs w:val="1"/>
                <w:color w:val="auto"/>
              </w:rPr>
              <w:t>Six Months Ended June</w:t>
            </w:r>
          </w:p>
        </w:tc>
      </w:tr>
      <w:tr>
        <w:trPr>
          <w:trHeight w:val="221"/>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5"/>
          </w:tcPr>
          <w:p>
            <w:pPr>
              <w:jc w:val="right"/>
              <w:ind w:right="600"/>
              <w:spacing w:after="0" w:line="196"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 GAAP</w:t>
            </w:r>
          </w:p>
        </w:tc>
        <w:tc>
          <w:tcPr>
            <w:tcW w:w="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14,707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9,364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28,520</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16,590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(2,336)</w:t>
            </w:r>
          </w:p>
        </w:tc>
        <w:tc>
          <w:tcPr>
            <w:tcW w:w="2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(2,194)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(4,380)</w:t>
            </w:r>
          </w:p>
        </w:tc>
      </w:tr>
      <w:tr>
        <w:trPr>
          <w:trHeight w:val="203"/>
        </w:trPr>
        <w:tc>
          <w:tcPr>
            <w:tcW w:w="664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Other income</w:t>
            </w:r>
            <w:r>
              <w:rPr>
                <w:rFonts w:ascii="Arial" w:cs="Arial" w:eastAsia="Arial" w:hAnsi="Arial"/>
                <w:sz w:val="23"/>
                <w:szCs w:val="23"/>
                <w:color w:val="auto"/>
                <w:vertAlign w:val="superscript"/>
              </w:rPr>
              <w:t>(1)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7,650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6,639</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16,615</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13,050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4,041</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EBITDA</w:t>
            </w:r>
          </w:p>
        </w:tc>
        <w:tc>
          <w:tcPr>
            <w:tcW w:w="14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26,516</w:t>
            </w:r>
          </w:p>
        </w:tc>
        <w:tc>
          <w:tcPr>
            <w:tcW w:w="10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19,244</w:t>
            </w:r>
          </w:p>
        </w:tc>
        <w:tc>
          <w:tcPr>
            <w:tcW w:w="100" w:type="dxa"/>
            <w:vAlign w:val="bottom"/>
          </w:tcPr>
          <w:p>
            <w:pPr>
              <w:spacing w:after="0"/>
              <w:rPr>
                <w:sz w:val="17"/>
                <w:szCs w:val="17"/>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52,995</w:t>
            </w:r>
          </w:p>
        </w:tc>
        <w:tc>
          <w:tcPr>
            <w:tcW w:w="80" w:type="dxa"/>
            <w:vAlign w:val="bottom"/>
          </w:tcPr>
          <w:p>
            <w:pPr>
              <w:spacing w:after="0"/>
              <w:rPr>
                <w:sz w:val="17"/>
                <w:szCs w:val="17"/>
                <w:color w:val="auto"/>
              </w:rPr>
            </w:pPr>
          </w:p>
        </w:tc>
        <w:tc>
          <w:tcPr>
            <w:tcW w:w="220" w:type="dxa"/>
            <w:vAlign w:val="bottom"/>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36,142</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Adjustments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Foreign exchange gain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w:t>
            </w:r>
          </w:p>
        </w:tc>
        <w:tc>
          <w:tcPr>
            <w:tcW w:w="2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w:t>
            </w:r>
          </w:p>
        </w:tc>
      </w:tr>
      <w:tr>
        <w:trPr>
          <w:trHeight w:val="203"/>
        </w:trPr>
        <w:tc>
          <w:tcPr>
            <w:tcW w:w="66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5,288</w:t>
            </w:r>
          </w:p>
        </w:tc>
        <w:tc>
          <w:tcPr>
            <w:tcW w:w="1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3,323</w:t>
            </w:r>
          </w:p>
        </w:tc>
        <w:tc>
          <w:tcPr>
            <w:tcW w:w="1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8,833</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6,256</w:t>
            </w:r>
          </w:p>
        </w:tc>
        <w:tc>
          <w:tcPr>
            <w:tcW w:w="100" w:type="dxa"/>
            <w:vAlign w:val="bottom"/>
            <w:shd w:val="clear" w:color="auto" w:fill="CFF0FC"/>
          </w:tcPr>
          <w:p>
            <w:pPr>
              <w:spacing w:after="0"/>
              <w:rPr>
                <w:sz w:val="17"/>
                <w:szCs w:val="17"/>
                <w:color w:val="auto"/>
              </w:rPr>
            </w:pPr>
          </w:p>
        </w:tc>
      </w:tr>
      <w:tr>
        <w:trPr>
          <w:trHeight w:val="196"/>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31,693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22,528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61,667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42,341</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-830580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-830580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-830580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Other income for the six months ended June 30, 2024 includes a remeasurement adjustment relating to the purchase price of a prior acquisition.</w:t>
      </w:r>
    </w:p>
    <w:p>
      <w:pPr>
        <w:spacing w:after="0" w:line="7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Adjusted EBITDA is a measure of profitability and generally is expected to move in line with revenue, contribution profit, gross profit and adjusted gross profit. Adjusted EBITDA increased 40.7% and 45.6% in the three and six months ended June 30, 2025, respectively, as compared to the same periods in 2024. The increase was primarily attributable to higher revenues generated from growth in transaction volumes from both new and existing billers and financial institutions. The rate of growth in Adjusted EBITDA exceeded the rate of growth in both contribution profit and adjusted gross profit, reflecting the operating leverage inherent in our business, as certain operating expenses are largely fixed and did not increase in proportion to the growth in revenue.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7"/>
        </w:trPr>
        <w:tc>
          <w:tcPr>
            <w:tcW w:w="6600" w:type="dxa"/>
            <w:vAlign w:val="bottom"/>
          </w:tcPr>
          <w:p>
            <w:pPr>
              <w:spacing w:after="0"/>
              <w:rPr>
                <w:sz w:val="20"/>
                <w:szCs w:val="20"/>
                <w:color w:val="auto"/>
              </w:rPr>
            </w:pPr>
            <w:r>
              <w:rPr>
                <w:rFonts w:ascii="Arial" w:cs="Arial" w:eastAsia="Arial" w:hAnsi="Arial"/>
                <w:sz w:val="18"/>
                <w:szCs w:val="18"/>
                <w:i w:val="1"/>
                <w:iCs w:val="1"/>
                <w:color w:val="auto"/>
              </w:rPr>
              <w:t>Free Cash Flow</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Three Months Ended</w:t>
            </w:r>
          </w:p>
        </w:tc>
        <w:tc>
          <w:tcPr>
            <w:tcW w:w="23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Six Months Ended June</w:t>
            </w:r>
          </w:p>
        </w:tc>
      </w:tr>
      <w:tr>
        <w:trPr>
          <w:trHeight w:val="221"/>
        </w:trPr>
        <w:tc>
          <w:tcPr>
            <w:tcW w:w="6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94"/>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5"/>
          </w:tcPr>
          <w:p>
            <w:pPr>
              <w:jc w:val="right"/>
              <w:ind w:right="62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31,479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18,030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81,920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28,984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w:t>
            </w:r>
          </w:p>
        </w:tc>
        <w:tc>
          <w:tcPr>
            <w:tcW w:w="3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(188)</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(304)</w:t>
            </w:r>
          </w:p>
        </w:tc>
      </w:tr>
      <w:tr>
        <w:trPr>
          <w:trHeight w:val="203"/>
        </w:trPr>
        <w:tc>
          <w:tcPr>
            <w:tcW w:w="6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Capitalized internal-use software development costs</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(8,888)</w:t>
            </w:r>
          </w:p>
        </w:tc>
        <w:tc>
          <w:tcPr>
            <w:tcW w:w="3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(9,086)</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(18,166)</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(18,362)</w:t>
            </w:r>
          </w:p>
        </w:tc>
      </w:tr>
      <w:tr>
        <w:trPr>
          <w:trHeight w:val="196"/>
        </w:trPr>
        <w:tc>
          <w:tcPr>
            <w:tcW w:w="66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Free cash flow</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22,475</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8,756</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63,578</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10,318</w:t>
            </w:r>
          </w:p>
        </w:tc>
        <w:tc>
          <w:tcPr>
            <w:tcW w:w="100" w:type="dxa"/>
            <w:vAlign w:val="bottom"/>
            <w:tcBorders>
              <w:top w:val="single" w:sz="8" w:color="CFF0FC"/>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-161925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increase in free cash flow for the three and six months ended June 30, 2025, as compared to the same periods in 2024, was primarily driven by higher cash generated from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6"/>
          </w:tcPr>
          <w:p>
            <w:pPr>
              <w:spacing w:after="0"/>
              <w:rPr>
                <w:sz w:val="20"/>
                <w:szCs w:val="20"/>
                <w:color w:val="auto"/>
              </w:rPr>
            </w:pPr>
            <w:r>
              <w:rPr>
                <w:rFonts w:ascii="Arial" w:cs="Arial" w:eastAsia="Arial" w:hAnsi="Arial"/>
                <w:sz w:val="17"/>
                <w:szCs w:val="17"/>
                <w:b w:val="1"/>
                <w:bCs w:val="1"/>
                <w:color w:val="auto"/>
              </w:rPr>
              <w:t>Three Months Ended June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7"/>
                <w:szCs w:val="17"/>
                <w:b w:val="1"/>
                <w:bCs w:val="1"/>
                <w:color w:val="auto"/>
              </w:rPr>
              <w:t>Six Months Ended June</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30,</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rPr>
              <w:t>Change</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7"/>
                <w:szCs w:val="17"/>
                <w:b w:val="1"/>
                <w:bCs w:val="1"/>
                <w:color w:val="auto"/>
              </w:rPr>
              <w:t>30,</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b w:val="1"/>
                <w:bCs w:val="1"/>
                <w:color w:val="auto"/>
              </w:rPr>
              <w:t>Change</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2024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55"/>
              <w:spacing w:after="0" w:line="183"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w w:val="92"/>
              </w:rPr>
              <w:t>%</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2024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5"/>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5"/>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5"/>
          </w:tcPr>
          <w:p>
            <w:pPr>
              <w:jc w:val="right"/>
              <w:ind w:right="700"/>
              <w:spacing w:after="0" w:line="183" w:lineRule="exact"/>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Revenue</w:t>
            </w:r>
          </w:p>
        </w:tc>
        <w:tc>
          <w:tcPr>
            <w:tcW w:w="360" w:type="dxa"/>
            <w:vAlign w:val="bottom"/>
            <w:gridSpan w:val="2"/>
            <w:shd w:val="clear" w:color="auto" w:fill="CFF0FC"/>
          </w:tcPr>
          <w:p>
            <w:pPr>
              <w:ind w:left="160"/>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280,077</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197,422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82,655</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41.9 %$</w:t>
            </w: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555,312</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382,297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173,015</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45.3 %</w:t>
            </w: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208,600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138,671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69,929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8"/>
              </w:rPr>
              <w:t>50.4 %</w:t>
            </w: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417,811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270,821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146,990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54.3 %</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80"/>
              <w:spacing w:after="0" w:line="162" w:lineRule="exact"/>
              <w:rPr>
                <w:sz w:val="20"/>
                <w:szCs w:val="20"/>
                <w:color w:val="auto"/>
              </w:rPr>
            </w:pPr>
            <w:r>
              <w:rPr>
                <w:rFonts w:ascii="Arial" w:cs="Arial" w:eastAsia="Arial" w:hAnsi="Arial"/>
                <w:sz w:val="17"/>
                <w:szCs w:val="17"/>
                <w:color w:val="auto"/>
              </w:rPr>
              <w:t>Gross profit</w:t>
            </w: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6"/>
                <w:szCs w:val="16"/>
                <w:color w:val="auto"/>
              </w:rPr>
              <w:t>71,477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6"/>
                <w:szCs w:val="16"/>
                <w:color w:val="auto"/>
              </w:rPr>
              <w:t>58,751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6"/>
                <w:szCs w:val="16"/>
                <w:color w:val="auto"/>
              </w:rPr>
              <w:t>12,726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rPr>
              <w:t>21.7 %</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6"/>
                <w:szCs w:val="16"/>
                <w:color w:val="auto"/>
              </w:rPr>
              <w:t>137,501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6"/>
                <w:szCs w:val="16"/>
                <w:color w:val="auto"/>
              </w:rPr>
              <w:t>111,476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6"/>
                <w:szCs w:val="16"/>
                <w:color w:val="auto"/>
              </w:rPr>
              <w:t>26,025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229"/>
        </w:trPr>
        <w:tc>
          <w:tcPr>
            <w:tcW w:w="2380" w:type="dxa"/>
            <w:vAlign w:val="bottom"/>
          </w:tcPr>
          <w:p>
            <w:pPr>
              <w:ind w:left="100"/>
              <w:spacing w:after="0" w:line="229" w:lineRule="exact"/>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22"/>
                <w:szCs w:val="22"/>
                <w:i w:val="1"/>
                <w:iCs w:val="1"/>
                <w:color w:val="auto"/>
                <w:vertAlign w:val="superscript"/>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25.5%</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29.8%</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24.8%</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29.2%</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40"/>
              <w:spacing w:after="0" w:line="189" w:lineRule="exact"/>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15,231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12,535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2,696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8"/>
              </w:rPr>
              <w:t>21.5 %</w:t>
            </w: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30,332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24,586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5,746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23.4 %</w:t>
            </w: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29,610</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26,766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2,844</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w w:val="98"/>
              </w:rPr>
              <w:t>10.6 %</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55,661</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50,005</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5,656</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11.3 %</w:t>
            </w:r>
          </w:p>
        </w:tc>
        <w:tc>
          <w:tcPr>
            <w:tcW w:w="0" w:type="dxa"/>
            <w:vAlign w:val="bottom"/>
          </w:tcPr>
          <w:p>
            <w:pPr>
              <w:spacing w:after="0"/>
              <w:rPr>
                <w:sz w:val="1"/>
                <w:szCs w:val="1"/>
                <w:color w:val="auto"/>
              </w:rPr>
            </w:pPr>
          </w:p>
        </w:tc>
      </w:tr>
      <w:tr>
        <w:trPr>
          <w:trHeight w:val="189"/>
        </w:trPr>
        <w:tc>
          <w:tcPr>
            <w:tcW w:w="2380" w:type="dxa"/>
            <w:vAlign w:val="bottom"/>
          </w:tcPr>
          <w:p>
            <w:pPr>
              <w:ind w:left="40"/>
              <w:spacing w:after="0" w:line="189" w:lineRule="exact"/>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10,714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9,214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8"/>
              </w:rPr>
              <w:t>16.3 %</w:t>
            </w: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19,897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18,306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1,591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8.7 %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FF0FC"/>
          </w:tcPr>
          <w:p>
            <w:pPr>
              <w:ind w:left="80"/>
              <w:spacing w:after="0" w:line="183" w:lineRule="exact"/>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55,555</w:t>
            </w: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48,515</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7,040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w w:val="98"/>
              </w:rPr>
              <w:t>14.5 %</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105,890</w:t>
            </w: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92,897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12,993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14.0 %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Pr>
          <w:p>
            <w:pPr>
              <w:ind w:left="80"/>
              <w:spacing w:after="0" w:line="183" w:lineRule="exact"/>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15,922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10,236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5,686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55.5 %</w:t>
            </w: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31,611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18,579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7"/>
                <w:szCs w:val="17"/>
                <w:color w:val="auto"/>
              </w:rPr>
              <w:t>13,032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70.1 %</w:t>
            </w: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Interest income, net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2,336</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2,194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142</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6.5 %</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4,398</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4,380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189"/>
        </w:trPr>
        <w:tc>
          <w:tcPr>
            <w:tcW w:w="2380" w:type="dxa"/>
            <w:vAlign w:val="bottom"/>
          </w:tcPr>
          <w:p>
            <w:pPr>
              <w:ind w:left="40"/>
              <w:spacing w:after="0" w:line="189" w:lineRule="exact"/>
              <w:rPr>
                <w:sz w:val="20"/>
                <w:szCs w:val="20"/>
                <w:color w:val="auto"/>
              </w:rPr>
            </w:pPr>
            <w:r>
              <w:rPr>
                <w:rFonts w:ascii="Arial" w:cs="Arial" w:eastAsia="Arial" w:hAnsi="Arial"/>
                <w:sz w:val="16"/>
                <w:szCs w:val="16"/>
                <w:color w:val="auto"/>
              </w:rPr>
              <w:t xml:space="preserve">Other income </w:t>
            </w:r>
            <w:r>
              <w:rPr>
                <w:rFonts w:ascii="Arial" w:cs="Arial" w:eastAsia="Arial" w:hAnsi="Arial"/>
                <w:sz w:val="21"/>
                <w:szCs w:val="21"/>
                <w:i w:val="1"/>
                <w:iCs w:val="1"/>
                <w:color w:val="auto"/>
                <w:vertAlign w:val="superscript"/>
              </w:rPr>
              <w:t>(2)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111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ind w:left="60"/>
              <w:spacing w:after="0" w:line="189" w:lineRule="exact"/>
              <w:rPr>
                <w:sz w:val="20"/>
                <w:szCs w:val="20"/>
                <w:color w:val="auto"/>
              </w:rPr>
            </w:pPr>
            <w:r>
              <w:rPr>
                <w:rFonts w:ascii="Arial" w:cs="Arial" w:eastAsia="Arial" w:hAnsi="Arial"/>
                <w:sz w:val="17"/>
                <w:szCs w:val="17"/>
                <w:color w:val="auto"/>
                <w:w w:val="91"/>
              </w:rPr>
              <w:t>n/m</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(109)</w:t>
            </w:r>
          </w:p>
        </w:tc>
        <w:tc>
          <w:tcPr>
            <w:tcW w:w="30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FF0FC"/>
          </w:tcPr>
          <w:p>
            <w:pPr>
              <w:ind w:left="80"/>
              <w:spacing w:after="0" w:line="183" w:lineRule="exact"/>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18,369</w:t>
            </w: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12,469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5,900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w w:val="98"/>
              </w:rPr>
              <w:t>47.3 %</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36,170</w:t>
            </w: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23,229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12,941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55.7 %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Pr>
          <w:p>
            <w:pPr>
              <w:ind w:left="40"/>
              <w:spacing w:after="0" w:line="183" w:lineRule="exact"/>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(3,662)</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(3,105)</w:t>
            </w:r>
          </w:p>
        </w:tc>
        <w:tc>
          <w:tcPr>
            <w:tcW w:w="160" w:type="dxa"/>
            <w:vAlign w:val="bottom"/>
          </w:tcPr>
          <w:p>
            <w:pPr>
              <w:spacing w:after="0"/>
              <w:rPr>
                <w:sz w:val="15"/>
                <w:szCs w:val="15"/>
                <w:color w:val="auto"/>
              </w:rPr>
            </w:pPr>
          </w:p>
        </w:tc>
        <w:tc>
          <w:tcPr>
            <w:tcW w:w="7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(557)</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17.9 %</w:t>
            </w:r>
          </w:p>
        </w:tc>
        <w:tc>
          <w:tcPr>
            <w:tcW w:w="20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(7,650)</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(6,639)</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(1,011)</w:t>
            </w:r>
          </w:p>
        </w:tc>
        <w:tc>
          <w:tcPr>
            <w:tcW w:w="300" w:type="dxa"/>
            <w:vAlign w:val="bottom"/>
          </w:tcPr>
          <w:p>
            <w:pPr>
              <w:spacing w:after="0"/>
              <w:rPr>
                <w:sz w:val="15"/>
                <w:szCs w:val="15"/>
                <w:color w:val="auto"/>
              </w:rPr>
            </w:pPr>
          </w:p>
        </w:tc>
        <w:tc>
          <w:tcPr>
            <w:tcW w:w="8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15.2 %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shd w:val="clear" w:color="auto" w:fill="CFF0FC"/>
          </w:tcPr>
          <w:p>
            <w:pPr>
              <w:spacing w:after="0" w:line="169" w:lineRule="exact"/>
              <w:rPr>
                <w:sz w:val="20"/>
                <w:szCs w:val="20"/>
                <w:color w:val="auto"/>
              </w:rPr>
            </w:pPr>
            <w:r>
              <w:rPr>
                <w:rFonts w:ascii="Arial" w:cs="Arial" w:eastAsia="Arial" w:hAnsi="Arial"/>
                <w:sz w:val="17"/>
                <w:szCs w:val="17"/>
                <w:color w:val="auto"/>
              </w:rPr>
              <w:t>Net income</w:t>
            </w:r>
          </w:p>
        </w:tc>
        <w:tc>
          <w:tcPr>
            <w:tcW w:w="360" w:type="dxa"/>
            <w:vAlign w:val="bottom"/>
            <w:gridSpan w:val="2"/>
            <w:shd w:val="clear" w:color="auto" w:fill="CFF0FC"/>
          </w:tcPr>
          <w:p>
            <w:pPr>
              <w:ind w:left="160"/>
              <w:spacing w:after="0" w:line="169" w:lineRule="exact"/>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14,707</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9,364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5,343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ind w:right="15"/>
              <w:spacing w:after="0" w:line="169" w:lineRule="exact"/>
              <w:rPr>
                <w:sz w:val="20"/>
                <w:szCs w:val="20"/>
                <w:color w:val="auto"/>
              </w:rPr>
            </w:pPr>
            <w:r>
              <w:rPr>
                <w:rFonts w:ascii="Arial" w:cs="Arial" w:eastAsia="Arial" w:hAnsi="Arial"/>
                <w:sz w:val="17"/>
                <w:szCs w:val="17"/>
                <w:color w:val="auto"/>
              </w:rPr>
              <w:t>57.1 %$</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28,520</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16,590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11,930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7"/>
                <w:szCs w:val="17"/>
                <w:color w:val="auto"/>
              </w:rPr>
              <w:t>71.9 %</w:t>
            </w: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-779145</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-779145</wp:posOffset>
            </wp:positionV>
            <wp:extent cx="1117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-779145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-779145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-779145</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-779145</wp:posOffset>
            </wp:positionV>
            <wp:extent cx="1117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-779145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-779145</wp:posOffset>
            </wp:positionV>
            <wp:extent cx="145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-281940</wp:posOffset>
            </wp:positionV>
            <wp:extent cx="111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-281940</wp:posOffset>
            </wp:positionV>
            <wp:extent cx="1117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-281940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-281940</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-281940</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-281940</wp:posOffset>
            </wp:positionV>
            <wp:extent cx="1117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-281940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-281940</wp:posOffset>
            </wp:positionV>
            <wp:extent cx="1454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-24765</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-8255</wp:posOffset>
            </wp:positionV>
            <wp:extent cx="1111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1117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1117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111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1117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1117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5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Gross margin is calculated as gross profit divided by revenue.</w:t>
      </w:r>
    </w:p>
    <w:p>
      <w:pPr>
        <w:spacing w:after="0" w:line="3" w:lineRule="exact"/>
        <w:rPr>
          <w:rFonts w:ascii="Arial" w:cs="Arial" w:eastAsia="Arial" w:hAnsi="Arial"/>
          <w:sz w:val="23"/>
          <w:szCs w:val="23"/>
          <w:color w:val="auto"/>
          <w:vertAlign w:val="superscript"/>
        </w:rPr>
      </w:pPr>
    </w:p>
    <w:p>
      <w:pPr>
        <w:ind w:left="180" w:hanging="172"/>
        <w:spacing w:after="0" w:line="197"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Other income for the six months ended June 30, 2024 includes a remeasurement adjustment relating to the purchase price of a prior acquisition.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2" w:name="page23"/>
    <w:bookmarkEnd w:id="22"/>
    <w:p>
      <w:pPr>
        <w:ind w:right="200" w:firstLine="494"/>
        <w:spacing w:after="0" w:line="27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20" w:type="dxa"/>
            <w:vAlign w:val="bottom"/>
          </w:tcPr>
          <w:p>
            <w:pPr>
              <w:spacing w:after="0"/>
              <w:rPr>
                <w:sz w:val="19"/>
                <w:szCs w:val="19"/>
                <w:color w:val="auto"/>
              </w:rPr>
            </w:pPr>
          </w:p>
        </w:tc>
        <w:tc>
          <w:tcPr>
            <w:tcW w:w="31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Three Months Ended June 30,</w:t>
            </w:r>
          </w:p>
        </w:tc>
        <w:tc>
          <w:tcPr>
            <w:tcW w:w="30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5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16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74.5%</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70.2%</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75.2%</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70.8%</w:t>
            </w:r>
          </w:p>
        </w:tc>
      </w:tr>
      <w:tr>
        <w:trPr>
          <w:trHeight w:val="20"/>
        </w:trPr>
        <w:tc>
          <w:tcPr>
            <w:tcW w:w="5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25.5%</w:t>
            </w:r>
          </w:p>
        </w:tc>
        <w:tc>
          <w:tcPr>
            <w:tcW w:w="16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29.8%</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24.8%</w:t>
            </w:r>
          </w:p>
        </w:tc>
        <w:tc>
          <w:tcPr>
            <w:tcW w:w="1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29.2%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1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5.4%</w:t>
            </w:r>
          </w:p>
        </w:tc>
        <w:tc>
          <w:tcPr>
            <w:tcW w:w="16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5.5%</w:t>
            </w:r>
          </w:p>
        </w:tc>
        <w:tc>
          <w:tcPr>
            <w:tcW w:w="14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6.4%</w:t>
            </w:r>
          </w:p>
        </w:tc>
      </w:tr>
      <w:tr>
        <w:trPr>
          <w:trHeight w:val="203"/>
        </w:trPr>
        <w:tc>
          <w:tcPr>
            <w:tcW w:w="512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13.6%</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13.1%</w:t>
            </w:r>
          </w:p>
        </w:tc>
      </w:tr>
      <w:tr>
        <w:trPr>
          <w:trHeight w:val="203"/>
        </w:trPr>
        <w:tc>
          <w:tcPr>
            <w:tcW w:w="51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3.8%</w:t>
            </w:r>
          </w:p>
        </w:tc>
        <w:tc>
          <w:tcPr>
            <w:tcW w:w="16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4.7%</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14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4.8%</w:t>
            </w:r>
          </w:p>
        </w:tc>
      </w:tr>
      <w:tr>
        <w:trPr>
          <w:trHeight w:val="20"/>
        </w:trPr>
        <w:tc>
          <w:tcPr>
            <w:tcW w:w="5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2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19.8%</w:t>
            </w:r>
          </w:p>
        </w:tc>
        <w:tc>
          <w:tcPr>
            <w:tcW w:w="16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24.6%</w:t>
            </w: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19.1%</w:t>
            </w:r>
          </w:p>
        </w:tc>
        <w:tc>
          <w:tcPr>
            <w:tcW w:w="14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24.3%</w:t>
            </w:r>
          </w:p>
        </w:tc>
      </w:tr>
      <w:tr>
        <w:trPr>
          <w:trHeight w:val="20"/>
        </w:trPr>
        <w:tc>
          <w:tcPr>
            <w:tcW w:w="5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from operations</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5.7%</w:t>
            </w:r>
          </w:p>
        </w:tc>
        <w:tc>
          <w:tcPr>
            <w:tcW w:w="16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5.2%</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5.7%</w:t>
            </w:r>
          </w:p>
        </w:tc>
        <w:tc>
          <w:tcPr>
            <w:tcW w:w="1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4.9%</w:t>
            </w:r>
          </w:p>
        </w:tc>
      </w:tr>
      <w:tr>
        <w:trPr>
          <w:trHeight w:val="203"/>
        </w:trPr>
        <w:tc>
          <w:tcPr>
            <w:tcW w:w="5120" w:type="dxa"/>
            <w:vAlign w:val="bottom"/>
          </w:tcPr>
          <w:p>
            <w:pPr>
              <w:ind w:left="80"/>
              <w:spacing w:after="0" w:line="202" w:lineRule="exact"/>
              <w:rPr>
                <w:sz w:val="20"/>
                <w:szCs w:val="20"/>
                <w:color w:val="auto"/>
              </w:rPr>
            </w:pPr>
            <w:r>
              <w:rPr>
                <w:rFonts w:ascii="Arial" w:cs="Arial" w:eastAsia="Arial" w:hAnsi="Arial"/>
                <w:sz w:val="18"/>
                <w:szCs w:val="18"/>
                <w:color w:val="auto"/>
              </w:rPr>
              <w:t>Interest income, net</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1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Other income</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6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r>
      <w:tr>
        <w:trPr>
          <w:trHeight w:val="20"/>
        </w:trPr>
        <w:tc>
          <w:tcPr>
            <w:tcW w:w="5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20" w:type="dxa"/>
            <w:vAlign w:val="bottom"/>
          </w:tcPr>
          <w:p>
            <w:pPr>
              <w:ind w:left="140"/>
              <w:spacing w:after="0" w:line="196" w:lineRule="exact"/>
              <w:rPr>
                <w:sz w:val="20"/>
                <w:szCs w:val="20"/>
                <w:color w:val="auto"/>
              </w:rPr>
            </w:pPr>
            <w:r>
              <w:rPr>
                <w:rFonts w:ascii="Arial" w:cs="Arial" w:eastAsia="Arial" w:hAnsi="Arial"/>
                <w:sz w:val="18"/>
                <w:szCs w:val="18"/>
                <w:color w:val="auto"/>
              </w:rPr>
              <w:t>Income before income taxes</w:t>
            </w: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6.5%</w:t>
            </w:r>
          </w:p>
        </w:tc>
        <w:tc>
          <w:tcPr>
            <w:tcW w:w="16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6.3%</w:t>
            </w: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6.5%</w:t>
            </w:r>
          </w:p>
        </w:tc>
        <w:tc>
          <w:tcPr>
            <w:tcW w:w="14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6.1%</w:t>
            </w:r>
          </w:p>
        </w:tc>
      </w:tr>
      <w:tr>
        <w:trPr>
          <w:trHeight w:val="20"/>
        </w:trPr>
        <w:tc>
          <w:tcPr>
            <w:tcW w:w="5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Provision for income taxes</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16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14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w:t>
            </w:r>
          </w:p>
        </w:tc>
      </w:tr>
      <w:tr>
        <w:trPr>
          <w:trHeight w:val="20"/>
        </w:trPr>
        <w:tc>
          <w:tcPr>
            <w:tcW w:w="5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2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5.2%</w:t>
            </w:r>
          </w:p>
        </w:tc>
        <w:tc>
          <w:tcPr>
            <w:tcW w:w="16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4.7%</w:t>
            </w:r>
          </w:p>
        </w:tc>
        <w:tc>
          <w:tcPr>
            <w:tcW w:w="15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5.1%</w:t>
            </w:r>
          </w:p>
        </w:tc>
        <w:tc>
          <w:tcPr>
            <w:tcW w:w="14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4.4%</w:t>
            </w:r>
          </w:p>
        </w:tc>
      </w:tr>
      <w:tr>
        <w:trPr>
          <w:trHeight w:val="20"/>
        </w:trPr>
        <w:tc>
          <w:tcPr>
            <w:tcW w:w="5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-967740</wp:posOffset>
            </wp:positionV>
            <wp:extent cx="154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-967740</wp:posOffset>
            </wp:positionV>
            <wp:extent cx="1543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-967740</wp:posOffset>
            </wp:positionV>
            <wp:extent cx="1543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-967740</wp:posOffset>
            </wp:positionV>
            <wp:extent cx="1543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-436245</wp:posOffset>
            </wp:positionV>
            <wp:extent cx="1543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-436245</wp:posOffset>
            </wp:positionV>
            <wp:extent cx="1543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1543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-161925</wp:posOffset>
            </wp:positionV>
            <wp:extent cx="1543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-161925</wp:posOffset>
            </wp:positionV>
            <wp:extent cx="1543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1543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-161925</wp:posOffset>
            </wp:positionV>
            <wp:extent cx="1543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2025 and 2024</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both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increase in cost of revenue corresponds with higher revenue and transaction volumes, as it consists primarily of variable interchange fees and processor costs.</w:t>
      </w:r>
    </w:p>
    <w:p>
      <w:pPr>
        <w:spacing w:after="0" w:line="46"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Gross margin decreased due to a shift in customer mix towards new, high-volume enterprise billers with lower margins. This impact was partially offset by improved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Research and development expenses increased primarily due to an increase in employee-related costs, including benefits, driven by increased headcount, higher stock based compensation and increases in annual compensation, a rise in cloud computing services expenses, reflecting higher utilization of our cloud-based infrastructure and increased data processing demands, and an increase in the amortization of capitalized internal-use software development costs.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sales and marketing expenses was primarily due to an increase in reseller commissions, including amortization of warrants.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increase in general and administrative expenses was primarily due to increases in professional fees, legal fees and insurance premiums of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interest income, net was mainly due to higher cash balances held with banks, offset by lower interest rate.</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The change in provision for income taxes as well as the decrease in our effective tax rate, which was 19.9% for the three months ended June 30, 2025 as compared to 24.9% for the same period in the prior year and the difference between our effective tax rate and the U.S. federal statutory rate of 21% in the above periods, was primarily the result of permanent differences for disallowed compensation pursuant to IRC Section 162(m), state taxes, discrete benefits for excess tax benefits on stock-based compensation and prior year Canadian research and development credit claims. In 2024, it was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primarily the result of permanent differences for disallowed stock-based compensation pursuant to IRC Section 162(m), state taxes and the impact of the full valuation allowance.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2025 and 2024</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cost of revenue was directly attributable to higher revenue and transaction volumes, as these costs are predominantly variable and consist mainly of interchange and processor fees.</w:t>
      </w:r>
    </w:p>
    <w:p>
      <w:pPr>
        <w:spacing w:after="0" w:line="46"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Gross margin compression resulted from a customer mix shift toward high-volume enterprise billers with lower margins. This effect was partially mitigated by benefits from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Research and development expenses increased primarily due to an increase in employee-related costs, including benefits, driven by increased headcount, higher stock based compensation and increases in annual compensation, a rise in cloud computing services expenses, reflecting higher utilization of our cloud-based infrastructure and increased data processing demands, and an increase in the amortization of capitalized internal-use software development costs.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sales and marketing expenses was primarily due to an increase in reseller commissions, including amortization of warrants.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increase in general and administrative expenses was primarily due to increases in professional fees and legal fees, which were offset by lower cost of insurance premiums of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was stable as higher cash balances held with banks were offset by lower interest rates.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The change in provision for income taxes as well as the decrease in our effective tax rate, which was 21.2% for the six months ended June 30, 2025 as compared to 28.6% for the same period in the prior year and the difference between our effective tax rate and the U.S. federal statutory rate of 21% in the above periods, was primarily the result of permanent differences for disallowed compensation pursuant to IRC Section 162(m), state taxes, discrete benefits for excess tax benefits on stock-based compensation and prior year Canadian research and development credit claims. In 2024, it was primarily the result of permanent differences for disallowed stock-based compensation pursuant to IRC Section 162(m), state taxes and the impact of the full valuation allowance.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June 30, 2025, we had $266.4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6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or execute our growth strategy. Any future indebtedness we incur may result in terms that could be unfavorable to equity investors.</w:t>
      </w:r>
    </w:p>
    <w:p>
      <w:pPr>
        <w:sectPr>
          <w:pgSz w:w="11900" w:h="16838" w:orient="portrait"/>
          <w:cols w:equalWidth="0" w:num="1">
            <w:col w:w="11240"/>
          </w:cols>
          <w:pgMar w:left="320" w:top="1079"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condensed consolidated cash flows.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Operating activities</w:t>
      </w:r>
    </w:p>
    <w:p>
      <w:pPr>
        <w:ind w:left="100"/>
        <w:spacing w:after="0" w:line="234" w:lineRule="auto"/>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Effects of foreign exchange on cash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Six Months Ended 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7"/>
                <w:szCs w:val="17"/>
                <w:color w:val="auto"/>
              </w:rPr>
            </w:pPr>
          </w:p>
        </w:tc>
      </w:tr>
      <w:tr>
        <w:trPr>
          <w:trHeight w:val="240"/>
        </w:trPr>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81,920</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28,984</w:t>
            </w:r>
          </w:p>
        </w:tc>
        <w:tc>
          <w:tcPr>
            <w:tcW w:w="6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(17,708)</w:t>
            </w:r>
          </w:p>
        </w:tc>
        <w:tc>
          <w:tcPr>
            <w:tcW w:w="5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(18,789)</w:t>
            </w:r>
          </w:p>
        </w:tc>
      </w:tr>
      <w:tr>
        <w:trPr>
          <w:trHeight w:val="203"/>
        </w:trPr>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(3,673)</w:t>
            </w:r>
          </w:p>
        </w:tc>
        <w:tc>
          <w:tcPr>
            <w:tcW w:w="5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w:t>
            </w:r>
          </w:p>
        </w:tc>
      </w:tr>
      <w:tr>
        <w:trPr>
          <w:trHeight w:val="221"/>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196"/>
        </w:trPr>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60,634</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9,685</w:t>
            </w:r>
          </w:p>
        </w:tc>
        <w:tc>
          <w:tcPr>
            <w:tcW w:w="60" w:type="dxa"/>
            <w:vAlign w:val="bottom"/>
          </w:tcPr>
          <w:p>
            <w:pPr>
              <w:spacing w:after="0"/>
              <w:rPr>
                <w:sz w:val="17"/>
                <w:szCs w:val="1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0" w:lineRule="exact"/>
        <w:rPr>
          <w:sz w:val="20"/>
          <w:szCs w:val="20"/>
          <w:color w:val="auto"/>
        </w:rPr>
      </w:pPr>
    </w:p>
    <w:p>
      <w:pPr>
        <w:sectPr>
          <w:pgSz w:w="11900" w:h="16838" w:orient="portrait"/>
          <w:cols w:equalWidth="0" w:num="2">
            <w:col w:w="7140" w:space="720"/>
            <w:col w:w="3380"/>
          </w:cols>
          <w:pgMar w:left="320" w:top="1079" w:right="339" w:bottom="1440" w:gutter="0" w:footer="0" w:header="0"/>
          <w:type w:val="continuous"/>
        </w:sectPr>
      </w:pPr>
    </w:p>
    <w:p>
      <w:pPr>
        <w:jc w:val="both"/>
        <w:ind w:firstLine="494"/>
        <w:spacing w:after="0"/>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six months ended June 30, 2025 was $81.9 million. Net income was $28.5 million, adjusted for non-cash charges of $33.2 million, consisting primarily of depreciation and amortization, stock-based compensation, amortization of capitalized contract acquisition costs and warrant cost, non-cash lease expense and provision for expected credit losses and credit adjustments, which contributed positively to cash provided from operating activities. This was additionally supported by net cash inflows of $20.2 million provided by changes in our operating assets and liabilities.</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Net cash provided by operating activities for the six months ended June 30, 2024 was $29.0 million. Net income was $ 16.6 million, adjusted for non-cash charges of $ 27.5 million consisting primarily of depreciation and amortization, stock-based compensation, amortization of capitalized contract acquisition costs and warrant cost, non-cash lease expense and provision for expected credit losses and credit adjustments, which contributed positively to cash provided from operating activities. This was offset by net cash outflows of $15.1 million due to changes in our operating assets and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Net cash used in investing activities for the six months ended June 30, 2025 consisted of $ 18.2 million of capitalized internal-use software development costs and $0.2 million of purchases of property and equipment, offset by $0.6 million cash inflow from net change in interest-bearing deposits.</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six months ended June 30, 2024 consisted of $18.4 million of capitalized internal-use software development costs, $0.3 million of purchases of property and equipment and $0.1 million from net change in interest-bearing deposits.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financing activities for the six months ended June 30, 2025 consisted of $3.8 million of payments of taxes withheld on net settled vesting of restricted stock units, which was offset by $0.1 million of proceeds from the exercise of stock-based awards by employees.</w:t>
      </w:r>
    </w:p>
    <w:p>
      <w:pPr>
        <w:spacing w:after="0" w:line="6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Net cash used in financing activities for the six months ended June 30, 2024 consisted of $0.5 million of settlement of holdback liability relating to a prior acquisition, which was offset by $0.1 million of proceeds from the exercise of stock-based awards by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2024 Form 10-K. Except for those disclosed in Note 2 "Summary of Significant Accounting Policies" of this Quarterly Report on Form 10-Q, there have been no material changes in our critical accounting policies and estimates since December 31, 2024.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have been no material changes in our exposures to market risk since December 31, 2024. For details on the Company’s interest rate, foreign currency exchange, and inflation risks, see Part I, Item 7A. “Quantitative and Qualitative Information About Market Risk” in our 2024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7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June 30, 2025, the end of the period covered by this Quarterly Report on Form 10-Q. Based on such evaluation, our Chief Executive Officer and Chief Financial Officer have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except as referred to in Note 8 to the condensed consolidated financial statements, we are not aware of any pending or threatened legal proceeding against us that we believe could have a material adverse effect on our business, operating results, cash flows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in the risk factors previously disclosed in Item 1A. of our 2024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jc w:val="both"/>
        <w:ind w:firstLine="494"/>
        <w:spacing w:after="0" w:line="232" w:lineRule="exact"/>
        <w:rPr>
          <w:sz w:val="20"/>
          <w:szCs w:val="20"/>
          <w:color w:val="auto"/>
        </w:rPr>
      </w:pPr>
      <w:r>
        <w:rPr>
          <w:rFonts w:ascii="Arial" w:cs="Arial" w:eastAsia="Arial" w:hAnsi="Arial"/>
          <w:sz w:val="18"/>
          <w:szCs w:val="18"/>
          <w:color w:val="auto"/>
        </w:rPr>
        <w:t>During the quarter ended June 30, 2025,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7" w:name="page28"/>
    <w:bookmarkEnd w:id="27"/>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40" w:type="dxa"/>
            <w:vAlign w:val="bottom"/>
            <w:gridSpan w:val="19"/>
            <w:vMerge w:val="restart"/>
          </w:tcPr>
          <w:p>
            <w:pPr>
              <w:ind w:left="480"/>
              <w:spacing w:after="0"/>
              <w:rPr>
                <w:sz w:val="20"/>
                <w:szCs w:val="20"/>
                <w:color w:val="auto"/>
              </w:rPr>
            </w:pPr>
            <w:r>
              <w:rPr>
                <w:rFonts w:ascii="Arial" w:cs="Arial" w:eastAsia="Arial" w:hAnsi="Arial"/>
                <w:sz w:val="17"/>
                <w:szCs w:val="17"/>
                <w:b w:val="1"/>
                <w:bCs w:val="1"/>
                <w:color w:val="auto"/>
              </w:rPr>
              <w:t>Description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340" w:type="dxa"/>
            <w:vAlign w:val="bottom"/>
            <w:gridSpan w:val="19"/>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Form</w:t>
            </w:r>
          </w:p>
        </w:tc>
        <w:tc>
          <w:tcPr>
            <w:tcW w:w="1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3"/>
                <w:szCs w:val="13"/>
                <w:color w:val="auto"/>
              </w:rPr>
            </w:pPr>
          </w:p>
        </w:tc>
        <w:tc>
          <w:tcPr>
            <w:tcW w:w="780" w:type="dxa"/>
            <w:vAlign w:val="bottom"/>
          </w:tcPr>
          <w:p>
            <w:pPr>
              <w:ind w:left="80"/>
              <w:spacing w:after="0" w:line="160" w:lineRule="exact"/>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Filing Date</w:t>
            </w:r>
          </w:p>
        </w:tc>
        <w:tc>
          <w:tcPr>
            <w:tcW w:w="11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Furnished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line="155" w:lineRule="exact"/>
              <w:rPr>
                <w:sz w:val="20"/>
                <w:szCs w:val="20"/>
                <w:color w:val="auto"/>
              </w:rPr>
            </w:pPr>
            <w:r>
              <w:rPr>
                <w:rFonts w:ascii="Arial" w:cs="Arial" w:eastAsia="Arial" w:hAnsi="Arial"/>
                <w:sz w:val="17"/>
                <w:szCs w:val="17"/>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20"/>
          </w:tcPr>
          <w:p>
            <w:pPr>
              <w:spacing w:after="0" w:line="155" w:lineRule="exact"/>
              <w:rPr>
                <w:rFonts w:ascii="Arial" w:cs="Arial" w:eastAsia="Arial" w:hAnsi="Arial"/>
                <w:sz w:val="17"/>
                <w:szCs w:val="17"/>
                <w:color w:val="0000FF"/>
              </w:rPr>
            </w:pPr>
            <w:hyperlink r:id="rId286">
              <w:r>
                <w:rPr>
                  <w:rFonts w:ascii="Arial" w:cs="Arial" w:eastAsia="Arial" w:hAnsi="Arial"/>
                  <w:sz w:val="17"/>
                  <w:szCs w:val="17"/>
                  <w:color w:val="0000FF"/>
                </w:rPr>
                <w:t>Amended and Restated Certificate of Incorporation of</w:t>
              </w:r>
            </w:hyperlink>
          </w:p>
        </w:tc>
        <w:tc>
          <w:tcPr>
            <w:tcW w:w="100" w:type="dxa"/>
            <w:vAlign w:val="bottom"/>
          </w:tcPr>
          <w:p>
            <w:pPr>
              <w:spacing w:after="0"/>
              <w:rPr>
                <w:sz w:val="13"/>
                <w:szCs w:val="13"/>
                <w:color w:val="auto"/>
              </w:rPr>
            </w:pPr>
          </w:p>
        </w:tc>
        <w:tc>
          <w:tcPr>
            <w:tcW w:w="560" w:type="dxa"/>
            <w:vAlign w:val="bottom"/>
          </w:tcPr>
          <w:p>
            <w:pPr>
              <w:jc w:val="center"/>
              <w:spacing w:after="0" w:line="155" w:lineRule="exact"/>
              <w:rPr>
                <w:sz w:val="20"/>
                <w:szCs w:val="20"/>
                <w:color w:val="auto"/>
              </w:rPr>
            </w:pPr>
            <w:r>
              <w:rPr>
                <w:rFonts w:ascii="Arial" w:cs="Arial" w:eastAsia="Arial" w:hAnsi="Arial"/>
                <w:sz w:val="17"/>
                <w:szCs w:val="17"/>
                <w:color w:val="auto"/>
                <w:w w:val="98"/>
              </w:rPr>
              <w:t>8-K</w:t>
            </w:r>
          </w:p>
        </w:tc>
        <w:tc>
          <w:tcPr>
            <w:tcW w:w="1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7"/>
                <w:szCs w:val="17"/>
                <w:color w:val="auto"/>
              </w:rPr>
              <w:t>001-40429</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7"/>
                <w:szCs w:val="17"/>
                <w:color w:val="auto"/>
              </w:rPr>
              <w:t>May 28, 2021</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w w:val="98"/>
              </w:rPr>
            </w:pPr>
            <w:hyperlink r:id="rId286">
              <w:r>
                <w:rPr>
                  <w:rFonts w:ascii="Arial" w:cs="Arial" w:eastAsia="Arial" w:hAnsi="Arial"/>
                  <w:sz w:val="17"/>
                  <w:szCs w:val="17"/>
                  <w:color w:val="0000FF"/>
                  <w:w w:val="98"/>
                </w:rPr>
                <w:t>Paymentus Holdings, Inc.</w:t>
              </w:r>
            </w:hyperlink>
          </w:p>
        </w:tc>
        <w:tc>
          <w:tcPr>
            <w:tcW w:w="2140" w:type="dxa"/>
            <w:vAlign w:val="bottom"/>
            <w:tcBorders>
              <w:top w:val="single" w:sz="8" w:color="0000FF"/>
            </w:tcBorders>
            <w:gridSpan w:val="8"/>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rPr>
              <w:t>August 7, 2023</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spacing w:after="0" w:line="169" w:lineRule="exact"/>
              <w:rPr>
                <w:rFonts w:ascii="Arial" w:cs="Arial" w:eastAsia="Arial" w:hAnsi="Arial"/>
                <w:sz w:val="17"/>
                <w:szCs w:val="17"/>
                <w:color w:val="0000FF"/>
              </w:rPr>
            </w:pPr>
            <w:hyperlink r:id="rId287">
              <w:r>
                <w:rPr>
                  <w:rFonts w:ascii="Arial" w:cs="Arial" w:eastAsia="Arial" w:hAnsi="Arial"/>
                  <w:sz w:val="17"/>
                  <w:szCs w:val="17"/>
                  <w:color w:val="0000FF"/>
                </w:rPr>
                <w:t>Amendment to Amended</w:t>
              </w:r>
            </w:hyperlink>
          </w:p>
        </w:tc>
        <w:tc>
          <w:tcPr>
            <w:tcW w:w="2820" w:type="dxa"/>
            <w:vAlign w:val="bottom"/>
            <w:gridSpan w:val="18"/>
          </w:tcPr>
          <w:p>
            <w:pPr>
              <w:spacing w:after="0" w:line="169" w:lineRule="exact"/>
              <w:rPr>
                <w:rFonts w:ascii="Arial" w:cs="Arial" w:eastAsia="Arial" w:hAnsi="Arial"/>
                <w:sz w:val="17"/>
                <w:szCs w:val="17"/>
                <w:color w:val="0000FF"/>
              </w:rPr>
            </w:pPr>
            <w:hyperlink r:id="rId287">
              <w:r>
                <w:rPr>
                  <w:rFonts w:ascii="Arial" w:cs="Arial" w:eastAsia="Arial" w:hAnsi="Arial"/>
                  <w:sz w:val="17"/>
                  <w:szCs w:val="17"/>
                  <w:color w:val="0000FF"/>
                </w:rPr>
                <w:t>and Restated Certificate of</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4"/>
                <w:szCs w:val="14"/>
                <w:color w:val="auto"/>
              </w:rPr>
            </w:pPr>
          </w:p>
        </w:tc>
        <w:tc>
          <w:tcPr>
            <w:tcW w:w="3980" w:type="dxa"/>
            <w:vAlign w:val="bottom"/>
            <w:gridSpan w:val="10"/>
          </w:tcPr>
          <w:p>
            <w:pPr>
              <w:spacing w:after="0" w:line="169" w:lineRule="exact"/>
              <w:rPr>
                <w:rFonts w:ascii="Arial" w:cs="Arial" w:eastAsia="Arial" w:hAnsi="Arial"/>
                <w:sz w:val="17"/>
                <w:szCs w:val="17"/>
                <w:color w:val="0000FF"/>
              </w:rPr>
            </w:pPr>
            <w:hyperlink r:id="rId287">
              <w:r>
                <w:rPr>
                  <w:rFonts w:ascii="Arial" w:cs="Arial" w:eastAsia="Arial" w:hAnsi="Arial"/>
                  <w:sz w:val="17"/>
                  <w:szCs w:val="17"/>
                  <w:color w:val="0000FF"/>
                </w:rPr>
                <w:t>Incorporation of Paymentus Holdings, Inc.</w:t>
              </w:r>
            </w:hyperlink>
          </w:p>
        </w:tc>
        <w:tc>
          <w:tcPr>
            <w:tcW w:w="2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4"/>
                <w:szCs w:val="14"/>
                <w:color w:val="auto"/>
              </w:rPr>
            </w:pPr>
          </w:p>
        </w:tc>
        <w:tc>
          <w:tcPr>
            <w:tcW w:w="1380" w:type="dxa"/>
            <w:vAlign w:val="bottom"/>
            <w:vMerge w:val="restart"/>
          </w:tcPr>
          <w:p>
            <w:pPr>
              <w:jc w:val="center"/>
              <w:ind w:right="15"/>
              <w:spacing w:after="0"/>
              <w:rPr>
                <w:sz w:val="20"/>
                <w:szCs w:val="20"/>
                <w:color w:val="auto"/>
              </w:rPr>
            </w:pPr>
            <w:r>
              <w:rPr>
                <w:rFonts w:ascii="Arial" w:cs="Arial" w:eastAsia="Arial" w:hAnsi="Arial"/>
                <w:sz w:val="17"/>
                <w:szCs w:val="17"/>
                <w:color w:val="auto"/>
              </w:rPr>
              <w:t>November 14,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1"/>
          </w:tcPr>
          <w:p>
            <w:pPr>
              <w:spacing w:after="0" w:line="169" w:lineRule="exact"/>
              <w:rPr>
                <w:rFonts w:ascii="Arial" w:cs="Arial" w:eastAsia="Arial" w:hAnsi="Arial"/>
                <w:sz w:val="17"/>
                <w:szCs w:val="17"/>
                <w:color w:val="0000FF"/>
              </w:rPr>
            </w:pPr>
            <w:hyperlink r:id="rId288">
              <w:r>
                <w:rPr>
                  <w:rFonts w:ascii="Arial" w:cs="Arial" w:eastAsia="Arial" w:hAnsi="Arial"/>
                  <w:sz w:val="17"/>
                  <w:szCs w:val="17"/>
                  <w:color w:val="0000FF"/>
                </w:rPr>
                <w:t>Amended and Restated Bylaws of Paymentus Holdings, Inc.</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gridSpan w:val="2"/>
          </w:tcPr>
          <w:p>
            <w:pPr>
              <w:jc w:val="center"/>
              <w:spacing w:after="0" w:line="174" w:lineRule="exact"/>
              <w:rPr>
                <w:sz w:val="20"/>
                <w:szCs w:val="20"/>
                <w:color w:val="auto"/>
              </w:rPr>
            </w:pPr>
            <w:r>
              <w:rPr>
                <w:rFonts w:ascii="Arial" w:cs="Arial" w:eastAsia="Arial" w:hAnsi="Arial"/>
                <w:sz w:val="17"/>
                <w:szCs w:val="17"/>
                <w:color w:val="auto"/>
              </w:rPr>
              <w:t>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gridSpan w:val="2"/>
          </w:tcPr>
          <w:p>
            <w:pPr>
              <w:spacing w:after="0" w:line="185"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6"/>
                <w:szCs w:val="16"/>
                <w:color w:val="auto"/>
              </w:rPr>
            </w:pPr>
          </w:p>
        </w:tc>
        <w:tc>
          <w:tcPr>
            <w:tcW w:w="4740" w:type="dxa"/>
            <w:vAlign w:val="bottom"/>
            <w:gridSpan w:val="21"/>
          </w:tcPr>
          <w:p>
            <w:pPr>
              <w:spacing w:after="0" w:line="185" w:lineRule="exact"/>
              <w:rPr>
                <w:rFonts w:ascii="Arial" w:cs="Arial" w:eastAsia="Arial" w:hAnsi="Arial"/>
                <w:sz w:val="17"/>
                <w:szCs w:val="17"/>
                <w:color w:val="0000FF"/>
              </w:rPr>
            </w:pPr>
            <w:hyperlink r:id="rId289">
              <w:r>
                <w:rPr>
                  <w:rFonts w:ascii="Arial" w:cs="Arial" w:eastAsia="Arial" w:hAnsi="Arial"/>
                  <w:sz w:val="17"/>
                  <w:szCs w:val="17"/>
                  <w:color w:val="0000FF"/>
                </w:rPr>
                <w:t>Form of Restricted Stock Unit Agreement under the 2021</w:t>
              </w:r>
            </w:hyperlink>
          </w:p>
        </w:tc>
        <w:tc>
          <w:tcPr>
            <w:tcW w:w="100" w:type="dxa"/>
            <w:vAlign w:val="bottom"/>
          </w:tcPr>
          <w:p>
            <w:pPr>
              <w:spacing w:after="0"/>
              <w:rPr>
                <w:sz w:val="16"/>
                <w:szCs w:val="16"/>
                <w:color w:val="auto"/>
              </w:rPr>
            </w:pPr>
          </w:p>
        </w:tc>
        <w:tc>
          <w:tcPr>
            <w:tcW w:w="560" w:type="dxa"/>
            <w:vAlign w:val="bottom"/>
          </w:tcPr>
          <w:p>
            <w:pPr>
              <w:jc w:val="center"/>
              <w:spacing w:after="0" w:line="185" w:lineRule="exact"/>
              <w:rPr>
                <w:sz w:val="20"/>
                <w:szCs w:val="20"/>
                <w:color w:val="auto"/>
              </w:rPr>
            </w:pPr>
            <w:r>
              <w:rPr>
                <w:rFonts w:ascii="Arial" w:cs="Arial" w:eastAsia="Arial" w:hAnsi="Arial"/>
                <w:sz w:val="17"/>
                <w:szCs w:val="17"/>
                <w:color w:val="auto"/>
                <w:w w:val="98"/>
              </w:rPr>
              <w:t>8-K</w:t>
            </w:r>
          </w:p>
        </w:tc>
        <w:tc>
          <w:tcPr>
            <w:tcW w:w="1100" w:type="dxa"/>
            <w:vAlign w:val="bottom"/>
            <w:gridSpan w:val="2"/>
          </w:tcPr>
          <w:p>
            <w:pPr>
              <w:jc w:val="right"/>
              <w:ind w:right="95"/>
              <w:spacing w:after="0" w:line="185" w:lineRule="exact"/>
              <w:rPr>
                <w:sz w:val="20"/>
                <w:szCs w:val="20"/>
                <w:color w:val="auto"/>
              </w:rPr>
            </w:pPr>
            <w:r>
              <w:rPr>
                <w:rFonts w:ascii="Arial" w:cs="Arial" w:eastAsia="Arial" w:hAnsi="Arial"/>
                <w:sz w:val="17"/>
                <w:szCs w:val="17"/>
                <w:color w:val="auto"/>
              </w:rPr>
              <w:t>001-40429</w:t>
            </w:r>
          </w:p>
        </w:tc>
        <w:tc>
          <w:tcPr>
            <w:tcW w:w="900" w:type="dxa"/>
            <w:vAlign w:val="bottom"/>
            <w:gridSpan w:val="2"/>
          </w:tcPr>
          <w:p>
            <w:pPr>
              <w:jc w:val="center"/>
              <w:spacing w:after="0" w:line="185"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6"/>
                <w:szCs w:val="16"/>
                <w:color w:val="auto"/>
              </w:rPr>
            </w:pPr>
          </w:p>
        </w:tc>
        <w:tc>
          <w:tcPr>
            <w:tcW w:w="1380" w:type="dxa"/>
            <w:vAlign w:val="bottom"/>
          </w:tcPr>
          <w:p>
            <w:pPr>
              <w:jc w:val="center"/>
              <w:spacing w:after="0" w:line="185" w:lineRule="exact"/>
              <w:rPr>
                <w:sz w:val="20"/>
                <w:szCs w:val="20"/>
                <w:color w:val="auto"/>
              </w:rPr>
            </w:pPr>
            <w:r>
              <w:rPr>
                <w:rFonts w:ascii="Arial" w:cs="Arial" w:eastAsia="Arial" w:hAnsi="Arial"/>
                <w:sz w:val="17"/>
                <w:szCs w:val="17"/>
                <w:color w:val="auto"/>
              </w:rPr>
              <w:t>July 2, 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w w:val="99"/>
              </w:rPr>
            </w:pPr>
            <w:hyperlink r:id="rId289">
              <w:r>
                <w:rPr>
                  <w:rFonts w:ascii="Arial" w:cs="Arial" w:eastAsia="Arial" w:hAnsi="Arial"/>
                  <w:sz w:val="17"/>
                  <w:szCs w:val="17"/>
                  <w:color w:val="0000FF"/>
                  <w:w w:val="99"/>
                </w:rPr>
                <w:t>Equity Incentive Plan for Dushyant Sharma</w:t>
              </w:r>
            </w:hyperlink>
          </w:p>
        </w:tc>
        <w:tc>
          <w:tcPr>
            <w:tcW w:w="20" w:type="dxa"/>
            <w:vAlign w:val="bottom"/>
            <w:tcBorders>
              <w:top w:val="single" w:sz="8" w:color="0000FF"/>
              <w:bottom w:val="single" w:sz="8" w:color="0000EE"/>
            </w:tcBorders>
          </w:tcPr>
          <w:p>
            <w:pPr>
              <w:spacing w:after="0"/>
              <w:rPr>
                <w:sz w:val="14"/>
                <w:szCs w:val="14"/>
                <w:color w:val="auto"/>
              </w:rPr>
            </w:pPr>
          </w:p>
        </w:tc>
        <w:tc>
          <w:tcPr>
            <w:tcW w:w="1080" w:type="dxa"/>
            <w:vAlign w:val="bottom"/>
            <w:tcBorders>
              <w:top w:val="single" w:sz="8" w:color="0000FF"/>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8"/>
          </w:tcPr>
          <w:p>
            <w:pPr>
              <w:spacing w:after="0" w:line="169" w:lineRule="exact"/>
              <w:rPr>
                <w:sz w:val="20"/>
                <w:szCs w:val="20"/>
                <w:color w:val="auto"/>
              </w:rPr>
            </w:pPr>
            <w:r>
              <w:rPr>
                <w:rFonts w:ascii="Arial" w:cs="Arial" w:eastAsia="Arial" w:hAnsi="Arial"/>
                <w:sz w:val="17"/>
                <w:szCs w:val="17"/>
                <w:color w:val="0000FF"/>
              </w:rPr>
              <w:t>Paymentus Holdings, Inc. Insider Trading</w:t>
            </w:r>
          </w:p>
        </w:tc>
        <w:tc>
          <w:tcPr>
            <w:tcW w:w="1480" w:type="dxa"/>
            <w:vAlign w:val="bottom"/>
            <w:gridSpan w:val="13"/>
          </w:tcPr>
          <w:p>
            <w:pPr>
              <w:spacing w:after="0" w:line="169" w:lineRule="exact"/>
              <w:rPr>
                <w:sz w:val="20"/>
                <w:szCs w:val="20"/>
                <w:color w:val="auto"/>
              </w:rPr>
            </w:pPr>
            <w:r>
              <w:rPr>
                <w:rFonts w:ascii="Arial" w:cs="Arial" w:eastAsia="Arial" w:hAnsi="Arial"/>
                <w:sz w:val="17"/>
                <w:szCs w:val="17"/>
                <w:color w:val="0000FF"/>
              </w:rPr>
              <w:t>Policy</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31.1</w:t>
            </w: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1"/>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7"/>
                <w:szCs w:val="17"/>
                <w:color w:val="0000FF"/>
              </w:rPr>
              <w:t>13a-14(a) and 15d-14(a) under the Securities Exchange Act</w:t>
            </w:r>
          </w:p>
        </w:tc>
        <w:tc>
          <w:tcPr>
            <w:tcW w:w="180" w:type="dxa"/>
            <w:vAlign w:val="bottom"/>
            <w:gridSpan w:val="3"/>
          </w:tcPr>
          <w:p>
            <w:pPr>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4500" w:type="dxa"/>
            <w:vAlign w:val="bottom"/>
            <w:gridSpan w:val="15"/>
          </w:tcPr>
          <w:p>
            <w:pPr>
              <w:spacing w:after="0" w:line="169" w:lineRule="exact"/>
              <w:rPr>
                <w:sz w:val="20"/>
                <w:szCs w:val="20"/>
                <w:color w:val="auto"/>
              </w:rPr>
            </w:pPr>
            <w:r>
              <w:rPr>
                <w:rFonts w:ascii="Arial" w:cs="Arial" w:eastAsia="Arial" w:hAnsi="Arial"/>
                <w:sz w:val="17"/>
                <w:szCs w:val="17"/>
                <w:color w:val="0000FF"/>
              </w:rPr>
              <w:t>Oxley Act of 2002.</w:t>
            </w: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1"/>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7"/>
                <w:szCs w:val="17"/>
                <w:color w:val="0000FF"/>
                <w:w w:val="99"/>
              </w:rPr>
              <w:t>13a-14(a) and 15d-14(a) under the Securities Exchange Act</w:t>
            </w:r>
          </w:p>
        </w:tc>
        <w:tc>
          <w:tcPr>
            <w:tcW w:w="220" w:type="dxa"/>
            <w:vAlign w:val="bottom"/>
            <w:gridSpan w:val="5"/>
          </w:tcPr>
          <w:p>
            <w:pPr>
              <w:ind w:left="4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14"/>
                <w:szCs w:val="14"/>
                <w:color w:val="auto"/>
              </w:rPr>
            </w:pPr>
          </w:p>
        </w:tc>
        <w:tc>
          <w:tcPr>
            <w:tcW w:w="4500" w:type="dxa"/>
            <w:vAlign w:val="bottom"/>
            <w:gridSpan w:val="15"/>
          </w:tcPr>
          <w:p>
            <w:pPr>
              <w:spacing w:after="0" w:line="169" w:lineRule="exact"/>
              <w:rPr>
                <w:sz w:val="20"/>
                <w:szCs w:val="20"/>
                <w:color w:val="auto"/>
              </w:rPr>
            </w:pPr>
            <w:r>
              <w:rPr>
                <w:rFonts w:ascii="Arial" w:cs="Arial" w:eastAsia="Arial" w:hAnsi="Arial"/>
                <w:sz w:val="17"/>
                <w:szCs w:val="17"/>
                <w:color w:val="0000FF"/>
              </w:rPr>
              <w:t>Oxley Act of 2002.</w:t>
            </w:r>
          </w:p>
        </w:tc>
        <w:tc>
          <w:tcPr>
            <w:tcW w:w="10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1"/>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7"/>
                <w:szCs w:val="17"/>
                <w:color w:val="0000FF"/>
                <w:w w:val="98"/>
              </w:rPr>
              <w:t>U.S.C. Section 1350, as Adopted Pursuant to Section 906</w:t>
            </w:r>
          </w:p>
        </w:tc>
        <w:tc>
          <w:tcPr>
            <w:tcW w:w="420" w:type="dxa"/>
            <w:vAlign w:val="bottom"/>
            <w:gridSpan w:val="8"/>
          </w:tcPr>
          <w:p>
            <w:pPr>
              <w:ind w:left="8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32.2*</w:t>
            </w:r>
          </w:p>
        </w:tc>
        <w:tc>
          <w:tcPr>
            <w:tcW w:w="12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40" w:type="dxa"/>
            <w:vAlign w:val="bottom"/>
            <w:gridSpan w:val="16"/>
            <w:vMerge w:val="restart"/>
          </w:tcPr>
          <w:p>
            <w:pPr>
              <w:jc w:val="center"/>
              <w:ind w:right="480"/>
              <w:spacing w:after="0" w:line="189" w:lineRule="exact"/>
              <w:rPr>
                <w:sz w:val="20"/>
                <w:szCs w:val="20"/>
                <w:color w:val="auto"/>
              </w:rPr>
            </w:pPr>
            <w:r>
              <w:rPr>
                <w:rFonts w:ascii="Arial" w:cs="Arial" w:eastAsia="Arial" w:hAnsi="Arial"/>
                <w:sz w:val="17"/>
                <w:szCs w:val="17"/>
                <w:color w:val="0000FF"/>
              </w:rPr>
              <w:t>Officer Pursuant to 18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spacing w:after="0" w:line="169" w:lineRule="exact"/>
              <w:rPr>
                <w:sz w:val="20"/>
                <w:szCs w:val="20"/>
                <w:color w:val="auto"/>
              </w:rPr>
            </w:pPr>
            <w:r>
              <w:rPr>
                <w:rFonts w:ascii="Arial" w:cs="Arial" w:eastAsia="Arial" w:hAnsi="Arial"/>
                <w:sz w:val="17"/>
                <w:szCs w:val="17"/>
                <w:color w:val="0000FF"/>
                <w:w w:val="96"/>
              </w:rPr>
              <w:t>Certification of Principal Financial</w:t>
            </w:r>
          </w:p>
        </w:tc>
        <w:tc>
          <w:tcPr>
            <w:tcW w:w="40" w:type="dxa"/>
            <w:vAlign w:val="bottom"/>
            <w:vMerge w:val="continue"/>
          </w:tcPr>
          <w:p>
            <w:pPr>
              <w:spacing w:after="0"/>
              <w:rPr>
                <w:sz w:val="14"/>
                <w:szCs w:val="14"/>
                <w:color w:val="auto"/>
              </w:rPr>
            </w:pPr>
          </w:p>
        </w:tc>
        <w:tc>
          <w:tcPr>
            <w:tcW w:w="2240" w:type="dxa"/>
            <w:vAlign w:val="bottom"/>
            <w:gridSpan w:val="16"/>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21"/>
          </w:tcPr>
          <w:p>
            <w:pPr>
              <w:spacing w:after="0" w:line="169" w:lineRule="exact"/>
              <w:rPr>
                <w:sz w:val="20"/>
                <w:szCs w:val="20"/>
                <w:color w:val="auto"/>
              </w:rPr>
            </w:pPr>
            <w:r>
              <w:rPr>
                <w:rFonts w:ascii="Arial" w:cs="Arial" w:eastAsia="Arial" w:hAnsi="Arial"/>
                <w:sz w:val="17"/>
                <w:szCs w:val="17"/>
                <w:color w:val="0000FF"/>
              </w:rPr>
              <w:t>U.S.C. Section 1350, as Adopted Pursuant to Section 906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4"/>
                <w:szCs w:val="14"/>
                <w:color w:val="auto"/>
              </w:rPr>
            </w:pPr>
          </w:p>
        </w:tc>
        <w:tc>
          <w:tcPr>
            <w:tcW w:w="2500" w:type="dxa"/>
            <w:vAlign w:val="bottom"/>
            <w:tcBorders>
              <w:top w:val="single" w:sz="8" w:color="0000FF"/>
              <w:bottom w:val="single" w:sz="8" w:color="0000EE"/>
            </w:tcBorders>
            <w:gridSpan w:val="5"/>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2100" w:type="dxa"/>
            <w:vAlign w:val="bottom"/>
            <w:tcBorders>
              <w:top w:val="single" w:sz="8" w:color="0000FF"/>
            </w:tcBorders>
            <w:gridSpan w:val="14"/>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4"/>
          </w:tcPr>
          <w:p>
            <w:pPr>
              <w:spacing w:after="0" w:line="174" w:lineRule="exact"/>
              <w:rPr>
                <w:sz w:val="20"/>
                <w:szCs w:val="20"/>
                <w:color w:val="auto"/>
              </w:rPr>
            </w:pPr>
            <w:r>
              <w:rPr>
                <w:rFonts w:ascii="Arial" w:cs="Arial" w:eastAsia="Arial" w:hAnsi="Arial"/>
                <w:sz w:val="17"/>
                <w:szCs w:val="17"/>
                <w:color w:val="auto"/>
              </w:rPr>
              <w:t>Inline XBRL Instance Document</w:t>
            </w:r>
          </w:p>
        </w:tc>
        <w:tc>
          <w:tcPr>
            <w:tcW w:w="2280" w:type="dxa"/>
            <w:vAlign w:val="bottom"/>
            <w:gridSpan w:val="17"/>
          </w:tcPr>
          <w:p>
            <w:pPr>
              <w:jc w:val="center"/>
              <w:ind w:right="440"/>
              <w:spacing w:after="0" w:line="174" w:lineRule="exact"/>
              <w:rPr>
                <w:sz w:val="20"/>
                <w:szCs w:val="20"/>
                <w:color w:val="auto"/>
              </w:rPr>
            </w:pPr>
            <w:r>
              <w:rPr>
                <w:rFonts w:ascii="Arial" w:cs="Arial" w:eastAsia="Arial" w:hAnsi="Arial"/>
                <w:sz w:val="17"/>
                <w:szCs w:val="17"/>
                <w:color w:val="auto"/>
                <w:w w:val="99"/>
              </w:rPr>
              <w:t>– the instance document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does not appear in the Interactive Data File because XBRL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tags are embedded within the Inline XBRL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Schema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101.CAL</w:t>
            </w: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Calculation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Definition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Label Linkbase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6"/>
                <w:szCs w:val="16"/>
                <w:color w:val="auto"/>
              </w:rPr>
            </w:pPr>
          </w:p>
        </w:tc>
        <w:tc>
          <w:tcPr>
            <w:tcW w:w="474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Presentation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21"/>
          </w:tcPr>
          <w:p>
            <w:pPr>
              <w:spacing w:after="0"/>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right="5540" w:hanging="1017"/>
        <w:spacing w:after="0" w:line="248" w:lineRule="auto"/>
        <w:tabs>
          <w:tab w:leader="none" w:pos="1140" w:val="left"/>
        </w:tabs>
        <w:numPr>
          <w:ilvl w:val="2"/>
          <w:numId w:val="12"/>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69"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03" w:lineRule="exact"/>
        <w:rPr>
          <w:rFonts w:ascii="Arial" w:cs="Arial" w:eastAsia="Arial" w:hAnsi="Arial"/>
          <w:sz w:val="18"/>
          <w:szCs w:val="18"/>
          <w:color w:val="auto"/>
        </w:rPr>
      </w:pPr>
    </w:p>
    <w:p>
      <w:pPr>
        <w:ind w:right="20" w:firstLine="40"/>
        <w:spacing w:after="0" w:line="247" w:lineRule="auto"/>
        <w:rPr>
          <w:rFonts w:ascii="Arial" w:cs="Arial" w:eastAsia="Arial" w:hAnsi="Arial"/>
          <w:sz w:val="18"/>
          <w:szCs w:val="18"/>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8" w:name="page29"/>
    <w:bookmarkEnd w:id="2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PAYMENTUS HOLDINGS, INC.</w:t>
      </w:r>
    </w:p>
    <w:p>
      <w:pPr>
        <w:spacing w:after="0" w:line="198"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August 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Dushyant Sharma</w:t>
      </w:r>
    </w:p>
    <w:p>
      <w:pPr>
        <w:ind w:left="6100"/>
        <w:spacing w:after="0" w:line="234" w:lineRule="auto"/>
        <w:rPr>
          <w:sz w:val="20"/>
          <w:szCs w:val="20"/>
          <w:color w:val="auto"/>
        </w:rPr>
      </w:pPr>
      <w:r>
        <w:rPr>
          <w:rFonts w:ascii="Arial" w:cs="Arial" w:eastAsia="Arial" w:hAnsi="Arial"/>
          <w:sz w:val="18"/>
          <w:szCs w:val="18"/>
          <w:b w:val="1"/>
          <w:bCs w:val="1"/>
          <w:color w:val="auto"/>
        </w:rPr>
        <w:t>Chairman, President and 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180"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August 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8890</wp:posOffset>
            </wp:positionV>
            <wp:extent cx="3540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Sanjay Kalra</w:t>
      </w:r>
    </w:p>
    <w:p>
      <w:pPr>
        <w:ind w:left="6100"/>
        <w:spacing w:after="0" w:line="234" w:lineRule="auto"/>
        <w:rPr>
          <w:sz w:val="20"/>
          <w:szCs w:val="20"/>
          <w:color w:val="auto"/>
        </w:rPr>
      </w:pPr>
      <w:r>
        <w:rPr>
          <w:rFonts w:ascii="Arial" w:cs="Arial" w:eastAsia="Arial" w:hAnsi="Arial"/>
          <w:sz w:val="18"/>
          <w:szCs w:val="18"/>
          <w:b w:val="1"/>
          <w:bCs w:val="1"/>
          <w:color w:val="auto"/>
        </w:rPr>
        <w:t>Senior Vice President and Chief Financial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29" w:name="page30"/>
    <w:bookmarkEnd w:id="2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PAYMENTUS HOLDINGS,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08"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10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Paymentus Holdings,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6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7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purposes of this Policy, the Company’s General Counsel serves as the Compliance Officer. The Compliance Officer may designate others, from time to time, to assist with the execution of his or her duties under this Policy.</w:t>
      </w:r>
    </w:p>
    <w:p>
      <w:pPr>
        <w:spacing w:after="0" w:line="47" w:lineRule="exact"/>
        <w:rPr>
          <w:sz w:val="20"/>
          <w:szCs w:val="20"/>
          <w:color w:val="auto"/>
        </w:rPr>
      </w:pPr>
    </w:p>
    <w:p>
      <w:pPr>
        <w:ind w:left="760" w:hanging="752"/>
        <w:spacing w:after="0"/>
        <w:tabs>
          <w:tab w:leader="none" w:pos="76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111"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51"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 w:lineRule="exact"/>
        <w:rPr>
          <w:rFonts w:ascii="Times New Roman" w:cs="Times New Roman" w:eastAsia="Times New Roman" w:hAnsi="Times New Roman"/>
          <w:sz w:val="20"/>
          <w:szCs w:val="20"/>
          <w:color w:val="auto"/>
        </w:rPr>
      </w:pPr>
    </w:p>
    <w:p>
      <w:pPr>
        <w:ind w:left="1880" w:hanging="749"/>
        <w:spacing w:after="0" w:line="239" w:lineRule="auto"/>
        <w:tabs>
          <w:tab w:leader="none" w:pos="188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ind w:left="1880" w:hanging="749"/>
        <w:spacing w:after="0" w:line="239" w:lineRule="auto"/>
        <w:tabs>
          <w:tab w:leader="none" w:pos="188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ind w:left="1880" w:hanging="749"/>
        <w:spacing w:after="0"/>
        <w:tabs>
          <w:tab w:leader="none" w:pos="188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spacing w:after="0" w:line="66" w:lineRule="exact"/>
        <w:rPr>
          <w:sz w:val="20"/>
          <w:szCs w:val="20"/>
          <w:color w:val="auto"/>
        </w:rPr>
      </w:pPr>
    </w:p>
    <w:p>
      <w:pPr>
        <w:jc w:val="both"/>
        <w:ind w:firstLine="757"/>
        <w:spacing w:after="0" w:line="246" w:lineRule="auto"/>
        <w:tabs>
          <w:tab w:leader="none" w:pos="101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investor or the media, or a request for sensitive information outside the ordinary course of business from someone outside of the Company, such as a business partner, vendor, supplier or salesperson, then you should refer the inquiry to the Chief Financial Officer or Investor Relations, as applicable. Responding to a request yourself may violate this Policy and, in some circumstances, the law. Please consult the Company’s External Communications Policy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ind w:firstLine="757"/>
        <w:spacing w:after="0" w:line="247" w:lineRule="auto"/>
        <w:tabs>
          <w:tab w:leader="none" w:pos="101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7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51" w:lineRule="exact"/>
        <w:rPr>
          <w:sz w:val="20"/>
          <w:szCs w:val="20"/>
          <w:color w:val="auto"/>
        </w:rPr>
      </w:pPr>
    </w:p>
    <w:p>
      <w:pPr>
        <w:ind w:left="1140" w:hanging="758"/>
        <w:spacing w:after="0" w:line="250"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ind w:left="1140" w:hanging="758"/>
        <w:spacing w:after="0" w:line="23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ind w:left="1140" w:hanging="758"/>
        <w:spacing w:after="0" w:line="253"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ind w:left="1140" w:hanging="758"/>
        <w:spacing w:after="0" w:line="23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jc w:val="both"/>
        <w:ind w:left="1140" w:hanging="758"/>
        <w:spacing w:after="0" w:line="23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 w:lineRule="exact"/>
        <w:rPr>
          <w:rFonts w:ascii="Times New Roman" w:cs="Times New Roman" w:eastAsia="Times New Roman" w:hAnsi="Times New Roman"/>
          <w:sz w:val="20"/>
          <w:szCs w:val="20"/>
          <w:color w:val="auto"/>
        </w:rPr>
      </w:pPr>
    </w:p>
    <w:p>
      <w:pPr>
        <w:ind w:left="1140" w:hanging="758"/>
        <w:spacing w:after="0" w:line="23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ind w:left="1140" w:hanging="758"/>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6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You can always reach out to the Compliance Officer if you have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 w:name="page32"/>
    <w:bookmarkEnd w:id="31"/>
    <w:p>
      <w:pPr>
        <w:ind w:left="760" w:hanging="752"/>
        <w:spacing w:after="0"/>
        <w:tabs>
          <w:tab w:leader="none" w:pos="76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provided, however, that the Policy shall not apply to any such entity that engages in the investment of securities in the ordinary course of its business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68"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10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65" w:lineRule="exact"/>
        <w:rPr>
          <w:sz w:val="20"/>
          <w:szCs w:val="20"/>
          <w:color w:val="auto"/>
        </w:rPr>
      </w:pPr>
    </w:p>
    <w:p>
      <w:pPr>
        <w:jc w:val="both"/>
        <w:ind w:left="1140" w:hanging="383"/>
        <w:spacing w:after="0" w:line="245"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jc w:val="both"/>
        <w:ind w:left="1140" w:hanging="383"/>
        <w:spacing w:after="0" w:line="234" w:lineRule="exact"/>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w:t>
      </w:r>
    </w:p>
    <w:p>
      <w:pPr>
        <w:spacing w:after="0" w:line="82"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111"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103"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directors, officers and employees of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Times New Roman" w:cs="Times New Roman" w:eastAsia="Times New Roman" w:hAnsi="Times New Roman"/>
          <w:sz w:val="20"/>
          <w:szCs w:val="20"/>
          <w:b w:val="1"/>
          <w:bCs w:val="1"/>
          <w:color w:val="auto"/>
        </w:rPr>
        <w:t>Covered Persons List</w:t>
      </w:r>
      <w:r>
        <w:rPr>
          <w:rFonts w:ascii="Times New Roman" w:cs="Times New Roman" w:eastAsia="Times New Roman" w:hAnsi="Times New Roman"/>
          <w:sz w:val="20"/>
          <w:szCs w:val="20"/>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Quarterly blackout periods will start at the end of the fifteenth day of the third month of each fiscal quarter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March 15, June 15, September 15 and December 15) and will end at the start of the second full trading day following the Company’s earnings release.</w:t>
      </w:r>
    </w:p>
    <w:p>
      <w:pPr>
        <w:spacing w:after="0" w:line="4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7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51" w:lineRule="exact"/>
        <w:rPr>
          <w:sz w:val="20"/>
          <w:szCs w:val="20"/>
          <w:color w:val="auto"/>
        </w:rPr>
      </w:pPr>
    </w:p>
    <w:p>
      <w:pPr>
        <w:jc w:val="both"/>
        <w:ind w:firstLine="757"/>
        <w:spacing w:after="0" w:line="259" w:lineRule="auto"/>
        <w:tabs>
          <w:tab w:leader="none" w:pos="1018"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Blackout Periods</w:t>
      </w:r>
      <w:r>
        <w:rPr>
          <w:rFonts w:ascii="Times New Roman" w:cs="Times New Roman" w:eastAsia="Times New Roman" w:hAnsi="Times New Roman"/>
          <w:sz w:val="19"/>
          <w:szCs w:val="19"/>
          <w:color w:val="auto"/>
        </w:rPr>
        <w:t>. The Company always retains the right to impose additional or longer trading blackout periods at any time on any or all of its directors, officers, employees, consultants, contractors and advisors. The Compliance Officer will notify you in writing (or by e-mail) if you are subject to a special blackout period.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64" w:lineRule="exact"/>
        <w:rPr>
          <w:rFonts w:ascii="Times New Roman" w:cs="Times New Roman" w:eastAsia="Times New Roman" w:hAnsi="Times New Roman"/>
          <w:sz w:val="19"/>
          <w:szCs w:val="19"/>
          <w:color w:val="auto"/>
        </w:rPr>
      </w:pPr>
    </w:p>
    <w:p>
      <w:pPr>
        <w:jc w:val="both"/>
        <w:ind w:firstLine="757"/>
        <w:spacing w:after="0" w:line="258" w:lineRule="auto"/>
        <w:tabs>
          <w:tab w:leader="none" w:pos="1018"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Regulation BTR Blackouts</w:t>
      </w:r>
      <w:r>
        <w:rPr>
          <w:rFonts w:ascii="Times New Roman" w:cs="Times New Roman" w:eastAsia="Times New Roman" w:hAnsi="Times New Roman"/>
          <w:sz w:val="19"/>
          <w:szCs w:val="19"/>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61" w:lineRule="exact"/>
        <w:rPr>
          <w:rFonts w:ascii="Times New Roman" w:cs="Times New Roman" w:eastAsia="Times New Roman" w:hAnsi="Times New Roman"/>
          <w:sz w:val="19"/>
          <w:szCs w:val="19"/>
          <w:color w:val="auto"/>
        </w:rPr>
      </w:pPr>
    </w:p>
    <w:p>
      <w:pPr>
        <w:ind w:left="760" w:hanging="752"/>
        <w:spacing w:after="0"/>
        <w:tabs>
          <w:tab w:leader="none" w:pos="7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111"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nonpublic information or not.</w:t>
      </w:r>
    </w:p>
    <w:p>
      <w:pPr>
        <w:spacing w:after="0" w:line="86" w:lineRule="exact"/>
        <w:rPr>
          <w:sz w:val="20"/>
          <w:szCs w:val="20"/>
          <w:color w:val="auto"/>
        </w:rPr>
      </w:pPr>
    </w:p>
    <w:p>
      <w:pPr>
        <w:ind w:firstLine="757"/>
        <w:spacing w:after="0" w:line="269"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51"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 w:name="page34"/>
    <w:bookmarkEnd w:id="33"/>
    <w:p>
      <w:pPr>
        <w:spacing w:after="0" w:line="269" w:lineRule="auto"/>
        <w:rPr>
          <w:sz w:val="20"/>
          <w:szCs w:val="20"/>
          <w:color w:val="auto"/>
        </w:rPr>
      </w:pPr>
      <w:r>
        <w:rPr>
          <w:rFonts w:ascii="Times New Roman" w:cs="Times New Roman" w:eastAsia="Times New Roman" w:hAnsi="Times New Roman"/>
          <w:sz w:val="20"/>
          <w:szCs w:val="20"/>
          <w:color w:val="auto"/>
        </w:rPr>
        <w:t>designed to hedge or offset, any decrease in the market value of Company equity securities either (i) granted to you by the Company as part of your compensation or (ii) held, directly or indirectly, by you.</w:t>
      </w:r>
    </w:p>
    <w:p>
      <w:pPr>
        <w:spacing w:after="0" w:line="51" w:lineRule="exact"/>
        <w:rPr>
          <w:sz w:val="20"/>
          <w:szCs w:val="20"/>
          <w:color w:val="auto"/>
        </w:rPr>
      </w:pPr>
    </w:p>
    <w:p>
      <w:pPr>
        <w:ind w:right="20" w:firstLine="757"/>
        <w:spacing w:after="0" w:line="269"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If you are required to comply with the blackout periods or pre-clearance requirements under this Policy, you may not pledge the Company’s securities as collateral for any loan or as part of any other pledging transaction.</w:t>
      </w:r>
    </w:p>
    <w:p>
      <w:pPr>
        <w:spacing w:after="0" w:line="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You may not hold the Company’s common stock in margin accounts.</w:t>
      </w:r>
    </w:p>
    <w:p>
      <w:pPr>
        <w:spacing w:after="0" w:line="103"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111"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directors, executive officers and certain employees identified on the Covered Persons List must obtain pre-</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clearance prior to trading the Company’s securities. If you are subject to pre-clearance requirements, you must submit a pre-clearance 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7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Chief Executive Officer, Chief Financial Officer or their delegate must pre-clear or deny any trade. All trades must be executed within two business days of any pre-clearance.</w:t>
      </w:r>
    </w:p>
    <w:p>
      <w:pPr>
        <w:spacing w:after="0" w:line="51"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5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47" w:lineRule="exact"/>
        <w:rPr>
          <w:sz w:val="20"/>
          <w:szCs w:val="20"/>
          <w:color w:val="auto"/>
        </w:rPr>
      </w:pPr>
    </w:p>
    <w:p>
      <w:pPr>
        <w:ind w:left="760" w:hanging="752"/>
        <w:spacing w:after="0"/>
        <w:tabs>
          <w:tab w:leader="none" w:pos="76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1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7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20" w:lineRule="exact"/>
        <w:rPr>
          <w:sz w:val="20"/>
          <w:szCs w:val="20"/>
          <w:color w:val="auto"/>
        </w:rPr>
      </w:pPr>
    </w:p>
    <w:p>
      <w:pPr>
        <w:jc w:val="both"/>
        <w:ind w:left="1140" w:hanging="383"/>
        <w:spacing w:after="0" w:line="252" w:lineRule="exact"/>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made pursuant to a valid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 approved by the Company. These plans allow for individuals to enter into a prearranged trading plan as long as the plan is not established or modified during a blackout period or when the individual is otherwise in possession of material nonpublic information.</w:t>
      </w:r>
    </w:p>
    <w:p>
      <w:pPr>
        <w:spacing w:after="0" w:line="2" w:lineRule="exact"/>
        <w:rPr>
          <w:rFonts w:ascii="Times New Roman" w:cs="Times New Roman" w:eastAsia="Times New Roman" w:hAnsi="Times New Roman"/>
          <w:sz w:val="20"/>
          <w:szCs w:val="20"/>
          <w:color w:val="auto"/>
        </w:rPr>
      </w:pPr>
    </w:p>
    <w:p>
      <w:pPr>
        <w:ind w:left="1140" w:right="20" w:hanging="383"/>
        <w:spacing w:after="0" w:line="239" w:lineRule="auto"/>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 exercises where the exercise price of such stock options is paid in cash and there is no other associated market activity.</w:t>
      </w:r>
    </w:p>
    <w:p>
      <w:pPr>
        <w:ind w:left="1140" w:right="20" w:hanging="383"/>
        <w:spacing w:after="0" w:line="239" w:lineRule="auto"/>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 Company.</w:t>
      </w:r>
    </w:p>
    <w:p>
      <w:pPr>
        <w:ind w:left="1140" w:hanging="383"/>
        <w:spacing w:after="0" w:line="246" w:lineRule="auto"/>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 shares.</w:t>
      </w:r>
    </w:p>
    <w:p>
      <w:pPr>
        <w:spacing w:after="0" w:line="73" w:lineRule="exact"/>
        <w:rPr>
          <w:rFonts w:ascii="Times New Roman" w:cs="Times New Roman" w:eastAsia="Times New Roman" w:hAnsi="Times New Roman"/>
          <w:sz w:val="20"/>
          <w:szCs w:val="20"/>
          <w:color w:val="auto"/>
        </w:rPr>
      </w:pPr>
    </w:p>
    <w:p>
      <w:pPr>
        <w:jc w:val="both"/>
        <w:ind w:left="1140" w:hanging="383"/>
        <w:spacing w:after="0" w:line="249" w:lineRule="auto"/>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ind w:left="1140"/>
        <w:spacing w:after="0"/>
        <w:rPr>
          <w:sz w:val="20"/>
          <w:szCs w:val="20"/>
          <w:color w:val="auto"/>
        </w:rPr>
      </w:pPr>
      <w:r>
        <w:rPr>
          <w:rFonts w:ascii="Times New Roman" w:cs="Times New Roman" w:eastAsia="Times New Roman" w:hAnsi="Times New Roman"/>
          <w:sz w:val="20"/>
          <w:szCs w:val="20"/>
          <w:color w:val="auto"/>
        </w:rPr>
        <w:t>in writing at a time when a trading blackout is not in place and you are not in possession of material nonpublic information.</w:t>
      </w:r>
    </w:p>
    <w:p>
      <w:pPr>
        <w:spacing w:after="0" w:line="108" w:lineRule="exact"/>
        <w:rPr>
          <w:sz w:val="20"/>
          <w:szCs w:val="20"/>
          <w:color w:val="auto"/>
        </w:rPr>
      </w:pPr>
    </w:p>
    <w:p>
      <w:pPr>
        <w:ind w:left="1140" w:hanging="383"/>
        <w:spacing w:after="0" w:line="269" w:lineRule="auto"/>
        <w:tabs>
          <w:tab w:leader="none" w:pos="11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Sell-to-cover transactions where shares are sold on your behalf upon vesting of equity awards solely to satisfy tax withholding requirements.</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limited partners by limited partnerships subject to this Policy.</w:t>
      </w:r>
    </w:p>
    <w:p>
      <w:pPr>
        <w:spacing w:after="0" w:line="107" w:lineRule="exact"/>
        <w:rPr>
          <w:rFonts w:ascii="Times New Roman" w:cs="Times New Roman" w:eastAsia="Times New Roman" w:hAnsi="Times New Roman"/>
          <w:sz w:val="20"/>
          <w:szCs w:val="20"/>
          <w:color w:val="auto"/>
        </w:rPr>
      </w:pPr>
    </w:p>
    <w:p>
      <w:pPr>
        <w:jc w:val="both"/>
        <w:ind w:left="1140" w:hanging="383"/>
        <w:spacing w:after="0" w:line="243" w:lineRule="auto"/>
        <w:tabs>
          <w:tab w:leader="none" w:pos="11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stock in the 401(k) plan resulting from periodic contributions to the plan based on your payroll contribution election; provided, however,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81" w:lineRule="exact"/>
        <w:rPr>
          <w:rFonts w:ascii="Times New Roman" w:cs="Times New Roman" w:eastAsia="Times New Roman" w:hAnsi="Times New Roman"/>
          <w:sz w:val="20"/>
          <w:szCs w:val="20"/>
          <w:color w:val="auto"/>
        </w:rPr>
      </w:pPr>
    </w:p>
    <w:p>
      <w:pPr>
        <w:jc w:val="both"/>
        <w:ind w:left="1140" w:hanging="383"/>
        <w:spacing w:after="0" w:line="254" w:lineRule="auto"/>
        <w:tabs>
          <w:tab w:leader="none" w:pos="11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by will or the laws of descent and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spacing w:after="0" w:line="66" w:lineRule="exact"/>
        <w:rPr>
          <w:sz w:val="20"/>
          <w:szCs w:val="20"/>
          <w:color w:val="auto"/>
        </w:rPr>
      </w:pPr>
    </w:p>
    <w:p>
      <w:pPr>
        <w:ind w:left="1140" w:right="100" w:hanging="379"/>
        <w:spacing w:after="0" w:line="269" w:lineRule="auto"/>
        <w:tabs>
          <w:tab w:leader="none" w:pos="1120" w:val="left"/>
        </w:tabs>
        <w:rPr>
          <w:sz w:val="20"/>
          <w:szCs w:val="20"/>
          <w:color w:val="auto"/>
        </w:rPr>
      </w:pPr>
      <w:r>
        <w:rPr>
          <w:rFonts w:ascii="Times New Roman" w:cs="Times New Roman" w:eastAsia="Times New Roman" w:hAnsi="Times New Roman"/>
          <w:sz w:val="20"/>
          <w:szCs w:val="20"/>
          <w:color w:val="auto"/>
        </w:rPr>
        <w:t>10.</w:t>
        <w:tab/>
        <w:t>Changes in the number of the Company’s securities you hold due to a stock split or a stock dividend that applies equally to all securities of a class, or similar transactions.</w:t>
      </w:r>
    </w:p>
    <w:p>
      <w:pPr>
        <w:spacing w:after="0" w:line="51" w:lineRule="exact"/>
        <w:rPr>
          <w:sz w:val="20"/>
          <w:szCs w:val="20"/>
          <w:color w:val="auto"/>
        </w:rPr>
      </w:pPr>
    </w:p>
    <w:p>
      <w:pPr>
        <w:jc w:val="both"/>
        <w:ind w:left="1140" w:hanging="383"/>
        <w:spacing w:after="0" w:line="249" w:lineRule="auto"/>
        <w:tabs>
          <w:tab w:leader="none" w:pos="11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made by a director of the Company solely to cover tax obligations resulting from vesting of Paymentus Holdings, Inc. equity awards may be executed without a 10b5-1 trading plan. Any such sale will require pre-clearance from the Compliance Officer and must be executed during a time when a trading blackout is not in place and the director is not in possession of material nonpublic information.</w:t>
      </w:r>
    </w:p>
    <w:p>
      <w:pPr>
        <w:spacing w:after="0" w:line="72"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9"/>
          <w:szCs w:val="19"/>
          <w:color w:val="auto"/>
        </w:rPr>
        <w:t>Unless an exception is granted in writing by the Compliance Officer, the chairperson of the Audit Committee or the Company’s Chief Executive Officer or set forth herein, certain persons identified on the Covered Persons List are not permitted to trade in the Company’s securities outside of a valid 10b5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trading plan approved by the Company; provided, that stock options may be exercised using permitted exercise and tax withholding methods without a 10b5-1 trading plan, provided that (a) such exercise occurs during an open trading window and (b) only such number of shares required to satisfy the exercise price and/or tax withholding obligations are sold or otherwise disposed of in connection with the option exercise. In addition, the Company permits other employees to adopt written 10b5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trading plans in order to mitigate the risk of trading on material nonpublic information. To be approved by the Company and qualify for the exception to this Policy, any 10b5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1 trading plan adopted by a director, officer or employee must be submitted to the Compliance Officer for approval and comply with the requirements set forth in the </w:t>
      </w:r>
      <w:r>
        <w:rPr>
          <w:rFonts w:ascii="Times New Roman" w:cs="Times New Roman" w:eastAsia="Times New Roman" w:hAnsi="Times New Roman"/>
          <w:sz w:val="19"/>
          <w:szCs w:val="19"/>
          <w:i w:val="1"/>
          <w:iCs w:val="1"/>
          <w:color w:val="auto"/>
        </w:rPr>
        <w:t>Requirements for Trading Plans</w:t>
      </w:r>
      <w:r>
        <w:rPr>
          <w:rFonts w:ascii="Times New Roman" w:cs="Times New Roman" w:eastAsia="Times New Roman" w:hAnsi="Times New Roman"/>
          <w:sz w:val="19"/>
          <w:szCs w:val="19"/>
          <w:color w:val="auto"/>
        </w:rPr>
        <w:t xml:space="preserve">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If the Compliance Officer is the requester, then the Company’s Chief Executive Officer, Chief Financial Officer, or their delegate, must approve the 10b5-1 trading plan.</w:t>
      </w:r>
    </w:p>
    <w:p>
      <w:pPr>
        <w:spacing w:after="0" w:line="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If there is a Regulation BTR blackout (and no quarterly or special blackout period), then the limited exceptions set forth in Regulation BTR will apply.</w:t>
      </w: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left="760" w:hanging="752"/>
        <w:spacing w:after="0"/>
        <w:tabs>
          <w:tab w:leader="none" w:pos="7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1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All of the Company’s directors, executive officers and greater than 10% stockholders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6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Compliance Officer.</w:t>
      </w:r>
    </w:p>
    <w:p>
      <w:pPr>
        <w:spacing w:after="0" w:line="47" w:lineRule="exact"/>
        <w:rPr>
          <w:sz w:val="20"/>
          <w:szCs w:val="20"/>
          <w:color w:val="auto"/>
        </w:rPr>
      </w:pPr>
    </w:p>
    <w:p>
      <w:pPr>
        <w:ind w:left="760" w:hanging="752"/>
        <w:spacing w:after="0"/>
        <w:tabs>
          <w:tab w:leader="none" w:pos="76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1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7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80"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11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62"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11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6" w:name="page37"/>
    <w:bookmarkEnd w:id="36"/>
    <w:p>
      <w:pPr>
        <w:ind w:left="760" w:hanging="752"/>
        <w:spacing w:after="0"/>
        <w:tabs>
          <w:tab w:leader="none" w:pos="76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11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(Adopted on May 15, 2021; effective May 25, 2021; amended February 3, 2022, April 18, 2022, February 13, 2023, March 6, 2025 and 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112"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Paymentus Holdings,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must meet the following requirements:</w:t>
      </w:r>
    </w:p>
    <w:p>
      <w:pPr>
        <w:spacing w:after="0" w:line="51"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107"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53" w:lineRule="exact"/>
        <w:rPr>
          <w:rFonts w:ascii="Times New Roman" w:cs="Times New Roman" w:eastAsia="Times New Roman" w:hAnsi="Times New Roman"/>
          <w:sz w:val="20"/>
          <w:szCs w:val="20"/>
          <w:color w:val="auto"/>
        </w:rPr>
      </w:pPr>
    </w:p>
    <w:p>
      <w:pPr>
        <w:ind w:left="760" w:hanging="378"/>
        <w:spacing w:after="0" w:line="267" w:lineRule="exact"/>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the person adopting the trading plan must act in good faith with respect to the trading plan.</w:t>
      </w:r>
    </w:p>
    <w:p>
      <w:pPr>
        <w:spacing w:after="0" w:line="7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include representations that, on the date of adoption of the trading plan, the person adopting the trading plan:</w:t>
      </w:r>
    </w:p>
    <w:p>
      <w:pPr>
        <w:spacing w:after="0" w:line="119" w:lineRule="exact"/>
        <w:rPr>
          <w:sz w:val="20"/>
          <w:szCs w:val="20"/>
          <w:color w:val="auto"/>
        </w:rPr>
      </w:pPr>
    </w:p>
    <w:p>
      <w:pPr>
        <w:ind w:left="1500" w:hanging="369"/>
        <w:spacing w:after="0"/>
        <w:tabs>
          <w:tab w:leader="none" w:pos="15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the prohibitions of Rule 10b5-1.</w:t>
      </w:r>
    </w:p>
    <w:p>
      <w:pPr>
        <w:spacing w:after="0" w:line="85"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for directors and officers (as defined in Rule 16a-1(f) of the Securities Exchange Act of 1934) may not occur until after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may not occur until after 30 calendar days after adoption of the trading plan.</w:t>
      </w:r>
    </w:p>
    <w:p>
      <w:pPr>
        <w:spacing w:after="0" w:line="7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the date of adoption of the trading plan).</w:t>
      </w:r>
    </w:p>
    <w:p>
      <w:pPr>
        <w:spacing w:after="0" w:line="103"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during the term of the trading plan (except for the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xml:space="preserve">” identified in the Policy and </w:t>
      </w: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gifts) must be conducted through the trading plan. In addition, the person adopting the trading plan may not have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trading plan (and may not subsequently enter into any additional trading plan) except as permitted by Rule 10b5-1.</w:t>
      </w:r>
    </w:p>
    <w:p>
      <w:pPr>
        <w:spacing w:after="0" w:line="64"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is subject to the same conditions as a new trading plan as set forth in Sections 1 through 8 herein.</w:t>
      </w:r>
    </w:p>
    <w:p>
      <w:pPr>
        <w:ind w:left="760" w:hanging="378"/>
        <w:spacing w:after="0" w:line="246"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a Modification of a trading plan, a person may not have otherwise adopted or done a Modification to a plan more than once.</w:t>
      </w:r>
    </w:p>
    <w:p>
      <w:pPr>
        <w:spacing w:after="0" w:line="73"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8" w:name="page39"/>
    <w:bookmarkEnd w:id="38"/>
    <w:p>
      <w:pPr>
        <w:ind w:left="380" w:right="100" w:hanging="378"/>
        <w:spacing w:after="0" w:line="295" w:lineRule="auto"/>
        <w:tabs>
          <w:tab w:leader="none" w:pos="3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7"/>
              </w:rPr>
              <w:t>13.</w:t>
            </w:r>
          </w:p>
        </w:tc>
        <w:tc>
          <w:tcPr>
            <w:tcW w:w="7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w:t>
            </w:r>
          </w:p>
        </w:tc>
        <w:tc>
          <w:tcPr>
            <w:tcW w:w="2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including any suspension of</w:t>
            </w:r>
          </w:p>
        </w:tc>
      </w:tr>
      <w:tr>
        <w:trPr>
          <w:trHeight w:val="258"/>
        </w:trPr>
        <w:tc>
          <w:tcPr>
            <w:tcW w:w="320" w:type="dxa"/>
            <w:vAlign w:val="bottom"/>
          </w:tcPr>
          <w:p>
            <w:pPr>
              <w:spacing w:after="0"/>
              <w:rPr>
                <w:sz w:val="22"/>
                <w:szCs w:val="22"/>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trading under the trading plan.</w:t>
            </w:r>
          </w:p>
        </w:tc>
        <w:tc>
          <w:tcPr>
            <w:tcW w:w="2700" w:type="dxa"/>
            <w:vAlign w:val="bottom"/>
          </w:tcPr>
          <w:p>
            <w:pPr>
              <w:spacing w:after="0"/>
              <w:rPr>
                <w:sz w:val="22"/>
                <w:szCs w:val="22"/>
                <w:color w:val="auto"/>
              </w:rPr>
            </w:pPr>
          </w:p>
        </w:tc>
      </w:tr>
      <w:tr>
        <w:trPr>
          <w:trHeight w:val="338"/>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7"/>
              </w:rPr>
              <w:t>14.</w:t>
            </w:r>
          </w:p>
        </w:tc>
        <w:tc>
          <w:tcPr>
            <w:tcW w:w="7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Company must have authority to require the suspension or cancellation of the trading plan</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at any time.</w:t>
            </w:r>
          </w:p>
        </w:tc>
      </w:tr>
      <w:tr>
        <w:trPr>
          <w:trHeight w:val="338"/>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7"/>
              </w:rPr>
              <w:t>15.</w:t>
            </w:r>
          </w:p>
        </w:tc>
        <w:tc>
          <w:tcPr>
            <w:tcW w:w="10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 plan:</w:t>
            </w:r>
          </w:p>
        </w:tc>
      </w:tr>
    </w:tbl>
    <w:p>
      <w:pPr>
        <w:spacing w:after="0" w:line="79" w:lineRule="exact"/>
        <w:rPr>
          <w:sz w:val="20"/>
          <w:szCs w:val="20"/>
          <w:color w:val="auto"/>
        </w:rPr>
      </w:pPr>
    </w:p>
    <w:p>
      <w:pPr>
        <w:ind w:left="1500" w:right="100" w:hanging="749"/>
        <w:spacing w:after="0" w:line="250" w:lineRule="auto"/>
        <w:tabs>
          <w:tab w:leader="none" w:pos="15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trades made under the trading plan must be executed by someone other than the stockbroker or other person that executes trades in other securities for the person adopting the trading plan;</w:t>
      </w:r>
    </w:p>
    <w:p>
      <w:pPr>
        <w:spacing w:after="0" w:line="1" w:lineRule="exact"/>
        <w:rPr>
          <w:rFonts w:ascii="Times New Roman" w:cs="Times New Roman" w:eastAsia="Times New Roman" w:hAnsi="Times New Roman"/>
          <w:sz w:val="20"/>
          <w:szCs w:val="20"/>
          <w:color w:val="auto"/>
        </w:rPr>
      </w:pPr>
    </w:p>
    <w:p>
      <w:pPr>
        <w:ind w:left="1500" w:right="100" w:hanging="749"/>
        <w:spacing w:after="0" w:line="239" w:lineRule="auto"/>
        <w:tabs>
          <w:tab w:leader="none" w:pos="15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ind w:left="1500" w:right="100" w:hanging="749"/>
        <w:spacing w:after="0" w:line="246" w:lineRule="auto"/>
        <w:tabs>
          <w:tab w:leader="none" w:pos="15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73"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107"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the Compliance Officer may determine.</w:t>
      </w:r>
    </w:p>
    <w:p>
      <w:pPr>
        <w:spacing w:after="0" w:line="103" w:lineRule="exact"/>
        <w:rPr>
          <w:rFonts w:ascii="Times New Roman" w:cs="Times New Roman" w:eastAsia="Times New Roman" w:hAnsi="Times New Roman"/>
          <w:sz w:val="20"/>
          <w:szCs w:val="20"/>
          <w:color w:val="auto"/>
        </w:rPr>
      </w:pPr>
    </w:p>
    <w:p>
      <w:pPr>
        <w:jc w:val="both"/>
        <w:ind w:left="380" w:right="100" w:hanging="378"/>
        <w:spacing w:after="0" w:line="256"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trading plans adopted or modified prior to February 27,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are permitted to continue in place until all trades are executed thereunder or they expire by their terms (“</w:t>
      </w:r>
      <w:r>
        <w:rPr>
          <w:rFonts w:ascii="Times New Roman" w:cs="Times New Roman" w:eastAsia="Times New Roman" w:hAnsi="Times New Roman"/>
          <w:sz w:val="20"/>
          <w:szCs w:val="20"/>
          <w:b w:val="1"/>
          <w:bCs w:val="1"/>
          <w:color w:val="auto"/>
        </w:rPr>
        <w:t>Grandfathered Plans</w:t>
      </w:r>
      <w:r>
        <w:rPr>
          <w:rFonts w:ascii="Times New Roman" w:cs="Times New Roman" w:eastAsia="Times New Roman" w:hAnsi="Times New Roman"/>
          <w:sz w:val="20"/>
          <w:szCs w:val="20"/>
          <w:color w:val="auto"/>
        </w:rPr>
        <w:t>”). If the person undertakes a Modification of a Grandfathered Plan on or after the Effective Date, then the Modification must meet all of the requirements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608330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700" w:top="1021" w:right="239" w:bottom="1440" w:gutter="0" w:footer="0" w:header="0"/>
        </w:sectPr>
      </w:pPr>
    </w:p>
    <w:bookmarkStart w:id="39" w:name="page40"/>
    <w:bookmarkEnd w:id="39"/>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6"/>
          <w:szCs w:val="16"/>
          <w:color w:val="auto"/>
        </w:rPr>
        <w:t>Date: August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1412240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ind w:left="10300"/>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 Sanjay Kalra, certify that:</w:t>
      </w:r>
    </w:p>
    <w:p>
      <w:pPr>
        <w:spacing w:after="0" w:line="221"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August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1292225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60"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and six months period ended June 30, 2025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900" w:right="820" w:hanging="892"/>
        <w:spacing w:after="0" w:line="28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61"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6"/>
          <w:szCs w:val="16"/>
          <w:color w:val="auto"/>
        </w:rPr>
        <w:t>Date: August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60"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and six months period ended June 30, 2025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020" w:right="700" w:hanging="1012"/>
        <w:spacing w:after="0" w:line="286"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29"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August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1."/>
      <w:numFmt w:val="decimal"/>
      <w:start w:val="9"/>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2">
    <w:nsid w:val="836C40E"/>
    <w:multiLevelType w:val="hybridMultilevel"/>
    <w:lvl w:ilvl="0">
      <w:lvlJc w:val="left"/>
      <w:lvlText w:val="%1."/>
      <w:numFmt w:val="upperLetter"/>
      <w:start w:val="1"/>
    </w:lvl>
  </w:abstractNum>
  <w:abstractNum w:abstractNumId="13">
    <w:nsid w:val="2901D8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1."/>
      <w:numFmt w:val="decimal"/>
      <w:start w:val="3"/>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upperLetter"/>
      <w:start w:val="3"/>
    </w:lvl>
  </w:abstractNum>
  <w:abstractNum w:abstractNumId="18">
    <w:nsid w:val="737B8DDC"/>
    <w:multiLevelType w:val="hybridMultilevel"/>
    <w:lvl w:ilvl="0">
      <w:lvlJc w:val="left"/>
      <w:lvlText w:val="%1."/>
      <w:numFmt w:val="upperLetter"/>
      <w:start w:val="4"/>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upperLetter"/>
      <w:start w:val="5"/>
    </w:lvl>
    <w:lvl w:ilvl="1">
      <w:lvlJc w:val="left"/>
      <w:lvlText w:val="%2."/>
      <w:numFmt w:val="decimal"/>
      <w:start w:val="1"/>
    </w:lvl>
  </w:abstractNum>
  <w:abstractNum w:abstractNumId="21">
    <w:nsid w:val="4516DDE9"/>
    <w:multiLevelType w:val="hybridMultilevel"/>
    <w:lvl w:ilvl="0">
      <w:lvlJc w:val="left"/>
      <w:lvlText w:val="%1"/>
      <w:numFmt w:val="upperLetter"/>
      <w:start w:val="1"/>
    </w:lvl>
    <w:lvl w:ilvl="1">
      <w:lvlJc w:val="left"/>
      <w:lvlText w:val="%2."/>
      <w:numFmt w:val="decimal"/>
      <w:start w:val="2"/>
    </w:lvl>
  </w:abstractNum>
  <w:abstractNum w:abstractNumId="22">
    <w:nsid w:val="3006C83E"/>
    <w:multiLevelType w:val="hybridMultilevel"/>
    <w:lvl w:ilvl="0">
      <w:lvlJc w:val="left"/>
      <w:lvlText w:val="%1."/>
      <w:numFmt w:val="upperLetter"/>
      <w:start w:val="6"/>
    </w:lvl>
    <w:lvl w:ilvl="1">
      <w:lvlJc w:val="left"/>
      <w:lvlText w:val="%2"/>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upperLetter"/>
      <w:start w:val="1"/>
    </w:lvl>
    <w:lvl w:ilvl="1">
      <w:lvlJc w:val="left"/>
      <w:lvlText w:val="%2."/>
      <w:numFmt w:val="decimal"/>
      <w:start w:val="3"/>
    </w:lvl>
  </w:abstractNum>
  <w:abstractNum w:abstractNumId="25">
    <w:nsid w:val="5577F8E1"/>
    <w:multiLevelType w:val="hybridMultilevel"/>
    <w:lvl w:ilvl="0">
      <w:lvlJc w:val="left"/>
      <w:lvlText w:val="%1."/>
      <w:numFmt w:val="upperLetter"/>
      <w:start w:val="7"/>
    </w:lvl>
    <w:lvl w:ilvl="1">
      <w:lvlJc w:val="left"/>
      <w:lvlText w:val="%2"/>
      <w:numFmt w:val="decimal"/>
      <w:start w:val="1"/>
    </w:lvl>
  </w:abstractNum>
  <w:abstractNum w:abstractNumId="26">
    <w:nsid w:val="440BADFC"/>
    <w:multiLevelType w:val="hybridMultilevel"/>
    <w:lvl w:ilvl="0">
      <w:lvlJc w:val="left"/>
      <w:lvlText w:val="%1."/>
      <w:numFmt w:val="upperLetter"/>
      <w:start w:val="8"/>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6"/>
    </w:lvl>
  </w:abstractNum>
  <w:abstractNum w:abstractNumId="29">
    <w:nsid w:val="77465F01"/>
    <w:multiLevelType w:val="hybridMultilevel"/>
    <w:lvl w:ilvl="0">
      <w:lvlJc w:val="left"/>
      <w:lvlText w:val="%1."/>
      <w:numFmt w:val="decimal"/>
      <w:start w:val="11"/>
    </w:lvl>
  </w:abstractNum>
  <w:abstractNum w:abstractNumId="30">
    <w:nsid w:val="7724C67E"/>
    <w:multiLevelType w:val="hybridMultilevel"/>
    <w:lvl w:ilvl="0">
      <w:lvlJc w:val="left"/>
      <w:lvlText w:val="%1."/>
      <w:numFmt w:val="upperLetter"/>
      <w:start w:val="9"/>
    </w:lvl>
  </w:abstractNum>
  <w:abstractNum w:abstractNumId="31">
    <w:nsid w:val="5C482A97"/>
    <w:multiLevelType w:val="hybridMultilevel"/>
    <w:lvl w:ilvl="0">
      <w:lvlJc w:val="left"/>
      <w:lvlText w:val="%1."/>
      <w:numFmt w:val="upperLetter"/>
      <w:start w:val="10"/>
    </w:lvl>
  </w:abstractNum>
  <w:abstractNum w:abstractNumId="32">
    <w:nsid w:val="2463B9EA"/>
    <w:multiLevelType w:val="hybridMultilevel"/>
    <w:lvl w:ilvl="0">
      <w:lvlJc w:val="left"/>
      <w:lvlText w:val="%1."/>
      <w:numFmt w:val="upperLetter"/>
      <w:start w:val="11"/>
    </w:lvl>
  </w:abstractNum>
  <w:abstractNum w:abstractNumId="33">
    <w:nsid w:val="5E884ADC"/>
    <w:multiLevelType w:val="hybridMultilevel"/>
    <w:lvl w:ilvl="0">
      <w:lvlJc w:val="left"/>
      <w:lvlText w:val="%1."/>
      <w:numFmt w:val="upperLetter"/>
      <w:start w:val="12"/>
    </w:lvl>
  </w:abstractNum>
  <w:abstractNum w:abstractNumId="34">
    <w:nsid w:val="51EAD36B"/>
    <w:multiLevelType w:val="hybridMultilevel"/>
    <w:lvl w:ilvl="0">
      <w:lvlJc w:val="left"/>
      <w:lvlText w:val="%1."/>
      <w:numFmt w:val="upperLetter"/>
      <w:start w:val="13"/>
    </w:lvl>
  </w:abstractNum>
  <w:abstractNum w:abstractNumId="35">
    <w:nsid w:val="2D517796"/>
    <w:multiLevelType w:val="hybridMultilevel"/>
    <w:lvl w:ilvl="0">
      <w:lvlJc w:val="left"/>
      <w:lvlText w:val="%1."/>
      <w:numFmt w:val="decimal"/>
      <w:start w:val="1"/>
    </w:lvl>
    <w:lvl w:ilvl="1">
      <w:lvlJc w:val="left"/>
      <w:lvlText w:val="%2."/>
      <w:numFmt w:val="lowerLetter"/>
      <w:start w:val="1"/>
    </w:lvl>
  </w:abstractNum>
  <w:abstractNum w:abstractNumId="36">
    <w:nsid w:val="580BD78F"/>
    <w:multiLevelType w:val="hybridMultilevel"/>
    <w:lvl w:ilvl="0">
      <w:lvlJc w:val="left"/>
      <w:lvlText w:val="%1."/>
      <w:numFmt w:val="decimal"/>
      <w:start w:val="4"/>
    </w:lvl>
    <w:lvl w:ilvl="1">
      <w:lvlJc w:val="left"/>
      <w:lvlText w:val="•"/>
      <w:numFmt w:val="bullet"/>
      <w:start w:val="1"/>
    </w:lvl>
  </w:abstractNum>
  <w:abstractNum w:abstractNumId="37">
    <w:nsid w:val="153EA438"/>
    <w:multiLevelType w:val="hybridMultilevel"/>
    <w:lvl w:ilvl="0">
      <w:lvlJc w:val="left"/>
      <w:lvlText w:val="%1."/>
      <w:numFmt w:val="decimal"/>
      <w:start w:val="12"/>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6"/>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286" Type="http://schemas.openxmlformats.org/officeDocument/2006/relationships/hyperlink" Target="https://www.sec.gov/Archives/edgar/data/1841156/000156459021030840/ck7045120534-ex31_9.htm" TargetMode="External"/><Relationship Id="rId287" Type="http://schemas.openxmlformats.org/officeDocument/2006/relationships/hyperlink" Target="https://www.sec.gov/Archives/edgar/data/1841156/000095017023039173/pay-ex3_1.htm" TargetMode="External"/><Relationship Id="rId288" Type="http://schemas.openxmlformats.org/officeDocument/2006/relationships/hyperlink" Target="https://www.sec.gov/Archives/edgar/data/1841156/000095017022025091/pay-ex3_2.htm" TargetMode="External"/><Relationship Id="rId289" Type="http://schemas.openxmlformats.org/officeDocument/2006/relationships/hyperlink" Target="https://www.sec.gov/Archives/edgar/data/1841156/000095017025092988/pay-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2025-08-05T05:09:50Z</dcterms:created>
  <dcterms:modified xsi:type="dcterms:W3CDTF">2025-08-05T05:09:50Z</dcterms:modified>
</cp:coreProperties>
</file>