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3920" w:right="2780" w:hanging="3899"/>
        <w:spacing w:after="0" w:line="321" w:lineRule="auto"/>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spacing w:after="0" w:line="10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48" w:lineRule="exact"/>
        <w:rPr>
          <w:sz w:val="24"/>
          <w:szCs w:val="24"/>
          <w:color w:val="auto"/>
        </w:rPr>
      </w:pPr>
    </w:p>
    <w:p>
      <w:pPr>
        <w:ind w:left="3720"/>
        <w:spacing w:after="0"/>
        <w:tabs>
          <w:tab w:leader="none" w:pos="65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001-40429</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4"/>
          <w:szCs w:val="24"/>
          <w:color w:val="auto"/>
        </w:rPr>
      </w:pPr>
    </w:p>
    <w:tbl>
      <w:tblPr>
        <w:tblLayout w:type="fixed"/>
        <w:tblInd w:w="740" w:type="dxa"/>
        <w:tblCellMar>
          <w:top w:w="0" w:type="dxa"/>
          <w:left w:w="0" w:type="dxa"/>
          <w:bottom w:w="0" w:type="dxa"/>
          <w:right w:w="0" w:type="dxa"/>
        </w:tblCellMar>
      </w:tblPr>
      <w:tr>
        <w:trPr>
          <w:trHeight w:val="214"/>
        </w:trPr>
        <w:tc>
          <w:tcPr>
            <w:tcW w:w="4240" w:type="dxa"/>
            <w:vAlign w:val="bottom"/>
          </w:tcPr>
          <w:p>
            <w:pPr>
              <w:jc w:val="center"/>
              <w:spacing w:after="0"/>
              <w:rPr>
                <w:sz w:val="20"/>
                <w:szCs w:val="20"/>
                <w:color w:val="auto"/>
              </w:rPr>
            </w:pPr>
            <w:r>
              <w:rPr>
                <w:rFonts w:ascii="Arial" w:cs="Arial" w:eastAsia="Arial" w:hAnsi="Arial"/>
                <w:sz w:val="16"/>
                <w:szCs w:val="16"/>
                <w:b w:val="1"/>
                <w:bCs w:val="1"/>
                <w:color w:val="auto"/>
              </w:rPr>
              <w:t>Delaware</w:t>
            </w:r>
          </w:p>
        </w:tc>
        <w:tc>
          <w:tcPr>
            <w:tcW w:w="4700" w:type="dxa"/>
            <w:vAlign w:val="bottom"/>
          </w:tcPr>
          <w:p>
            <w:pPr>
              <w:jc w:val="right"/>
              <w:ind w:right="739"/>
              <w:spacing w:after="0"/>
              <w:rPr>
                <w:sz w:val="20"/>
                <w:szCs w:val="20"/>
                <w:color w:val="auto"/>
              </w:rPr>
            </w:pPr>
            <w:r>
              <w:rPr>
                <w:rFonts w:ascii="Arial" w:cs="Arial" w:eastAsia="Arial" w:hAnsi="Arial"/>
                <w:sz w:val="16"/>
                <w:szCs w:val="16"/>
                <w:b w:val="1"/>
                <w:bCs w:val="1"/>
                <w:color w:val="auto"/>
              </w:rPr>
              <w:t>45-3188251</w:t>
            </w:r>
          </w:p>
        </w:tc>
      </w:tr>
      <w:tr>
        <w:trPr>
          <w:trHeight w:val="298"/>
        </w:trPr>
        <w:tc>
          <w:tcPr>
            <w:tcW w:w="4240" w:type="dxa"/>
            <w:vAlign w:val="bottom"/>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4700" w:type="dxa"/>
            <w:vAlign w:val="bottom"/>
          </w:tcPr>
          <w:p>
            <w:pPr>
              <w:jc w:val="center"/>
              <w:ind w:left="2139"/>
              <w:spacing w:after="0"/>
              <w:rPr>
                <w:sz w:val="20"/>
                <w:szCs w:val="20"/>
                <w:color w:val="auto"/>
              </w:rPr>
            </w:pPr>
            <w:r>
              <w:rPr>
                <w:rFonts w:ascii="Arial" w:cs="Arial" w:eastAsia="Arial" w:hAnsi="Arial"/>
                <w:sz w:val="16"/>
                <w:szCs w:val="16"/>
                <w:color w:val="auto"/>
              </w:rPr>
              <w:t>(I.R.S. Employer Identification No.)</w:t>
            </w:r>
          </w:p>
        </w:tc>
      </w:tr>
      <w:tr>
        <w:trPr>
          <w:trHeight w:val="189"/>
        </w:trPr>
        <w:tc>
          <w:tcPr>
            <w:tcW w:w="4240" w:type="dxa"/>
            <w:vAlign w:val="bottom"/>
          </w:tcPr>
          <w:p>
            <w:pPr>
              <w:jc w:val="center"/>
              <w:spacing w:after="0"/>
              <w:rPr>
                <w:sz w:val="20"/>
                <w:szCs w:val="20"/>
                <w:color w:val="auto"/>
              </w:rPr>
            </w:pPr>
            <w:r>
              <w:rPr>
                <w:rFonts w:ascii="Arial" w:cs="Arial" w:eastAsia="Arial" w:hAnsi="Arial"/>
                <w:sz w:val="16"/>
                <w:szCs w:val="16"/>
                <w:b w:val="1"/>
                <w:bCs w:val="1"/>
                <w:color w:val="auto"/>
              </w:rPr>
              <w:t>11605 N. Community House Road, Suite 300</w:t>
            </w:r>
          </w:p>
        </w:tc>
        <w:tc>
          <w:tcPr>
            <w:tcW w:w="4700" w:type="dxa"/>
            <w:vAlign w:val="bottom"/>
          </w:tcPr>
          <w:p>
            <w:pPr>
              <w:spacing w:after="0"/>
              <w:rPr>
                <w:sz w:val="16"/>
                <w:szCs w:val="16"/>
                <w:color w:val="auto"/>
              </w:rPr>
            </w:pPr>
          </w:p>
        </w:tc>
      </w:tr>
      <w:tr>
        <w:trPr>
          <w:trHeight w:val="214"/>
        </w:trPr>
        <w:tc>
          <w:tcPr>
            <w:tcW w:w="4240" w:type="dxa"/>
            <w:vAlign w:val="bottom"/>
          </w:tcPr>
          <w:p>
            <w:pPr>
              <w:jc w:val="center"/>
              <w:spacing w:after="0"/>
              <w:rPr>
                <w:sz w:val="20"/>
                <w:szCs w:val="20"/>
                <w:color w:val="auto"/>
              </w:rPr>
            </w:pPr>
            <w:r>
              <w:rPr>
                <w:rFonts w:ascii="Arial" w:cs="Arial" w:eastAsia="Arial" w:hAnsi="Arial"/>
                <w:sz w:val="16"/>
                <w:szCs w:val="16"/>
                <w:b w:val="1"/>
                <w:bCs w:val="1"/>
                <w:color w:val="auto"/>
              </w:rPr>
              <w:t>Charlotte, NC</w:t>
            </w:r>
          </w:p>
        </w:tc>
        <w:tc>
          <w:tcPr>
            <w:tcW w:w="4700" w:type="dxa"/>
            <w:vAlign w:val="bottom"/>
          </w:tcPr>
          <w:p>
            <w:pPr>
              <w:jc w:val="right"/>
              <w:ind w:right="939"/>
              <w:spacing w:after="0"/>
              <w:rPr>
                <w:sz w:val="20"/>
                <w:szCs w:val="20"/>
                <w:color w:val="auto"/>
              </w:rPr>
            </w:pPr>
            <w:r>
              <w:rPr>
                <w:rFonts w:ascii="Arial" w:cs="Arial" w:eastAsia="Arial" w:hAnsi="Arial"/>
                <w:sz w:val="16"/>
                <w:szCs w:val="16"/>
                <w:b w:val="1"/>
                <w:bCs w:val="1"/>
                <w:color w:val="auto"/>
              </w:rPr>
              <w:t>28277</w:t>
            </w:r>
          </w:p>
        </w:tc>
      </w:tr>
      <w:tr>
        <w:trPr>
          <w:trHeight w:val="190"/>
        </w:trPr>
        <w:tc>
          <w:tcPr>
            <w:tcW w:w="42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4700" w:type="dxa"/>
            <w:vAlign w:val="bottom"/>
          </w:tcPr>
          <w:p>
            <w:pPr>
              <w:jc w:val="center"/>
              <w:ind w:left="2139"/>
              <w:spacing w:after="0"/>
              <w:rPr>
                <w:sz w:val="20"/>
                <w:szCs w:val="20"/>
                <w:color w:val="auto"/>
              </w:rPr>
            </w:pPr>
            <w:r>
              <w:rPr>
                <w:rFonts w:ascii="Arial" w:cs="Arial" w:eastAsia="Arial" w:hAnsi="Arial"/>
                <w:sz w:val="16"/>
                <w:szCs w:val="16"/>
                <w:color w:val="auto"/>
              </w:rPr>
              <w:t>(Zip Code)</w:t>
            </w:r>
          </w:p>
        </w:tc>
      </w:tr>
      <w:tr>
        <w:trPr>
          <w:trHeight w:val="209"/>
        </w:trPr>
        <w:tc>
          <w:tcPr>
            <w:tcW w:w="4240" w:type="dxa"/>
            <w:vAlign w:val="bottom"/>
          </w:tcPr>
          <w:p>
            <w:pPr>
              <w:spacing w:after="0"/>
              <w:rPr>
                <w:sz w:val="18"/>
                <w:szCs w:val="18"/>
                <w:color w:val="auto"/>
              </w:rPr>
            </w:pPr>
          </w:p>
        </w:tc>
        <w:tc>
          <w:tcPr>
            <w:tcW w:w="4700" w:type="dxa"/>
            <w:vAlign w:val="bottom"/>
          </w:tcPr>
          <w:p>
            <w:pPr>
              <w:jc w:val="right"/>
              <w:ind w:right="3419"/>
              <w:spacing w:after="0"/>
              <w:rPr>
                <w:sz w:val="20"/>
                <w:szCs w:val="20"/>
                <w:color w:val="auto"/>
              </w:rPr>
            </w:pPr>
            <w:r>
              <w:rPr>
                <w:rFonts w:ascii="Arial" w:cs="Arial" w:eastAsia="Arial" w:hAnsi="Arial"/>
                <w:sz w:val="16"/>
                <w:szCs w:val="16"/>
                <w:b w:val="1"/>
                <w:bCs w:val="1"/>
                <w:color w:val="auto"/>
              </w:rPr>
              <w:t>(888) 440-4826</w:t>
            </w:r>
          </w:p>
        </w:tc>
      </w:tr>
    </w:tbl>
    <w:p>
      <w:pPr>
        <w:ind w:left="3700"/>
        <w:spacing w:after="0"/>
        <w:rPr>
          <w:sz w:val="20"/>
          <w:szCs w:val="20"/>
          <w:color w:val="auto"/>
        </w:rPr>
      </w:pPr>
      <w:r>
        <w:rPr>
          <w:rFonts w:ascii="Arial" w:cs="Arial" w:eastAsia="Arial" w:hAnsi="Arial"/>
          <w:sz w:val="16"/>
          <w:szCs w:val="16"/>
          <w:color w:val="auto"/>
        </w:rPr>
        <w:t>(Registrant’s telephone number, including area code)</w:t>
      </w:r>
    </w:p>
    <w:p>
      <w:pPr>
        <w:spacing w:after="0" w:line="116" w:lineRule="exact"/>
        <w:rPr>
          <w:sz w:val="24"/>
          <w:szCs w:val="24"/>
          <w:color w:val="auto"/>
        </w:rPr>
      </w:pPr>
    </w:p>
    <w:p>
      <w:pPr>
        <w:jc w:val="center"/>
        <w:ind w:right="8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2727960</wp:posOffset>
            </wp:positionH>
            <wp:positionV relativeFrom="paragraph">
              <wp:posOffset>53340</wp:posOffset>
            </wp:positionV>
            <wp:extent cx="89535"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535" cy="26543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53340</wp:posOffset>
            </wp:positionV>
            <wp:extent cx="33655"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265430"/>
                    </a:xfrm>
                    <a:prstGeom prst="rect">
                      <a:avLst/>
                    </a:prstGeom>
                    <a:noFill/>
                  </pic:spPr>
                </pic:pic>
              </a:graphicData>
            </a:graphic>
          </wp:anchor>
        </w:drawing>
      </w:r>
    </w:p>
    <w:p>
      <w:pPr>
        <w:spacing w:after="0" w:line="61"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320" w:type="dxa"/>
            <w:vAlign w:val="bottom"/>
            <w:tcBorders>
              <w:top w:val="single" w:sz="8" w:color="auto"/>
              <w:left w:val="single" w:sz="8" w:color="auto"/>
              <w:right w:val="single" w:sz="8" w:color="auto"/>
            </w:tcBorders>
          </w:tcPr>
          <w:p>
            <w:pPr>
              <w:ind w:left="154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Borders>
              <w:top w:val="single" w:sz="8" w:color="auto"/>
            </w:tcBorders>
          </w:tcPr>
          <w:p>
            <w:pPr>
              <w:spacing w:after="0"/>
              <w:rPr>
                <w:sz w:val="18"/>
                <w:szCs w:val="18"/>
                <w:color w:val="auto"/>
              </w:rPr>
            </w:pPr>
          </w:p>
        </w:tc>
        <w:tc>
          <w:tcPr>
            <w:tcW w:w="4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4"/>
        </w:trPr>
        <w:tc>
          <w:tcPr>
            <w:tcW w:w="432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940" w:type="dxa"/>
            <w:vAlign w:val="bottom"/>
            <w:tcBorders>
              <w:bottom w:val="single" w:sz="8" w:color="auto"/>
              <w:right w:val="single" w:sz="8" w:color="auto"/>
            </w:tcBorders>
          </w:tcPr>
          <w:p>
            <w:pPr>
              <w:spacing w:after="0"/>
              <w:rPr>
                <w:sz w:val="15"/>
                <w:szCs w:val="15"/>
                <w:color w:val="auto"/>
              </w:rPr>
            </w:pPr>
          </w:p>
        </w:tc>
      </w:tr>
      <w:tr>
        <w:trPr>
          <w:trHeight w:val="154"/>
        </w:trPr>
        <w:tc>
          <w:tcPr>
            <w:tcW w:w="43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4"/>
                <w:szCs w:val="14"/>
                <w:color w:val="auto"/>
              </w:rPr>
              <w:t>Class A Common Stock, par value $0.0001 per share</w:t>
            </w:r>
          </w:p>
        </w:tc>
        <w:tc>
          <w:tcPr>
            <w:tcW w:w="10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2"/>
              </w:rPr>
              <w:t>PAY</w:t>
            </w:r>
          </w:p>
        </w:tc>
        <w:tc>
          <w:tcPr>
            <w:tcW w:w="100" w:type="dxa"/>
            <w:vAlign w:val="bottom"/>
            <w:tcBorders>
              <w:right w:val="single" w:sz="8" w:color="auto"/>
            </w:tcBorders>
          </w:tcPr>
          <w:p>
            <w:pPr>
              <w:spacing w:after="0"/>
              <w:rPr>
                <w:sz w:val="13"/>
                <w:szCs w:val="13"/>
                <w:color w:val="auto"/>
              </w:rPr>
            </w:pPr>
          </w:p>
        </w:tc>
        <w:tc>
          <w:tcPr>
            <w:tcW w:w="49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New York Stock Exchange</w:t>
            </w:r>
          </w:p>
        </w:tc>
      </w:tr>
      <w:tr>
        <w:trPr>
          <w:trHeight w:val="160"/>
        </w:trPr>
        <w:tc>
          <w:tcPr>
            <w:tcW w:w="4320" w:type="dxa"/>
            <w:vAlign w:val="bottom"/>
            <w:tcBorders>
              <w:left w:val="single" w:sz="8" w:color="auto"/>
              <w:bottom w:val="single" w:sz="8" w:color="auto"/>
              <w:right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4940" w:type="dxa"/>
            <w:vAlign w:val="bottom"/>
            <w:tcBorders>
              <w:bottom w:val="single" w:sz="8" w:color="auto"/>
              <w:right w:val="single" w:sz="8" w:color="auto"/>
            </w:tcBorders>
          </w:tcPr>
          <w:p>
            <w:pPr>
              <w:spacing w:after="0"/>
              <w:rPr>
                <w:sz w:val="13"/>
                <w:szCs w:val="13"/>
                <w:color w:val="auto"/>
              </w:rPr>
            </w:pPr>
          </w:p>
        </w:tc>
      </w:tr>
    </w:tbl>
    <w:p>
      <w:pPr>
        <w:spacing w:after="0" w:line="148"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72" w:lineRule="exact"/>
        <w:rPr>
          <w:sz w:val="24"/>
          <w:szCs w:val="24"/>
          <w:color w:val="auto"/>
        </w:rPr>
      </w:pPr>
    </w:p>
    <w:p>
      <w:pPr>
        <w:spacing w:after="0" w:line="175" w:lineRule="exact"/>
        <w:tabs>
          <w:tab w:leader="none" w:pos="7600" w:val="left"/>
        </w:tabs>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82" w:lineRule="exact"/>
        <w:rPr>
          <w:sz w:val="24"/>
          <w:szCs w:val="24"/>
          <w:color w:val="auto"/>
        </w:rPr>
      </w:pPr>
    </w:p>
    <w:p>
      <w:pPr>
        <w:spacing w:after="0" w:line="175" w:lineRule="exact"/>
        <w:tabs>
          <w:tab w:leader="none" w:pos="724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117" w:lineRule="exact"/>
        <w:rPr>
          <w:sz w:val="24"/>
          <w:szCs w:val="24"/>
          <w:color w:val="auto"/>
        </w:rPr>
      </w:pPr>
    </w:p>
    <w:p>
      <w:pPr>
        <w:ind w:right="4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1" w:lineRule="exact"/>
        <w:rPr>
          <w:sz w:val="24"/>
          <w:szCs w:val="24"/>
          <w:color w:val="auto"/>
        </w:rPr>
      </w:pPr>
    </w:p>
    <w:p>
      <w:pPr>
        <w:ind w:right="26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1" w:lineRule="exact"/>
        <w:rPr>
          <w:sz w:val="24"/>
          <w:szCs w:val="24"/>
          <w:color w:val="auto"/>
        </w:rPr>
      </w:pPr>
    </w:p>
    <w:p>
      <w:pPr>
        <w:ind w:right="40"/>
        <w:spacing w:after="0" w:line="23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31"/>
        </w:trPr>
        <w:tc>
          <w:tcPr>
            <w:tcW w:w="1940" w:type="dxa"/>
            <w:vAlign w:val="bottom"/>
          </w:tcPr>
          <w:p>
            <w:pPr>
              <w:spacing w:after="0" w:line="131" w:lineRule="exact"/>
              <w:rPr>
                <w:sz w:val="20"/>
                <w:szCs w:val="20"/>
                <w:color w:val="auto"/>
              </w:rPr>
            </w:pPr>
            <w:r>
              <w:rPr>
                <w:rFonts w:ascii="Arial" w:cs="Arial" w:eastAsia="Arial" w:hAnsi="Arial"/>
                <w:sz w:val="13"/>
                <w:szCs w:val="13"/>
                <w:color w:val="auto"/>
              </w:rPr>
              <w:t>Large accelerated filer</w:t>
            </w:r>
          </w:p>
        </w:tc>
        <w:tc>
          <w:tcPr>
            <w:tcW w:w="3420" w:type="dxa"/>
            <w:vAlign w:val="bottom"/>
          </w:tcPr>
          <w:p>
            <w:pPr>
              <w:ind w:left="320"/>
              <w:spacing w:after="0" w:line="130" w:lineRule="exact"/>
              <w:rPr>
                <w:sz w:val="20"/>
                <w:szCs w:val="20"/>
                <w:color w:val="auto"/>
              </w:rPr>
            </w:pPr>
            <w:r>
              <w:rPr>
                <w:rFonts w:ascii="Arial Unicode MS" w:cs="Arial Unicode MS" w:eastAsia="Arial Unicode MS" w:hAnsi="Arial Unicode MS"/>
                <w:sz w:val="12"/>
                <w:szCs w:val="12"/>
                <w:color w:val="auto"/>
              </w:rPr>
              <w:t>☐</w:t>
            </w:r>
          </w:p>
        </w:tc>
        <w:tc>
          <w:tcPr>
            <w:tcW w:w="5140" w:type="dxa"/>
            <w:vAlign w:val="bottom"/>
          </w:tcPr>
          <w:p>
            <w:pPr>
              <w:ind w:left="2980"/>
              <w:spacing w:after="0" w:line="131" w:lineRule="exact"/>
              <w:rPr>
                <w:sz w:val="20"/>
                <w:szCs w:val="20"/>
                <w:color w:val="auto"/>
              </w:rPr>
            </w:pPr>
            <w:r>
              <w:rPr>
                <w:rFonts w:ascii="Arial" w:cs="Arial" w:eastAsia="Arial" w:hAnsi="Arial"/>
                <w:sz w:val="13"/>
                <w:szCs w:val="13"/>
                <w:color w:val="auto"/>
              </w:rPr>
              <w:t>Accelerated filer</w:t>
            </w:r>
          </w:p>
        </w:tc>
        <w:tc>
          <w:tcPr>
            <w:tcW w:w="660" w:type="dxa"/>
            <w:vAlign w:val="bottom"/>
          </w:tcPr>
          <w:p>
            <w:pPr>
              <w:ind w:left="540"/>
              <w:spacing w:after="0" w:line="130" w:lineRule="exact"/>
              <w:rPr>
                <w:sz w:val="20"/>
                <w:szCs w:val="20"/>
                <w:color w:val="auto"/>
              </w:rPr>
            </w:pPr>
            <w:r>
              <w:rPr>
                <w:rFonts w:ascii="Arial Unicode MS" w:cs="Arial Unicode MS" w:eastAsia="Arial Unicode MS" w:hAnsi="Arial Unicode MS"/>
                <w:sz w:val="12"/>
                <w:szCs w:val="12"/>
                <w:color w:val="auto"/>
              </w:rPr>
              <w:t>☒</w:t>
            </w:r>
          </w:p>
        </w:tc>
      </w:tr>
      <w:tr>
        <w:trPr>
          <w:trHeight w:val="162"/>
        </w:trPr>
        <w:tc>
          <w:tcPr>
            <w:tcW w:w="1940" w:type="dxa"/>
            <w:vAlign w:val="bottom"/>
          </w:tcPr>
          <w:p>
            <w:pPr>
              <w:spacing w:after="0"/>
              <w:rPr>
                <w:sz w:val="20"/>
                <w:szCs w:val="20"/>
                <w:color w:val="auto"/>
              </w:rPr>
            </w:pPr>
            <w:r>
              <w:rPr>
                <w:rFonts w:ascii="Arial" w:cs="Arial" w:eastAsia="Arial" w:hAnsi="Arial"/>
                <w:sz w:val="13"/>
                <w:szCs w:val="13"/>
                <w:color w:val="auto"/>
              </w:rPr>
              <w:t>Non-accelerated filer</w:t>
            </w:r>
          </w:p>
        </w:tc>
        <w:tc>
          <w:tcPr>
            <w:tcW w:w="3420" w:type="dxa"/>
            <w:vAlign w:val="bottom"/>
          </w:tcPr>
          <w:p>
            <w:pPr>
              <w:ind w:left="320"/>
              <w:spacing w:after="0" w:line="162" w:lineRule="exact"/>
              <w:rPr>
                <w:sz w:val="20"/>
                <w:szCs w:val="20"/>
                <w:color w:val="auto"/>
              </w:rPr>
            </w:pPr>
            <w:r>
              <w:rPr>
                <w:rFonts w:ascii="Arial Unicode MS" w:cs="Arial Unicode MS" w:eastAsia="Arial Unicode MS" w:hAnsi="Arial Unicode MS"/>
                <w:sz w:val="13"/>
                <w:szCs w:val="13"/>
                <w:color w:val="auto"/>
              </w:rPr>
              <w:t>☐</w:t>
            </w:r>
          </w:p>
        </w:tc>
        <w:tc>
          <w:tcPr>
            <w:tcW w:w="5140" w:type="dxa"/>
            <w:vAlign w:val="bottom"/>
          </w:tcPr>
          <w:p>
            <w:pPr>
              <w:ind w:left="2980"/>
              <w:spacing w:after="0"/>
              <w:rPr>
                <w:sz w:val="20"/>
                <w:szCs w:val="20"/>
                <w:color w:val="auto"/>
              </w:rPr>
            </w:pPr>
            <w:r>
              <w:rPr>
                <w:rFonts w:ascii="Arial" w:cs="Arial" w:eastAsia="Arial" w:hAnsi="Arial"/>
                <w:sz w:val="13"/>
                <w:szCs w:val="13"/>
                <w:color w:val="auto"/>
              </w:rPr>
              <w:t>Smaller reporting company</w:t>
            </w:r>
          </w:p>
        </w:tc>
        <w:tc>
          <w:tcPr>
            <w:tcW w:w="660" w:type="dxa"/>
            <w:vAlign w:val="bottom"/>
          </w:tcPr>
          <w:p>
            <w:pPr>
              <w:ind w:left="540"/>
              <w:spacing w:after="0" w:line="162" w:lineRule="exact"/>
              <w:rPr>
                <w:sz w:val="20"/>
                <w:szCs w:val="20"/>
                <w:color w:val="auto"/>
              </w:rPr>
            </w:pPr>
            <w:r>
              <w:rPr>
                <w:rFonts w:ascii="Arial Unicode MS" w:cs="Arial Unicode MS" w:eastAsia="Arial Unicode MS" w:hAnsi="Arial Unicode MS"/>
                <w:sz w:val="13"/>
                <w:szCs w:val="13"/>
                <w:color w:val="auto"/>
              </w:rPr>
              <w:t>☐</w:t>
            </w:r>
          </w:p>
        </w:tc>
      </w:tr>
      <w:tr>
        <w:trPr>
          <w:trHeight w:val="211"/>
        </w:trPr>
        <w:tc>
          <w:tcPr>
            <w:tcW w:w="19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420" w:type="dxa"/>
            <w:vAlign w:val="bottom"/>
          </w:tcPr>
          <w:p>
            <w:pPr>
              <w:ind w:left="32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14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spacing w:after="0" w:line="94" w:lineRule="exact"/>
        <w:rPr>
          <w:sz w:val="24"/>
          <w:szCs w:val="24"/>
          <w:color w:val="auto"/>
        </w:rPr>
      </w:pPr>
    </w:p>
    <w:p>
      <w:pPr>
        <w:ind w:right="30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81" w:lineRule="exact"/>
        <w:rPr>
          <w:sz w:val="24"/>
          <w:szCs w:val="24"/>
          <w:color w:val="auto"/>
        </w:rPr>
      </w:pPr>
    </w:p>
    <w:p>
      <w:pPr>
        <w:ind w:right="140"/>
        <w:spacing w:after="0" w:line="16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w:t>
      </w:r>
      <w:r>
        <w:rPr>
          <w:rFonts w:ascii="Arial" w:cs="Arial" w:eastAsia="Arial" w:hAnsi="Arial"/>
          <w:sz w:val="12"/>
          <w:szCs w:val="12"/>
          <w:color w:val="auto"/>
        </w:rPr>
        <w:t>report.</w:t>
      </w:r>
      <w:r>
        <w:rPr>
          <w:rFonts w:ascii="Arial" w:cs="Arial" w:eastAsia="Arial" w:hAnsi="Arial"/>
          <w:sz w:val="13"/>
          <w:szCs w:val="13"/>
          <w:color w:val="auto"/>
        </w:rPr>
        <w:t xml:space="preserve"> </w:t>
      </w:r>
      <w:r>
        <w:rPr>
          <w:rFonts w:ascii="MS PGothic" w:cs="MS PGothic" w:eastAsia="MS PGothic" w:hAnsi="MS PGothic"/>
          <w:sz w:val="12"/>
          <w:szCs w:val="12"/>
          <w:color w:val="auto"/>
        </w:rPr>
        <w:t>☐</w:t>
      </w:r>
    </w:p>
    <w:p>
      <w:pPr>
        <w:spacing w:after="0" w:line="83" w:lineRule="exact"/>
        <w:rPr>
          <w:sz w:val="24"/>
          <w:szCs w:val="24"/>
          <w:color w:val="auto"/>
        </w:rPr>
      </w:pPr>
    </w:p>
    <w:p>
      <w:pPr>
        <w:ind w:right="320"/>
        <w:spacing w:after="0" w:line="162" w:lineRule="exact"/>
        <w:rPr>
          <w:sz w:val="20"/>
          <w:szCs w:val="20"/>
          <w:color w:val="auto"/>
        </w:rPr>
      </w:pPr>
      <w:r>
        <w:rPr>
          <w:rFonts w:ascii="Arial" w:cs="Arial" w:eastAsia="Arial" w:hAnsi="Arial"/>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000000"/>
        </w:rPr>
        <w:t>☐</w:t>
      </w:r>
    </w:p>
    <w:p>
      <w:pPr>
        <w:spacing w:after="0" w:line="121" w:lineRule="exact"/>
        <w:rPr>
          <w:sz w:val="24"/>
          <w:szCs w:val="24"/>
          <w:color w:val="auto"/>
        </w:rPr>
      </w:pPr>
    </w:p>
    <w:p>
      <w:pPr>
        <w:ind w:right="440"/>
        <w:spacing w:after="0" w:line="162" w:lineRule="exact"/>
        <w:rPr>
          <w:sz w:val="20"/>
          <w:szCs w:val="20"/>
          <w:color w:val="auto"/>
        </w:rPr>
      </w:pPr>
      <w:r>
        <w:rPr>
          <w:rFonts w:ascii="Arial" w:cs="Arial" w:eastAsia="Arial" w:hAnsi="Arial"/>
          <w:sz w:val="13"/>
          <w:szCs w:val="13"/>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231F20"/>
        </w:rPr>
        <w:t>ﬃ</w:t>
      </w:r>
      <w:r>
        <w:rPr>
          <w:rFonts w:ascii="Arial" w:cs="Arial" w:eastAsia="Arial" w:hAnsi="Arial"/>
          <w:sz w:val="13"/>
          <w:szCs w:val="13"/>
          <w:color w:val="231F20"/>
        </w:rPr>
        <w:t xml:space="preserve">cers during the relevant recovery period pursuant to §240.10D-1(b). </w:t>
      </w:r>
      <w:r>
        <w:rPr>
          <w:rFonts w:ascii="Arial Unicode MS" w:cs="Arial Unicode MS" w:eastAsia="Arial Unicode MS" w:hAnsi="Arial Unicode MS"/>
          <w:sz w:val="13"/>
          <w:szCs w:val="13"/>
          <w:color w:val="000000"/>
        </w:rPr>
        <w:t>☐</w:t>
      </w:r>
    </w:p>
    <w:p>
      <w:pPr>
        <w:spacing w:after="0" w:line="97" w:lineRule="exact"/>
        <w:rPr>
          <w:sz w:val="24"/>
          <w:szCs w:val="24"/>
          <w:color w:val="auto"/>
        </w:rPr>
      </w:pPr>
    </w:p>
    <w:p>
      <w:pPr>
        <w:spacing w:after="0" w:line="150" w:lineRule="exact"/>
        <w:tabs>
          <w:tab w:leader="none" w:pos="692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131" w:lineRule="exact"/>
        <w:rPr>
          <w:sz w:val="24"/>
          <w:szCs w:val="24"/>
          <w:color w:val="auto"/>
        </w:rPr>
      </w:pPr>
    </w:p>
    <w:p>
      <w:pPr>
        <w:ind w:right="200"/>
        <w:spacing w:after="0" w:line="245" w:lineRule="auto"/>
        <w:rPr>
          <w:sz w:val="20"/>
          <w:szCs w:val="20"/>
          <w:color w:val="auto"/>
        </w:rPr>
      </w:pPr>
      <w:r>
        <w:rPr>
          <w:rFonts w:ascii="Arial" w:cs="Arial" w:eastAsia="Arial" w:hAnsi="Arial"/>
          <w:sz w:val="13"/>
          <w:szCs w:val="13"/>
          <w:color w:val="auto"/>
        </w:rPr>
        <w:t>As of February 28, 2023, there were 19,987,016 shares of the Registrant’s Class A common stock outstanding and 103,306,842 shares of the Registrant’s Class B common stock outstanding. The aggregate market value of the Class A common stock held by non-affiliates of the Registrant as of the last business day of the Registrant’s most recently completed second fiscal quarter was approximately $211.0 million based on the closing sale price of the Class A common stock as reported by the New York Stock Exchange on that date of $13.37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jc w:val="center"/>
        <w:ind w:right="-23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5"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Portions of the Registrant’s Definitive Proxy Statement for the 2023 Annual Meeting of Stockholders, which is expected to be filed within 120 days after the Registrant's fiscal year ended December 31, 2022,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434340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25"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00" w:type="dxa"/>
            <w:vAlign w:val="bottom"/>
            <w:gridSpan w:val="10"/>
          </w:tcPr>
          <w:p>
            <w:pPr>
              <w:ind w:left="1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04"/>
        </w:trPr>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Page</w:t>
            </w:r>
          </w:p>
        </w:tc>
      </w:tr>
      <w:tr>
        <w:trPr>
          <w:trHeight w:val="208"/>
        </w:trPr>
        <w:tc>
          <w:tcPr>
            <w:tcW w:w="1280" w:type="dxa"/>
            <w:vAlign w:val="bottom"/>
          </w:tcPr>
          <w:p>
            <w:pPr>
              <w:ind w:left="20"/>
              <w:spacing w:after="0"/>
              <w:rPr>
                <w:sz w:val="20"/>
                <w:szCs w:val="20"/>
                <w:color w:val="auto"/>
              </w:rPr>
            </w:pPr>
            <w:r>
              <w:rPr>
                <w:rFonts w:ascii="Arial" w:cs="Arial" w:eastAsia="Arial" w:hAnsi="Arial"/>
                <w:sz w:val="18"/>
                <w:szCs w:val="18"/>
                <w:color w:val="auto"/>
              </w:rPr>
              <w:t>PART I</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Item 1.</w:t>
            </w:r>
          </w:p>
        </w:tc>
        <w:tc>
          <w:tcPr>
            <w:tcW w:w="9180" w:type="dxa"/>
            <w:vAlign w:val="bottom"/>
            <w:gridSpan w:val="22"/>
          </w:tcPr>
          <w:p>
            <w:pPr>
              <w:spacing w:after="0" w:line="176"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1A.</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19</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1B.</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2.</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Properties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3.</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4.</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r>
      <w:tr>
        <w:trPr>
          <w:trHeight w:val="451"/>
        </w:trPr>
        <w:tc>
          <w:tcPr>
            <w:tcW w:w="1280" w:type="dxa"/>
            <w:vAlign w:val="bottom"/>
          </w:tcPr>
          <w:p>
            <w:pPr>
              <w:ind w:left="20"/>
              <w:spacing w:after="0"/>
              <w:rPr>
                <w:sz w:val="20"/>
                <w:szCs w:val="20"/>
                <w:color w:val="auto"/>
              </w:rPr>
            </w:pPr>
            <w:r>
              <w:rPr>
                <w:rFonts w:ascii="Arial" w:cs="Arial" w:eastAsia="Arial" w:hAnsi="Arial"/>
                <w:sz w:val="18"/>
                <w:szCs w:val="18"/>
                <w:color w:val="auto"/>
              </w:rPr>
              <w:t>PART II</w:t>
            </w: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Item 5.</w:t>
            </w:r>
          </w:p>
        </w:tc>
        <w:tc>
          <w:tcPr>
            <w:tcW w:w="9180" w:type="dxa"/>
            <w:vAlign w:val="bottom"/>
            <w:gridSpan w:val="22"/>
          </w:tcPr>
          <w:p>
            <w:pPr>
              <w:spacing w:after="0" w:line="176"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6.</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[Reserved]</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7.</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7A.</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67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8.</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68</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9.</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99</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9A.</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99</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9B.</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9C.</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101</w:t>
            </w:r>
          </w:p>
        </w:tc>
      </w:tr>
      <w:tr>
        <w:trPr>
          <w:trHeight w:val="451"/>
        </w:trPr>
        <w:tc>
          <w:tcPr>
            <w:tcW w:w="1280" w:type="dxa"/>
            <w:vAlign w:val="bottom"/>
          </w:tcPr>
          <w:p>
            <w:pPr>
              <w:ind w:left="20"/>
              <w:spacing w:after="0"/>
              <w:rPr>
                <w:sz w:val="20"/>
                <w:szCs w:val="20"/>
                <w:color w:val="auto"/>
              </w:rPr>
            </w:pPr>
            <w:r>
              <w:rPr>
                <w:rFonts w:ascii="Arial" w:cs="Arial" w:eastAsia="Arial" w:hAnsi="Arial"/>
                <w:sz w:val="18"/>
                <w:szCs w:val="18"/>
                <w:color w:val="auto"/>
              </w:rPr>
              <w:t>PART III</w:t>
            </w: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Item 10.</w:t>
            </w:r>
          </w:p>
        </w:tc>
        <w:tc>
          <w:tcPr>
            <w:tcW w:w="9180" w:type="dxa"/>
            <w:vAlign w:val="bottom"/>
            <w:gridSpan w:val="22"/>
          </w:tcPr>
          <w:p>
            <w:pPr>
              <w:spacing w:after="0" w:line="176"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11.</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12.</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13.</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14.</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Principal Accounting Fees and Services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102</w:t>
            </w:r>
          </w:p>
        </w:tc>
      </w:tr>
      <w:tr>
        <w:trPr>
          <w:trHeight w:val="451"/>
        </w:trPr>
        <w:tc>
          <w:tcPr>
            <w:tcW w:w="1280" w:type="dxa"/>
            <w:vAlign w:val="bottom"/>
          </w:tcPr>
          <w:p>
            <w:pPr>
              <w:ind w:left="20"/>
              <w:spacing w:after="0"/>
              <w:rPr>
                <w:sz w:val="20"/>
                <w:szCs w:val="20"/>
                <w:color w:val="auto"/>
              </w:rPr>
            </w:pPr>
            <w:r>
              <w:rPr>
                <w:rFonts w:ascii="Arial" w:cs="Arial" w:eastAsia="Arial" w:hAnsi="Arial"/>
                <w:sz w:val="18"/>
                <w:szCs w:val="18"/>
                <w:color w:val="auto"/>
              </w:rPr>
              <w:t>PART IV</w:t>
            </w: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Item 15.</w:t>
            </w:r>
          </w:p>
        </w:tc>
        <w:tc>
          <w:tcPr>
            <w:tcW w:w="9180" w:type="dxa"/>
            <w:vAlign w:val="bottom"/>
            <w:gridSpan w:val="22"/>
          </w:tcPr>
          <w:p>
            <w:pPr>
              <w:spacing w:after="0" w:line="176" w:lineRule="exact"/>
              <w:rPr>
                <w:sz w:val="20"/>
                <w:szCs w:val="20"/>
                <w:color w:val="auto"/>
              </w:rPr>
            </w:pPr>
            <w:r>
              <w:rPr>
                <w:rFonts w:ascii="Arial" w:cs="Arial" w:eastAsia="Arial" w:hAnsi="Arial"/>
                <w:sz w:val="18"/>
                <w:szCs w:val="18"/>
                <w:color w:val="0000FF"/>
              </w:rPr>
              <w:t>Exhibits and Financial Statement Schedules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103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5" w:lineRule="exact"/>
              <w:rPr>
                <w:sz w:val="20"/>
                <w:szCs w:val="20"/>
                <w:color w:val="auto"/>
              </w:rPr>
            </w:pPr>
            <w:r>
              <w:rPr>
                <w:rFonts w:ascii="Arial" w:cs="Arial" w:eastAsia="Arial" w:hAnsi="Arial"/>
                <w:sz w:val="18"/>
                <w:szCs w:val="18"/>
                <w:color w:val="auto"/>
              </w:rPr>
              <w:t>Item 16.</w:t>
            </w: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Form 10-K Summary</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106</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180" w:type="dxa"/>
            <w:vAlign w:val="bottom"/>
            <w:gridSpan w:val="22"/>
          </w:tcPr>
          <w:p>
            <w:pPr>
              <w:spacing w:after="0" w:line="195" w:lineRule="exact"/>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107</w:t>
            </w:r>
          </w:p>
        </w:tc>
      </w:tr>
      <w:tr>
        <w:trPr>
          <w:trHeight w:val="553"/>
        </w:trPr>
        <w:tc>
          <w:tcPr>
            <w:tcW w:w="128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SUMMARY OF RISK FACTORS</w:t>
      </w:r>
    </w:p>
    <w:p>
      <w:pPr>
        <w:spacing w:after="0" w:line="125" w:lineRule="exact"/>
        <w:rPr>
          <w:sz w:val="20"/>
          <w:szCs w:val="20"/>
          <w:color w:val="auto"/>
        </w:rPr>
      </w:pPr>
    </w:p>
    <w:p>
      <w:pPr>
        <w:ind w:right="520" w:firstLine="494"/>
        <w:spacing w:after="0"/>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titled “Risk Factors.” The following is a summary of the principal risks we face, any of which could adversely affect our business, operating results, financial condition or prospects:</w:t>
      </w:r>
    </w:p>
    <w:p>
      <w:pPr>
        <w:spacing w:after="0" w:line="94" w:lineRule="exact"/>
        <w:rPr>
          <w:sz w:val="20"/>
          <w:szCs w:val="20"/>
          <w:color w:val="auto"/>
        </w:rPr>
      </w:pPr>
    </w:p>
    <w:p>
      <w:pPr>
        <w:ind w:left="1020" w:right="200" w:hanging="504"/>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historical growth rate may not be sustainable or indicative of future growth, and our business could be harmed if we fail to manage our infrastructure to support future growth.</w:t>
      </w:r>
    </w:p>
    <w:p>
      <w:pPr>
        <w:spacing w:after="0" w:line="89" w:lineRule="exact"/>
        <w:rPr>
          <w:rFonts w:ascii="Arial" w:cs="Arial" w:eastAsia="Arial" w:hAnsi="Arial"/>
          <w:sz w:val="18"/>
          <w:szCs w:val="18"/>
          <w:color w:val="auto"/>
        </w:rPr>
      </w:pPr>
    </w:p>
    <w:p>
      <w:pPr>
        <w:ind w:left="1020" w:right="280" w:hanging="504"/>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unsuccessful in establishing, growing or maintaining partnerships, our ability to compete could be impaired, and our operating results may suffer.</w:t>
      </w:r>
    </w:p>
    <w:p>
      <w:pPr>
        <w:spacing w:after="0" w:line="89" w:lineRule="exact"/>
        <w:rPr>
          <w:rFonts w:ascii="Arial" w:cs="Arial" w:eastAsia="Arial" w:hAnsi="Arial"/>
          <w:sz w:val="18"/>
          <w:szCs w:val="18"/>
          <w:color w:val="auto"/>
        </w:rPr>
      </w:pPr>
    </w:p>
    <w:p>
      <w:pPr>
        <w:ind w:left="1020" w:right="26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increase our revenue at a rate sufficient to offset expected increases in our costs, or if the investments we make in our business fail to generate the expected benefits, our business, operating results and financial condition will be harmed and we may not be able to maintain profitability over the long term.</w:t>
      </w:r>
    </w:p>
    <w:p>
      <w:pPr>
        <w:spacing w:after="0" w:line="93" w:lineRule="exact"/>
        <w:rPr>
          <w:rFonts w:ascii="Arial" w:cs="Arial" w:eastAsia="Arial" w:hAnsi="Arial"/>
          <w:sz w:val="18"/>
          <w:szCs w:val="18"/>
          <w:color w:val="auto"/>
        </w:rPr>
      </w:pPr>
    </w:p>
    <w:p>
      <w:pPr>
        <w:ind w:left="1020" w:right="600" w:hanging="504"/>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efforts to large enterprises and large financial institutions involve considerable time and expense with long and unpredictable sales cycles.</w:t>
      </w:r>
    </w:p>
    <w:p>
      <w:pPr>
        <w:spacing w:after="0" w:line="89" w:lineRule="exact"/>
        <w:rPr>
          <w:rFonts w:ascii="Arial" w:cs="Arial" w:eastAsia="Arial" w:hAnsi="Arial"/>
          <w:sz w:val="18"/>
          <w:szCs w:val="18"/>
          <w:color w:val="auto"/>
        </w:rPr>
      </w:pPr>
    </w:p>
    <w:p>
      <w:pPr>
        <w:jc w:val="both"/>
        <w:ind w:left="1020" w:right="20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Widespread health issues or pandemics could have a material adverse impact on our employees, billers, financial institutions, partners, consumers and other key stakeholders, which could materially and adversely impact our business, operating results and financial condition.</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economic risk and inflationary pressures, the business cycles and credit risk of our billers, financial institutions and partners and their consumers, and the overall level of consumer, business and government spending, which could negatively affect our business, operating results and financial condition.</w:t>
      </w:r>
    </w:p>
    <w:p>
      <w:pPr>
        <w:spacing w:after="0" w:line="93" w:lineRule="exact"/>
        <w:rPr>
          <w:rFonts w:ascii="Arial" w:cs="Arial" w:eastAsia="Arial" w:hAnsi="Arial"/>
          <w:sz w:val="18"/>
          <w:szCs w:val="18"/>
          <w:color w:val="auto"/>
        </w:rPr>
      </w:pPr>
    </w:p>
    <w:p>
      <w:pPr>
        <w:ind w:left="1020" w:right="220" w:hanging="504"/>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if we do not compete effectively, our business, operating results and financial condition could be harmed.</w:t>
      </w:r>
    </w:p>
    <w:p>
      <w:pPr>
        <w:spacing w:after="0" w:line="89" w:lineRule="exact"/>
        <w:rPr>
          <w:rFonts w:ascii="Arial" w:cs="Arial" w:eastAsia="Arial" w:hAnsi="Arial"/>
          <w:sz w:val="18"/>
          <w:szCs w:val="18"/>
          <w:color w:val="auto"/>
        </w:rPr>
      </w:pPr>
    </w:p>
    <w:p>
      <w:pPr>
        <w:ind w:left="1020" w:right="80" w:hanging="504"/>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is sensitive to shifts in payment mix, and if more consumers start paying their bills by payment methods with lower transaction fees, it could materially impact our operating results.</w:t>
      </w:r>
    </w:p>
    <w:p>
      <w:pPr>
        <w:spacing w:after="0" w:line="89" w:lineRule="exact"/>
        <w:rPr>
          <w:rFonts w:ascii="Arial" w:cs="Arial" w:eastAsia="Arial" w:hAnsi="Arial"/>
          <w:sz w:val="18"/>
          <w:szCs w:val="18"/>
          <w:color w:val="auto"/>
        </w:rPr>
      </w:pPr>
    </w:p>
    <w:p>
      <w:pPr>
        <w:ind w:left="1020" w:right="360" w:hanging="504"/>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fluctuations in our operating results, which will make it difficult to project future results and may cause the market price of our Class A common stock to decline.</w:t>
      </w:r>
    </w:p>
    <w:p>
      <w:pPr>
        <w:spacing w:after="0" w:line="89" w:lineRule="exact"/>
        <w:rPr>
          <w:rFonts w:ascii="Arial" w:cs="Arial" w:eastAsia="Arial" w:hAnsi="Arial"/>
          <w:sz w:val="18"/>
          <w:szCs w:val="18"/>
          <w:color w:val="auto"/>
        </w:rPr>
      </w:pPr>
    </w:p>
    <w:p>
      <w:pPr>
        <w:ind w:left="1020" w:right="8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payment processors, sponsor banks and third-party printers to process bill payments made on our platform, and our business, operating results and reputation could be harmed if we experience service interruptions related to these processors.</w:t>
      </w:r>
    </w:p>
    <w:p>
      <w:pPr>
        <w:spacing w:after="0" w:line="93" w:lineRule="exact"/>
        <w:rPr>
          <w:rFonts w:ascii="Arial" w:cs="Arial" w:eastAsia="Arial" w:hAnsi="Arial"/>
          <w:sz w:val="18"/>
          <w:szCs w:val="18"/>
          <w:color w:val="auto"/>
        </w:rPr>
      </w:pPr>
    </w:p>
    <w:p>
      <w:pPr>
        <w:ind w:left="1020" w:right="10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an emerging and evolving market, which may develop more slowly or differently than we expect. If our market does not grow as we expect, or if we cannot expand our platform to meet the demands of this market, our revenue may decline or fail to grow.</w:t>
      </w:r>
    </w:p>
    <w:p>
      <w:pPr>
        <w:spacing w:after="0" w:line="93" w:lineRule="exact"/>
        <w:rPr>
          <w:rFonts w:ascii="Arial" w:cs="Arial" w:eastAsia="Arial" w:hAnsi="Arial"/>
          <w:sz w:val="18"/>
          <w:szCs w:val="18"/>
          <w:color w:val="auto"/>
        </w:rPr>
      </w:pPr>
    </w:p>
    <w:p>
      <w:pPr>
        <w:ind w:left="1020" w:right="300" w:hanging="504"/>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management efforts may not be effective to prevent fraudulent activities, which could expose us to material financial losses and liability and otherwise harm our business.</w:t>
      </w:r>
    </w:p>
    <w:p>
      <w:pPr>
        <w:spacing w:after="0" w:line="89" w:lineRule="exact"/>
        <w:rPr>
          <w:rFonts w:ascii="Arial" w:cs="Arial" w:eastAsia="Arial" w:hAnsi="Arial"/>
          <w:sz w:val="18"/>
          <w:szCs w:val="18"/>
          <w:color w:val="auto"/>
        </w:rPr>
      </w:pPr>
    </w:p>
    <w:p>
      <w:pPr>
        <w:ind w:left="1020" w:right="140" w:hanging="504"/>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lose our founder and chief executive officer or other key members of our management team, or if we are unable to attract and retain executives and employees we need to support our operations and growth, our business may be harmed.</w:t>
      </w:r>
    </w:p>
    <w:p>
      <w:pPr>
        <w:spacing w:after="0" w:line="89" w:lineRule="exact"/>
        <w:rPr>
          <w:rFonts w:ascii="Arial" w:cs="Arial" w:eastAsia="Arial" w:hAnsi="Arial"/>
          <w:sz w:val="18"/>
          <w:szCs w:val="18"/>
          <w:color w:val="auto"/>
        </w:rPr>
      </w:pPr>
    </w:p>
    <w:p>
      <w:pPr>
        <w:ind w:left="1020" w:right="66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comply with extensive, complex, overlapping and frequently changing rules, regulations, standards and legal interpretations, including those related to payments, card network operations and other financial services, privacy, data protection and information security, our business could be materially harmed.</w:t>
      </w:r>
    </w:p>
    <w:p>
      <w:pPr>
        <w:spacing w:after="0" w:line="93" w:lineRule="exact"/>
        <w:rPr>
          <w:rFonts w:ascii="Arial" w:cs="Arial" w:eastAsia="Arial" w:hAnsi="Arial"/>
          <w:sz w:val="18"/>
          <w:szCs w:val="18"/>
          <w:color w:val="auto"/>
        </w:rPr>
      </w:pPr>
    </w:p>
    <w:p>
      <w:pPr>
        <w:ind w:left="1020" w:right="660" w:hanging="504"/>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catastrophic events, pandemics and man-made problems such as power disruptions, computer viruses, security breaches and incidents and terrorism may disrupt our business.</w:t>
      </w:r>
    </w:p>
    <w:p>
      <w:pPr>
        <w:spacing w:after="0" w:line="89" w:lineRule="exact"/>
        <w:rPr>
          <w:rFonts w:ascii="Arial" w:cs="Arial" w:eastAsia="Arial" w:hAnsi="Arial"/>
          <w:sz w:val="18"/>
          <w:szCs w:val="18"/>
          <w:color w:val="auto"/>
        </w:rPr>
      </w:pPr>
    </w:p>
    <w:p>
      <w:pPr>
        <w:jc w:val="both"/>
        <w:ind w:left="1020" w:right="48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identified material weaknesses in our internal control over financial reporting, and if we fail to remediate these material weaknesses or if we otherwise fail to establish and maintain effective internal control over financial reporting, our ability to accurately and timely report our financial results could be adversely affected.</w:t>
      </w:r>
    </w:p>
    <w:p>
      <w:pPr>
        <w:spacing w:after="0" w:line="93" w:lineRule="exact"/>
        <w:rPr>
          <w:rFonts w:ascii="Arial" w:cs="Arial" w:eastAsia="Arial" w:hAnsi="Arial"/>
          <w:sz w:val="18"/>
          <w:szCs w:val="18"/>
          <w:color w:val="auto"/>
        </w:rPr>
      </w:pPr>
    </w:p>
    <w:p>
      <w:pPr>
        <w:ind w:left="1020" w:right="40" w:hanging="504"/>
        <w:spacing w:after="0" w:line="23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software and technology defects, undetected errors, development delays or other performance problems in our software and other technology used as part of our platform, which could damage biller, financial institution and partner</w:t>
      </w:r>
    </w:p>
    <w:p>
      <w:pPr>
        <w:spacing w:after="0" w:line="1" w:lineRule="exact"/>
        <w:rPr>
          <w:sz w:val="20"/>
          <w:szCs w:val="20"/>
          <w:color w:val="auto"/>
        </w:rPr>
      </w:pPr>
    </w:p>
    <w:p>
      <w:pPr>
        <w:ind w:left="1020" w:right="220"/>
        <w:spacing w:after="0" w:line="234" w:lineRule="auto"/>
        <w:rPr>
          <w:sz w:val="20"/>
          <w:szCs w:val="20"/>
          <w:color w:val="auto"/>
        </w:rPr>
      </w:pPr>
      <w:r>
        <w:rPr>
          <w:rFonts w:ascii="Arial" w:cs="Arial" w:eastAsia="Arial" w:hAnsi="Arial"/>
          <w:sz w:val="18"/>
          <w:szCs w:val="18"/>
          <w:color w:val="auto"/>
        </w:rPr>
        <w:t>relations, harm our reputation, result in significant costs to us, decrease our potential profitability and expose us to substantial liability.</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0" w:right="379" w:bottom="1440" w:gutter="0" w:footer="0" w:header="0"/>
        </w:sectPr>
      </w:pPr>
    </w:p>
    <w:bookmarkStart w:id="4" w:name="page5"/>
    <w:bookmarkEnd w:id="4"/>
    <w:p>
      <w:pPr>
        <w:ind w:left="1020" w:right="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adequately obtain, maintain, protect or enforce our intellectual property and proprietary rights, our competitive position could be impaired, our reputation could be harmed and we may lose valuable assets, generate less revenue and incur costly litigation to protect our rights.</w:t>
      </w:r>
    </w:p>
    <w:p>
      <w:pPr>
        <w:spacing w:after="0" w:line="93" w:lineRule="exact"/>
        <w:rPr>
          <w:rFonts w:ascii="Arial" w:cs="Arial" w:eastAsia="Arial" w:hAnsi="Arial"/>
          <w:sz w:val="18"/>
          <w:szCs w:val="18"/>
          <w:color w:val="auto"/>
        </w:rPr>
      </w:pPr>
    </w:p>
    <w:p>
      <w:pPr>
        <w:ind w:left="1020" w:hanging="504"/>
        <w:spacing w:after="0" w:line="23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and our billers, financial institutions and partners and their consumers and other third parties that use our platform obtain, provide and process a large amount of sensitive and personal data. Any real or perceived improper or unauthorized use of, disclosure of or access to such data could harm our reputation as a trusted brand, as well as have a material adverse effect on our business, operating results and financial condition.</w:t>
      </w:r>
    </w:p>
    <w:p>
      <w:pPr>
        <w:spacing w:after="0" w:line="95" w:lineRule="exact"/>
        <w:rPr>
          <w:rFonts w:ascii="Arial" w:cs="Arial" w:eastAsia="Arial" w:hAnsi="Arial"/>
          <w:sz w:val="18"/>
          <w:szCs w:val="18"/>
          <w:color w:val="auto"/>
        </w:rPr>
      </w:pPr>
    </w:p>
    <w:p>
      <w:pPr>
        <w:ind w:left="1020" w:right="1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and our stockholders agreement have the effect of concentrating voting control with Accel-KKR, or AKKR, and our founder and chief executive officer, which limits or precludes your ability to influence corporate matters for the foreseeable future and may depress the market price of our Class A common stock.</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AKKR controls us, and its interests may conflict with ours or yours in the future.</w:t>
      </w:r>
    </w:p>
    <w:p>
      <w:pPr>
        <w:spacing w:after="0" w:line="116" w:lineRule="exact"/>
        <w:rPr>
          <w:rFonts w:ascii="Arial" w:cs="Arial" w:eastAsia="Arial" w:hAnsi="Arial"/>
          <w:sz w:val="18"/>
          <w:szCs w:val="18"/>
          <w:color w:val="auto"/>
        </w:rPr>
      </w:pPr>
    </w:p>
    <w:p>
      <w:pPr>
        <w:ind w:left="1020" w:right="60" w:hanging="504"/>
        <w:spacing w:after="0" w:line="23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spacing w:after="0" w:line="96" w:lineRule="exact"/>
        <w:rPr>
          <w:sz w:val="20"/>
          <w:szCs w:val="20"/>
          <w:color w:val="auto"/>
        </w:rPr>
      </w:pPr>
    </w:p>
    <w:p>
      <w:pPr>
        <w:ind w:right="300" w:firstLine="494"/>
        <w:spacing w:after="0" w:line="245" w:lineRule="auto"/>
        <w:rPr>
          <w:sz w:val="20"/>
          <w:szCs w:val="20"/>
          <w:color w:val="auto"/>
        </w:rPr>
      </w:pPr>
      <w:r>
        <w:rPr>
          <w:rFonts w:ascii="Arial" w:cs="Arial" w:eastAsia="Arial" w:hAnsi="Arial"/>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62" w:right="4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25" w:lineRule="exact"/>
        <w:rPr>
          <w:sz w:val="20"/>
          <w:szCs w:val="20"/>
          <w:color w:val="auto"/>
        </w:rPr>
      </w:pPr>
    </w:p>
    <w:p>
      <w:pPr>
        <w:ind w:right="220" w:firstLine="494"/>
        <w:spacing w:after="0" w:line="236" w:lineRule="auto"/>
        <w:rPr>
          <w:sz w:val="20"/>
          <w:szCs w:val="20"/>
          <w:color w:val="auto"/>
        </w:rPr>
      </w:pPr>
      <w:r>
        <w:rPr>
          <w:rFonts w:ascii="Arial" w:cs="Arial" w:eastAsia="Arial" w:hAnsi="Arial"/>
          <w:sz w:val="18"/>
          <w:szCs w:val="18"/>
          <w:color w:val="auto"/>
        </w:rPr>
        <w:t>This report contains forward-looking statements within the meaning of the federal securities laws, such as those under the heading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98" w:lineRule="exact"/>
        <w:rPr>
          <w:sz w:val="20"/>
          <w:szCs w:val="20"/>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operations;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further attract, retain and expand our biller, financial institutions, partner and consumer base;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timely implement and recognize revenue from new billers and financial institutions;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6" w:lineRule="exact"/>
        <w:rPr>
          <w:rFonts w:ascii="Arial" w:cs="Arial" w:eastAsia="Arial" w:hAnsi="Arial"/>
          <w:sz w:val="18"/>
          <w:szCs w:val="18"/>
          <w:color w:val="auto"/>
        </w:rPr>
      </w:pPr>
    </w:p>
    <w:p>
      <w:pPr>
        <w:ind w:left="1020" w:right="620" w:hanging="504"/>
        <w:spacing w:after="0" w:line="24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widespread health issues or pandemics on our operating results, liquidity and financial condition and on our employees, billers, financial institutions, partners, consumers and other key stakeholders;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 opportunity and anticipated trends in our business and industry;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remain competitive as we continue to scale our business;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new product features and enhance our platform;</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16" w:lineRule="exact"/>
        <w:rPr>
          <w:rFonts w:ascii="Arial" w:cs="Arial" w:eastAsia="Arial" w:hAnsi="Arial"/>
          <w:sz w:val="18"/>
          <w:szCs w:val="18"/>
          <w:color w:val="auto"/>
        </w:rPr>
      </w:pPr>
    </w:p>
    <w:p>
      <w:pPr>
        <w:ind w:left="1020" w:right="200" w:hanging="504"/>
        <w:spacing w:after="0" w:line="24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including inflation, and their impact on consumer demand, average bill amounts and interchange fees;</w:t>
      </w:r>
    </w:p>
    <w:p>
      <w:pPr>
        <w:spacing w:after="0" w:line="89" w:lineRule="exact"/>
        <w:rPr>
          <w:rFonts w:ascii="Arial" w:cs="Arial" w:eastAsia="Arial" w:hAnsi="Arial"/>
          <w:sz w:val="18"/>
          <w:szCs w:val="18"/>
          <w:color w:val="auto"/>
        </w:rPr>
      </w:pPr>
    </w:p>
    <w:p>
      <w:pPr>
        <w:ind w:left="1020" w:right="8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enhance our brand;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 to expand into new channels and industry verticals across different markets;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international expansion plans and ability to expand internationally,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factors discussed under the heading "Risk Factors" in Item 1A herein.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103"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98"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You should not place undue reliance on our forward-looking statements.</w:t>
      </w:r>
    </w:p>
    <w:p>
      <w:pPr>
        <w:spacing w:after="0" w:line="97" w:lineRule="exact"/>
        <w:rPr>
          <w:sz w:val="20"/>
          <w:szCs w:val="20"/>
          <w:color w:val="auto"/>
        </w:rPr>
      </w:pPr>
    </w:p>
    <w:p>
      <w:pPr>
        <w:ind w:right="20" w:firstLine="494"/>
        <w:spacing w:after="0" w:line="23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6" w:name="page7"/>
    <w:bookmarkEnd w:id="6"/>
    <w:p>
      <w:pPr>
        <w:spacing w:after="0" w:line="245" w:lineRule="auto"/>
        <w:rPr>
          <w:sz w:val="20"/>
          <w:szCs w:val="20"/>
          <w:color w:val="auto"/>
        </w:rPr>
      </w:pPr>
      <w:r>
        <w:rPr>
          <w:rFonts w:ascii="Arial" w:cs="Arial" w:eastAsia="Arial" w:hAnsi="Arial"/>
          <w:sz w:val="18"/>
          <w:szCs w:val="18"/>
          <w:color w:val="auto"/>
        </w:rPr>
        <w:t>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25" w:lineRule="exact"/>
        <w:rPr>
          <w:sz w:val="20"/>
          <w:szCs w:val="20"/>
          <w:color w:val="auto"/>
        </w:rPr>
      </w:pPr>
    </w:p>
    <w:p>
      <w:pPr>
        <w:ind w:right="340" w:firstLine="494"/>
        <w:spacing w:after="0" w:line="245" w:lineRule="auto"/>
        <w:rPr>
          <w:sz w:val="20"/>
          <w:szCs w:val="20"/>
          <w:color w:val="auto"/>
        </w:rPr>
      </w:pPr>
      <w:r>
        <w:rPr>
          <w:rFonts w:ascii="Arial" w:cs="Arial" w:eastAsia="Arial" w:hAnsi="Arial"/>
          <w:sz w:val="18"/>
          <w:szCs w:val="18"/>
          <w:color w:val="auto"/>
        </w:rPr>
        <w:t>In this report, unless the context requires otherwise, all references to “we,” “our,” “us,” “Paymentus,” and the “Company” refer to Paymentus Holdings, Inc., and where appropriate its consolidated subsidiaries.</w:t>
      </w: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462" w:right="6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900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25"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We are a leading provider of cloud-based bill payment technology and solutions. We deliver our next-generation product suite through a modern technology stack to more than 1,900 biller business and financial institution clients. Our platform was used by approximately 27 million consumers and businesses in North America in December 2022 to pay their bills, make money movements and engage with our clients. We serve billers of all sizes that primarily provide non-discretionary services across a variety of industry verticals, including utilities, financial services, insurance, government, telecommunications and healthcare.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96" w:lineRule="exact"/>
        <w:rPr>
          <w:sz w:val="20"/>
          <w:szCs w:val="20"/>
          <w:color w:val="auto"/>
        </w:rPr>
      </w:pPr>
    </w:p>
    <w:p>
      <w:pPr>
        <w:ind w:right="120" w:firstLine="494"/>
        <w:spacing w:after="0" w:line="237"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Software-as-a -Service, or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95"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We extend our platform’s reach through our Instant Payment Network®, or IPN. This is a proprietary network, consisting of tens of thousands of billers, that connects our integrated billing, payment and reconciliation capabilities with our IPN partners’ platforms. Our IPN enables our partners, which include leading consumer technology providers, retailers and financial institutions, to access our next-generation electronic bill payment technology using the same integrated platform we provide directly to our billers. By being connected to our IPN, our IPN partners provide their consumers with the full capabilities of our next-generation product suite, including the ability to engage with and make payments to our large and growing base of billers. Those partners in turn expand our platform’s reach to millions of additional consumers in the United States and globally.</w:t>
      </w:r>
    </w:p>
    <w:p>
      <w:pPr>
        <w:spacing w:after="0" w:line="99" w:lineRule="exact"/>
        <w:rPr>
          <w:sz w:val="20"/>
          <w:szCs w:val="20"/>
          <w:color w:val="auto"/>
        </w:rPr>
      </w:pPr>
    </w:p>
    <w:p>
      <w:pPr>
        <w:ind w:right="140" w:firstLine="494"/>
        <w:spacing w:after="0" w:line="253" w:lineRule="auto"/>
        <w:rPr>
          <w:sz w:val="20"/>
          <w:szCs w:val="20"/>
          <w:color w:val="auto"/>
        </w:rPr>
      </w:pPr>
      <w:r>
        <w:rPr>
          <w:rFonts w:ascii="Arial" w:cs="Arial" w:eastAsia="Arial" w:hAnsi="Arial"/>
          <w:sz w:val="17"/>
          <w:szCs w:val="17"/>
          <w:color w:val="auto"/>
        </w:rPr>
        <w:t>Today, many billers and financial institutions rely on legacy bill payment systems that offer limited functionality, flexibility and extensibility. Billers traditionally rely on non-integrated multi-vendor solutions, which force consumers into a decentralized and fragmented experience. Similarly, financial institutions often lack the ability to view billing details or obtain payment confirmation and limit payment types to their own checking accounts. These legacy solutions result in inefficiencies in consumer communication, electronic bill presentment and payment capture, which we believe hinder a biller’s ability to create a holistic and accurate perspective on its cash flow. For financial institutions, the inadequacies of legacy solutions can have a negative impact on digital engagement, retention and cross-selling.</w:t>
      </w:r>
    </w:p>
    <w:p>
      <w:pPr>
        <w:spacing w:after="0" w:line="85"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We address these inefficiencies through our cloud-native, integrated single-vendor solution. Our platform supports omni-channel, electronic bill payments across multiple commerce channels, including online, mobile, interactive voice response, or IVR, call center, chatbot and voice-based assistants. As we do not charge development or implementation fees to billers, there is no minimum investment necessary for billers to achieve efficiencies from the use of our platform to replace some or all of their legacy bill payment systems or biller-direct solutions. We simplify how bills are paid and help billers collect revenue faster and more profitably because our platform is:</w:t>
      </w:r>
    </w:p>
    <w:p>
      <w:pPr>
        <w:spacing w:after="0" w:line="97" w:lineRule="exact"/>
        <w:rPr>
          <w:sz w:val="20"/>
          <w:szCs w:val="20"/>
          <w:color w:val="auto"/>
        </w:rPr>
      </w:pPr>
    </w:p>
    <w:p>
      <w:pPr>
        <w:ind w:left="1020" w:right="460" w:hanging="504"/>
        <w:spacing w:after="0" w:line="24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Scalable: Enterprise-grade platform capable of supporting transaction growth for billers and financial institutions of all sizes across numerous industry verticals.</w:t>
      </w:r>
    </w:p>
    <w:p>
      <w:pPr>
        <w:spacing w:after="0" w:line="89"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Innovative: Artificial intelligence, or AI, and machine learning, or ML, algorithms power an omni-channel, end-to-end solution that adapts to new technologies and continuously learns from transaction activity.</w:t>
      </w:r>
    </w:p>
    <w:p>
      <w:pPr>
        <w:spacing w:after="0" w:line="89" w:lineRule="exact"/>
        <w:rPr>
          <w:rFonts w:ascii="Arial" w:cs="Arial" w:eastAsia="Arial" w:hAnsi="Arial"/>
          <w:sz w:val="18"/>
          <w:szCs w:val="18"/>
          <w:color w:val="auto"/>
        </w:rPr>
      </w:pPr>
    </w:p>
    <w:p>
      <w:pPr>
        <w:ind w:left="1020" w:right="280" w:hanging="504"/>
        <w:spacing w:after="0" w:line="24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Flexible: Platform accessible through an array of application program interfaces, or APIs, software development kits, iFrames and fully hosted solutions that provide complete control over the user experience.</w:t>
      </w:r>
    </w:p>
    <w:p>
      <w:pPr>
        <w:spacing w:after="0" w:line="89" w:lineRule="exact"/>
        <w:rPr>
          <w:rFonts w:ascii="Arial" w:cs="Arial" w:eastAsia="Arial" w:hAnsi="Arial"/>
          <w:sz w:val="18"/>
          <w:szCs w:val="18"/>
          <w:color w:val="auto"/>
        </w:rPr>
      </w:pPr>
    </w:p>
    <w:p>
      <w:pPr>
        <w:ind w:left="1020" w:right="160" w:hanging="504"/>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Configurable: Reconfigurable business logic that allows us to quickly implement new functionality required by new and existing billers.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2" w:right="359" w:bottom="1440" w:gutter="0" w:footer="0" w:header="0"/>
        </w:sectPr>
      </w:pPr>
    </w:p>
    <w:bookmarkStart w:id="8" w:name="page9"/>
    <w:bookmarkEnd w:id="8"/>
    <w:p>
      <w:pPr>
        <w:ind w:left="1020" w:right="60" w:hanging="504"/>
        <w:spacing w:after="0" w:line="23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Integrated: Our library of over 400 integrations to core accounting software systems, including customer information systems, or CIS (which are software systems used to efficiently manage customer processes and data and often include bill pay, customer service and forecasting and analytics tools), and enterprise resource planning, or ERP, systems (which are software systems used to collect, store, manage and interpret data from many business activities, typically including accounting systems); as well as core financial institution processing platforms and certain digital banking providers, helps connect disparate systems across the electronic bill payment value chain.</w:t>
      </w:r>
    </w:p>
    <w:p>
      <w:pPr>
        <w:spacing w:after="0" w:line="95" w:lineRule="exact"/>
        <w:rPr>
          <w:rFonts w:ascii="Arial" w:cs="Arial" w:eastAsia="Arial" w:hAnsi="Arial"/>
          <w:sz w:val="18"/>
          <w:szCs w:val="18"/>
          <w:color w:val="auto"/>
        </w:rPr>
      </w:pPr>
    </w:p>
    <w:p>
      <w:pPr>
        <w:ind w:left="1020" w:right="300" w:hanging="504"/>
        <w:spacing w:after="0" w:line="24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Extensible: Adaptable to new technologies and emerging payment channels, such as pay-by-text, AI-based virtual assistants and social media payments.</w:t>
      </w:r>
    </w:p>
    <w:p>
      <w:pPr>
        <w:spacing w:after="0" w:line="89" w:lineRule="exact"/>
        <w:rPr>
          <w:rFonts w:ascii="Arial" w:cs="Arial" w:eastAsia="Arial" w:hAnsi="Arial"/>
          <w:sz w:val="18"/>
          <w:szCs w:val="18"/>
          <w:color w:val="auto"/>
        </w:rPr>
      </w:pPr>
    </w:p>
    <w:p>
      <w:pPr>
        <w:ind w:left="1020" w:right="580" w:hanging="504"/>
        <w:spacing w:after="0" w:line="24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Secure: Multi-layer intrusion detection and prevention system, multi-factor authentication and encryption and tokenization designed for trust and security of transaction activity and information.</w:t>
      </w:r>
    </w:p>
    <w:p>
      <w:pPr>
        <w:spacing w:after="0" w:line="90" w:lineRule="exact"/>
        <w:rPr>
          <w:sz w:val="20"/>
          <w:szCs w:val="20"/>
          <w:color w:val="auto"/>
        </w:rPr>
      </w:pPr>
    </w:p>
    <w:p>
      <w:pPr>
        <w:ind w:right="100" w:firstLine="494"/>
        <w:spacing w:after="0" w:line="236" w:lineRule="auto"/>
        <w:rPr>
          <w:sz w:val="20"/>
          <w:szCs w:val="20"/>
          <w:color w:val="auto"/>
        </w:rPr>
      </w:pPr>
      <w:r>
        <w:rPr>
          <w:rFonts w:ascii="Arial" w:cs="Arial" w:eastAsia="Arial" w:hAnsi="Arial"/>
          <w:sz w:val="18"/>
          <w:szCs w:val="18"/>
          <w:color w:val="auto"/>
        </w:rPr>
        <w:t>We seek to enhance our biller network to gain market share. We believe our ability to seamlessly serve billers, financial institutions, partners and consumers uniquely positions us at the center of a multi-sided network and enables us to drive a powerful, and accelerating, flywheel effect. Our robust platform attracts billers, financial institutions and partners seeking to build stronger relationships with their consumers. Adding more billers, financial institutions and partners extends our platform’s reach to more consumers. These consumers drive more transactions to our platform, which strengthens biller, financial institution and partner retention and in turn accelerates our organic growth. As we scale, we seek to drive increases in our operating leverage, which in turn is expected to enable higher profitability and more efficient biller, financial institution and partner acquisition.</w:t>
      </w:r>
    </w:p>
    <w:p>
      <w:pPr>
        <w:spacing w:after="0" w:line="207" w:lineRule="exact"/>
        <w:rPr>
          <w:sz w:val="20"/>
          <w:szCs w:val="20"/>
          <w:color w:val="auto"/>
        </w:rPr>
      </w:pPr>
    </w:p>
    <w:p>
      <w:pPr>
        <w:ind w:right="140" w:firstLine="494"/>
        <w:spacing w:after="0" w:line="236" w:lineRule="auto"/>
        <w:rPr>
          <w:sz w:val="20"/>
          <w:szCs w:val="20"/>
          <w:color w:val="auto"/>
        </w:rPr>
      </w:pPr>
      <w:r>
        <w:rPr>
          <w:rFonts w:ascii="Arial" w:cs="Arial" w:eastAsia="Arial" w:hAnsi="Arial"/>
          <w:sz w:val="18"/>
          <w:szCs w:val="18"/>
          <w:color w:val="auto"/>
        </w:rPr>
        <w:t>We rely on a diversified go-to-market strategy including direct sales, software and strategic partnerships, resellers and our IPN. While the direct sales channel is an important part of our business, we also rely on our software and strategic partners and resellers to deliver our solutions to our billers and financial institutions. Our software partners, such as Oracle, integrate our platform into their software products enabling us to power their bill payment capabilities. Our strategic partners, such as JPMorgan Chase, U.S. Bank, and a major payroll solutions provider, refer new billers to our platform and in many cases we jointly sell to prospective customers with our strategic partners. Some of our strategic partners, particularly banks, also integrate our solutions into their platforms to provide an integrated bill presentment and omni-channel bill payment solution to their customers, and as such they are also IPN partners.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IPN promotes more rapid adoption of our platform through partnerships with leading business networks, including:</w:t>
      </w:r>
    </w:p>
    <w:p>
      <w:pPr>
        <w:spacing w:after="0" w:line="103" w:lineRule="exact"/>
        <w:rPr>
          <w:sz w:val="20"/>
          <w:szCs w:val="20"/>
          <w:color w:val="auto"/>
        </w:rPr>
      </w:pPr>
    </w:p>
    <w:p>
      <w:pPr>
        <w:ind w:left="1020" w:right="1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Banking Partners: We modernize the bill payment infrastructure of banks and credit unions of all sizes, empowering their digital banking consumers with fast, secure and omni-channel payment technology by seamlessly integrating our solution into their digital platforms.</w:t>
      </w:r>
    </w:p>
    <w:p>
      <w:pPr>
        <w:spacing w:after="0" w:line="93" w:lineRule="exact"/>
        <w:rPr>
          <w:rFonts w:ascii="Arial" w:cs="Arial" w:eastAsia="Arial" w:hAnsi="Arial"/>
          <w:sz w:val="18"/>
          <w:szCs w:val="18"/>
          <w:color w:val="auto"/>
        </w:rPr>
      </w:pPr>
    </w:p>
    <w:p>
      <w:pPr>
        <w:jc w:val="both"/>
        <w:ind w:left="1020" w:right="40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eCommerce Partner: We power electronic bill payments through the mobile app and AI-assistant voice service of a leading global ecommerce retailer, enabling millions of its users to retrieve information about, and pay, their bills for all billers on our network.</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PayPal: We enable PayPal’s U.S. consumers to pay their bills directly from PayPal apps.</w:t>
      </w:r>
    </w:p>
    <w:p>
      <w:pPr>
        <w:spacing w:after="0" w:line="116" w:lineRule="exact"/>
        <w:rPr>
          <w:rFonts w:ascii="Arial" w:cs="Arial" w:eastAsia="Arial" w:hAnsi="Arial"/>
          <w:sz w:val="18"/>
          <w:szCs w:val="18"/>
          <w:color w:val="auto"/>
        </w:rPr>
      </w:pPr>
    </w:p>
    <w:p>
      <w:pPr>
        <w:ind w:left="1020" w:hanging="504"/>
        <w:spacing w:after="0" w:line="23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Partners: Other partners benefit from our IPN in a variety of ways, such as enabling bill payment for consumers across the U.S. For example, we enable Walmart's consumers to pay their bills either in-store at retail locations or online via Walmart's retail websites or mobile apps, and enable in-person cash payments at more than 90,000 retail locations in the Green Dot network.</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Industry Overview</w:t>
      </w:r>
    </w:p>
    <w:p>
      <w:pPr>
        <w:spacing w:after="0" w:line="125" w:lineRule="exact"/>
        <w:rPr>
          <w:sz w:val="20"/>
          <w:szCs w:val="20"/>
          <w:color w:val="auto"/>
        </w:rPr>
      </w:pPr>
    </w:p>
    <w:p>
      <w:pPr>
        <w:jc w:val="both"/>
        <w:ind w:right="20" w:firstLine="494"/>
        <w:spacing w:after="0"/>
        <w:rPr>
          <w:sz w:val="20"/>
          <w:szCs w:val="20"/>
          <w:color w:val="auto"/>
        </w:rPr>
      </w:pPr>
      <w:r>
        <w:rPr>
          <w:rFonts w:ascii="Arial" w:cs="Arial" w:eastAsia="Arial" w:hAnsi="Arial"/>
          <w:sz w:val="18"/>
          <w:szCs w:val="18"/>
          <w:color w:val="auto"/>
        </w:rPr>
        <w:t>We believe the bill payment industry is undergoing technological transformation as consumers, billers and financial institutions demand a straightforward and streamlined approach to electronic bill presentment and payment and consumer engagement. The following key trends are currently defining the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Electronic Bill Payment Requires an Integrated, Single-vendor Solution</w:t>
      </w:r>
    </w:p>
    <w:p>
      <w:pPr>
        <w:spacing w:after="0" w:line="125" w:lineRule="exact"/>
        <w:rPr>
          <w:sz w:val="20"/>
          <w:szCs w:val="20"/>
          <w:color w:val="auto"/>
        </w:rPr>
      </w:pPr>
    </w:p>
    <w:p>
      <w:pPr>
        <w:ind w:right="80" w:firstLine="494"/>
        <w:spacing w:after="0" w:line="234" w:lineRule="auto"/>
        <w:rPr>
          <w:sz w:val="20"/>
          <w:szCs w:val="20"/>
          <w:color w:val="auto"/>
        </w:rPr>
      </w:pPr>
      <w:r>
        <w:rPr>
          <w:rFonts w:ascii="Arial" w:cs="Arial" w:eastAsia="Arial" w:hAnsi="Arial"/>
          <w:sz w:val="18"/>
          <w:szCs w:val="18"/>
          <w:color w:val="auto"/>
        </w:rPr>
        <w:t>As electronic bill payments continue to evolve with consumer preferences, billers and financial institutions demand an integrated single-vendor solution suite to remain competitive. A typical electronic bill payment experience requires the coordination of multiple vendors for bill notification, presentment, various payment channels, call center support, and data and analytics. These vendors lack integration, which results in a fragmented consumer experience and increased cost to the biller. Billers and financial institutions that are able to access a single, integrated end-to-end solution are able to provide a seamless experience for their consumers.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Billers and Consumers Are Underserved by Financial Institutions</w:t>
      </w:r>
    </w:p>
    <w:p>
      <w:pPr>
        <w:spacing w:after="0" w:line="125" w:lineRule="exact"/>
        <w:rPr>
          <w:sz w:val="20"/>
          <w:szCs w:val="20"/>
          <w:color w:val="auto"/>
        </w:rPr>
      </w:pPr>
    </w:p>
    <w:p>
      <w:pPr>
        <w:ind w:right="120" w:firstLine="494"/>
        <w:spacing w:after="0" w:line="236" w:lineRule="auto"/>
        <w:rPr>
          <w:sz w:val="20"/>
          <w:szCs w:val="20"/>
          <w:color w:val="auto"/>
        </w:rPr>
      </w:pPr>
      <w:r>
        <w:rPr>
          <w:rFonts w:ascii="Arial" w:cs="Arial" w:eastAsia="Arial" w:hAnsi="Arial"/>
          <w:sz w:val="18"/>
          <w:szCs w:val="18"/>
          <w:color w:val="auto"/>
        </w:rPr>
        <w:t>Traditional financial institutions have been slow to adopt modern digital bill payment technologies and the legacy providers which the financial institutions rely on have failed to innovate. Over the last decade, U.S. online consumer bill payment volume made through a bank’s bill payment solution has decreased significantly. We believe this reduction is driven by consistent under-investment by financial institutions and legacy providers in their bill payment platforms, resulting in a poor consumer experience. Generally, consumers must manually add billers to a financial institution’s system and are generally limited to automated clearing house, or ACH, or other legacy payment channels rather than omni-channel payment capabilities. Ultimately, the lack of optionality and transparency inherent to a financial institution’s bill payment solutions creates an opportunity that we seek to address.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Payment Options Through Online and Mobile Channels Are Transforming the Market</w:t>
      </w:r>
    </w:p>
    <w:p>
      <w:pPr>
        <w:spacing w:after="0" w:line="125" w:lineRule="exact"/>
        <w:rPr>
          <w:sz w:val="20"/>
          <w:szCs w:val="20"/>
          <w:color w:val="auto"/>
        </w:rPr>
      </w:pPr>
    </w:p>
    <w:p>
      <w:pPr>
        <w:ind w:right="100" w:firstLine="494"/>
        <w:spacing w:after="0" w:line="237" w:lineRule="auto"/>
        <w:rPr>
          <w:sz w:val="20"/>
          <w:szCs w:val="20"/>
          <w:color w:val="auto"/>
        </w:rPr>
      </w:pPr>
      <w:r>
        <w:rPr>
          <w:rFonts w:ascii="Arial" w:cs="Arial" w:eastAsia="Arial" w:hAnsi="Arial"/>
          <w:sz w:val="18"/>
          <w:szCs w:val="18"/>
          <w:color w:val="auto"/>
        </w:rPr>
        <w:t>Consumers are transacting anywhere and everywhere and through different channels. With the widespread use of mobile phones and home computers, consumer devices are becoming the aggregation point for billing information. As consumers move beyond paper checks and adopt emerging payment technologies, we believe the continued digitization of the bill payment industry will manifest through increased adoption of technologies such as pay by text, digital wallets and AI-based assistants. The emergence of these new technologies unlocks previously untapped opportunities to grow our network.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Is Being Underutilized</w:t>
      </w:r>
    </w:p>
    <w:p>
      <w:pPr>
        <w:spacing w:after="0" w:line="125" w:lineRule="exact"/>
        <w:rPr>
          <w:sz w:val="20"/>
          <w:szCs w:val="20"/>
          <w:color w:val="auto"/>
        </w:rPr>
      </w:pPr>
    </w:p>
    <w:p>
      <w:pPr>
        <w:ind w:right="240" w:firstLine="494"/>
        <w:spacing w:after="0" w:line="237" w:lineRule="auto"/>
        <w:rPr>
          <w:sz w:val="20"/>
          <w:szCs w:val="20"/>
          <w:color w:val="auto"/>
        </w:rPr>
      </w:pPr>
      <w:r>
        <w:rPr>
          <w:rFonts w:ascii="Arial" w:cs="Arial" w:eastAsia="Arial" w:hAnsi="Arial"/>
          <w:sz w:val="18"/>
          <w:szCs w:val="18"/>
          <w:color w:val="auto"/>
        </w:rPr>
        <w:t>Consumer bill payment transactions are rich repositories of data that can be used to significantly improve the electronic bill payment experience. We believe the bill payment industry has under-invested in the technology required to capture and analyze this data. As the industry continues to evolve around changing consumer preferences and the emergence of new payment technologies, data and analytics plays an increasingly important role in improving the full transaction value chain. Our proprietary transactional data creates workflow efficiencies and provides insights (such as payment methods depending on bill size and bill type) that strengthen the connection between billers and consumers.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Platform and Solutions</w:t>
      </w:r>
    </w:p>
    <w:p>
      <w:pPr>
        <w:spacing w:after="0" w:line="125"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Our biller platform is purpose-built to transform the way billers get paid and engage with their consumers. Our AI-driven SaaS platform provides a single-vendor solution that enhances the bill payment ecosystem with new functionality and added transparency. Our single code base architecture maximizes the inherent flexibility, extensibility and configurability of our solutions, which allows us to rapidly deploy our solutions to our billers.</w:t>
      </w:r>
    </w:p>
    <w:p>
      <w:pPr>
        <w:spacing w:after="0" w:line="96"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Our platform for financial institutions reconnects the financial institutions to their customers by providing a frictionless, real-time financial hub where consumers can consolidate their financial obligations, pay bills, move money in real time and deepen their understanding of their own financial position. Customers get a centralized viewpoint over all their money movement needs and the financial institutions get insights into their customers’ behavior than can inform a meaningful evolution of the customer experience.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Single Point of Access</w:t>
      </w:r>
    </w:p>
    <w:p>
      <w:pPr>
        <w:spacing w:after="0" w:line="125" w:lineRule="exact"/>
        <w:rPr>
          <w:sz w:val="20"/>
          <w:szCs w:val="20"/>
          <w:color w:val="auto"/>
        </w:rPr>
      </w:pPr>
    </w:p>
    <w:p>
      <w:pPr>
        <w:ind w:firstLine="494"/>
        <w:spacing w:after="0" w:line="245" w:lineRule="auto"/>
        <w:rPr>
          <w:sz w:val="20"/>
          <w:szCs w:val="20"/>
          <w:color w:val="auto"/>
        </w:rPr>
      </w:pPr>
      <w:r>
        <w:rPr>
          <w:rFonts w:ascii="Arial" w:cs="Arial" w:eastAsia="Arial" w:hAnsi="Arial"/>
          <w:sz w:val="18"/>
          <w:szCs w:val="18"/>
          <w:color w:val="auto"/>
        </w:rPr>
        <w:t>APIs: Our easy-to-use APIs enable billers, financial institutions and partners to seamlessly access the entirety of our network through a single connection.</w:t>
      </w:r>
    </w:p>
    <w:p>
      <w:pPr>
        <w:spacing w:after="0" w:line="90"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iFrames: Enables our billers, financial institutions and partners to exercise more control over the user experience by customizing the business logic to meet their specific requirements. Many of our billers who use iFrames have in-house IT resources but use our infrastructure for payment processing and Payment Card Industry Data Security Standard, or PCI-DSS compliance.</w:t>
      </w:r>
    </w:p>
    <w:p>
      <w:pPr>
        <w:spacing w:after="0" w:line="94" w:lineRule="exact"/>
        <w:rPr>
          <w:sz w:val="20"/>
          <w:szCs w:val="20"/>
          <w:color w:val="auto"/>
        </w:rPr>
      </w:pPr>
    </w:p>
    <w:p>
      <w:pPr>
        <w:ind w:right="360" w:firstLine="494"/>
        <w:spacing w:after="0" w:line="245" w:lineRule="auto"/>
        <w:rPr>
          <w:sz w:val="20"/>
          <w:szCs w:val="20"/>
          <w:color w:val="auto"/>
        </w:rPr>
      </w:pPr>
      <w:r>
        <w:rPr>
          <w:rFonts w:ascii="Arial" w:cs="Arial" w:eastAsia="Arial" w:hAnsi="Arial"/>
          <w:sz w:val="18"/>
          <w:szCs w:val="18"/>
          <w:color w:val="auto"/>
        </w:rPr>
        <w:t>Fully Hosted: We also provide a fully hosted alternative for our billers. In this option, our hosted platform provides our billers the full power of our platform without incurring the cost of using their own IT resources.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Solutions</w:t>
      </w:r>
    </w:p>
    <w:p>
      <w:pPr>
        <w:spacing w:after="0" w:line="125"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Engagement: We believe billers must regularly engage with their consumers using actionable and contextualized data. Our smart notifications and messaging tools enable billers to provide billing details to their consumers, such as account status, and directly communicate with them over secure channels. Our engagement products help billers and financial institutions facilitate timely and secure bill payments, while driving digital adoption and reducing cost to serve.</w:t>
      </w:r>
    </w:p>
    <w:p>
      <w:pPr>
        <w:spacing w:after="0" w:line="96" w:lineRule="exact"/>
        <w:rPr>
          <w:sz w:val="20"/>
          <w:szCs w:val="20"/>
          <w:color w:val="auto"/>
        </w:rPr>
      </w:pPr>
    </w:p>
    <w:p>
      <w:pPr>
        <w:ind w:right="20" w:firstLine="494"/>
        <w:spacing w:after="0" w:line="234" w:lineRule="auto"/>
        <w:rPr>
          <w:sz w:val="20"/>
          <w:szCs w:val="20"/>
          <w:color w:val="auto"/>
        </w:rPr>
      </w:pPr>
      <w:r>
        <w:rPr>
          <w:rFonts w:ascii="Arial" w:cs="Arial" w:eastAsia="Arial" w:hAnsi="Arial"/>
          <w:sz w:val="18"/>
          <w:szCs w:val="18"/>
          <w:color w:val="auto"/>
        </w:rPr>
        <w:t>Presentment: Consumers are increasingly demanding omni-channel access to their bills through their preferred engagement channels. Our solution offers electronic bill presentment across numerous channels including web, mobile,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10" w:name="page11"/>
    <w:bookmarkEnd w:id="10"/>
    <w:p>
      <w:pPr>
        <w:ind w:right="640"/>
        <w:spacing w:after="0" w:line="245" w:lineRule="auto"/>
        <w:rPr>
          <w:sz w:val="20"/>
          <w:szCs w:val="20"/>
          <w:color w:val="auto"/>
        </w:rPr>
      </w:pPr>
      <w:r>
        <w:rPr>
          <w:rFonts w:ascii="Arial" w:cs="Arial" w:eastAsia="Arial" w:hAnsi="Arial"/>
          <w:sz w:val="18"/>
          <w:szCs w:val="18"/>
          <w:color w:val="auto"/>
        </w:rPr>
        <w:t>text, secure PDF, email, IVR, chatbot, social media and through our IPN partners. Our electronic bill presentment products help billers maximize their reach to accelerate revenue realization and engage consumers more efficiently.</w:t>
      </w:r>
    </w:p>
    <w:p>
      <w:pPr>
        <w:spacing w:after="0" w:line="90" w:lineRule="exact"/>
        <w:rPr>
          <w:sz w:val="20"/>
          <w:szCs w:val="20"/>
          <w:color w:val="auto"/>
        </w:rPr>
      </w:pPr>
    </w:p>
    <w:p>
      <w:pPr>
        <w:ind w:right="140" w:firstLine="494"/>
        <w:spacing w:after="0" w:line="238" w:lineRule="auto"/>
        <w:rPr>
          <w:sz w:val="20"/>
          <w:szCs w:val="20"/>
          <w:color w:val="auto"/>
        </w:rPr>
      </w:pPr>
      <w:r>
        <w:rPr>
          <w:rFonts w:ascii="Arial" w:cs="Arial" w:eastAsia="Arial" w:hAnsi="Arial"/>
          <w:sz w:val="18"/>
          <w:szCs w:val="18"/>
          <w:color w:val="auto"/>
        </w:rPr>
        <w:t>Empowerment: Our comprehensive suite of solutions empowers consumers and billers to customize, control and enhance the bill payment experience. Consumers can control communication preferences, multi-lingual capabilities, self-directed payment scheduling, multi-account management and dispute management. Billers are able to use automated case management and configurable reporting to quickly and comprehensively provide high-quality customer service.</w:t>
      </w:r>
    </w:p>
    <w:p>
      <w:pPr>
        <w:spacing w:after="0" w:line="96"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Payment: We believe consumers demand an omni-channel payment experience that enables use of their preferred payment type and channel. Our secure and comprehensive omni-channel payment platform supports traditional and emerging payment technologies across multiple currencies and languages. Our platform supports electronic bill payments using credit, debit, ACH and digital wallets across a variety of payment channels, including web, mobile, IVR, text, secure PDF, chatbot, agent-assisted (call center), in-person, the AI-assistant voice service of a leading global ecommerce retailer, in Walmart and certain other retail stores, and through alternative payment rails such as PayPal. We support one-time payments, as well as future-dated, recurring and payment plan transactions.</w:t>
      </w:r>
    </w:p>
    <w:p>
      <w:pPr>
        <w:spacing w:after="0" w:line="95" w:lineRule="exact"/>
        <w:rPr>
          <w:sz w:val="20"/>
          <w:szCs w:val="20"/>
          <w:color w:val="auto"/>
        </w:rPr>
      </w:pPr>
    </w:p>
    <w:p>
      <w:pPr>
        <w:ind w:right="320" w:firstLine="494"/>
        <w:spacing w:after="0" w:line="237" w:lineRule="auto"/>
        <w:rPr>
          <w:sz w:val="20"/>
          <w:szCs w:val="20"/>
          <w:color w:val="auto"/>
        </w:rPr>
      </w:pPr>
      <w:r>
        <w:rPr>
          <w:rFonts w:ascii="Arial" w:cs="Arial" w:eastAsia="Arial" w:hAnsi="Arial"/>
          <w:sz w:val="18"/>
          <w:szCs w:val="18"/>
          <w:color w:val="auto"/>
        </w:rPr>
        <w:t>Intelligence: Electronic bill payment transactions contain a rich volume of consumer and behavioral data that can improve the bill payment experience for billers and consumers. Our AI-powered analytics engine produces data-driven insights on consumer preferences, channel usage, bill lifecycles, messaging effectiveness and paper suppression and can be used by billers to improve the consumer experience. For example, our analytics engine can analyze frequently asked questions to call centers and enable billers to quickly predict answers to those questions in the future, creating a better consumer experience with reduced cost to serve for the biller.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Architecture</w:t>
      </w:r>
    </w:p>
    <w:p>
      <w:pPr>
        <w:spacing w:after="0" w:line="125"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Single Code Base: Our extensible, cloud-based payments platform was built from the ground-up on a single code base with no versioning, which enables rapid deployment of new features and tools in part because there is no need to manage and reconcile separate versions of our software code. This flexibility empowers billers, financial institutions and partners across our network to offer their consumers the strength of our platform without paying us development or implementation fees.</w:t>
      </w:r>
    </w:p>
    <w:p>
      <w:pPr>
        <w:spacing w:after="0" w:line="96" w:lineRule="exact"/>
        <w:rPr>
          <w:sz w:val="20"/>
          <w:szCs w:val="20"/>
          <w:color w:val="auto"/>
        </w:rPr>
      </w:pPr>
    </w:p>
    <w:p>
      <w:pPr>
        <w:ind w:right="420" w:firstLine="494"/>
        <w:spacing w:after="0"/>
        <w:rPr>
          <w:sz w:val="20"/>
          <w:szCs w:val="20"/>
          <w:color w:val="auto"/>
        </w:rPr>
      </w:pPr>
      <w:r>
        <w:rPr>
          <w:rFonts w:ascii="Arial" w:cs="Arial" w:eastAsia="Arial" w:hAnsi="Arial"/>
          <w:sz w:val="18"/>
          <w:szCs w:val="18"/>
          <w:color w:val="auto"/>
        </w:rPr>
        <w:t>AI / ML: Our biller platform uses AI and ML algorithms to increase efficiency and extract data-driven insights from transactions and interactions between consumers, billers, partners and our platform. These algorithms are embedded within, and enhance, each of our technology solutions to deliver a more intelligent and predictive consumer experience.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Platform Features</w:t>
      </w:r>
    </w:p>
    <w:p>
      <w:pPr>
        <w:spacing w:after="0" w:line="125" w:lineRule="exact"/>
        <w:rPr>
          <w:sz w:val="20"/>
          <w:szCs w:val="20"/>
          <w:color w:val="auto"/>
        </w:rPr>
      </w:pPr>
    </w:p>
    <w:p>
      <w:pPr>
        <w:jc w:val="both"/>
        <w:ind w:right="680" w:firstLine="494"/>
        <w:spacing w:after="0"/>
        <w:rPr>
          <w:sz w:val="20"/>
          <w:szCs w:val="20"/>
          <w:color w:val="auto"/>
        </w:rPr>
      </w:pPr>
      <w:r>
        <w:rPr>
          <w:rFonts w:ascii="Arial" w:cs="Arial" w:eastAsia="Arial" w:hAnsi="Arial"/>
          <w:sz w:val="18"/>
          <w:szCs w:val="18"/>
          <w:color w:val="auto"/>
        </w:rPr>
        <w:t>The electronic bill payment process involves more than just a payment. It requires an end-to-end engagement mechanism that facilitates communication and payment between billers, partners and consumers to ensure timely and transparent payment through a frictionless consumer experience. Various features of our platform support this:</w:t>
      </w:r>
    </w:p>
    <w:p>
      <w:pPr>
        <w:spacing w:after="0" w:line="94"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Consumer Engagement: We enable our billers to improve their consumer engagement with targeted communications, such as smart notifications, broadcast messaging, inbound and outbound communications, and campaign management, all of which are managed by our communications management tools. Our engagement modules allow billers to communicate with consumers based on desired characteristics such as regional location, due date, account status (such as late payment), or custom logic. Our billers can also communicate new offerings, incentives for payment and new payment types (such as PayPal). In 2022, our billers sent approximately 145 million emails, sent 40 million text messages and had over 2 million IVR calls using our communications modules.</w:t>
      </w:r>
    </w:p>
    <w:p>
      <w:pPr>
        <w:spacing w:after="0" w:line="95" w:lineRule="exact"/>
        <w:rPr>
          <w:sz w:val="20"/>
          <w:szCs w:val="20"/>
          <w:color w:val="auto"/>
        </w:rPr>
      </w:pPr>
    </w:p>
    <w:p>
      <w:pPr>
        <w:ind w:right="100" w:firstLine="494"/>
        <w:spacing w:after="0"/>
        <w:rPr>
          <w:sz w:val="20"/>
          <w:szCs w:val="20"/>
          <w:color w:val="auto"/>
        </w:rPr>
      </w:pPr>
      <w:r>
        <w:rPr>
          <w:rFonts w:ascii="Arial" w:cs="Arial" w:eastAsia="Arial" w:hAnsi="Arial"/>
          <w:sz w:val="18"/>
          <w:szCs w:val="18"/>
          <w:color w:val="auto"/>
        </w:rPr>
        <w:t>Bill Presentment: Billers can present electronic bills and balance amounts through the biller’s own mobile app, text, secure PDFs, IVR, and chatbots or via alternative channels such as digital wallets, the AI-assistant voice service of a leading global ecommerce retailer, PayPal’s bill pay app, social media and our other IPN Partners.</w:t>
      </w:r>
    </w:p>
    <w:p>
      <w:pPr>
        <w:spacing w:after="0" w:line="94" w:lineRule="exact"/>
        <w:rPr>
          <w:sz w:val="20"/>
          <w:szCs w:val="20"/>
          <w:color w:val="auto"/>
        </w:rPr>
      </w:pPr>
    </w:p>
    <w:p>
      <w:pPr>
        <w:ind w:right="340" w:firstLine="494"/>
        <w:spacing w:after="0"/>
        <w:rPr>
          <w:sz w:val="20"/>
          <w:szCs w:val="20"/>
          <w:color w:val="auto"/>
        </w:rPr>
      </w:pPr>
      <w:r>
        <w:rPr>
          <w:rFonts w:ascii="Arial" w:cs="Arial" w:eastAsia="Arial" w:hAnsi="Arial"/>
          <w:sz w:val="18"/>
          <w:szCs w:val="18"/>
          <w:color w:val="auto"/>
        </w:rPr>
        <w:t>Consumer and Biller Employee Empowerment: We enable billers and financial institutions to empower both their consumers and employees, which significantly increases consumer satisfaction and on-time bill payment rates for many of our billers. Billers and financial institutions are able to empower consumers with an array of choices:</w:t>
      </w:r>
    </w:p>
    <w:p>
      <w:pPr>
        <w:spacing w:after="0" w:line="94" w:lineRule="exact"/>
        <w:rPr>
          <w:sz w:val="20"/>
          <w:szCs w:val="20"/>
          <w:color w:val="auto"/>
        </w:rPr>
      </w:pPr>
    </w:p>
    <w:p>
      <w:pPr>
        <w:ind w:left="1020" w:hanging="50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communications preferences – consumers can choose email, text, portal or otherwise;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language preferences – consumers can select their preferred language for receiving billing information and interact via IVR;</w:t>
      </w:r>
    </w:p>
    <w:p>
      <w:pPr>
        <w:spacing w:after="0" w:line="116" w:lineRule="exact"/>
        <w:rPr>
          <w:rFonts w:ascii="Arial" w:cs="Arial" w:eastAsia="Arial" w:hAnsi="Arial"/>
          <w:sz w:val="18"/>
          <w:szCs w:val="18"/>
          <w:color w:val="auto"/>
        </w:rPr>
      </w:pPr>
    </w:p>
    <w:p>
      <w:pPr>
        <w:ind w:left="1020" w:right="140" w:hanging="504"/>
        <w:spacing w:after="0" w:line="245"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payment scheduling and type – consumers can schedule payments at specific times and use specific payment type to best suit their needs;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multi-account management – consumers can manage multiple accounts with a single provider in one place.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1" w:name="page12"/>
    <w:bookmarkEnd w:id="11"/>
    <w:p>
      <w:pPr>
        <w:ind w:right="340" w:firstLine="494"/>
        <w:spacing w:after="0" w:line="274" w:lineRule="auto"/>
        <w:rPr>
          <w:sz w:val="20"/>
          <w:szCs w:val="20"/>
          <w:color w:val="auto"/>
        </w:rPr>
      </w:pPr>
      <w:r>
        <w:rPr>
          <w:rFonts w:ascii="Arial" w:cs="Arial" w:eastAsia="Arial" w:hAnsi="Arial"/>
          <w:sz w:val="17"/>
          <w:szCs w:val="17"/>
          <w:color w:val="auto"/>
        </w:rPr>
        <w:t>We offer complementary features to our biller’s employees, including tools for automated case management, configurable reporting and “see what they see” where the customer service employees can see exactly what the consumer sees to quickly resolve problems.</w:t>
      </w:r>
    </w:p>
    <w:p>
      <w:pPr>
        <w:spacing w:after="0" w:line="66" w:lineRule="exact"/>
        <w:rPr>
          <w:sz w:val="20"/>
          <w:szCs w:val="20"/>
          <w:color w:val="auto"/>
        </w:rPr>
      </w:pPr>
    </w:p>
    <w:p>
      <w:pPr>
        <w:ind w:right="460" w:firstLine="494"/>
        <w:spacing w:after="0"/>
        <w:rPr>
          <w:sz w:val="20"/>
          <w:szCs w:val="20"/>
          <w:color w:val="auto"/>
        </w:rPr>
      </w:pPr>
      <w:r>
        <w:rPr>
          <w:rFonts w:ascii="Arial" w:cs="Arial" w:eastAsia="Arial" w:hAnsi="Arial"/>
          <w:sz w:val="18"/>
          <w:szCs w:val="18"/>
          <w:color w:val="auto"/>
        </w:rPr>
        <w:t>We have also made significant investments in research and development, including in an automated, streamlined onboarding experience to help our billers and financial institutions go live faster and in self-service features to help billers quickly adapt to consumer needs.</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Payment Types: We have significantly invested in innovative payment types to provide billers a seamless, omni-channel suite of tools.</w:t>
      </w:r>
    </w:p>
    <w:p>
      <w:pPr>
        <w:spacing w:after="0"/>
        <w:rPr>
          <w:sz w:val="20"/>
          <w:szCs w:val="20"/>
          <w:color w:val="auto"/>
        </w:rPr>
      </w:pPr>
      <w:r>
        <w:rPr>
          <w:rFonts w:ascii="Arial" w:cs="Arial" w:eastAsia="Arial" w:hAnsi="Arial"/>
          <w:sz w:val="18"/>
          <w:szCs w:val="18"/>
          <w:color w:val="auto"/>
        </w:rPr>
        <w:t>We believe no other provider in our markets offers a similar array of easy-to-implement options.</w:t>
      </w:r>
    </w:p>
    <w:p>
      <w:pPr>
        <w:spacing w:after="0" w:line="103" w:lineRule="exact"/>
        <w:rPr>
          <w:sz w:val="20"/>
          <w:szCs w:val="20"/>
          <w:color w:val="auto"/>
        </w:rPr>
      </w:pPr>
    </w:p>
    <w:p>
      <w:pPr>
        <w:ind w:right="440" w:firstLine="494"/>
        <w:spacing w:after="0" w:line="245" w:lineRule="auto"/>
        <w:rPr>
          <w:sz w:val="20"/>
          <w:szCs w:val="20"/>
          <w:color w:val="auto"/>
        </w:rPr>
      </w:pPr>
      <w:r>
        <w:rPr>
          <w:rFonts w:ascii="Arial" w:cs="Arial" w:eastAsia="Arial" w:hAnsi="Arial"/>
          <w:sz w:val="18"/>
          <w:szCs w:val="18"/>
          <w:color w:val="auto"/>
        </w:rPr>
        <w:t>These features are seamlessly integrated with our engagement and empowerment tools to provide a superior consumer biller and financial institutions experience. Our platform supports a variety of payment types, including:</w:t>
      </w:r>
    </w:p>
    <w:p>
      <w:pPr>
        <w:spacing w:after="0" w:line="90" w:lineRule="exact"/>
        <w:rPr>
          <w:sz w:val="20"/>
          <w:szCs w:val="20"/>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 and eCheck;</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debit card;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card;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emerging payment types.</w:t>
      </w:r>
    </w:p>
    <w:p>
      <w:pPr>
        <w:spacing w:after="0" w:line="117" w:lineRule="exact"/>
        <w:rPr>
          <w:sz w:val="20"/>
          <w:szCs w:val="20"/>
          <w:color w:val="auto"/>
        </w:rPr>
      </w:pPr>
    </w:p>
    <w:p>
      <w:pPr>
        <w:ind w:right="180" w:firstLine="494"/>
        <w:spacing w:after="0" w:line="245" w:lineRule="auto"/>
        <w:rPr>
          <w:sz w:val="20"/>
          <w:szCs w:val="20"/>
          <w:color w:val="auto"/>
        </w:rPr>
      </w:pPr>
      <w:r>
        <w:rPr>
          <w:rFonts w:ascii="Arial" w:cs="Arial" w:eastAsia="Arial" w:hAnsi="Arial"/>
          <w:sz w:val="18"/>
          <w:szCs w:val="18"/>
          <w:color w:val="auto"/>
        </w:rPr>
        <w:t>Emerging payment types include PayPal, Venmo, PayPal Credit, Apple Pay, Google Pay and Amazon Pay. These payment types are gaining increasing traction with consumers, and as a result, are viewed as increasingly important by billers and financial institutions.</w:t>
      </w:r>
    </w:p>
    <w:p>
      <w:pPr>
        <w:spacing w:after="0" w:line="90"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Payment Channels: Our platform offers an omni-channel payment infrastructure, which means that it enables bill payments through all the traditional payment channels billers and consumers expect, as well as many emerging payment channels. These include web portal, mobile, IVR, text, secure PDF, chatbot, agent-assisted (call center), in-person, the AI-assistant voice service of a leading global ecommerce retailer, in Walmart stores and through alternative payment rails such as PayPal. Key features and examples of several of these channels are described and illustrated in the following pages.</w:t>
      </w:r>
    </w:p>
    <w:p>
      <w:pPr>
        <w:spacing w:after="0" w:line="97" w:lineRule="exact"/>
        <w:rPr>
          <w:sz w:val="20"/>
          <w:szCs w:val="20"/>
          <w:color w:val="auto"/>
        </w:rPr>
      </w:pPr>
    </w:p>
    <w:p>
      <w:pPr>
        <w:ind w:right="140" w:firstLine="494"/>
        <w:spacing w:after="0" w:line="245" w:lineRule="auto"/>
        <w:rPr>
          <w:sz w:val="20"/>
          <w:szCs w:val="20"/>
          <w:color w:val="auto"/>
        </w:rPr>
      </w:pPr>
      <w:r>
        <w:rPr>
          <w:rFonts w:ascii="Arial" w:cs="Arial" w:eastAsia="Arial" w:hAnsi="Arial"/>
          <w:sz w:val="18"/>
          <w:szCs w:val="18"/>
          <w:color w:val="auto"/>
        </w:rPr>
        <w:t>Chatbot: Enable billers to engage with consumers through an automated, AI-powered interface that constantly improves the customer service experience through data-driven insights.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PayPal App: Leveraging our APIs, PayPal’s U.S. consumers can pay their bills directly from PayPal.</w:t>
      </w:r>
    </w:p>
    <w:p>
      <w:pPr>
        <w:spacing w:after="0" w:line="103" w:lineRule="exact"/>
        <w:rPr>
          <w:sz w:val="20"/>
          <w:szCs w:val="20"/>
          <w:color w:val="auto"/>
        </w:rPr>
      </w:pPr>
    </w:p>
    <w:p>
      <w:pPr>
        <w:ind w:right="200" w:firstLine="494"/>
        <w:spacing w:after="0" w:line="237" w:lineRule="auto"/>
        <w:rPr>
          <w:sz w:val="20"/>
          <w:szCs w:val="20"/>
          <w:color w:val="auto"/>
        </w:rPr>
      </w:pPr>
      <w:r>
        <w:rPr>
          <w:rFonts w:ascii="Arial" w:cs="Arial" w:eastAsia="Arial" w:hAnsi="Arial"/>
          <w:sz w:val="18"/>
          <w:szCs w:val="18"/>
          <w:color w:val="auto"/>
        </w:rPr>
        <w:t>Secure Service: Our patented Secure Service feature enables billers to accept payments over the phone while minimizing PCI-DSS compliance risk. Many billers avoid accepting payment information over the phone by directing consumers to websites or automated phone systems, which creates poor experiences and results in abandoned payments. Our Secure Service allows the biller’s employee and the consumer to remain connected throughout the process, while removing the biller’s employee from PCI-DSS scope by concealing payment details. As a result, the transaction is able to be completed securely and the consumer can be returned to the same employee directly on completion.</w:t>
      </w:r>
    </w:p>
    <w:p>
      <w:pPr>
        <w:spacing w:after="0" w:line="95" w:lineRule="exact"/>
        <w:rPr>
          <w:sz w:val="20"/>
          <w:szCs w:val="20"/>
          <w:color w:val="auto"/>
        </w:rPr>
      </w:pPr>
    </w:p>
    <w:p>
      <w:pPr>
        <w:ind w:right="100" w:firstLine="544"/>
        <w:spacing w:after="0" w:line="245" w:lineRule="auto"/>
        <w:rPr>
          <w:sz w:val="20"/>
          <w:szCs w:val="20"/>
          <w:color w:val="auto"/>
        </w:rPr>
      </w:pPr>
      <w:r>
        <w:rPr>
          <w:rFonts w:ascii="Arial" w:cs="Arial" w:eastAsia="Arial" w:hAnsi="Arial"/>
          <w:sz w:val="18"/>
          <w:szCs w:val="18"/>
          <w:color w:val="auto"/>
        </w:rPr>
        <w:t>AI-assistant Voice Service: We power bill payments for the AI-assistant voice service of a leading global ecommerce retailer, enabling millions of its users to retrieve information about, and pay, their bills for all billers on our network using voice commands.</w:t>
      </w:r>
    </w:p>
    <w:p>
      <w:pPr>
        <w:spacing w:after="0" w:line="90" w:lineRule="exact"/>
        <w:rPr>
          <w:sz w:val="20"/>
          <w:szCs w:val="20"/>
          <w:color w:val="auto"/>
        </w:rPr>
      </w:pPr>
    </w:p>
    <w:p>
      <w:pPr>
        <w:ind w:right="100" w:firstLine="494"/>
        <w:spacing w:after="0" w:line="245" w:lineRule="auto"/>
        <w:rPr>
          <w:sz w:val="20"/>
          <w:szCs w:val="20"/>
          <w:color w:val="auto"/>
        </w:rPr>
      </w:pPr>
      <w:r>
        <w:rPr>
          <w:rFonts w:ascii="Arial" w:cs="Arial" w:eastAsia="Arial" w:hAnsi="Arial"/>
          <w:sz w:val="18"/>
          <w:szCs w:val="18"/>
          <w:color w:val="auto"/>
        </w:rPr>
        <w:t>Text-based: Pay by text leverages our text based bill presentment technology for a text payment authorization, which then uses stored payment types in the consumer’s account.</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IVR: Interactive voice response is a powerful tool to make payments and check balances, and is available in multi-lingual options.</w:t>
      </w:r>
    </w:p>
    <w:p>
      <w:pPr>
        <w:spacing w:after="0" w:line="103" w:lineRule="exact"/>
        <w:rPr>
          <w:sz w:val="20"/>
          <w:szCs w:val="20"/>
          <w:color w:val="auto"/>
        </w:rPr>
      </w:pPr>
    </w:p>
    <w:p>
      <w:pPr>
        <w:ind w:right="160" w:firstLine="494"/>
        <w:spacing w:after="0" w:line="245" w:lineRule="auto"/>
        <w:rPr>
          <w:sz w:val="20"/>
          <w:szCs w:val="20"/>
          <w:color w:val="auto"/>
        </w:rPr>
      </w:pPr>
      <w:r>
        <w:rPr>
          <w:rFonts w:ascii="Arial" w:cs="Arial" w:eastAsia="Arial" w:hAnsi="Arial"/>
          <w:sz w:val="18"/>
          <w:szCs w:val="18"/>
          <w:color w:val="auto"/>
        </w:rPr>
        <w:t>Agent-assisted Call Center Payments: Our agent-assisted call center capability enables a biller to support and assist their consumers with bill payments and other related issues.</w:t>
      </w:r>
    </w:p>
    <w:p>
      <w:pPr>
        <w:spacing w:after="0" w:line="90" w:lineRule="exact"/>
        <w:rPr>
          <w:sz w:val="20"/>
          <w:szCs w:val="20"/>
          <w:color w:val="auto"/>
        </w:rPr>
      </w:pPr>
    </w:p>
    <w:p>
      <w:pPr>
        <w:ind w:firstLine="544"/>
        <w:spacing w:after="0" w:line="245" w:lineRule="auto"/>
        <w:rPr>
          <w:sz w:val="20"/>
          <w:szCs w:val="20"/>
          <w:color w:val="auto"/>
        </w:rPr>
      </w:pPr>
      <w:r>
        <w:rPr>
          <w:rFonts w:ascii="Arial" w:cs="Arial" w:eastAsia="Arial" w:hAnsi="Arial"/>
          <w:sz w:val="18"/>
          <w:szCs w:val="18"/>
          <w:color w:val="auto"/>
        </w:rPr>
        <w:t>Portal: Our bill payment portal enables billers to provide advanced usage and consumption data to their consumers such as power use by day.</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In-person Payments: We also power in-person payments, which include payments at kiosks or a counter for point-of-sale transactions.</w:t>
      </w:r>
    </w:p>
    <w:p>
      <w:pPr>
        <w:spacing w:after="0"/>
        <w:rPr>
          <w:sz w:val="20"/>
          <w:szCs w:val="20"/>
          <w:color w:val="auto"/>
        </w:rPr>
      </w:pPr>
      <w:r>
        <w:rPr>
          <w:rFonts w:ascii="Arial" w:cs="Arial" w:eastAsia="Arial" w:hAnsi="Arial"/>
          <w:sz w:val="18"/>
          <w:szCs w:val="18"/>
          <w:color w:val="auto"/>
        </w:rPr>
        <w:t>This is particularly appealing for many billers who may have a local customer service center.</w:t>
      </w:r>
    </w:p>
    <w:p>
      <w:pPr>
        <w:spacing w:after="0" w:line="103" w:lineRule="exact"/>
        <w:rPr>
          <w:sz w:val="20"/>
          <w:szCs w:val="20"/>
          <w:color w:val="auto"/>
        </w:rPr>
      </w:pPr>
    </w:p>
    <w:p>
      <w:pPr>
        <w:ind w:right="480" w:firstLine="494"/>
        <w:spacing w:after="0" w:line="245" w:lineRule="auto"/>
        <w:rPr>
          <w:sz w:val="20"/>
          <w:szCs w:val="20"/>
          <w:color w:val="auto"/>
        </w:rPr>
      </w:pPr>
      <w:r>
        <w:rPr>
          <w:rFonts w:ascii="Arial" w:cs="Arial" w:eastAsia="Arial" w:hAnsi="Arial"/>
          <w:sz w:val="18"/>
          <w:szCs w:val="18"/>
          <w:color w:val="auto"/>
        </w:rPr>
        <w:t>Payment Timing: We support an array of timing alternatives including one-time guest payments, recurring payments, future-dated payments, multiple payments and payment plans.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What Sets Us Apart</w:t>
      </w:r>
    </w:p>
    <w:p>
      <w:pPr>
        <w:spacing w:after="0" w:line="12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Paymentus was built on the notion that existing bill payment systems are not equipped to handle how bills will be paid in the future. Our platform is a cloud-native solution that automates the entire bill payments lifecycle between billers and financial institutions and consumers through a single integration, simplifying how consumers pay bills and accelerating billers’ revenue recognition through the following characteristics:</w:t>
      </w:r>
    </w:p>
    <w:p>
      <w:pPr>
        <w:spacing w:after="0" w:line="96" w:lineRule="exact"/>
        <w:rPr>
          <w:sz w:val="20"/>
          <w:szCs w:val="20"/>
          <w:color w:val="auto"/>
        </w:rPr>
      </w:pPr>
    </w:p>
    <w:p>
      <w:pPr>
        <w:ind w:left="1020" w:right="140" w:hanging="504"/>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Scalable: Our mission-critical platform is designed to support high velocity throughput of daily, non-discretionary consumer bill payments. Our platform is capable of scaling up market to serve large billers, each processing payments for millions of bills per month, while also serving smaller billers, each processing payments for one bill per month. In 2022, we processed approximately 365 million payments and an average of one million payments were made each day using our platform.</w:t>
      </w:r>
    </w:p>
    <w:p>
      <w:pPr>
        <w:spacing w:after="0" w:line="95" w:lineRule="exact"/>
        <w:rPr>
          <w:rFonts w:ascii="Arial" w:cs="Arial" w:eastAsia="Arial" w:hAnsi="Arial"/>
          <w:sz w:val="18"/>
          <w:szCs w:val="18"/>
          <w:color w:val="auto"/>
        </w:rPr>
      </w:pPr>
    </w:p>
    <w:p>
      <w:pPr>
        <w:ind w:left="1020" w:right="320" w:hanging="504"/>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Innovative: Our AI-enabled, SaaS architecture is the foundation of our unified platform. Our ML algorithms continuously learn and self-improve from transaction activity on our platform. Our platform and our intensely client-centric approach inform our product development strategy, enabling us to offer new features and functionality that improve our value proposition to our billers.</w:t>
      </w:r>
    </w:p>
    <w:p>
      <w:pPr>
        <w:spacing w:after="0" w:line="95" w:lineRule="exact"/>
        <w:rPr>
          <w:rFonts w:ascii="Arial" w:cs="Arial" w:eastAsia="Arial" w:hAnsi="Arial"/>
          <w:sz w:val="18"/>
          <w:szCs w:val="18"/>
          <w:color w:val="auto"/>
        </w:rPr>
      </w:pPr>
    </w:p>
    <w:p>
      <w:pPr>
        <w:ind w:left="1020" w:right="140" w:hanging="504"/>
        <w:spacing w:after="0" w:line="23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Flexible: We support multiple integration modalities to enhance our billers’ and financial institutions' ability to consume the full breadth of our platform. Some of our billers and financial institutions use our APIs or iFrames, which offer more control over the user experience, but require our infrastructure for payment processing and PCI-DSS compliance. Other billers use our fully hosted solution because they lack requisite IT resources and must leverage our technology and customer support systems to offer an electronic bill payment experience. We also allow our billers financial institutions to adopt a hybrid approach that leverages our APIs for certain environments.</w:t>
      </w:r>
    </w:p>
    <w:p>
      <w:pPr>
        <w:spacing w:after="0" w:line="95" w:lineRule="exact"/>
        <w:rPr>
          <w:rFonts w:ascii="Arial" w:cs="Arial" w:eastAsia="Arial" w:hAnsi="Arial"/>
          <w:sz w:val="18"/>
          <w:szCs w:val="18"/>
          <w:color w:val="auto"/>
        </w:rPr>
      </w:pPr>
    </w:p>
    <w:p>
      <w:pPr>
        <w:ind w:left="1020" w:right="100" w:hanging="504"/>
        <w:spacing w:after="0" w:line="23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Configurable: Our platform can rapidly and cost-effectively reconfigure our business logic to accommodate the specific requirements of the different end markets we serve. In 2022, approximately 75% of new biller implementations were completed without any code changes or significant development costs. Once configured, we can use these solutions with new and existing billers to expand into new verticals and geographies. For example, in 2022, we extended our platform to support configurable payment plans for a biller in the healthcare vertical. Features deployed include, but are not limited to, early payment discounts based on business rules and permission-based negotiated payments. The capabilities have subsequently been leveraged to support use cases in other verticals and customer implementations without requiring code changes to our platform. By developing products through this platform approach, we believe we are able to drive additional growth and expand the reach of our platform efficiently.</w:t>
      </w:r>
    </w:p>
    <w:p>
      <w:pPr>
        <w:spacing w:after="0" w:line="96" w:lineRule="exact"/>
        <w:rPr>
          <w:rFonts w:ascii="Arial" w:cs="Arial" w:eastAsia="Arial" w:hAnsi="Arial"/>
          <w:sz w:val="18"/>
          <w:szCs w:val="18"/>
          <w:color w:val="auto"/>
        </w:rPr>
      </w:pPr>
    </w:p>
    <w:p>
      <w:pPr>
        <w:ind w:left="1020" w:right="80" w:hanging="504"/>
        <w:spacing w:after="0" w:line="23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Integrated: Our library of over 400 integrations to core accounting software systems, including leading CIS and ERP systems as well as core financial institution processing platforms and certain digital banking providers, helps connect disparate systems across the electronic bill payment value chain. Our billers gain access to the entirety of our biller platform through an easy-to-deploy, single point of access. These integrations allow us to own and control the key components of the electronic bill payment value chain, including accounting and back-end integrations to CIS and ERP systems. Our portfolio of integrations span hundreds of software versions – some of which are decades old but still in use today by many of our billers – which enables us to rapidly integrate with billers and financial institutions. We believe competitors would need to invest significant time and resources in order to replicate our software integration portfolio.</w:t>
      </w:r>
    </w:p>
    <w:p>
      <w:pPr>
        <w:spacing w:after="0" w:line="97" w:lineRule="exact"/>
        <w:rPr>
          <w:rFonts w:ascii="Arial" w:cs="Arial" w:eastAsia="Arial" w:hAnsi="Arial"/>
          <w:sz w:val="18"/>
          <w:szCs w:val="18"/>
          <w:color w:val="auto"/>
        </w:rPr>
      </w:pPr>
    </w:p>
    <w:p>
      <w:pPr>
        <w:ind w:left="1020" w:hanging="504"/>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Extensible: Our platform is designed to integrate with new payment and consumer engagement technologies as well as new software, strategic and IPN partners. For example, through integrations with PayPal and a leading global ecommerce retailer, we have extended our platform to hundreds of millions of new consumers who wish to interact with billers in the PayPal app or through the AI-assistant voice service of a leading global ecommerce retailer.</w:t>
      </w:r>
    </w:p>
    <w:p>
      <w:pPr>
        <w:spacing w:after="0" w:line="95" w:lineRule="exact"/>
        <w:rPr>
          <w:rFonts w:ascii="Arial" w:cs="Arial" w:eastAsia="Arial" w:hAnsi="Arial"/>
          <w:sz w:val="18"/>
          <w:szCs w:val="18"/>
          <w:color w:val="auto"/>
        </w:rPr>
      </w:pPr>
    </w:p>
    <w:p>
      <w:pPr>
        <w:ind w:left="1020" w:right="280" w:hanging="504"/>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Secure: Biller, financial institution, partner and consumer security is of paramount importance to our business. Our PCI-DSS-compliant platform offers an intrusion detection and prevention system, multi-factor authentication and encryption and tokenization capabilities. We enforce our security policies and procedures through regular internal and third party audits, 24/7 digital monitoring, continued education and sophisticated technology tools.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Network</w:t>
      </w:r>
    </w:p>
    <w:p>
      <w:pPr>
        <w:spacing w:after="0" w:line="125" w:lineRule="exact"/>
        <w:rPr>
          <w:sz w:val="20"/>
          <w:szCs w:val="20"/>
          <w:color w:val="auto"/>
        </w:rPr>
      </w:pPr>
    </w:p>
    <w:p>
      <w:pPr>
        <w:ind w:right="540" w:firstLine="494"/>
        <w:spacing w:after="0" w:line="234" w:lineRule="auto"/>
        <w:rPr>
          <w:sz w:val="20"/>
          <w:szCs w:val="20"/>
          <w:color w:val="auto"/>
        </w:rPr>
      </w:pPr>
      <w:r>
        <w:rPr>
          <w:rFonts w:ascii="Arial" w:cs="Arial" w:eastAsia="Arial" w:hAnsi="Arial"/>
          <w:sz w:val="18"/>
          <w:szCs w:val="18"/>
          <w:color w:val="auto"/>
        </w:rPr>
        <w:t>We believe our innovative technology platform enables us to sit at the nexus of a powerful multi-sided network of billers, financial institutions, partners and consumers. We use the power of this network to enhance the number of product features each biller uses to promote transaction growth. Our portfolio data shows that payment adoption is highly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correlated to feature utilization. By increasing feature usage, we believe we will realize an increase in transaction volume from our billers.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Billers</w:t>
      </w:r>
    </w:p>
    <w:p>
      <w:pPr>
        <w:spacing w:after="0" w:line="125" w:lineRule="exact"/>
        <w:rPr>
          <w:sz w:val="20"/>
          <w:szCs w:val="20"/>
          <w:color w:val="auto"/>
        </w:rPr>
      </w:pPr>
    </w:p>
    <w:p>
      <w:pPr>
        <w:ind w:right="180" w:firstLine="494"/>
        <w:spacing w:after="0" w:line="237" w:lineRule="auto"/>
        <w:rPr>
          <w:sz w:val="20"/>
          <w:szCs w:val="20"/>
          <w:color w:val="auto"/>
        </w:rPr>
      </w:pPr>
      <w:r>
        <w:rPr>
          <w:rFonts w:ascii="Arial" w:cs="Arial" w:eastAsia="Arial" w:hAnsi="Arial"/>
          <w:sz w:val="18"/>
          <w:szCs w:val="18"/>
          <w:color w:val="auto"/>
        </w:rPr>
        <w:t>Our innovative technology platform empowers billers to offer electronic bill payment acceptance across multiple payment types, engage with their consumers and streamline their business operations efficiently and cost-effectively. We attract billers to our platform because our platform modernizes their payment infrastructure and helps them collect revenue faster and more profitably. Our platform is capable of posting payments directly to billers’ systems, which simplifies revenue operations and strengthens the relationship we have with billers.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Institutions</w:t>
      </w:r>
    </w:p>
    <w:p>
      <w:pPr>
        <w:spacing w:after="0" w:line="125" w:lineRule="exact"/>
        <w:rPr>
          <w:sz w:val="20"/>
          <w:szCs w:val="20"/>
          <w:color w:val="auto"/>
        </w:rPr>
      </w:pPr>
    </w:p>
    <w:p>
      <w:pPr>
        <w:ind w:right="60" w:firstLine="494"/>
        <w:spacing w:after="0" w:line="254" w:lineRule="auto"/>
        <w:rPr>
          <w:sz w:val="20"/>
          <w:szCs w:val="20"/>
          <w:color w:val="auto"/>
        </w:rPr>
      </w:pPr>
      <w:r>
        <w:rPr>
          <w:rFonts w:ascii="Arial" w:cs="Arial" w:eastAsia="Arial" w:hAnsi="Arial"/>
          <w:sz w:val="17"/>
          <w:szCs w:val="17"/>
          <w:color w:val="auto"/>
        </w:rPr>
        <w:t>Our network connects our financial institutions to thousands of billers and sources of money movement including virtually every bank and credit union in the US, debit card and credit card payments and multiple digital wallets. The network also enables consumers to make loan payments to our financial institutions from our other network partners. By using open application programming interfaces, or APIs, software development kit, or SDK, widgets and single-sign-on, or SSO, interfaces, our financial institutions have complete flexibility and control over how they integrate and deliver their services including modern digital bill presentment, payment and money movement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Billers and Financial Institutions</w:t>
      </w:r>
    </w:p>
    <w:p>
      <w:pPr>
        <w:spacing w:after="0" w:line="125" w:lineRule="exact"/>
        <w:rPr>
          <w:sz w:val="20"/>
          <w:szCs w:val="20"/>
          <w:color w:val="auto"/>
        </w:rPr>
      </w:pPr>
    </w:p>
    <w:p>
      <w:pPr>
        <w:ind w:right="120" w:firstLine="494"/>
        <w:spacing w:after="0" w:line="236" w:lineRule="auto"/>
        <w:rPr>
          <w:sz w:val="20"/>
          <w:szCs w:val="20"/>
          <w:color w:val="auto"/>
        </w:rPr>
      </w:pPr>
      <w:r>
        <w:rPr>
          <w:rFonts w:ascii="Arial" w:cs="Arial" w:eastAsia="Arial" w:hAnsi="Arial"/>
          <w:sz w:val="18"/>
          <w:szCs w:val="18"/>
          <w:color w:val="auto"/>
        </w:rPr>
        <w:t>Flexible and Integrated Platform: Billers and financial institutions can offer their consumers a variety of traditional and emerging payment and engagement technologies that enable the billers to collect revenue faster and drive improved customer satisfaction, while reducing costs such as their PCI-DSS compliance burden. Billers and financial institutions have the flexibility to integrate directly to our platform through APIs, iFrames or a fully hosted solution, which allows them to cost-effectively select and customize our solutions to fit their specific requirements. Because our platform is flexible and scalable, we believe our value proposition applies to all billers whether they ultimately choose to use our platform for all of their bills or continue using legacy bill payment systems or biller-direct solutions together with our solutions.</w:t>
      </w:r>
    </w:p>
    <w:p>
      <w:pPr>
        <w:spacing w:after="0" w:line="99" w:lineRule="exact"/>
        <w:rPr>
          <w:sz w:val="20"/>
          <w:szCs w:val="20"/>
          <w:color w:val="auto"/>
        </w:rPr>
      </w:pPr>
    </w:p>
    <w:p>
      <w:pPr>
        <w:ind w:right="140" w:firstLine="494"/>
        <w:spacing w:after="0" w:line="238" w:lineRule="auto"/>
        <w:rPr>
          <w:sz w:val="20"/>
          <w:szCs w:val="20"/>
          <w:color w:val="auto"/>
        </w:rPr>
      </w:pPr>
      <w:r>
        <w:rPr>
          <w:rFonts w:ascii="Arial" w:cs="Arial" w:eastAsia="Arial" w:hAnsi="Arial"/>
          <w:sz w:val="18"/>
          <w:szCs w:val="18"/>
          <w:color w:val="auto"/>
        </w:rPr>
        <w:t>Long-term Growth and Operating Leverage: The scalability of our platform allows billers and financial institutions to capitalize on growth opportunities for their business. While helping billers grow their revenue, we also help reduce costs by leveraging our integrated technology architecture to automate manual workflows, which reduces error-prone manual data entry and efficiently reconciles payments to backend financial and operating systems.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w:t>
      </w:r>
    </w:p>
    <w:p>
      <w:pPr>
        <w:spacing w:after="0" w:line="125" w:lineRule="exact"/>
        <w:rPr>
          <w:sz w:val="20"/>
          <w:szCs w:val="20"/>
          <w:color w:val="auto"/>
        </w:rPr>
      </w:pPr>
    </w:p>
    <w:p>
      <w:pPr>
        <w:jc w:val="both"/>
        <w:ind w:right="100" w:firstLine="494"/>
        <w:spacing w:after="0"/>
        <w:rPr>
          <w:sz w:val="20"/>
          <w:szCs w:val="20"/>
          <w:color w:val="auto"/>
        </w:rPr>
      </w:pPr>
      <w:r>
        <w:rPr>
          <w:rFonts w:ascii="Arial" w:cs="Arial" w:eastAsia="Arial" w:hAnsi="Arial"/>
          <w:sz w:val="18"/>
          <w:szCs w:val="18"/>
          <w:color w:val="auto"/>
        </w:rPr>
        <w:t>As our biller base expands, we attract market-leading software, strategic and IPN partners that use our platform to power bill payment experiences within their ecosystems. Our innovative platform facilitates a modern bill presentment, consumer engagement and bill payment experience for our partners’ customers, regardless of partner type.</w:t>
      </w:r>
    </w:p>
    <w:p>
      <w:pPr>
        <w:spacing w:after="0" w:line="94"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Software Partners: Our software partners include large third-party technology providers, such as Oracle, which integrate our platform into their software suites to power bill payments for their customers and refer billers and financial institutions to us. For example, ERP providers integrate our platform into their own suite of solutions to offer a comprehensive solution set that enhances their ERP software with bill presentment, consumer engagement and bill payment capabilities. In certain cases, we have revenue sharing arrangements with our software partners based on our transaction fees. In other cases, rather than a revenue sharing arrangement, we and our software partner mutually benefit from the partnership as the software partner can offer a more comprehensive solution and stronger value proposition to its customers and we receive broader reach to potential billers and consumers, an efficient biller acquisition channel and stronger biller retention from an integrated solution.</w:t>
      </w:r>
    </w:p>
    <w:p>
      <w:pPr>
        <w:spacing w:after="0" w:line="98"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Strategic Partners: Similar to our software providers, our strategic partners refer billers to us and, in many cases, integrate our solutions into their platforms. Our strategic partners, including JPMorgan Chase, U.S. Bank, and a major payroll solutions provider, work with us to offer bill presentment, consumer engagement and bill payment capabilities to their customers, which are billers. For example, a large commercial bank has many business clients who seek to improve and streamline the bill presentment and bill payment experience for their consumers. In that case, the large commercial bank partners with us to sell a joint solution. In other cases, the commercial bank may prefer to sell a white-labeled solution, which it obtains from us. Both co-sale and white-label arrangements typically involve revenue sharing agreements with the strategic partner based on the transaction fees we receive.</w:t>
      </w:r>
    </w:p>
    <w:p>
      <w:pPr>
        <w:spacing w:after="0" w:line="99" w:lineRule="exact"/>
        <w:rPr>
          <w:sz w:val="20"/>
          <w:szCs w:val="20"/>
          <w:color w:val="auto"/>
        </w:rPr>
      </w:pPr>
    </w:p>
    <w:p>
      <w:pPr>
        <w:ind w:right="360" w:firstLine="494"/>
        <w:spacing w:after="0" w:line="234" w:lineRule="auto"/>
        <w:rPr>
          <w:sz w:val="20"/>
          <w:szCs w:val="20"/>
          <w:color w:val="auto"/>
        </w:rPr>
      </w:pPr>
      <w:r>
        <w:rPr>
          <w:rFonts w:ascii="Arial" w:cs="Arial" w:eastAsia="Arial" w:hAnsi="Arial"/>
          <w:sz w:val="18"/>
          <w:szCs w:val="18"/>
          <w:color w:val="auto"/>
        </w:rPr>
        <w:t>IPN Partners: Our IPN partners work with us to gain access to broader biller networks and provide their consumers with innovative technology to streamline bill payments. Our IPN partners include PayPal, for which we power bill payment capabilities, a leading global ecommerce retailer, through which we offer electronic bill presentment and payment via its AI-assistant voice service and mobile app, Walmart, for which we enhance in-person bill payment capability at Walmart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2" w:right="379" w:bottom="1440" w:gutter="0" w:footer="0" w:header="0"/>
        </w:sectPr>
      </w:pPr>
    </w:p>
    <w:bookmarkStart w:id="14" w:name="page15"/>
    <w:bookmarkEnd w:id="14"/>
    <w:p>
      <w:pPr>
        <w:ind w:right="20"/>
        <w:spacing w:after="0" w:line="236" w:lineRule="auto"/>
        <w:rPr>
          <w:sz w:val="20"/>
          <w:szCs w:val="20"/>
          <w:color w:val="auto"/>
        </w:rPr>
      </w:pPr>
      <w:r>
        <w:rPr>
          <w:rFonts w:ascii="Arial" w:cs="Arial" w:eastAsia="Arial" w:hAnsi="Arial"/>
          <w:sz w:val="18"/>
          <w:szCs w:val="18"/>
          <w:color w:val="auto"/>
        </w:rPr>
        <w:t>Money Centers, and Green Dot, to enable in-person cash payments at more than 90,000 retail locations in the Green Dot network. Unlike software and strategic partners, IPN partners typically have direct interactions with consumers, and leverage our platform to connect to our biller network. Through this connection, consumers can initiate bill payments through our IPN partners, which we route to the billers. There are many types of IPN partners, including consumer networks, retailers, banks and financial institutions. We offer consumer networks and retailers increased engagement with consumers by enabling streamlined bill presentment payment experiences for an array of billers through their networks. We similarly offer banks and financial institutions increased engagement with their retail clients. For IPN partners, we will typically receive a fee per transaction processed through our platform and in some cases we pay a referral fee to IPN partners.</w:t>
      </w:r>
    </w:p>
    <w:p>
      <w:pPr>
        <w:spacing w:after="0" w:line="99"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Multiple Roles for Partners: Notably, partners may fit into multiple categories, particularly banks and financial institutions. For example, a bank can be a biller, a strategic partner and an IPN partner. As a biller, the bank generates bills, such as mortgage and credit card statements. As a strategic partner, the same bank uses our platform to power an omni-channel bill payment experience for a commercial customer of the bank. In this way, that commercial customer becomes a new biller for our network. Finally, as an IPN partner, the same bank leverages our IPN network to enable a more robust bill payment experience for its business customers and consumers by, for example, enabling its business customers and those businesses’ consumers to pay bills using alternative payment channels, such as PayPal. For clarity, financial institutions may also be customers where the financial institution uses our platform to provide bill payment and other money movement services directly to consumers and businesses.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Partners</w:t>
      </w:r>
    </w:p>
    <w:p>
      <w:pPr>
        <w:spacing w:after="0" w:line="125"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Higher Consumer Satisfaction: Partners gain access to our network of billers and can provide turnkey electronic bill payment functionality to their consumers through flexible integration options. By integrating our platform into their ecosystems, partners can provide a more comprehensive solution and drive higher customer satisfaction.</w:t>
      </w:r>
    </w:p>
    <w:p>
      <w:pPr>
        <w:spacing w:after="0" w:line="94" w:lineRule="exact"/>
        <w:rPr>
          <w:sz w:val="20"/>
          <w:szCs w:val="20"/>
          <w:color w:val="auto"/>
        </w:rPr>
      </w:pPr>
    </w:p>
    <w:p>
      <w:pPr>
        <w:ind w:right="220" w:firstLine="494"/>
        <w:spacing w:after="0"/>
        <w:rPr>
          <w:sz w:val="20"/>
          <w:szCs w:val="20"/>
          <w:color w:val="auto"/>
        </w:rPr>
      </w:pPr>
      <w:r>
        <w:rPr>
          <w:rFonts w:ascii="Arial" w:cs="Arial" w:eastAsia="Arial" w:hAnsi="Arial"/>
          <w:sz w:val="18"/>
          <w:szCs w:val="18"/>
          <w:color w:val="auto"/>
        </w:rPr>
        <w:t>Access to Innovative Technology Solutions: As consumers demand a more seamless and secure experience, partners require consumer engagement and payment technology that caters to the latest consumer trends. Our platform offers cutting edge technology that enables partners to grow mind and wallet share with their consumers.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Billers’, Financial Institutions' and Partners’ Consumers</w:t>
      </w:r>
    </w:p>
    <w:p>
      <w:pPr>
        <w:spacing w:after="0" w:line="125"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As our platform reaches more consumers, we capture and monetize more payment transactions. In December 2022, approximately 27 million consumers and businesses used our platform to pay their bills. As consumers increasingly demand omni-channel bill payment solutions for more of their bills, we attract more billers and partners who look to our platform to meet that demand.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Consumers</w:t>
      </w:r>
    </w:p>
    <w:p>
      <w:pPr>
        <w:spacing w:after="0" w:line="125" w:lineRule="exact"/>
        <w:rPr>
          <w:sz w:val="20"/>
          <w:szCs w:val="20"/>
          <w:color w:val="auto"/>
        </w:rPr>
      </w:pPr>
    </w:p>
    <w:p>
      <w:pPr>
        <w:ind w:right="180" w:firstLine="494"/>
        <w:spacing w:after="0"/>
        <w:rPr>
          <w:sz w:val="20"/>
          <w:szCs w:val="20"/>
          <w:color w:val="auto"/>
        </w:rPr>
      </w:pPr>
      <w:r>
        <w:rPr>
          <w:rFonts w:ascii="Arial" w:cs="Arial" w:eastAsia="Arial" w:hAnsi="Arial"/>
          <w:sz w:val="18"/>
          <w:szCs w:val="18"/>
          <w:color w:val="auto"/>
        </w:rPr>
        <w:t>Next-Generation Electronic Bill Payment Tools: Consumers gain access to advanced payments functionality to streamline their omni-channel bill payment experience. Consumers can view and pay bills through a variety of payment channels and types, engage with their billers, financial institutions and retrieve actionable insights regarding their payments and billing history.</w:t>
      </w:r>
    </w:p>
    <w:p>
      <w:pPr>
        <w:spacing w:after="0" w:line="94" w:lineRule="exact"/>
        <w:rPr>
          <w:sz w:val="20"/>
          <w:szCs w:val="20"/>
          <w:color w:val="auto"/>
        </w:rPr>
      </w:pPr>
    </w:p>
    <w:p>
      <w:pPr>
        <w:ind w:right="200" w:firstLine="494"/>
        <w:spacing w:after="0"/>
        <w:rPr>
          <w:sz w:val="20"/>
          <w:szCs w:val="20"/>
          <w:color w:val="auto"/>
        </w:rPr>
      </w:pPr>
      <w:r>
        <w:rPr>
          <w:rFonts w:ascii="Arial" w:cs="Arial" w:eastAsia="Arial" w:hAnsi="Arial"/>
          <w:sz w:val="18"/>
          <w:szCs w:val="18"/>
          <w:color w:val="auto"/>
        </w:rPr>
        <w:t>Control Over Financial Health: Consumers gain added control and visibility over their financial health on a daily basis through the advanced tools and features we provide. Our platform allows consumers to set the terms of their bill payments in a way that best suits their needs.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Growth Strategies</w:t>
      </w:r>
    </w:p>
    <w:p>
      <w:pPr>
        <w:spacing w:after="0" w:line="125" w:lineRule="exact"/>
        <w:rPr>
          <w:sz w:val="20"/>
          <w:szCs w:val="20"/>
          <w:color w:val="auto"/>
        </w:rPr>
      </w:pPr>
    </w:p>
    <w:p>
      <w:pPr>
        <w:ind w:firstLine="494"/>
        <w:spacing w:after="0" w:line="245" w:lineRule="auto"/>
        <w:rPr>
          <w:sz w:val="20"/>
          <w:szCs w:val="20"/>
          <w:color w:val="auto"/>
        </w:rPr>
      </w:pPr>
      <w:r>
        <w:rPr>
          <w:rFonts w:ascii="Arial" w:cs="Arial" w:eastAsia="Arial" w:hAnsi="Arial"/>
          <w:sz w:val="18"/>
          <w:szCs w:val="18"/>
          <w:color w:val="auto"/>
        </w:rPr>
        <w:t>We intend to leverage our products and industry presence to establish our platform as the industry standard for electronic bill payments for billers, financial institutions and partners globally. Key elements of this strategy include: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Win New Billers, Financial Institutions and Partners</w:t>
      </w:r>
    </w:p>
    <w:p>
      <w:pPr>
        <w:spacing w:after="0" w:line="125"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We believe the majority of billers and financial institutions use inferior electronic bill payment platforms. We plan to continue winning new billers, financial institutions and partners by investing in the growth of our IPN, expanding our diversified go to market strategies and strengthening our value proposition. We intend to continue winning market share through a superior product offering that is easy to integrate and provides a feature-rich experience for our billers, partners and consumers.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 with Existing Billers, Financial Institutions and Partners</w:t>
      </w:r>
    </w:p>
    <w:p>
      <w:pPr>
        <w:spacing w:after="0" w:line="125" w:lineRule="exact"/>
        <w:rPr>
          <w:sz w:val="20"/>
          <w:szCs w:val="20"/>
          <w:color w:val="auto"/>
        </w:rPr>
      </w:pPr>
    </w:p>
    <w:p>
      <w:pPr>
        <w:ind w:right="400" w:firstLine="494"/>
        <w:spacing w:after="0" w:line="234" w:lineRule="auto"/>
        <w:rPr>
          <w:sz w:val="20"/>
          <w:szCs w:val="20"/>
          <w:color w:val="auto"/>
        </w:rPr>
      </w:pPr>
      <w:r>
        <w:rPr>
          <w:rFonts w:ascii="Arial" w:cs="Arial" w:eastAsia="Arial" w:hAnsi="Arial"/>
          <w:sz w:val="18"/>
          <w:szCs w:val="18"/>
          <w:color w:val="auto"/>
        </w:rPr>
        <w:t>We believe we have a significant opportunity to leverage the full scope of our highly scalable model to drive further adoption of our platform with existing billers, financial institutions and partners, including our IPN partners. We believe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15" w:name="page16"/>
    <w:bookmarkEnd w:id="15"/>
    <w:p>
      <w:pPr>
        <w:ind w:right="280"/>
        <w:spacing w:after="0" w:line="245" w:lineRule="auto"/>
        <w:rPr>
          <w:sz w:val="20"/>
          <w:szCs w:val="20"/>
          <w:color w:val="auto"/>
        </w:rPr>
      </w:pPr>
      <w:r>
        <w:rPr>
          <w:rFonts w:ascii="Arial" w:cs="Arial" w:eastAsia="Arial" w:hAnsi="Arial"/>
          <w:sz w:val="18"/>
          <w:szCs w:val="18"/>
          <w:color w:val="auto"/>
        </w:rPr>
        <w:t>adding product features and additional functionality enables us to capture more electronic bill payments, strengthens our biller and partner retention and ultimately generate more transaction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into New Channels and Industry Verticals</w:t>
      </w:r>
    </w:p>
    <w:p>
      <w:pPr>
        <w:spacing w:after="0" w:line="125" w:lineRule="exact"/>
        <w:rPr>
          <w:sz w:val="20"/>
          <w:szCs w:val="20"/>
          <w:color w:val="auto"/>
        </w:rPr>
      </w:pPr>
    </w:p>
    <w:p>
      <w:pPr>
        <w:ind w:right="100" w:firstLine="494"/>
        <w:spacing w:after="0" w:line="237" w:lineRule="auto"/>
        <w:rPr>
          <w:sz w:val="20"/>
          <w:szCs w:val="20"/>
          <w:color w:val="auto"/>
        </w:rPr>
      </w:pPr>
      <w:r>
        <w:rPr>
          <w:rFonts w:ascii="Arial" w:cs="Arial" w:eastAsia="Arial" w:hAnsi="Arial"/>
          <w:sz w:val="18"/>
          <w:szCs w:val="18"/>
          <w:color w:val="auto"/>
        </w:rPr>
        <w:t>We intend to leverage our platform to expand into new channels and new industry verticals. In particular, we anticipate growth of our IPN and additional partnerships with leading business networks to drive further expansion into new channels, such as PayPal’s bill pay app. We also intend to continue to cost-effectively expand into new verticals and expect that our expansion efforts will center on verticals with favorable bill payment characteristics such as recurring payments for non-discretionary, essential services, similar to our previous expansion into the healthcare and insurance verticals. Our configurability and platform approach to new feature development enables us to cost-effectively extend products that were initially designed for an existing vertical into powerful use cases for new verticals.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 New Products</w:t>
      </w:r>
    </w:p>
    <w:p>
      <w:pPr>
        <w:spacing w:after="0" w:line="125" w:lineRule="exact"/>
        <w:rPr>
          <w:sz w:val="20"/>
          <w:szCs w:val="20"/>
          <w:color w:val="auto"/>
        </w:rPr>
      </w:pPr>
    </w:p>
    <w:p>
      <w:pPr>
        <w:ind w:right="300" w:firstLine="494"/>
        <w:spacing w:after="0" w:line="238" w:lineRule="auto"/>
        <w:rPr>
          <w:sz w:val="20"/>
          <w:szCs w:val="20"/>
          <w:color w:val="auto"/>
        </w:rPr>
      </w:pPr>
      <w:r>
        <w:rPr>
          <w:rFonts w:ascii="Arial" w:cs="Arial" w:eastAsia="Arial" w:hAnsi="Arial"/>
          <w:sz w:val="18"/>
          <w:szCs w:val="18"/>
          <w:color w:val="auto"/>
        </w:rPr>
        <w:t>We believe the significant investments we have made in our technology platform are a core differentiator of our business. As billers, financial institutions, partners and consumers adopt new consumer engagement and bill payment technologies, we intend to continue investing in our platform in order to create innovative features and add emerging payment types that further enhance the bill payment experience.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our Platform to Expand Internationally</w:t>
      </w:r>
    </w:p>
    <w:p>
      <w:pPr>
        <w:spacing w:after="0" w:line="125"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We believe there is global demand for electronic bill payment technology among billers and financial institutions with international consumers and partners that serve international billers and financial institutions. Although substantially all of our revenue is generated in the United States, many of our largest domestic billers also serve billable consumers in international geographies and several of our domestic partners maintain international operations. We believe this presents us with a large opportunity to expand internationally without needing to significantly increase international headcount or retain local resources to initially serve international markets. Our international growth strategy is focused on leveraging our existing biller and partner relationships and we believe our platform is well-positioned to quickly adapt to local payment channels and regulatory schemes. In particular, we anticipate that our near-term international growth opportunities will come through our U.S.-based billers, financial institutions or partners seeking a technology platform to power bill presentment and payment in international markets within their existing industry verticals, as well as through our larger partners that serve international billers and financial institutions. We also expect to expand our existing presence in Canada and India over time, both within current and new industry verticals.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Selective Strategic Acquisitions</w:t>
      </w:r>
    </w:p>
    <w:p>
      <w:pPr>
        <w:spacing w:after="0" w:line="125" w:lineRule="exact"/>
        <w:rPr>
          <w:sz w:val="20"/>
          <w:szCs w:val="20"/>
          <w:color w:val="auto"/>
        </w:rPr>
      </w:pPr>
    </w:p>
    <w:p>
      <w:pPr>
        <w:ind w:right="140" w:firstLine="494"/>
        <w:spacing w:after="0" w:line="238" w:lineRule="auto"/>
        <w:rPr>
          <w:sz w:val="20"/>
          <w:szCs w:val="20"/>
          <w:color w:val="auto"/>
        </w:rPr>
      </w:pPr>
      <w:r>
        <w:rPr>
          <w:rFonts w:ascii="Arial" w:cs="Arial" w:eastAsia="Arial" w:hAnsi="Arial"/>
          <w:sz w:val="18"/>
          <w:szCs w:val="18"/>
          <w:color w:val="auto"/>
        </w:rPr>
        <w:t>We plan to pursue strategic acquisitions that we believe will be complementary to our existing solutions, enhance our technology and increase the value proposition we deliver to our billers, financial institutions and partners and their consumers. For example, we may pursue acquisitions that we believe will help us expand within existing or new industry verticals and channels, accelerate our biller growth or enter new markets.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Go-to-Market Strategy</w:t>
      </w:r>
    </w:p>
    <w:p>
      <w:pPr>
        <w:spacing w:after="0" w:line="125"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We employ a diversified go-to-market strategy that leverages targeted marketing efforts, a direct sales team and relationships with technology partners and resellers as we seek to acquire billers and financial institutions in an efficient manner. Our marketing strategy targets prospective billers and financial institutions through industry- and role-based marketing efforts at trade shows and industry events, direct marketing and social media programs. We also leverage partnerships and referral relationships of various types.</w:t>
      </w:r>
    </w:p>
    <w:p>
      <w:pPr>
        <w:spacing w:after="0" w:line="96" w:lineRule="exact"/>
        <w:rPr>
          <w:sz w:val="20"/>
          <w:szCs w:val="20"/>
          <w:color w:val="auto"/>
        </w:rPr>
      </w:pPr>
    </w:p>
    <w:p>
      <w:pPr>
        <w:jc w:val="both"/>
        <w:ind w:right="120" w:firstLine="494"/>
        <w:spacing w:after="0"/>
        <w:rPr>
          <w:sz w:val="20"/>
          <w:szCs w:val="20"/>
          <w:color w:val="auto"/>
        </w:rPr>
      </w:pPr>
      <w:r>
        <w:rPr>
          <w:rFonts w:ascii="Arial" w:cs="Arial" w:eastAsia="Arial" w:hAnsi="Arial"/>
          <w:sz w:val="18"/>
          <w:szCs w:val="18"/>
          <w:color w:val="auto"/>
        </w:rPr>
        <w:t>Our direct sales team is responsible for outbound lead generation, driving new business and helping to manage account relationships and renewals. Our sales team also maintains close relationships with existing billers and financial institutions and acts as an advisor to each biller to help identify and understand their specific needs, challenges, goals and opportunities.</w:t>
      </w:r>
    </w:p>
    <w:p>
      <w:pPr>
        <w:spacing w:after="0" w:line="94" w:lineRule="exact"/>
        <w:rPr>
          <w:sz w:val="20"/>
          <w:szCs w:val="20"/>
          <w:color w:val="auto"/>
        </w:rPr>
      </w:pPr>
    </w:p>
    <w:p>
      <w:pPr>
        <w:ind w:right="80" w:firstLine="494"/>
        <w:spacing w:after="0" w:line="234" w:lineRule="auto"/>
        <w:rPr>
          <w:sz w:val="20"/>
          <w:szCs w:val="20"/>
          <w:color w:val="auto"/>
        </w:rPr>
      </w:pPr>
      <w:r>
        <w:rPr>
          <w:rFonts w:ascii="Arial" w:cs="Arial" w:eastAsia="Arial" w:hAnsi="Arial"/>
          <w:sz w:val="18"/>
          <w:szCs w:val="18"/>
          <w:color w:val="auto"/>
        </w:rPr>
        <w:t>We also leverage strong relationships with our partners to extend the reach of our platform and receive new biller referrals. Our software partners, including Oracle, integrate our platform into their software products, enabling us to power their bill payment capabilities for their consumers. Our strategic partners, including JPMorgan Chase, U.S. Bank and a major payroll solutions provider, also refer new billers to our platform. Our software is regularly integrated with our software partners’ offerings and with the software suites of other market-leading software providers commonly used by our billers, including SAP and Guidewire, in each case to power electronic bill payment functions for our billers and their consumers.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6" w:name="page17"/>
    <w:bookmarkEnd w:id="16"/>
    <w:p>
      <w:pPr>
        <w:ind w:right="200" w:firstLine="494"/>
        <w:spacing w:after="0" w:line="261" w:lineRule="auto"/>
        <w:rPr>
          <w:sz w:val="20"/>
          <w:szCs w:val="20"/>
          <w:color w:val="auto"/>
        </w:rPr>
      </w:pPr>
      <w:r>
        <w:rPr>
          <w:rFonts w:ascii="Arial" w:cs="Arial" w:eastAsia="Arial" w:hAnsi="Arial"/>
          <w:sz w:val="17"/>
          <w:szCs w:val="17"/>
          <w:color w:val="auto"/>
        </w:rPr>
        <w:t>We also believe we benefit from the significant reach of our IPN. Through partnerships with PayPal, a leading global ecommerce retailer and financial institution partners, our platform reaches millions of consumers. Jointly delivering our platform with our software and strategic partners provides consistency of approach and a high-quality experience for billers, financial institutions, partners and consumers.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25"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Our primary competition has historically been legacy solution providers and systems internally developed by financial institutions for bill presentment and payment services. The legacy solution providers have generally either served the financial services or the biller market individually. In both markets, legacy solution providers offer solutions for in-person cash payments, check-based mail payments, prior-generation IVR, phone-based payments and web-based payments, as well as a variety of point solutions for various payment needs. These solutions are often built via acquisitions and frequently not well integrated based on data architectures.</w:t>
      </w:r>
    </w:p>
    <w:p>
      <w:pPr>
        <w:spacing w:after="0" w:line="97" w:lineRule="exact"/>
        <w:rPr>
          <w:sz w:val="20"/>
          <w:szCs w:val="20"/>
          <w:color w:val="auto"/>
        </w:rPr>
      </w:pPr>
    </w:p>
    <w:p>
      <w:pPr>
        <w:ind w:right="140" w:firstLine="494"/>
        <w:spacing w:after="0" w:line="238" w:lineRule="auto"/>
        <w:rPr>
          <w:sz w:val="20"/>
          <w:szCs w:val="20"/>
          <w:color w:val="auto"/>
        </w:rPr>
      </w:pPr>
      <w:r>
        <w:rPr>
          <w:rFonts w:ascii="Arial" w:cs="Arial" w:eastAsia="Arial" w:hAnsi="Arial"/>
          <w:sz w:val="18"/>
          <w:szCs w:val="18"/>
          <w:color w:val="auto"/>
        </w:rPr>
        <w:t>In the financial services market, providers integrate into a bank’s online banking system. They offer access to a limited number of electronic bills, so only a fraction can be reviewed before deciding on payment. Once the consumer decides to pay the bill, the provider generally only allows for one type of payment, limiting the ability of consumers to use credit or other alternatives. The bank-based payments are slow, sometimes taking up to three days to reach a biller, so a consumer is not able to make a same-day payment.</w:t>
      </w:r>
    </w:p>
    <w:p>
      <w:pPr>
        <w:spacing w:after="0" w:line="96"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In the biller-direct market, legacy providers have been slow to respond to biller and consumer needs because their systems are expensive to maintain and are not nimble enough to keep up with the pace of innovation. As a result, they do not offer the breadth of channels and payment methods demanded by consumers, nor the integration and analytics capabilities required by billers. We also compete on pricing, particularly in certain lower-margin industries where lower cost pricing can outweigh higher product quality and an enhanced customer experience.</w:t>
      </w:r>
    </w:p>
    <w:p>
      <w:pPr>
        <w:spacing w:after="0" w:line="97"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believe these solutions lack the modern infrastructure necessary to provide billers, financial institutions and consumers with an omni-channel electronic bill payment experience enhanced by AI, ML and contextualized data. We believe the strength and agility of our platform will drive our success in growing our business by demonstrating to billers, financial institutions and partners that our platform delivers superior business outcomes to those of third-party vendors or internally developed systems.</w:t>
      </w:r>
    </w:p>
    <w:p>
      <w:pPr>
        <w:spacing w:after="0" w:line="96" w:lineRule="exact"/>
        <w:rPr>
          <w:sz w:val="20"/>
          <w:szCs w:val="20"/>
          <w:color w:val="auto"/>
        </w:rPr>
      </w:pPr>
    </w:p>
    <w:p>
      <w:pPr>
        <w:ind w:right="160" w:firstLine="494"/>
        <w:spacing w:after="0" w:line="257" w:lineRule="auto"/>
        <w:rPr>
          <w:sz w:val="20"/>
          <w:szCs w:val="20"/>
          <w:color w:val="auto"/>
        </w:rPr>
      </w:pPr>
      <w:r>
        <w:rPr>
          <w:rFonts w:ascii="Arial" w:cs="Arial" w:eastAsia="Arial" w:hAnsi="Arial"/>
          <w:sz w:val="17"/>
          <w:szCs w:val="17"/>
          <w:color w:val="auto"/>
        </w:rPr>
        <w:t>While competitive factors and their relative importance can vary, in general, we will be assessed on a number of factors including security, reliability, breadth and depth of functionality, ease of deployment and implementation speed, total cost of ownership and return on investment, customer satisfaction, customer service, partnerships, brand awareness and reputation and the ability to provide contextualized and actionable data-driven insights that improve the transaction experience. We believe we compete favorably on all of these factors.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125"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We rely on a combination of intellectual property rights, including patents, trademarks, copyrights, trade secrets and contractual rights, to protect our proprietary software and our brands. We have obtained or applied for patent protection in the United States on certain material aspects of our proprietary technologies and we have registered or applied to register certain of our trademarks in the United States. In addition to the intellectual property that we own, we license certain technologies and intellectual property from third parties, including software that is incorporated in our platform. We generally control access to and use of our software and other proprietary or confidential information through the use of internal and external controls, including entering into non-disclosure and confidentiality agreements with both our employees and third parties who have access to our software and other confidential information.</w:t>
      </w:r>
    </w:p>
    <w:p>
      <w:pPr>
        <w:spacing w:after="0" w:line="99" w:lineRule="exact"/>
        <w:rPr>
          <w:sz w:val="20"/>
          <w:szCs w:val="20"/>
          <w:color w:val="auto"/>
        </w:rPr>
      </w:pPr>
    </w:p>
    <w:p>
      <w:pPr>
        <w:ind w:right="100" w:firstLine="494"/>
        <w:spacing w:after="0" w:line="236" w:lineRule="auto"/>
        <w:rPr>
          <w:sz w:val="20"/>
          <w:szCs w:val="20"/>
          <w:color w:val="auto"/>
        </w:rPr>
      </w:pPr>
      <w:r>
        <w:rPr>
          <w:rFonts w:ascii="Arial" w:cs="Arial" w:eastAsia="Arial" w:hAnsi="Arial"/>
          <w:sz w:val="18"/>
          <w:szCs w:val="18"/>
          <w:color w:val="auto"/>
        </w:rPr>
        <w:t>As of December 31, 2022, we held 22 issued U.S. patents and one issued Canadian patent related to our proprietary technologies. As of December 31, 2022, we also held one allowed, seven published and two pending U.S. patent applications, and three pending PCT patent applications. If our currently issued patents are maintained until the end of their terms, they will expire between 2025 and 2040. The expiration of these patents is not reasonably likely to have a material adverse effect on our business, financial condition or results of operations. In addition, as of December 31, 2022, we owned 10 registered U.S. trademarks and one registered trademark in each of the European Union, India, Japan, New Zealand and United Kingdom. We also held 10 pending trademark applications in the U.S., two pending trademark applications in each of China and India, and one pending trademark application in each of Australia and Canada.</w:t>
      </w:r>
    </w:p>
    <w:p>
      <w:pPr>
        <w:spacing w:after="0" w:line="207" w:lineRule="exact"/>
        <w:rPr>
          <w:sz w:val="20"/>
          <w:szCs w:val="20"/>
          <w:color w:val="auto"/>
        </w:rPr>
      </w:pPr>
    </w:p>
    <w:p>
      <w:pPr>
        <w:ind w:right="620" w:firstLine="494"/>
        <w:spacing w:after="0" w:line="234" w:lineRule="auto"/>
        <w:rPr>
          <w:sz w:val="20"/>
          <w:szCs w:val="20"/>
          <w:color w:val="auto"/>
        </w:rPr>
      </w:pPr>
      <w:r>
        <w:rPr>
          <w:rFonts w:ascii="Arial" w:cs="Arial" w:eastAsia="Arial" w:hAnsi="Arial"/>
          <w:sz w:val="18"/>
          <w:szCs w:val="18"/>
          <w:color w:val="auto"/>
        </w:rPr>
        <w:t>For additional discussion of how intellectual property protection affects our business, see the section titled “Risk Factors—Risks Related to Our Technology and Intellectual Property.”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125"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Various aspects of our business and service areas are subject to U.S. federal, state, and local regulation, as well as regulation outside the United States. Certain of our services are also subject to rules promulgated by various card and payment networks and other authorities, as more fully described below. These descriptions are not exhaustive, and these laws, regulations and rules frequently change and are increasing in number.</w:t>
      </w:r>
    </w:p>
    <w:p>
      <w:pPr>
        <w:spacing w:after="0" w:line="96"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Our billers, financial institutions and partners and their consumers store personal and business information, financial information and other sensitive information on our platform. In addition, we receive, store, handle, transmit, use and otherwise process personal and business information and other data from and about actual and prospective billers, financial institutions and partners, as well as our employees and service providers. As a result, we and our handling of data are subject to a variety of laws, rules and regulations relating to privacy, data protection and information security, including regulation by various governmental authorities, such as the U.S. Federal Trade Commission, or FTC, and various state, local and foreign agencies. Our data handling and processing activities are also subject to contractual obligations and industry standard requirements. The U.S. federal and various state and foreign governments have also adopted or proposed limitations on the collection, distribution, use, and storage of data relating to individuals and businesses, including the use of contact information and other data for marketing, advertising, and other communications with individuals and businesses. The legislative and regulatory landscapes for privacy, data protection and information security continue to evolve in jurisdictions worldwide, with an increasing focus on privacy and data protection issues with the potential to affect our business.</w:t>
      </w:r>
    </w:p>
    <w:p>
      <w:pPr>
        <w:spacing w:after="0" w:line="94" w:lineRule="exact"/>
        <w:rPr>
          <w:sz w:val="20"/>
          <w:szCs w:val="20"/>
          <w:color w:val="auto"/>
        </w:rPr>
      </w:pPr>
    </w:p>
    <w:p>
      <w:pPr>
        <w:ind w:right="100" w:firstLine="544"/>
        <w:spacing w:after="0" w:line="235" w:lineRule="auto"/>
        <w:rPr>
          <w:sz w:val="20"/>
          <w:szCs w:val="20"/>
          <w:color w:val="auto"/>
        </w:rPr>
      </w:pPr>
      <w:r>
        <w:rPr>
          <w:rFonts w:ascii="Arial" w:cs="Arial" w:eastAsia="Arial" w:hAnsi="Arial"/>
          <w:sz w:val="18"/>
          <w:szCs w:val="18"/>
          <w:color w:val="auto"/>
        </w:rPr>
        <w:t>In the United States, various laws and regulations apply to the security, collection, processing, storage, use, disclosure and other processing of certain types of data, including the Electronic Communications Privacy Act, the Computer Fraud and Abuse Act, the Gramm Leach Bliley Act, and state and local laws relating to privacy and data security. Additionally, the FTC and many state attorneys general have interpreted and are continuing to interpret federal and state consumer protection laws to impose standards for the online collection, use, dissemination, processing and security of data. In addition, many states in which we operate have enacted laws that protect the privacy and security of sensitive and personal data, such as the California Consumer Privacy Act, or CCPA, and the California Privacy Rights Act, or CPRA, in California. Certain other state laws impose similar privacy obligations, such as in New York, Nevada, Virginia, Colorado, Connecticut and Utah, and all 50 states have laws including obligations to provide notification of security breaches of computer databases that contain personal information to affected individuals, state officers and others. In addition, several foreign countries and governmental bodies, including the European Union, or EU, have established their own laws, rules and regulations addressing privacy, data protection and information security with regard to the handling and processing of sensitive and personal data obtained from their residents with which we or our billers, financial institutions or partners may need to comply. These laws and regulations, such as the General Data Protection Regulation, or GDPR, are in certain cases more restrictive than those in the United States. Because we process individually identifiable protected health information in certain cases, we are also subject to certain obligations under the Health Insurance Portability and Accountability Act of 1996, or HIPAA, as amended by the Health Information Technology for Economic and Clinical Health Act of 2009, or HITECH, as well as certain state laws and related contractual obligations.</w:t>
      </w:r>
    </w:p>
    <w:p>
      <w:pPr>
        <w:spacing w:after="0" w:line="101" w:lineRule="exact"/>
        <w:rPr>
          <w:sz w:val="20"/>
          <w:szCs w:val="20"/>
          <w:color w:val="auto"/>
        </w:rPr>
      </w:pPr>
    </w:p>
    <w:p>
      <w:pPr>
        <w:ind w:right="140" w:firstLine="494"/>
        <w:spacing w:after="0" w:line="236" w:lineRule="auto"/>
        <w:rPr>
          <w:sz w:val="20"/>
          <w:szCs w:val="20"/>
          <w:color w:val="auto"/>
        </w:rPr>
      </w:pPr>
      <w:r>
        <w:rPr>
          <w:rFonts w:ascii="Arial" w:cs="Arial" w:eastAsia="Arial" w:hAnsi="Arial"/>
          <w:sz w:val="18"/>
          <w:szCs w:val="18"/>
          <w:color w:val="auto"/>
        </w:rPr>
        <w:t>We are also subject to the rules and standards of Visa, Mastercard, American Express, the National Automated Clearinghouse Association, or NACHA, and INTERAC and other payment networks and their participants. In order to provide our payment processing services, we must be registered either indirectly or directly as service providers with the payment networks that we use. As such, we are subject to applicable card association and payment network rules, standards and regulations, which impose various requirements and could subject us to a variety of fines or penalties that may be levied by such associations or networks for certain acts or omissions. Card associations and payment networks and their member financial institutions regularly update and generally expand security expectations and requirements related to the security of consumer data and environments. Failure to comply with the networks’ requirements, or to pay the fees or fines they may impose, could result in the suspension or termination of our registration with the relevant payment networks and therefore require us to limit or cease providing the relevant payment processing services. It could also cause existing billers, financial institutions or partners, their consumers or other third parties to cease using or referring our services or prospective billers, financial institutions or partners to terminate negotiations with us.</w:t>
      </w:r>
    </w:p>
    <w:p>
      <w:pPr>
        <w:spacing w:after="0" w:line="94"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Further, we and our billers, financial institutions and partners are subject to a variety of U.S. state and federal laws, rules and regulations related to telemarketing, recording and monitoring of communications, such as the Telephone Consumer Protection Act, or TCPA, the Controlling the Assault of Non-Solicited Pornography and Marketing Act, or CAN-SPAM Act and others, because our platform enables our billers and partners to communicate directly with their consumers, including via e-mail, text messages and calls, and also enables recording and monitoring of calls between our billers, financial institutions and partners and their consumers for training and quality assurance purposes.</w:t>
      </w:r>
    </w:p>
    <w:p>
      <w:pPr>
        <w:spacing w:after="0" w:line="95" w:lineRule="exact"/>
        <w:rPr>
          <w:sz w:val="20"/>
          <w:szCs w:val="20"/>
          <w:color w:val="auto"/>
        </w:rPr>
      </w:pPr>
    </w:p>
    <w:p>
      <w:pPr>
        <w:ind w:right="300" w:firstLine="494"/>
        <w:spacing w:after="0" w:line="234" w:lineRule="auto"/>
        <w:rPr>
          <w:sz w:val="20"/>
          <w:szCs w:val="20"/>
          <w:color w:val="auto"/>
        </w:rPr>
      </w:pPr>
      <w:r>
        <w:rPr>
          <w:rFonts w:ascii="Arial" w:cs="Arial" w:eastAsia="Arial" w:hAnsi="Arial"/>
          <w:sz w:val="18"/>
          <w:szCs w:val="18"/>
          <w:color w:val="auto"/>
        </w:rPr>
        <w:t>In addition to the laws and regulations described above, various regulatory agencies in the United States and in foreign jurisdictions continue to examine a wide variety of issues which are or may be applicable to us and may impact our business. These issues include payments, identity theft, account management guidelines, privacy, disclosure rules,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8" w:name="page19"/>
    <w:bookmarkEnd w:id="18"/>
    <w:p>
      <w:pPr>
        <w:spacing w:after="0" w:line="236" w:lineRule="auto"/>
        <w:rPr>
          <w:sz w:val="20"/>
          <w:szCs w:val="20"/>
          <w:color w:val="auto"/>
        </w:rPr>
      </w:pPr>
      <w:r>
        <w:rPr>
          <w:rFonts w:ascii="Arial" w:cs="Arial" w:eastAsia="Arial" w:hAnsi="Arial"/>
          <w:sz w:val="18"/>
          <w:szCs w:val="18"/>
          <w:color w:val="auto"/>
        </w:rPr>
        <w:t>cybersecurity and marketing. The Consumer Financial Protection Bureau, or CFPB, and several states have recently provided guidance or prohibitions against the use of convenience or similar “pay-to-pay” fees in certain industries that may impact us and our billers. The laws and regulations relating to financial services, privacy, data protection and information security are evolving, can be subject to significant change and may result in ever-increasing regulatory and public scrutiny and escalating levels of enforcement and sanctions. As our business continues to develop and expand, including internationally, we continue to monitor the additional laws and regulations that may become relevant. Any actual or perceived failure to comply with legal and regulatory requirements may result in, among other things, revocation of required licenses or registrations, loss of approved status, private litigation, including class action litigation, consent decrees and injunctions, regulatory or governmental investigations, administrative enforcement actions, sanctions, civil and criminal liability, damages, fines, penalties, adverse publicity, reputational damage and constraints on our ability to continue to operate.</w:t>
      </w:r>
    </w:p>
    <w:p>
      <w:pPr>
        <w:spacing w:after="0" w:line="96" w:lineRule="exact"/>
        <w:rPr>
          <w:sz w:val="20"/>
          <w:szCs w:val="20"/>
          <w:color w:val="auto"/>
        </w:rPr>
      </w:pPr>
    </w:p>
    <w:p>
      <w:pPr>
        <w:ind w:right="440" w:firstLine="494"/>
        <w:spacing w:after="0" w:line="245" w:lineRule="auto"/>
        <w:rPr>
          <w:sz w:val="20"/>
          <w:szCs w:val="20"/>
          <w:color w:val="auto"/>
        </w:rPr>
      </w:pPr>
      <w:r>
        <w:rPr>
          <w:rFonts w:ascii="Arial" w:cs="Arial" w:eastAsia="Arial" w:hAnsi="Arial"/>
          <w:sz w:val="18"/>
          <w:szCs w:val="18"/>
          <w:color w:val="auto"/>
        </w:rPr>
        <w:t>For additional discussion on governmental regulation and payment network operating rules affecting our business, please see the section titled “Risk Factors—Risks Related to Regulation.”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5" w:lineRule="exact"/>
        <w:rPr>
          <w:sz w:val="20"/>
          <w:szCs w:val="20"/>
          <w:color w:val="auto"/>
        </w:rPr>
      </w:pPr>
    </w:p>
    <w:p>
      <w:pPr>
        <w:ind w:right="560" w:firstLine="494"/>
        <w:spacing w:after="0"/>
        <w:rPr>
          <w:sz w:val="20"/>
          <w:szCs w:val="20"/>
          <w:color w:val="auto"/>
        </w:rPr>
      </w:pPr>
      <w:r>
        <w:rPr>
          <w:rFonts w:ascii="Arial" w:cs="Arial" w:eastAsia="Arial" w:hAnsi="Arial"/>
          <w:sz w:val="18"/>
          <w:szCs w:val="18"/>
          <w:color w:val="auto"/>
        </w:rPr>
        <w:t>As of December 31, 2022, we employed 1,260 full-time employees and no part-time employees. None of our employees are represented by a labor union or are party to a collective bargaining agreement, and we have had no labor-related work stoppages. We believe that we have good relationships with our employees.</w:t>
      </w:r>
    </w:p>
    <w:p>
      <w:pPr>
        <w:spacing w:after="0" w:line="94" w:lineRule="exact"/>
        <w:rPr>
          <w:sz w:val="20"/>
          <w:szCs w:val="20"/>
          <w:color w:val="auto"/>
        </w:rPr>
      </w:pPr>
    </w:p>
    <w:p>
      <w:pPr>
        <w:ind w:right="60" w:firstLine="494"/>
        <w:spacing w:after="0" w:line="236" w:lineRule="auto"/>
        <w:rPr>
          <w:sz w:val="20"/>
          <w:szCs w:val="20"/>
          <w:color w:val="auto"/>
        </w:rPr>
      </w:pPr>
      <w:r>
        <w:rPr>
          <w:rFonts w:ascii="Arial" w:cs="Arial" w:eastAsia="Arial" w:hAnsi="Arial"/>
          <w:sz w:val="18"/>
          <w:szCs w:val="18"/>
          <w:color w:val="auto"/>
        </w:rPr>
        <w:t>Our employees are our most critical assets. The success and growth of our business depends on our ability to attract, reward, retain, and develop diverse, talented, and high-performing employees at all levels of our organization, while sustaining an environment of anti-discrimination that ensures equal access to opportunities. To succeed in an ever-changing and competitive labor market, we have developed human capital management strategies, objectives and measures that drive recruitment and retention, support business performance, advance innovation and foster employee development. Our human capital strategies and objectives include, as applicable, identifying, recruiting, retaining, incentivizing and integrating our existing and new employees and consultants. We believe we provide our employees significant ongoing career growth opportunities in an exciting growth company and industry. The principal purpose of our incentive programs is to attract, retain and reward personnel in order to increase stockholder value and the success of our company by motivating such individuals to perform to the best of their abilities and achieve our objectives. We are also focused on supporting our employees’ health and safety and social well-being and seek to have a diverse, equitable and inclusive workplace.</w:t>
      </w:r>
    </w:p>
    <w:p>
      <w:pPr>
        <w:spacing w:after="0" w:line="73"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Available Information</w:t>
      </w:r>
    </w:p>
    <w:p>
      <w:pPr>
        <w:spacing w:after="0" w:line="125"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 xml:space="preserve">We file or furnish periodic reports and amendments thereto, including Annual Reports on Form 10-K, Quarterly Reports on Form 10-Q and Current Reports on Form 8-K, proxy statements and other information with the Securities and Exchange Commission, or SEC. In addition,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Our website is located at </w:t>
      </w:r>
      <w:r>
        <w:rPr>
          <w:rFonts w:ascii="Arial" w:cs="Arial" w:eastAsia="Arial" w:hAnsi="Arial"/>
          <w:sz w:val="18"/>
          <w:szCs w:val="18"/>
          <w:i w:val="1"/>
          <w:iCs w:val="1"/>
          <w:color w:val="auto"/>
        </w:rPr>
        <w:t>www.paymentus.com</w:t>
      </w:r>
      <w:r>
        <w:rPr>
          <w:rFonts w:ascii="Arial" w:cs="Arial" w:eastAsia="Arial" w:hAnsi="Arial"/>
          <w:sz w:val="18"/>
          <w:szCs w:val="18"/>
          <w:color w:val="auto"/>
        </w:rPr>
        <w:t>, and our reports, amendments thereto, proxy statements and other information are also made available, free of charge, on our investor relations website at https://ir.paymentus.com/home/default.aspx as soon as reasonably practicable after we electronically file or furnish such information with the SEC. Information contained in, or that can be accessed through, our or the SEC's website is not a part of, and is not incorporated into, this report.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1607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05"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Investing in our Class A common stock involves a high degree of risk. You should carefully consider the risks and uncertainties described below, together with all of the other information in this report, including the section titled “Management’s Discussion and Analysis of Financial Condition and Results of Operations,” and our consolidated financial statements and the accompanying notes included elsewhere in this report before making an investment decision. The risks and uncertainties described below are not the only ones we face. Additional risks and uncertainties not presently known to us or that we currently deem immaterial may also materially and adversely affect our business operations, results of operations, financial condition or prospects. The trading price of our Class A common stock could decline due to the materialization of any of these risks, and you may lose all or part of your investment. In addition, the risks discussed below include forward-looking statements and our actual results may differ substantially from those discussed in the forward-looking statements. See the section titled “Special Note Regarding Forward-Looking Statements” for a discussion of such statements and their limitations Our risk factors are not guarantees that no such conditions exist as of the date of this report and should not be interpreted as an affirmative statement that such risks or conditions have not materialized, in whole or in part.</w:t>
      </w:r>
    </w:p>
    <w:p>
      <w:pPr>
        <w:spacing w:after="0" w:line="72"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historical growth rate may not be sustainable or indicative of our future growth.</w:t>
      </w:r>
    </w:p>
    <w:p>
      <w:pPr>
        <w:spacing w:after="0" w:line="125"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Our historical growth rate, including in payment volumes, may not be sustainable or indicative of our future growth. Even though the number of billers, financial institutions and consumers who use our platform has grown rapidly in recent years, there can be no assurance that we will be able to attract new billers and financial institutions or retain existing billers and financial institutions. Our costs associated with retaining revenue from existing billers and financial institutions are substantially lower than costs associated with attracting and generating revenue from new billers and financial institutions or costs associated with generating increased adoption of our platform by existing billers and financial institutions. Therefore, if we are unable to retain revenue from existing billers and financial institutions, even if related losses are offset by an increase in new billers and financial institutions or increased adoption of our platform by existing billers, our operating results could be adversely impacted.</w:t>
      </w:r>
    </w:p>
    <w:p>
      <w:pPr>
        <w:spacing w:after="0" w:line="98" w:lineRule="exact"/>
        <w:rPr>
          <w:sz w:val="20"/>
          <w:szCs w:val="20"/>
          <w:color w:val="auto"/>
        </w:rPr>
      </w:pPr>
    </w:p>
    <w:p>
      <w:pPr>
        <w:ind w:right="560" w:firstLine="494"/>
        <w:spacing w:after="0" w:line="245" w:lineRule="auto"/>
        <w:rPr>
          <w:sz w:val="20"/>
          <w:szCs w:val="20"/>
          <w:color w:val="auto"/>
        </w:rPr>
      </w:pPr>
      <w:r>
        <w:rPr>
          <w:rFonts w:ascii="Arial" w:cs="Arial" w:eastAsia="Arial" w:hAnsi="Arial"/>
          <w:sz w:val="18"/>
          <w:szCs w:val="18"/>
          <w:color w:val="auto"/>
        </w:rPr>
        <w:t>Our ability to attract new billers and financial institutions, retain revenue from existing billers and financial institutions or increase adoption of our platform by both new and existing billers is impacted by a number of factors, including:</w:t>
      </w:r>
    </w:p>
    <w:p>
      <w:pPr>
        <w:spacing w:after="0" w:line="90" w:lineRule="exact"/>
        <w:rPr>
          <w:sz w:val="20"/>
          <w:szCs w:val="20"/>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transaction fees and certain of our billers’ ability to pass them on to consumers;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timely expand the functionality and scope of our platform;</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execute timely implementations of new billers and financial institutions to meet their expectations;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the rates at which our billers and financial institutions pay us and continue to use our platform;</w:t>
      </w:r>
    </w:p>
    <w:p>
      <w:pPr>
        <w:spacing w:after="0" w:line="116" w:lineRule="exact"/>
        <w:rPr>
          <w:rFonts w:ascii="Arial" w:cs="Arial" w:eastAsia="Arial" w:hAnsi="Arial"/>
          <w:sz w:val="18"/>
          <w:szCs w:val="18"/>
          <w:color w:val="auto"/>
        </w:rPr>
      </w:pPr>
    </w:p>
    <w:p>
      <w:pPr>
        <w:ind w:left="1020" w:right="800" w:hanging="504"/>
        <w:spacing w:after="0" w:line="24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factors, including the introduction of competing solutions, discount pricing and other strategies that may be implemented by our competitors;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high-quality customer support for billers, financial institutions and consumers;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strategic partners, software partners, resellers and IPN partners;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into new industries and market segments;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perceived privacy or security breaches or incidents;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frequency and severity of any system outages, technological changes or similar issues;</w:t>
      </w:r>
    </w:p>
    <w:p>
      <w:pPr>
        <w:spacing w:after="0" w:line="116" w:lineRule="exact"/>
        <w:rPr>
          <w:rFonts w:ascii="Arial" w:cs="Arial" w:eastAsia="Arial" w:hAnsi="Arial"/>
          <w:sz w:val="18"/>
          <w:szCs w:val="18"/>
          <w:color w:val="auto"/>
        </w:rPr>
      </w:pPr>
    </w:p>
    <w:p>
      <w:pPr>
        <w:ind w:left="1020" w:right="940" w:hanging="504"/>
        <w:spacing w:after="0" w:line="24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identify and acquire or invest in businesses, products or technologies that we believe could complement or expand our platform;</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awareness of our brand and successfully compete with other companies;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internationally; and</w:t>
      </w:r>
    </w:p>
    <w:p>
      <w:pPr>
        <w:spacing w:after="0" w:line="111"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focus on long-term value over short-term results, meaning that we may make strategic decisions that may not maximize our</w:t>
      </w:r>
    </w:p>
    <w:p>
      <w:pPr>
        <w:ind w:left="1020" w:right="200"/>
        <w:spacing w:after="0" w:line="234" w:lineRule="auto"/>
        <w:rPr>
          <w:sz w:val="20"/>
          <w:szCs w:val="20"/>
          <w:color w:val="auto"/>
        </w:rPr>
      </w:pPr>
      <w:r>
        <w:rPr>
          <w:rFonts w:ascii="Arial" w:cs="Arial" w:eastAsia="Arial" w:hAnsi="Arial"/>
          <w:sz w:val="18"/>
          <w:szCs w:val="18"/>
          <w:color w:val="auto"/>
        </w:rPr>
        <w:t>short-term revenue or profitability if we believe that the decisions are consistent with our mission and will improve our financial performance over the long-term.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business could be harmed if we fail to manage our infrastructure to support future growth.</w:t>
      </w:r>
    </w:p>
    <w:p>
      <w:pPr>
        <w:spacing w:after="0" w:line="125" w:lineRule="exact"/>
        <w:rPr>
          <w:sz w:val="20"/>
          <w:szCs w:val="20"/>
          <w:color w:val="auto"/>
        </w:rPr>
      </w:pPr>
    </w:p>
    <w:p>
      <w:pPr>
        <w:ind w:right="20" w:firstLine="494"/>
        <w:spacing w:after="0" w:line="235" w:lineRule="auto"/>
        <w:rPr>
          <w:sz w:val="20"/>
          <w:szCs w:val="20"/>
          <w:color w:val="auto"/>
        </w:rPr>
      </w:pPr>
      <w:r>
        <w:rPr>
          <w:rFonts w:ascii="Arial" w:cs="Arial" w:eastAsia="Arial" w:hAnsi="Arial"/>
          <w:sz w:val="18"/>
          <w:szCs w:val="18"/>
          <w:color w:val="auto"/>
        </w:rPr>
        <w:t>The historical growth we have experienced in our business places significant demands on our operational infrastructure. The scalability and flexibility of our platform depends on the functionality of our technology and network infrastructure and its ability to handle increased traffic and demand for bandwidth. The growth in the number of billers, financial institutions and partners using our platform and the number of bills processed through our platform has increased the amount of data that we process. Any problems with the transmission of increased data and bills could result in harm to our brand or reputation. Moreover, as our business grows, we will need to devote additional resources to improving our operational infrastructure and continuing to enhance its scalability in order to maintain the performance of our platform, including customer support, risk and compliance operations and professional services. Any failure of or delay in these efforts could result in service interruptions, impaired system performance and reduced biller, financial institution, partner and consumer satisfaction and retention. If sustained or repeated, these performance issues could reduce the attractiveness of our platform to billers, financial institutions and partners and could result in lost biller, financial institution and partner opportunities, higher attrition rates and service level penalties, any of which could hurt our revenue growth, biller, financial institution and partner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02"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Moreover, our historical growth has placed, and will likely continue to place, a significant strain on our managerial, administrative, operational, financial and other resources. We have grown substantially and intend to further expand our overall business, including headcount, with no assurance that our revenue will continue to grow or grow sufficiently to offset the costs associated with increased headcount. As we grow, we will be required to continue to improve our operational and financial controls and reporting procedures and we may not be able to do so effectively. Furthermore, some members of our management have limited experience managing a large public company, so our management may not be able to effectively manage such growth in a public company environment. In managing our growing operations, we are also subject to the risks of over-hiring and over-compensating our employees and over-expanding our operating infrastructure, particularly during periods of higher than normal inflation. As a result, we may be unable to manage our expenses effectively in the future, which may negatively impact our gross profit or operating expenses.</w:t>
      </w:r>
    </w:p>
    <w:p>
      <w:pPr>
        <w:spacing w:after="0" w:line="96"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In addition, we believe that an important contributor to our success has been our corporate culture, which we believe fosters innovation, and is rooted in a philosophy of aligning our success with that of billers, financial institutions, partners and consumers. As a result of our growth, a significant portion of our employees have been with us for fewer than three years. As we continue to grow and develop the infrastructure of a public company, we must effectively integrate, develop and motivate a growing number of new employees, who will be dispersed geographically, with our headquarters in Charlotte, North Carolina and a large employee presence across the United States and in Toronto, Canada and Delhi, India. Our geographically dispersed workforce may make it more difficult for our management to manage our growth effectively and preserve our corporate culture. In addition, we must preserve our ability to execute quickly in further developing our platform and implementing new features and tools. In addition, a remote workforce resulting from the recent COVID-19 pandemic has created challenges to our corporate culture. As a result, we may find it difficult to maintain our corporate culture, which could limit our ability to innovate and operate effectively. Any failure to preserve our culture could also negatively affect our ability to recruit and retain personnel, to continue to perform at current levels or to execute on our business strategy effectively and efficiently.</w:t>
      </w:r>
    </w:p>
    <w:p>
      <w:pPr>
        <w:spacing w:after="0" w:line="18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If we are unsuccessful in establishing, growing or maintaining partnerships, our ability to compete could be impaired, and our operating results may suffer.</w:t>
      </w:r>
    </w:p>
    <w:p>
      <w:pPr>
        <w:spacing w:after="0" w:line="67"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We rely on integration of our end-to-end electronic bill payment solution into third-party software products, which enables us to power such software products’ bill payment capabilities. We also rely on strategic partners, such as U.S. Bank, JPMorgan Chase and a major payroll solutions provider, and industry-expert partners to refer new billers to our platform. Additionally, the IPN is our patented and proprietary network that enables partners, such as PayPal, Walmart, Green Dot, a leading global ecommerce retailer and banks, to embed our end-to-end electronic bill payment solution into their ecosystems through a single point of access. Collectively, our software, strategic and IPN partners drive increased transaction volume and adoption of our platform.</w:t>
      </w:r>
    </w:p>
    <w:p>
      <w:pPr>
        <w:spacing w:after="0" w:line="95" w:lineRule="exact"/>
        <w:rPr>
          <w:sz w:val="20"/>
          <w:szCs w:val="20"/>
          <w:color w:val="auto"/>
        </w:rPr>
      </w:pPr>
    </w:p>
    <w:p>
      <w:pPr>
        <w:ind w:right="120" w:firstLine="494"/>
        <w:spacing w:after="0" w:line="234" w:lineRule="auto"/>
        <w:rPr>
          <w:sz w:val="20"/>
          <w:szCs w:val="20"/>
          <w:color w:val="auto"/>
        </w:rPr>
      </w:pPr>
      <w:r>
        <w:rPr>
          <w:rFonts w:ascii="Arial" w:cs="Arial" w:eastAsia="Arial" w:hAnsi="Arial"/>
          <w:sz w:val="18"/>
          <w:szCs w:val="18"/>
          <w:color w:val="auto"/>
        </w:rPr>
        <w:t>To grow our business, we will seek to expand our existing and establish additional relationships with strategic, software and IPN partners. Establishing such relationships, particularly with financial institutions and other large enterprises, entails extensive sales and marketing efforts with no guarantee of success. Sales and marketing to large organizations involve risks that may not be present, or that are present to a lesser extent, with sales and marketing to other, smaller organizations. We must invest significant time educating and selling to multiple management and technical decision-makers to obtain their support. In addition, we may be required to meet wide-ranging and detailed ancillary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1" w:name="page22"/>
    <w:bookmarkEnd w:id="21"/>
    <w:p>
      <w:pPr>
        <w:ind w:right="140"/>
        <w:spacing w:after="0" w:line="236" w:lineRule="auto"/>
        <w:rPr>
          <w:sz w:val="20"/>
          <w:szCs w:val="20"/>
          <w:color w:val="auto"/>
        </w:rPr>
      </w:pPr>
      <w:r>
        <w:rPr>
          <w:rFonts w:ascii="Arial" w:cs="Arial" w:eastAsia="Arial" w:hAnsi="Arial"/>
          <w:sz w:val="18"/>
          <w:szCs w:val="18"/>
          <w:color w:val="auto"/>
        </w:rPr>
        <w:t>requirements. For example, financial institutions generally require us to submit to an exhaustive security audit, given the sensitivity and importance of storing consumer billing and payment data on our platform. Adoption is also frequently subject to budget constraints and unplanned administrative, processing and other delays, including considerable efforts to negotiate and document relationships. Further, platform deployment and integration with partners’ software and other solutions requires significant efforts. If we are unable to increase adoption of our platform by partners and manage the costs associated with marketing our platform to potential partners and integrating with their systems, our business, operating results and financial condition may be adversely affected. In addition, if we are unsuccessful in establishing, growing or maintaining partnerships, our ability to compete could be impaired, and our operating results may suffer. If we lose one or more of our largest partnerships, we could also lose associated biller relationships or payment channels and our business, operating results and financial condition could be harmed.</w:t>
      </w:r>
    </w:p>
    <w:p>
      <w:pPr>
        <w:spacing w:after="0" w:line="182"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If we are unable to increase our revenue at a rate sufficient to offset expected increases in our costs, or if the investments we make in our business fail to generate the expected benefits, our business, operating results and financial condition will be harmed and we may not be able to maintain profitability over the long term.</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we scale our business, we expect to continue to expend substantial financial and other resources on:</w:t>
      </w:r>
    </w:p>
    <w:p>
      <w:pPr>
        <w:spacing w:after="0" w:line="103" w:lineRule="exact"/>
        <w:rPr>
          <w:sz w:val="20"/>
          <w:szCs w:val="20"/>
          <w:color w:val="auto"/>
        </w:rPr>
      </w:pPr>
    </w:p>
    <w:p>
      <w:pPr>
        <w:ind w:left="1020" w:right="180" w:hanging="504"/>
        <w:spacing w:after="0" w:line="24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and marketing, including an expansion of our sales organization and new initiatives in order to drive further expansion of our IPN and partner ecosystem;</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6" w:lineRule="exact"/>
        <w:rPr>
          <w:rFonts w:ascii="Arial" w:cs="Arial" w:eastAsia="Arial" w:hAnsi="Arial"/>
          <w:sz w:val="18"/>
          <w:szCs w:val="18"/>
          <w:color w:val="auto"/>
        </w:rPr>
      </w:pPr>
    </w:p>
    <w:p>
      <w:pPr>
        <w:ind w:left="1020" w:right="220" w:hanging="504"/>
        <w:spacing w:after="0" w:line="24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AI-enabled platform;</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compliance and risk management;</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into new channels, verticals and international markets;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17"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maintain profitability over the long term. In particular, we expect net income and adjusted EBITDA may decline in the near-term as we make investments in our platform and our IPN, incur increased operating costs associated with being a public company, integrate our recent acquisitions and amortize the identifiable intangible assets that we recorded in conjunction with our recent acquisitions.</w:t>
      </w:r>
    </w:p>
    <w:p>
      <w:pPr>
        <w:spacing w:after="0" w:line="95" w:lineRule="exact"/>
        <w:rPr>
          <w:sz w:val="20"/>
          <w:szCs w:val="20"/>
          <w:color w:val="auto"/>
        </w:rPr>
      </w:pPr>
    </w:p>
    <w:p>
      <w:pPr>
        <w:ind w:right="200" w:firstLine="494"/>
        <w:spacing w:after="0" w:line="237" w:lineRule="auto"/>
        <w:rPr>
          <w:sz w:val="20"/>
          <w:szCs w:val="20"/>
          <w:color w:val="auto"/>
        </w:rPr>
      </w:pPr>
      <w:r>
        <w:rPr>
          <w:rFonts w:ascii="Arial" w:cs="Arial" w:eastAsia="Arial" w:hAnsi="Arial"/>
          <w:sz w:val="18"/>
          <w:szCs w:val="18"/>
          <w:color w:val="auto"/>
        </w:rPr>
        <w:t>Additionally, we anticipate that our growth rate will decline over time to the extent that the number of billers and financial institutions using our platform increases and we achieve higher market penetration rates. As our growth rate declines, investors’ perception of our business may be adversely affected and the market price of our Class A common stock could decline as a result. To the extent our growth rate slows, our business performance will become increasingly dependent on our ability to retain revenue from existing billers and financial institutions and increase adoption of our platform by existing billers.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efforts to large enterprises involve considerable time and expense with long and unpredictable sales cycles.</w:t>
      </w:r>
    </w:p>
    <w:p>
      <w:pPr>
        <w:spacing w:after="0" w:line="125"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One of the factors affecting our growth and financial performance is the adoption of our platform by large enterprise billers and large financial institutions over legacy solutions and in-house proprietary technologies or our competitor’s products. As part of our sales efforts, we invest considerable time and expense evaluating the specific organizational needs of potential billers and financial institutions and educating these potential billers and financial institutions about the technical capabilities and value of our platform. Because large enterprises tend to have more consumers impacted by a switch in billing services, they often evaluate our platform at multiple levels within their organization, each of which often have specific requirements, and typically involve their senior management. As a result, our sales efforts to large enterprises involve considerable time and expense with long and unpredictable sales cycles, which may cause our results of operations to fluctuate.</w:t>
      </w:r>
    </w:p>
    <w:p>
      <w:pPr>
        <w:spacing w:after="0" w:line="98" w:lineRule="exact"/>
        <w:rPr>
          <w:sz w:val="20"/>
          <w:szCs w:val="20"/>
          <w:color w:val="auto"/>
        </w:rPr>
      </w:pPr>
    </w:p>
    <w:p>
      <w:pPr>
        <w:ind w:right="200" w:firstLine="494"/>
        <w:spacing w:after="0" w:line="234" w:lineRule="auto"/>
        <w:rPr>
          <w:sz w:val="20"/>
          <w:szCs w:val="20"/>
          <w:color w:val="auto"/>
        </w:rPr>
      </w:pPr>
      <w:r>
        <w:rPr>
          <w:rFonts w:ascii="Arial" w:cs="Arial" w:eastAsia="Arial" w:hAnsi="Arial"/>
          <w:sz w:val="18"/>
          <w:szCs w:val="18"/>
          <w:color w:val="auto"/>
        </w:rPr>
        <w:t>Large enterprise billers and large financial institutions also make product purchasing and adoption decisions based in part or entirely on factors, or perceived factors, not directly related to the features of platforms, including, among others, a biller’s projections of business growth, uncertainty about economic conditions, capital budgets, anticipated cost savings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2" w:right="379" w:bottom="1440" w:gutter="0" w:footer="0" w:header="0"/>
        </w:sectPr>
      </w:pPr>
    </w:p>
    <w:bookmarkStart w:id="22" w:name="page23"/>
    <w:bookmarkEnd w:id="22"/>
    <w:p>
      <w:pPr>
        <w:ind w:right="60"/>
        <w:spacing w:after="0" w:line="236" w:lineRule="auto"/>
        <w:rPr>
          <w:sz w:val="20"/>
          <w:szCs w:val="20"/>
          <w:color w:val="auto"/>
        </w:rPr>
      </w:pPr>
      <w:r>
        <w:rPr>
          <w:rFonts w:ascii="Arial" w:cs="Arial" w:eastAsia="Arial" w:hAnsi="Arial"/>
          <w:sz w:val="18"/>
          <w:szCs w:val="18"/>
          <w:color w:val="auto"/>
        </w:rPr>
        <w:t>from the implementation of our platform, potential preference for such biller’s or financial institutions' internally-developed software and billing solutions, perceptions about our business and platform, more favorable terms offered by potential competitors and previous technology investments. In addition, certain decision-makers and other stakeholders within potential billers and financial institutions tend to have vested interests in the continued use of internally developed solutions or other existing electronic payment and billing solutions, which may make it more difficult for us to sell our products. As a result of these and other factors, our sales efforts to large enterprises typically require an extensive effort throughout the organization and a significant investment of human resources, expense and time, including by our senior management, and there can be no assurances that we will be successful in making a sale. If our sales efforts to a potential biller or financial institution do not result in sufficient revenue to justify our investments, our business, operating results and financial condition could be adversely affected.</w:t>
      </w:r>
    </w:p>
    <w:p>
      <w:pPr>
        <w:spacing w:after="0" w:line="18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i w:val="1"/>
          <w:iCs w:val="1"/>
          <w:color w:val="auto"/>
        </w:rPr>
        <w:t>Widespread health issues or pandemics could have a material adverse impact on our employees, billers, financial institutions, partners, consumers and other key stakeholders, which could materially and adversely impact our business, operating results and financial condition.</w:t>
      </w:r>
    </w:p>
    <w:p>
      <w:pPr>
        <w:spacing w:after="0" w:line="85"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We are subject to many risks associated with widespread health issues, such as the recent COVID-19 pandemic, which can result in significantly curtailed movement of people (both government mandated and voluntary), goods and services. Such risks include, but are not limited to (1) extreme societal, economic and financial market volatility, resulting in business shutdowns and a global economic downturn, (2) uncertainty regarding the duration, timing and severity of the impact of such health issues on consumer behavior, (3) transitioning to and operating our business with a remote workforce, which can negatively impact employee productivity, training and collaboration as well as our sales and marketing efforts and our implementation cycles, (4) increased risks of security breaches or incidents due to remote operations and the costs associated with enhancing the security of our platform, data and internal information technology, or IT, infrastructure, and (5) the disruption of the operations of our billers, financial institutions and partners that may impact our operations. Any or all of these and other risks related to widespread health issues could materially and adversely impact our business, operating results and financial condition.</w:t>
      </w:r>
    </w:p>
    <w:p>
      <w:pPr>
        <w:spacing w:after="0" w:line="182" w:lineRule="exact"/>
        <w:rPr>
          <w:sz w:val="20"/>
          <w:szCs w:val="20"/>
          <w:color w:val="auto"/>
        </w:rPr>
      </w:pPr>
    </w:p>
    <w:p>
      <w:pPr>
        <w:jc w:val="both"/>
        <w:ind w:right="120"/>
        <w:spacing w:after="0" w:line="252" w:lineRule="auto"/>
        <w:rPr>
          <w:sz w:val="20"/>
          <w:szCs w:val="20"/>
          <w:color w:val="auto"/>
        </w:rPr>
      </w:pPr>
      <w:r>
        <w:rPr>
          <w:rFonts w:ascii="Arial" w:cs="Arial" w:eastAsia="Arial" w:hAnsi="Arial"/>
          <w:sz w:val="18"/>
          <w:szCs w:val="18"/>
          <w:b w:val="1"/>
          <w:bCs w:val="1"/>
          <w:i w:val="1"/>
          <w:iCs w:val="1"/>
          <w:color w:val="auto"/>
        </w:rPr>
        <w:t>We are subject to economic risk and inflationary pressures, the business cycles and credit risk of our billers, financial institutions and partners and their consumers, and the overall level of consumer, business and government spending, which could negatively affect our business, operating results and financial condition.</w:t>
      </w:r>
    </w:p>
    <w:p>
      <w:pPr>
        <w:spacing w:after="0" w:line="85"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The electronic bill presentment and payment services industry depends heavily on the overall level of consumer, business and government spending. We are exposed to general economic conditions that affect consumer confidence, consumer spending, consumer discretionary income and changes in consumer purchasing habits. A sustained deterioration in general economic conditions in the markets in which we operate or increases in interest rates may adversely affect our financial performance by reducing the number or average payment amount of transactions made using electronic bill payments on our platform. Relatedly, a reduction in the amount of consumer spending could result in a decrease in our revenue and profit. If our billers present fewer bills to consumers using electronic billing or consumers making electronic bill payments spend less per transaction, we will have fewer transactions to process or lower transaction amounts, each of which would contribute to lower revenue. These developments could have a material adverse impact on our business, operating results and financial condition.</w:t>
      </w:r>
    </w:p>
    <w:p>
      <w:pPr>
        <w:spacing w:after="0" w:line="299" w:lineRule="exact"/>
        <w:rPr>
          <w:sz w:val="20"/>
          <w:szCs w:val="20"/>
          <w:color w:val="auto"/>
        </w:rPr>
      </w:pPr>
    </w:p>
    <w:p>
      <w:pPr>
        <w:ind w:right="20" w:firstLine="449"/>
        <w:spacing w:after="0" w:line="236" w:lineRule="auto"/>
        <w:rPr>
          <w:sz w:val="20"/>
          <w:szCs w:val="20"/>
          <w:color w:val="auto"/>
        </w:rPr>
      </w:pPr>
      <w:r>
        <w:rPr>
          <w:rFonts w:ascii="Arial" w:cs="Arial" w:eastAsia="Arial" w:hAnsi="Arial"/>
          <w:sz w:val="18"/>
          <w:szCs w:val="18"/>
          <w:color w:val="auto"/>
        </w:rPr>
        <w:t>The United States economy experienced a period of prolonged economic uncertainty and inflationary conditions in 2022, which was particularly acute in the utility sector and impacted our 2022 financial performance. We expect economic uncertainty and inflationary conditions to continue to impact our 2023 performance. For example, some of our clients deferred anticipated 2022 implementations into 2023 or are reevaluating the development of technology resources, which will delay expected revenue recognition. Furthermore, inflationary pressure resulted in higher average bills, particularly in the utility sector, and increased interchange fees. We may not be able to adjust our pricing to address the inflationary pressures, and our ability to do so typically lags behind the impact of inflation on our clients, the increase in average bill amounts and increased interchange fees. In addition, we may not be able to prudently manage our expenses, and we are seeing ongoing wage pressure in our workforce due to the levels of inflation, which is also putting some short-term pressure on our EBITDA margins. Continued economic uncertainty and inflationary conditions could have a material adverse impact on our business, operating results and financial condition.</w:t>
      </w:r>
    </w:p>
    <w:p>
      <w:pPr>
        <w:spacing w:after="0" w:line="95" w:lineRule="exact"/>
        <w:rPr>
          <w:sz w:val="20"/>
          <w:szCs w:val="20"/>
          <w:color w:val="auto"/>
        </w:rPr>
      </w:pPr>
    </w:p>
    <w:p>
      <w:pPr>
        <w:ind w:right="20" w:firstLine="494"/>
        <w:spacing w:after="0" w:line="234" w:lineRule="auto"/>
        <w:rPr>
          <w:sz w:val="20"/>
          <w:szCs w:val="20"/>
          <w:color w:val="auto"/>
        </w:rPr>
      </w:pPr>
      <w:r>
        <w:rPr>
          <w:rFonts w:ascii="Arial" w:cs="Arial" w:eastAsia="Arial" w:hAnsi="Arial"/>
          <w:sz w:val="18"/>
          <w:szCs w:val="18"/>
          <w:color w:val="auto"/>
        </w:rPr>
        <w:t>Further, a downturn in the economy could force our billers, financial institutions or partners or their consumers to close or declare bankruptcy, resulting in lower revenue and earnings for us and greater exposure to potential credit losses and future transaction declines. We also have a certain amount of fixed and other costs, including rent and salaries, which could limit our ability to quickly adjust costs and respond to changes in our business and the economy. Changes in economic conditions could also adversely affect our future revenue and profit and cause a materially adverse effect on our business, operating results and financial condition.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23" w:name="page24"/>
    <w:bookmarkEnd w:id="23"/>
    <w:p>
      <w:pPr>
        <w:ind w:right="400"/>
        <w:spacing w:after="0" w:line="271"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operating results and financial condition could be harmed.</w:t>
      </w:r>
    </w:p>
    <w:p>
      <w:pPr>
        <w:spacing w:after="0" w:line="67" w:lineRule="exact"/>
        <w:rPr>
          <w:sz w:val="20"/>
          <w:szCs w:val="20"/>
          <w:color w:val="auto"/>
        </w:rPr>
      </w:pPr>
    </w:p>
    <w:p>
      <w:pPr>
        <w:ind w:right="100" w:firstLine="494"/>
        <w:spacing w:after="0" w:line="236" w:lineRule="auto"/>
        <w:rPr>
          <w:sz w:val="20"/>
          <w:szCs w:val="20"/>
          <w:color w:val="auto"/>
        </w:rPr>
      </w:pPr>
      <w:r>
        <w:rPr>
          <w:rFonts w:ascii="Arial" w:cs="Arial" w:eastAsia="Arial" w:hAnsi="Arial"/>
          <w:sz w:val="18"/>
          <w:szCs w:val="18"/>
          <w:color w:val="auto"/>
        </w:rPr>
        <w:t>The market for electronic bill presentment and payment services is fragmented, competitive and constantly evolving. Our primary competitors are legacy solution providers and financial institutions with internally developed solutions for bill presentment and payment services. With the introduction of new technologies and market entrants, we expect that the competitive environment will remain intense. Legacy solution providers, new market entrant solution providers and financial institutions may internally develop products, acquire existing, third-party products or enter into partnerships or other strategic relationships that would enable them to expand their product offerings to compete with our platform, provide more comprehensive offerings than they individually had offered or achieve greater economies of scale than us.</w:t>
      </w:r>
    </w:p>
    <w:p>
      <w:pPr>
        <w:spacing w:after="0" w:line="99" w:lineRule="exact"/>
        <w:rPr>
          <w:sz w:val="20"/>
          <w:szCs w:val="20"/>
          <w:color w:val="auto"/>
        </w:rPr>
      </w:pPr>
    </w:p>
    <w:p>
      <w:pPr>
        <w:ind w:right="200" w:firstLine="494"/>
        <w:spacing w:after="0" w:line="238" w:lineRule="auto"/>
        <w:rPr>
          <w:sz w:val="20"/>
          <w:szCs w:val="20"/>
          <w:color w:val="auto"/>
        </w:rPr>
      </w:pPr>
      <w:r>
        <w:rPr>
          <w:rFonts w:ascii="Arial" w:cs="Arial" w:eastAsia="Arial" w:hAnsi="Arial"/>
          <w:sz w:val="18"/>
          <w:szCs w:val="18"/>
          <w:color w:val="auto"/>
        </w:rPr>
        <w:t>These legacy solution providers and financial institutions may have the operating flexibility to bundle competing solutions with other offerings, and may offer them at a lower price or for no additional cost to billers and financial institutions as part of a larger sale. Legacy solution providers offer solutions for in-person cash payments, check-based mail payments, prior-generation interactive voice response, or IVR, phone-based payments and web-based payments, as well as a variety of point solutions for various payment needs.</w:t>
      </w:r>
    </w:p>
    <w:p>
      <w:pPr>
        <w:spacing w:after="0" w:line="96"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In addition, new entrants not currently considered to be competitors may enter the market through acquisitions, partnerships, or strategic relationships. New market entrants include a variety of payment processing vendors, particularly those focused on online and mobile payments, as well as mobile wallets and other offerings. Many of these new entrants are also potential partners of ours. As we look to market and sell our platform to potential billers, financial institutions or strategic partners with existing solutions, we must convince their internal stakeholders that our platform is superior to their current solutions. Furthermore, some lower margin industries are more sensitive to pricing and may select a lower cost provider over our more advanced solutions.</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on several factors, including:</w:t>
      </w:r>
    </w:p>
    <w:p>
      <w:pPr>
        <w:spacing w:after="0" w:line="103" w:lineRule="exact"/>
        <w:rPr>
          <w:sz w:val="20"/>
          <w:szCs w:val="20"/>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features, quality and breadth and depth of functionality;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ease of deployment and implementation speed;</w:t>
      </w:r>
    </w:p>
    <w:p>
      <w:pPr>
        <w:spacing w:after="0" w:line="116" w:lineRule="exact"/>
        <w:rPr>
          <w:rFonts w:ascii="Arial" w:cs="Arial" w:eastAsia="Arial" w:hAnsi="Arial"/>
          <w:sz w:val="18"/>
          <w:szCs w:val="18"/>
          <w:color w:val="auto"/>
        </w:rPr>
      </w:pPr>
    </w:p>
    <w:p>
      <w:pPr>
        <w:ind w:left="1020" w:right="800" w:hanging="504"/>
        <w:spacing w:after="0" w:line="245"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ease of integration with leading billing and enterprise software, customer information systems and banking technology infrastructures;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automate processes;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cloud-based delivery architecture;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advanced security, reliability, customer service and control features;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data asset size and ability to leverage artificial intelligence, or AI, to grow faster and smarter;</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compliance leadership;</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total cost of ownership and return on investment;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consumer satisfaction.</w:t>
      </w:r>
    </w:p>
    <w:p>
      <w:pPr>
        <w:spacing w:after="0" w:line="117" w:lineRule="exact"/>
        <w:rPr>
          <w:sz w:val="20"/>
          <w:szCs w:val="20"/>
          <w:color w:val="auto"/>
        </w:rPr>
      </w:pPr>
    </w:p>
    <w:p>
      <w:pPr>
        <w:ind w:right="40" w:firstLine="494"/>
        <w:spacing w:after="0" w:line="234" w:lineRule="auto"/>
        <w:rPr>
          <w:sz w:val="20"/>
          <w:szCs w:val="20"/>
          <w:color w:val="auto"/>
        </w:rPr>
      </w:pPr>
      <w:r>
        <w:rPr>
          <w:rFonts w:ascii="Arial" w:cs="Arial" w:eastAsia="Arial" w:hAnsi="Arial"/>
          <w:sz w:val="18"/>
          <w:szCs w:val="18"/>
          <w:color w:val="auto"/>
        </w:rPr>
        <w:t>Our competitors vary in size, breadth, and scope of the products and services offered. Many of our current and potential competitors have greater name recognition, longer operating histories, more established biller and consumer relationships, larger marketing budgets and greater resources than us. Our competitors may be able to respond more quickly and effectively than we can to new or changing opportunities, technologies, standards and requirements.</w:t>
      </w:r>
    </w:p>
    <w:p>
      <w:pPr>
        <w:spacing w:after="0" w:line="2"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For these reasons, we may not be able to compete successfully or continue to achieve or maintain market acceptance for our platform, any of which would harm our business, operating results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is sensitive to shifts in payment mix.</w:t>
      </w:r>
    </w:p>
    <w:p>
      <w:pPr>
        <w:spacing w:after="0" w:line="125"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A substantial majority of our revenue is derived from transaction fees, either absorbed by billers and financial institutions or paid by consumers, and the majority of bills on our platform are paid via credit or debit cards. In general, we receive more revenue for card-based payments than for electronic check and automated clearing house, or ACH, payments. Accordingly, if more consumers start paying their bills by electronic check, ACH or other payment methods with lower transaction fees, it could materially impact our operating results.</w:t>
      </w:r>
    </w:p>
    <w:p>
      <w:pPr>
        <w:spacing w:after="0" w:line="182"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We expect fluctuations in our operating results, which will make it difficult to project future results and may cause the market price of our Class A common stock to decline.</w:t>
      </w: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8" w:right="399" w:bottom="1440" w:gutter="0" w:footer="0" w:header="0"/>
        </w:sectPr>
      </w:pPr>
    </w:p>
    <w:bookmarkStart w:id="24" w:name="page25"/>
    <w:bookmarkEnd w:id="24"/>
    <w:p>
      <w:pPr>
        <w:ind w:firstLine="494"/>
        <w:spacing w:after="0"/>
        <w:rPr>
          <w:sz w:val="20"/>
          <w:szCs w:val="20"/>
          <w:color w:val="auto"/>
        </w:rPr>
      </w:pPr>
      <w:r>
        <w:rPr>
          <w:rFonts w:ascii="Arial" w:cs="Arial" w:eastAsia="Arial" w:hAnsi="Arial"/>
          <w:sz w:val="18"/>
          <w:szCs w:val="18"/>
          <w:color w:val="auto"/>
        </w:rPr>
        <w:t>Our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other risks described herein, factors that may affect our operating results include the following:</w:t>
      </w:r>
    </w:p>
    <w:p>
      <w:pPr>
        <w:spacing w:after="0" w:line="103" w:lineRule="exact"/>
        <w:rPr>
          <w:sz w:val="20"/>
          <w:szCs w:val="20"/>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demand for our platform;</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new billers and financial institutions and retain and increase adoption by our existing billers;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expand our relationships with our partners and identify and attract new partners;</w:t>
      </w:r>
    </w:p>
    <w:p>
      <w:pPr>
        <w:spacing w:after="0" w:line="116" w:lineRule="exact"/>
        <w:rPr>
          <w:rFonts w:ascii="Arial" w:cs="Arial" w:eastAsia="Arial" w:hAnsi="Arial"/>
          <w:sz w:val="18"/>
          <w:szCs w:val="18"/>
          <w:color w:val="auto"/>
        </w:rPr>
      </w:pPr>
    </w:p>
    <w:p>
      <w:pPr>
        <w:ind w:left="1020" w:right="74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payment method preferences and channels by consumers, which may affect our revenue and gross margin, particularly as a result of interchange fees;</w:t>
      </w:r>
    </w:p>
    <w:p>
      <w:pPr>
        <w:spacing w:after="0" w:line="89" w:lineRule="exact"/>
        <w:rPr>
          <w:rFonts w:ascii="Arial" w:cs="Arial" w:eastAsia="Arial" w:hAnsi="Arial"/>
          <w:sz w:val="18"/>
          <w:szCs w:val="18"/>
          <w:color w:val="auto"/>
        </w:rPr>
      </w:pPr>
    </w:p>
    <w:p>
      <w:pPr>
        <w:ind w:left="1020" w:right="40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across the industries of our billers, which may affect payment methods used by consumers and average payment amounts and, in turn, our revenue and gross margin, particularly as a result of interchange fees;</w:t>
      </w:r>
    </w:p>
    <w:p>
      <w:pPr>
        <w:spacing w:after="0" w:line="89" w:lineRule="exact"/>
        <w:rPr>
          <w:rFonts w:ascii="Arial" w:cs="Arial" w:eastAsia="Arial" w:hAnsi="Arial"/>
          <w:sz w:val="18"/>
          <w:szCs w:val="18"/>
          <w:color w:val="auto"/>
        </w:rPr>
      </w:pPr>
    </w:p>
    <w:p>
      <w:pPr>
        <w:ind w:left="1020" w:right="20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widespread health issues on our operating results, liquidity and financial condition and on our employees, billers, financial institutions, partners, consumers and other key stakeholders;</w:t>
      </w:r>
    </w:p>
    <w:p>
      <w:pPr>
        <w:spacing w:after="0" w:line="89"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biller and financial institution preference for cloud-based services as a result of security breaches and incidents in the industry or privacy concerns, or other security or reliability concerns regarding our products;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product enhancements by us or our competitors;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biller, financial institution and consumer budgets and in the timing of their budget cycles and purchasing decisions;</w:t>
      </w:r>
    </w:p>
    <w:p>
      <w:pPr>
        <w:spacing w:after="0" w:line="116" w:lineRule="exact"/>
        <w:rPr>
          <w:rFonts w:ascii="Arial" w:cs="Arial" w:eastAsia="Arial" w:hAnsi="Arial"/>
          <w:sz w:val="18"/>
          <w:szCs w:val="18"/>
          <w:color w:val="auto"/>
        </w:rPr>
      </w:pPr>
    </w:p>
    <w:p>
      <w:pPr>
        <w:ind w:left="1020" w:right="30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and existing billers and financial institutions choosing our competitors’ products or developing their own solutions in-house;</w:t>
      </w:r>
    </w:p>
    <w:p>
      <w:pPr>
        <w:spacing w:after="0" w:line="89" w:lineRule="exact"/>
        <w:rPr>
          <w:rFonts w:ascii="Arial" w:cs="Arial" w:eastAsia="Arial" w:hAnsi="Arial"/>
          <w:sz w:val="18"/>
          <w:szCs w:val="18"/>
          <w:color w:val="auto"/>
        </w:rPr>
      </w:pPr>
    </w:p>
    <w:p>
      <w:pPr>
        <w:ind w:left="1020" w:right="16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or introduction of new platforms or services that are easier to use or more advanced than our current platform and suite of services;</w:t>
      </w:r>
    </w:p>
    <w:p>
      <w:pPr>
        <w:spacing w:after="0" w:line="89" w:lineRule="exact"/>
        <w:rPr>
          <w:rFonts w:ascii="Arial" w:cs="Arial" w:eastAsia="Arial" w:hAnsi="Arial"/>
          <w:sz w:val="18"/>
          <w:szCs w:val="18"/>
          <w:color w:val="auto"/>
        </w:rPr>
      </w:pPr>
    </w:p>
    <w:p>
      <w:pPr>
        <w:ind w:left="1020" w:right="88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adapt to new forms or methods of payment that become widely accepted, including cryptocurrencies and blockchain-based transactions;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adoption or retention of more entrenched or rival services in the international markets where we compete or plan to compete;</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6" w:lineRule="exact"/>
        <w:rPr>
          <w:rFonts w:ascii="Arial" w:cs="Arial" w:eastAsia="Arial" w:hAnsi="Arial"/>
          <w:sz w:val="18"/>
          <w:szCs w:val="18"/>
          <w:color w:val="auto"/>
        </w:rPr>
      </w:pPr>
    </w:p>
    <w:p>
      <w:pPr>
        <w:ind w:left="1020" w:right="8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rising inflation and our ability to adjust pricing and control our costs, including employee wages and benefits and other operating expenses;</w:t>
      </w:r>
    </w:p>
    <w:p>
      <w:pPr>
        <w:spacing w:after="0" w:line="89" w:lineRule="exact"/>
        <w:rPr>
          <w:rFonts w:ascii="Arial" w:cs="Arial" w:eastAsia="Arial" w:hAnsi="Arial"/>
          <w:sz w:val="18"/>
          <w:szCs w:val="18"/>
          <w:color w:val="auto"/>
        </w:rPr>
      </w:pPr>
    </w:p>
    <w:p>
      <w:pPr>
        <w:ind w:left="1020" w:right="46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89" w:lineRule="exact"/>
        <w:rPr>
          <w:rFonts w:ascii="Arial" w:cs="Arial" w:eastAsia="Arial" w:hAnsi="Arial"/>
          <w:sz w:val="18"/>
          <w:szCs w:val="18"/>
          <w:color w:val="auto"/>
        </w:rPr>
      </w:pPr>
    </w:p>
    <w:p>
      <w:pPr>
        <w:ind w:left="1020" w:right="26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89" w:lineRule="exact"/>
        <w:rPr>
          <w:rFonts w:ascii="Arial" w:cs="Arial" w:eastAsia="Arial" w:hAnsi="Arial"/>
          <w:sz w:val="18"/>
          <w:szCs w:val="18"/>
          <w:color w:val="auto"/>
        </w:rPr>
      </w:pPr>
    </w:p>
    <w:p>
      <w:pPr>
        <w:ind w:left="1020" w:right="12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6" w:lineRule="exact"/>
        <w:rPr>
          <w:rFonts w:ascii="Arial" w:cs="Arial" w:eastAsia="Arial" w:hAnsi="Arial"/>
          <w:sz w:val="18"/>
          <w:szCs w:val="18"/>
          <w:color w:val="auto"/>
        </w:rPr>
      </w:pPr>
    </w:p>
    <w:p>
      <w:pPr>
        <w:ind w:left="1020" w:right="74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billers operate;</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w:t>
      </w:r>
    </w:p>
    <w:p>
      <w:pPr>
        <w:spacing w:after="0" w:line="116" w:lineRule="exact"/>
        <w:rPr>
          <w:rFonts w:ascii="Arial" w:cs="Arial" w:eastAsia="Arial" w:hAnsi="Arial"/>
          <w:sz w:val="18"/>
          <w:szCs w:val="18"/>
          <w:color w:val="auto"/>
        </w:rPr>
      </w:pPr>
    </w:p>
    <w:p>
      <w:pPr>
        <w:ind w:left="1020" w:right="20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security breaches of and incidents impacting, technical difficulties with, or interruptions to, the delivery and use of our platform;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awareness of our brand and our reputation in our target markets.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25" w:name="page26"/>
    <w:bookmarkEnd w:id="25"/>
    <w:p>
      <w:pPr>
        <w:ind w:right="20" w:firstLine="494"/>
        <w:spacing w:after="0" w:line="237" w:lineRule="auto"/>
        <w:rPr>
          <w:sz w:val="20"/>
          <w:szCs w:val="20"/>
          <w:color w:val="auto"/>
        </w:rPr>
      </w:pPr>
      <w:r>
        <w:rPr>
          <w:rFonts w:ascii="Arial" w:cs="Arial" w:eastAsia="Arial" w:hAnsi="Arial"/>
          <w:sz w:val="18"/>
          <w:szCs w:val="18"/>
          <w:color w:val="auto"/>
        </w:rPr>
        <w:t>Any of these and other factors, or the cumulative effect of some of these factors, may cause our operating results to vary significantly. In addition, we have incurred and expect to continue to incur significant additional expenses due to the increased costs of operating as a public company. If the assumptions used to plan our business are incorrect, our revenue may fail to meet our expectations and we may fail to meet profitability expectations. Further, if our quarterly operating results fall below the expectations of investors and securities analysts who follow our Class A common stock or result in a lowering of our financial guidance, the price of our Class A common stock could decline substantially, and we could face costly lawsuits, including securities class action lawsuits.</w:t>
      </w:r>
    </w:p>
    <w:p>
      <w:pPr>
        <w:spacing w:after="0" w:line="181" w:lineRule="exact"/>
        <w:rPr>
          <w:sz w:val="20"/>
          <w:szCs w:val="20"/>
          <w:color w:val="auto"/>
        </w:rPr>
      </w:pPr>
    </w:p>
    <w:p>
      <w:pPr>
        <w:jc w:val="both"/>
        <w:ind w:right="440"/>
        <w:spacing w:after="0" w:line="252" w:lineRule="auto"/>
        <w:rPr>
          <w:sz w:val="20"/>
          <w:szCs w:val="20"/>
          <w:color w:val="auto"/>
        </w:rPr>
      </w:pPr>
      <w:r>
        <w:rPr>
          <w:rFonts w:ascii="Arial" w:cs="Arial" w:eastAsia="Arial" w:hAnsi="Arial"/>
          <w:sz w:val="18"/>
          <w:szCs w:val="18"/>
          <w:b w:val="1"/>
          <w:bCs w:val="1"/>
          <w:i w:val="1"/>
          <w:iCs w:val="1"/>
          <w:color w:val="auto"/>
        </w:rPr>
        <w:t>We depend on third-party payment processors, sponsor banks and third-party printers to process bill payments made on our platform, and our business, operating results and reputation could be harmed if we experience service interruptions related to these processors.</w:t>
      </w:r>
    </w:p>
    <w:p>
      <w:pPr>
        <w:spacing w:after="0" w:line="85"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We depend on third-party payment processors, including PayPal’s Braintree service, sponsor banks and third-party printers to process bill payments made through various channels on our platform, including credit and debit cards, ACH transfers, eChecks and PayPal. The per-transaction settlement fees we pay under our agreements with these processors collectively comprise a significant portion of our cost of revenue. We also rely on payment processors to collect and store payment card information and provide certain fraud detection services. Our multiyear agreements with these processors contain industry-standard terms and conditions, including technical requirements for how we must process and settle transactions and chargebacks. These agreements also obligate us to comply with card networks’ security standards and guidelines, and to reimburse the payment processors for any fines they are assessed by payment networks as a result of any rule violations by us. See the section titled “—Risks Related to Regulation—We are required to comply with payment network operating rules, and changes to such rules or payment network fees could harm our business.”</w:t>
      </w:r>
    </w:p>
    <w:p>
      <w:pPr>
        <w:spacing w:after="0" w:line="96"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If any of our processors were to terminate its relationship with us, whether as a result of a failure by us to meet our contractual obligations or for other reasons, or if any of them were to refuse to renew its agreement with us on commercially reasonable terms, we would need to engage one or more alternate processors. In that case, we could experience service interruptions and incur significant expenses in arranging for replacement payment processing services. Such interruptions could also negatively impact our reputation and our relationships with existing or potential billers, financial institutions and partners, as well as cause us to become obligated to provide service credits or refunds under our service level commitments. Likewise, our processors have in the past and may in the future experience outages that have and may cause us to temporarily lose our ability to process transactions on our platform. If any of our processors fails to meet our standards and expectations, becomes compromised or suffers errors, outages or vulnerabilities, we could temporarily lose our ability to process transactions on our platform until such issues have been remedied or we have engaged one or more alternate processors.</w:t>
      </w:r>
    </w:p>
    <w:p>
      <w:pPr>
        <w:spacing w:after="0" w:line="182"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b w:val="1"/>
          <w:bCs w:val="1"/>
          <w:i w:val="1"/>
          <w:iCs w:val="1"/>
          <w:color w:val="auto"/>
        </w:rPr>
        <w:t>We operate in an emerging and evolving market, which may develop more slowly or differently than we expect. If our market does not grow as we expect, or if we cannot expand our platform to meet the demands of this market, our revenue may decline or fail to grow.</w:t>
      </w:r>
    </w:p>
    <w:p>
      <w:pPr>
        <w:spacing w:after="0" w:line="85"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Our primary competition remains the legacy processes that billers and financial institutions have relied on for many years, such as physical bills, physical checks and non-scalable legacy IVR and similar systems, as well as systems developed internally by financial institutions. Our success depends to a substantial extent on the widespread adoption of our cloud-based electronic billing and payment platform as an alternative to these existing solutions and adoption by billers that are not using any such solutions at all. Some organizations may be reluctant or unwilling to use our platform for several reasons, including concerns about additional implementation and other costs or delays, uncertainty regarding the reliability and security of cloud-based offerings or lack of awareness of the benefits of our platform. Our ability to expand sales of our platform depends on several factors, including prospective billers’ and financial institutions' awareness of our platform; the timely completion, introduction and market acceptance of enhancements to our platform or new products that we may introduce; the effectiveness of our marketing programs; the costs of our platform and the ability of billers to pass on transaction costs to their consumers; and the success of competing solutions. If we are unsuccessful in developing and marketing our platform, or if organizations do not perceive or value the benefits of our platform as an alternative to legacy systems, the market for our platform may not continue to develop or may develop more slowly than we expect, either of which would harm our business, operating results and prospects.</w:t>
      </w:r>
    </w:p>
    <w:p>
      <w:pPr>
        <w:spacing w:after="0" w:line="189"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which could expose us to material financial losses and liability and otherwise harm our business.</w:t>
      </w:r>
    </w:p>
    <w:p>
      <w:pPr>
        <w:spacing w:after="0" w:line="67" w:lineRule="exact"/>
        <w:rPr>
          <w:sz w:val="20"/>
          <w:szCs w:val="20"/>
          <w:color w:val="auto"/>
        </w:rPr>
      </w:pPr>
    </w:p>
    <w:p>
      <w:pPr>
        <w:ind w:right="100" w:firstLine="494"/>
        <w:spacing w:after="0" w:line="234" w:lineRule="auto"/>
        <w:rPr>
          <w:sz w:val="20"/>
          <w:szCs w:val="20"/>
          <w:color w:val="auto"/>
        </w:rPr>
      </w:pPr>
      <w:r>
        <w:rPr>
          <w:rFonts w:ascii="Arial" w:cs="Arial" w:eastAsia="Arial" w:hAnsi="Arial"/>
          <w:sz w:val="18"/>
          <w:szCs w:val="18"/>
          <w:color w:val="auto"/>
        </w:rPr>
        <w:t>We offer a software platform that automates the entire bill payment lifecycle, providing electronic bill presentment, consumer engagement and payment processing for a large number of billers, financial institutions and consumers. We are responsible for verifying the identity of our billers, and monitoring transactions for fraud. We and our billers, financial institutions and partners have been in the past and will continue to be targeted by parties who seek to commit acts of financial fraud using techniques such as stolen identities and bank accounts, compromised business email accounts,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26" w:name="page27"/>
    <w:bookmarkEnd w:id="26"/>
    <w:p>
      <w:pPr>
        <w:ind w:right="100"/>
        <w:spacing w:after="0" w:line="245" w:lineRule="auto"/>
        <w:rPr>
          <w:sz w:val="20"/>
          <w:szCs w:val="20"/>
          <w:color w:val="auto"/>
        </w:rPr>
      </w:pPr>
      <w:r>
        <w:rPr>
          <w:rFonts w:ascii="Arial" w:cs="Arial" w:eastAsia="Arial" w:hAnsi="Arial"/>
          <w:sz w:val="18"/>
          <w:szCs w:val="18"/>
          <w:color w:val="auto"/>
        </w:rPr>
        <w:t>employee or insider fraud, account takeover, false applications and check fraud. We may suffer losses from acts of financial fraud committed by or against our billers, financial institutions or partners or their consumers, our employees or other third-parties.</w:t>
      </w:r>
    </w:p>
    <w:p>
      <w:pPr>
        <w:spacing w:after="0" w:line="90"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The techniques used to perpetrate fraud on our platform are continually evolving, and we expend considerable resources to continue to monitor and combat them. In addition, when we introduce new products and functionality, or expand existing products, we may not be able to identify all risks created by the new products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platform could enable criminals and those committing fraud to cause significant losses to our business. As greater numbers of billers, financial institutions, partners and consumers use our platform, our exposure to material risk of losses from a single user, or from a small number of users, will increase.</w:t>
      </w:r>
    </w:p>
    <w:p>
      <w:pPr>
        <w:spacing w:after="0" w:line="96"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Our current business and anticipated domestic and international growth will continue to place significant demands on our risk management efforts, and we will need to continue developing and improving our existing risk management infrastructure, policies, procedures, techniques and processes. As techniques used to perpetrate fraud on our platform evolve, we may need to modify our products or services to mitigate fraud risks. As our business grows and becomes more complex, we may be less able to forecast and carry appropriate reserves on our books for fraud related losses. Further, these types of fraudulent activities on our platform can also expose us to civil and criminal liability and governmental and regulatory sanctions as well as potentially cause us to be in breach of our contractual obligations to our third-party partners.</w:t>
      </w:r>
    </w:p>
    <w:p>
      <w:pPr>
        <w:spacing w:after="0" w:line="18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If we lose our founder and chief executive officer or other key members of our management team, or if we are unable to attract and retain executives and employees we need to support our operations and growth, our business may be harmed.</w:t>
      </w:r>
    </w:p>
    <w:p>
      <w:pPr>
        <w:spacing w:after="0" w:line="67" w:lineRule="exact"/>
        <w:rPr>
          <w:sz w:val="20"/>
          <w:szCs w:val="20"/>
          <w:color w:val="auto"/>
        </w:rPr>
      </w:pPr>
    </w:p>
    <w:p>
      <w:pPr>
        <w:ind w:right="100" w:firstLine="494"/>
        <w:spacing w:after="0" w:line="236"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Dushyant Sharma, our founder, chairman, president and chief executive officer, is critical to our overall management, as well as the continued development of our products, partnerships, culture and strategic direction. From time to time, there may be changes in our management team resulting from the hiring or departure of executives and key employees, which could disrupt our business. Our senior management and key employees are employed on an at-will basis. Certain of our key employees have been with us for a long period of time and have fully vested stock options that may become valuable and are publicly tradable, subject to Rule 144 limitations, which reduces the incentive for each of these key employees to remain at our company. The loss of our founder and chief executive officer, or one or more of our other senior management members, or other key employees, could harm our business, and we may not be able to find adequate replacements. We cannot ensure that we will be able to retain the services of any members of our senior management or other key employees or that we would be able to timely replace members of our senior management or other key employees should any of them depart.</w:t>
      </w:r>
    </w:p>
    <w:p>
      <w:pPr>
        <w:spacing w:after="0" w:line="18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Failure to attract and retain additional qualified personnel and any restrictions on the movement of personnel could prevent us from executing our business strategy and growth plans</w:t>
      </w:r>
      <w:r>
        <w:rPr>
          <w:rFonts w:ascii="Arial" w:cs="Arial" w:eastAsia="Arial" w:hAnsi="Arial"/>
          <w:sz w:val="18"/>
          <w:szCs w:val="18"/>
          <w:color w:val="auto"/>
        </w:rPr>
        <w:t>.</w:t>
      </w:r>
    </w:p>
    <w:p>
      <w:pPr>
        <w:spacing w:after="0" w:line="67"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 is intense and increasing. We compete with many other companies for software developers with high levels of experience in designing, developing, and managing cloud-based software and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a new or revised visa program, and in particular one that limits the availability of H1-B and other visas, may impact our ability to recruit, hire, retain or effectively collaborate with qualified skilled personnel, including in the areas of AI and machine learning, and payment systems and risk management, which could adversely impact our business, operating results and financial condition. If we fail to identify, attract, develop and integrate new personnel, or fail to retain and motivate our current personnel, our growth prospects would be adversely affected.</w:t>
      </w:r>
    </w:p>
    <w:p>
      <w:pPr>
        <w:spacing w:after="0" w:line="18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If we fail to offer high-quality customer support, if we experience complaints regarding our customer support or if our support is more expensive than anticipated, our business and reputation could suffer.</w:t>
      </w:r>
    </w:p>
    <w:p>
      <w:pPr>
        <w:spacing w:after="0" w:line="67" w:lineRule="exact"/>
        <w:rPr>
          <w:sz w:val="20"/>
          <w:szCs w:val="20"/>
          <w:color w:val="auto"/>
        </w:rPr>
      </w:pPr>
    </w:p>
    <w:p>
      <w:pPr>
        <w:ind w:right="660" w:firstLine="494"/>
        <w:spacing w:after="0" w:line="234" w:lineRule="auto"/>
        <w:rPr>
          <w:sz w:val="20"/>
          <w:szCs w:val="20"/>
          <w:color w:val="auto"/>
        </w:rPr>
      </w:pPr>
      <w:r>
        <w:rPr>
          <w:rFonts w:ascii="Arial" w:cs="Arial" w:eastAsia="Arial" w:hAnsi="Arial"/>
          <w:sz w:val="18"/>
          <w:szCs w:val="18"/>
          <w:color w:val="auto"/>
        </w:rPr>
        <w:t>Billers and financial institutions and their consumers rely on our customer support services to resolve issues and realize the full benefits provided by our platform. High-quality support is also important to maintain and drive further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27" w:name="page28"/>
    <w:bookmarkEnd w:id="27"/>
    <w:p>
      <w:pPr>
        <w:ind w:right="80"/>
        <w:spacing w:after="0" w:line="236" w:lineRule="auto"/>
        <w:rPr>
          <w:sz w:val="20"/>
          <w:szCs w:val="20"/>
          <w:color w:val="auto"/>
        </w:rPr>
      </w:pPr>
      <w:r>
        <w:rPr>
          <w:rFonts w:ascii="Arial" w:cs="Arial" w:eastAsia="Arial" w:hAnsi="Arial"/>
          <w:sz w:val="18"/>
          <w:szCs w:val="18"/>
          <w:color w:val="auto"/>
        </w:rPr>
        <w:t>adoption by our existing billers and their consumers. We primarily provide customer support to our clients over email, with some additional support provided over chat and through our platform, and to consumers over the phone. If we do not help our billers and financial institutions and their consumers quickly resolve issues and provide effective ongoing support, or if our support personnel or methods of providing support are insufficient to meet the needs of our billers and financial institutions and their consumers, our ability to retain billers and financial institutions, increase adoption by our existing billers and financial institutions and acquire new billers could suffer, and our reputation with existing or potential billers and financial institutions could be harmed. In addition, biller, financial institution and consumer complaints or negative publicity about our customer service could diminish confidence in and use of our products or services. Effective customer service requires significant expenses, which, if not managed properly, could negatively impact our profitability. If we are not able to meet the customer support needs of our billers and their consumers during the hours that we currently provide support, we may need to increase our support coverage and provide additional support by other means and methods, which may reduce our profitability.</w:t>
      </w:r>
    </w:p>
    <w:p>
      <w:pPr>
        <w:spacing w:after="0" w:line="18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If the fees we charge are unacceptable to our billers, financial institutions or their consumers, our business, operating results and financial condition could be harmed.</w:t>
      </w:r>
    </w:p>
    <w:p>
      <w:pPr>
        <w:spacing w:after="0" w:line="67"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We generate substantially all of our revenue by charging billers and financial institutions fees on a per-transaction basis. As the market for our platform matures, or as new or existing competitors introduce new products or services that compete with ours, we may experience pricing pressure and be unable to renew our agreements with existing billers and financial institutions or attract new billers and financial institutions at fee levels that are consistent with our pricing model and operating budget. In addition, we may not be able to adjust our pricing to address inflationary pressures, and our ability to do so typically lags behind the impact of inflation on our clients, the increase in average bill amounts and increased interchange fees. Our pricing strategy for new products we introduce may prove to be unappealing to our billers, financial institutions or consumers, and our competitors could choose to bundle certain products and services competitive with ours and offer them at lower prices. If this were to occur, it is possible that we would have to change our pricing strategies or reduce our prices, which could harm our business, operating results and growth prospects.</w:t>
      </w:r>
    </w:p>
    <w:p>
      <w:pPr>
        <w:spacing w:after="0" w:line="96"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Further, a significant portion of our revenue is generated from billers that elect to pass on transaction fees to consumers in the form of convenience fees. In certain markets, such as utilities and municipalities, convenience fees are commonplace. Despite the fact that such fees are relatively standard, they are often met with negative consumer perception, which could lead to heightened regulatory scrutiny and further pricing pressure.</w:t>
      </w:r>
    </w:p>
    <w:p>
      <w:pPr>
        <w:spacing w:after="0" w:line="18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If we fail to meet our service level commitments, we could be obligated to provide credits or refunds or face contract terminations, which could adversely affect our business, operating results and financial condition.</w:t>
      </w:r>
    </w:p>
    <w:p>
      <w:pPr>
        <w:spacing w:after="0" w:line="67"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Many of our agreements with our billers, financial institutions and partners contain service level commitments, including commitments regarding the accuracy of information and data we provide and how quickly we will respond to support inquiries. If we are unable to meet the stated service level commitments or our platform suffers extended periods of unavailability or downtime, we may be contractually obligated to provide these parties with service credits or refunds. In addition, certain billers and financial institutions could shift to using a different solution such that we would no longer be their exclusive payment provider and we could also face contract terminations, either of which would adversely affect our future revenue. Further, any extended service outages could adversely affect our reputation, revenue and operating results.</w:t>
      </w:r>
    </w:p>
    <w:p>
      <w:pPr>
        <w:spacing w:after="0" w:line="18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our products may become less competitive and our growth rate could decline.</w:t>
      </w:r>
    </w:p>
    <w:p>
      <w:pPr>
        <w:spacing w:after="0" w:line="85" w:lineRule="exact"/>
        <w:rPr>
          <w:sz w:val="20"/>
          <w:szCs w:val="20"/>
          <w:color w:val="auto"/>
        </w:rPr>
      </w:pPr>
    </w:p>
    <w:p>
      <w:pPr>
        <w:ind w:right="40" w:firstLine="494"/>
        <w:spacing w:after="0" w:line="248" w:lineRule="auto"/>
        <w:rPr>
          <w:sz w:val="20"/>
          <w:szCs w:val="20"/>
          <w:color w:val="auto"/>
        </w:rPr>
      </w:pPr>
      <w:r>
        <w:rPr>
          <w:rFonts w:ascii="Arial" w:cs="Arial" w:eastAsia="Arial" w:hAnsi="Arial"/>
          <w:sz w:val="17"/>
          <w:szCs w:val="17"/>
          <w:color w:val="auto"/>
        </w:rPr>
        <w:t>The market for electronic bill presentment and payment services is relatively new and subject to ongoing technological change, evolving industry standards, payment methods and changing regulations, and changing biller, financial institution and consumer needs, requirements and preferences. The success of our business will depend, in part, on our ability to adapt and respond effectively to these changes on a timely basis, including launching new products and services. The success of any new product and service, or any enhancements or modifications to existing products and services, depends on several factors, including the timely completion, introduction and market acceptance of such products and services, enhancements and modifications. If we are unable to enhance our platform, add new payment methods or develop new products that keep pace with technological and regulatory change and achieve market acceptance, or if new technologies emerge that are able to deliver competitive products and services at lower prices, more efficiently, more conveniently or more securely than our products, our business, operating results and financial condition would be adversely affected. Furthermore, modifications to our existing platform or technology will increase our research and development expenses. Any of the foregoing could reduce the demand for our services, result in biller, financial institution, partner and consumer dissatisfaction and adversely affect our business.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28" w:name="page29"/>
    <w:bookmarkEnd w:id="28"/>
    <w:p>
      <w:pPr>
        <w:ind w:right="420"/>
        <w:spacing w:after="0" w:line="271"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biller and financial institution base and achieve broader market acceptance of our products.</w:t>
      </w:r>
    </w:p>
    <w:p>
      <w:pPr>
        <w:spacing w:after="0" w:line="67"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Our ability to increase our biller and financial institution base and achieve broader market acceptance of our platform will depend to a significant extent on our ability to expand our sales and marketing organizations, and to deploy our sales and marketing resources efficiently. Although we will adjust our sales and marketing spend levels as needed in response to changes in the economic environment, we plan to continue expanding our direct sales team as well as our sales team focused on identifying partnerships. These efforts will require us to invest significant financial and other resources. We may not achieve anticipated revenue growth from expanding our sales team if we are unable to hire, develop, integrate and retain talented and effective sales personnel, if our new and existing sales personnel are unable to achieve desired productivity levels in a reasonable period of time or if our sales and marketing programs are not effective. Our business and operating results will be harmed if our sales and marketing efforts do not generate significant increases in revenue.</w:t>
      </w:r>
    </w:p>
    <w:p>
      <w:pPr>
        <w:spacing w:after="0" w:line="184" w:lineRule="exact"/>
        <w:rPr>
          <w:sz w:val="20"/>
          <w:szCs w:val="20"/>
          <w:color w:val="auto"/>
        </w:rPr>
      </w:pPr>
    </w:p>
    <w:p>
      <w:pPr>
        <w:jc w:val="both"/>
        <w:ind w:right="240"/>
        <w:spacing w:after="0" w:line="252" w:lineRule="auto"/>
        <w:rPr>
          <w:sz w:val="20"/>
          <w:szCs w:val="20"/>
          <w:color w:val="auto"/>
        </w:rPr>
      </w:pPr>
      <w:r>
        <w:rPr>
          <w:rFonts w:ascii="Arial" w:cs="Arial" w:eastAsia="Arial" w:hAnsi="Arial"/>
          <w:sz w:val="18"/>
          <w:szCs w:val="18"/>
          <w:b w:val="1"/>
          <w:bCs w:val="1"/>
          <w:i w:val="1"/>
          <w:iCs w:val="1"/>
          <w:color w:val="auto"/>
        </w:rPr>
        <w:t>We anticipate expanding our operations internationally by targeting international billers, financial institutions and partners, and further expanding use of our platform internationally among our existing international billers, financial institutions and partners, which will create a variety of operational challenges.</w:t>
      </w:r>
    </w:p>
    <w:p>
      <w:pPr>
        <w:spacing w:after="0" w:line="85"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A component of our long-term growth strategy involves expanding our operations internationally. Although we currently generate substantially all of our revenue in the United States, many of our largest billers have billable consumers in international geographies and some of our financial institutions have customers that send money to international geographies. We are continuing to adapt to and develop strategies to expand to international geographies. However, there is no guarantee that such efforts will have the desired effect or that we will be able to grow our international footprint without unexpected delay or expense when international expansion opportunities arise. If we invest substantial time and resources to further expand our operations internationally and are unable to do so successfully, cost-effectively and in a timely manner, our business and operating results may suffer.</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long-term international operations strategy involves a variety of risks, including:</w:t>
      </w:r>
    </w:p>
    <w:p>
      <w:pPr>
        <w:spacing w:after="0" w:line="103" w:lineRule="exact"/>
        <w:rPr>
          <w:sz w:val="20"/>
          <w:szCs w:val="20"/>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regulations and our ability to comply with and obtain any relevant licenses;</w:t>
      </w:r>
    </w:p>
    <w:p>
      <w:pPr>
        <w:spacing w:after="0" w:line="116" w:lineRule="exact"/>
        <w:rPr>
          <w:rFonts w:ascii="Arial" w:cs="Arial" w:eastAsia="Arial" w:hAnsi="Arial"/>
          <w:sz w:val="18"/>
          <w:szCs w:val="18"/>
          <w:color w:val="auto"/>
        </w:rPr>
      </w:pPr>
    </w:p>
    <w:p>
      <w:pPr>
        <w:ind w:left="1020" w:right="40" w:hanging="504"/>
        <w:spacing w:after="0" w:line="24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w:t>
      </w:r>
    </w:p>
    <w:p>
      <w:pPr>
        <w:spacing w:after="0" w:line="89" w:lineRule="exact"/>
        <w:rPr>
          <w:rFonts w:ascii="Arial" w:cs="Arial" w:eastAsia="Arial" w:hAnsi="Arial"/>
          <w:sz w:val="18"/>
          <w:szCs w:val="18"/>
          <w:color w:val="auto"/>
        </w:rPr>
      </w:pPr>
    </w:p>
    <w:p>
      <w:pPr>
        <w:ind w:left="1020" w:right="160" w:hanging="504"/>
        <w:spacing w:after="0" w:line="24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 in cross-border trade and other adverse impacts resulting from trade sanctions or changes in trade relations, laws or regulations;</w:t>
      </w:r>
    </w:p>
    <w:p>
      <w:pPr>
        <w:spacing w:after="0" w:line="89"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application of more stringent regulations relating to payments, privacy, data protection and information security, and the authorized use of, or access to, sensitive and personal data;</w:t>
      </w:r>
    </w:p>
    <w:p>
      <w:pPr>
        <w:spacing w:after="0" w:line="89" w:lineRule="exact"/>
        <w:rPr>
          <w:rFonts w:ascii="Arial" w:cs="Arial" w:eastAsia="Arial" w:hAnsi="Arial"/>
          <w:sz w:val="18"/>
          <w:szCs w:val="18"/>
          <w:color w:val="auto"/>
        </w:rPr>
      </w:pPr>
    </w:p>
    <w:p>
      <w:pPr>
        <w:ind w:left="1020" w:right="40" w:hanging="504"/>
        <w:spacing w:after="0" w:line="24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or FCPA, U.S. domestic bribery laws and similar laws and regulations in other jurisdictions;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tax laws.</w:t>
      </w:r>
    </w:p>
    <w:p>
      <w:pPr>
        <w:spacing w:after="0" w:line="20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Acquisitions and strategic investments could be difficult to identify and integrate, divert the attention of management, disrupt our business, dilute stockholder value and adversely affect our business, operating results and financial condition.</w:t>
      </w:r>
    </w:p>
    <w:p>
      <w:pPr>
        <w:spacing w:after="0" w:line="67"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As part of our long-term growth plans, we expect to acquire or invest in additional businesses, products or technologies that we believe could further complement or expand our platform, enhance our technical capabilities or otherwise offer growth opportunities. Acquisitions may divert management’s time and focus from operating our business and cause us to incur various expenses in identifying, investigating and pursuing suitable acquisitions, whether or not such acquisitions are completed. Acquisitions also may require us to spend a substantial portion of our available cash, incur debt or other liabilities, amortize expenses related to intangible assets or incur write-offs of goodwill or other assets. In addition, integrating an acquired business or technology is risky. Completed and future acquisitions may result in unforeseen operational difficulties and expenditures associated with:</w:t>
      </w:r>
    </w:p>
    <w:p>
      <w:pPr>
        <w:spacing w:after="0" w:line="99" w:lineRule="exact"/>
        <w:rPr>
          <w:sz w:val="20"/>
          <w:szCs w:val="20"/>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incorporating new businesses and technologies into our infrastructure;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consolidating operational and administrative functions;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coordinating outreach to our community;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morale and culture and retaining and integrating key employees;</w:t>
      </w:r>
    </w:p>
    <w:p>
      <w:pPr>
        <w:spacing w:after="0" w:line="116" w:lineRule="exact"/>
        <w:rPr>
          <w:rFonts w:ascii="Arial" w:cs="Arial" w:eastAsia="Arial" w:hAnsi="Arial"/>
          <w:sz w:val="18"/>
          <w:szCs w:val="18"/>
          <w:color w:val="auto"/>
        </w:rPr>
      </w:pPr>
    </w:p>
    <w:p>
      <w:pPr>
        <w:ind w:left="1020" w:right="460" w:hanging="504"/>
        <w:spacing w:after="0" w:line="23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or developing controls, procedures and policies (including effective internal control over financial reporting and disclosure controls and procedures); and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8" w:right="379" w:bottom="1440" w:gutter="0" w:footer="0" w:header="0"/>
        </w:sectPr>
      </w:pPr>
    </w:p>
    <w:bookmarkStart w:id="29" w:name="page30"/>
    <w:bookmarkEnd w:id="29"/>
    <w:p>
      <w:pPr>
        <w:ind w:left="1020" w:right="100" w:hanging="504"/>
        <w:spacing w:after="0" w:line="245"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and assuming liabilities related to the activities of the acquired business before the acquisition, including liabilities for violations of laws and regulations, intellectual property issues, commercial disputes, taxes and other matters.</w:t>
      </w:r>
    </w:p>
    <w:p>
      <w:pPr>
        <w:spacing w:after="0" w:line="90" w:lineRule="exact"/>
        <w:rPr>
          <w:sz w:val="20"/>
          <w:szCs w:val="20"/>
          <w:color w:val="auto"/>
        </w:rPr>
      </w:pPr>
    </w:p>
    <w:p>
      <w:pPr>
        <w:ind w:right="160" w:firstLine="494"/>
        <w:spacing w:after="0" w:line="237" w:lineRule="auto"/>
        <w:rPr>
          <w:sz w:val="20"/>
          <w:szCs w:val="20"/>
          <w:color w:val="auto"/>
        </w:rPr>
      </w:pPr>
      <w:r>
        <w:rPr>
          <w:rFonts w:ascii="Arial" w:cs="Arial" w:eastAsia="Arial" w:hAnsi="Arial"/>
          <w:sz w:val="18"/>
          <w:szCs w:val="18"/>
          <w:color w:val="auto"/>
        </w:rPr>
        <w:t>Moreover, we may not benefit from our acquisitions as we expect, or in the time frame we expect.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 Acquisitions could also be viewed negatively by analysts or investors, which could cause our stock price to decline.</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business, operating results and financial condition could be adversely affected.</w:t>
      </w:r>
    </w:p>
    <w:p>
      <w:pPr>
        <w:spacing w:after="0" w:line="67"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We believe that maintaining and enhancing the Paymentus brand is important to support the marketing and sale of our existing and future products to new billers, financial institutions and partners and to increase adoption of our platform by existing billers and partners. Successfully maintaining and enhancing our brand will depend largely on the effectiveness of our marketing and demand generation efforts, our ability to provide reliable products that continue to meet the needs of our billers, financial institutions and consumers at competitive prices, our ability to maintain our billers’, financial institutions' and consumers’ trust, our ability to continue to develop new functionality and products and our ability to successfully differentiate our products from competitive products and services. Our promotion activities may not generate brand awareness or yield increased revenue, and even if they do, any increased revenue may not offset the expenses we incur in building our brand. Further, any negative publicity about our industry, our company, the quality and reliability of our products and services, our risk management processes, our privacy, data protection or information security practices, litigation, regulatory activity or the experience of billers, financial institutions and partners with our products or services could harm our reputation. If we fail to successfully promote and maintain our brand, our business, operating results and financial condition could be adversely affected.</w:t>
      </w:r>
    </w:p>
    <w:p>
      <w:pPr>
        <w:spacing w:after="0" w:line="180"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67" w:lineRule="exact"/>
        <w:rPr>
          <w:sz w:val="20"/>
          <w:szCs w:val="20"/>
          <w:color w:val="auto"/>
        </w:rPr>
      </w:pPr>
    </w:p>
    <w:p>
      <w:pPr>
        <w:ind w:firstLine="494"/>
        <w:spacing w:after="0" w:line="251" w:lineRule="auto"/>
        <w:rPr>
          <w:sz w:val="20"/>
          <w:szCs w:val="20"/>
          <w:color w:val="auto"/>
        </w:rPr>
      </w:pPr>
      <w:r>
        <w:rPr>
          <w:rFonts w:ascii="Arial" w:cs="Arial" w:eastAsia="Arial" w:hAnsi="Arial"/>
          <w:sz w:val="17"/>
          <w:szCs w:val="17"/>
          <w:color w:val="auto"/>
        </w:rPr>
        <w:t>We have funded our operations since inception primarily through equity financings and cash from operations. We intend to continue to make investments to support our business, which may require us to engage in equity, equity-linked or debt financings to secure additional funds. Additional financing may not be available on terms favorable to us, if at all. The market prices for other technology companies have been highly volatile, which may also reduce our ability to access capital on favorable terms or at all and adversely impact the market price of our Class A common stock. If adequate funds are not available on acceptable terms, we may be unable to invest in future growth opportunities, which could harm our business, operating results, financial condition and prospects. If we incur debt, the debt holders would have rights senior to holders of our Class A common stock to make claims on our assets, and the terms of any debt could restrict our operations, including our ability to pay dividends on our Class A common stock in the future. Furthermore, if we issue additional equity securities, stockholders will experience dilution, and the new equity securities could have rights senior to those of our Class A common stock.</w:t>
      </w:r>
    </w:p>
    <w:p>
      <w:pPr>
        <w:spacing w:after="0" w:line="88" w:lineRule="exact"/>
        <w:rPr>
          <w:sz w:val="20"/>
          <w:szCs w:val="20"/>
          <w:color w:val="auto"/>
        </w:rPr>
      </w:pPr>
    </w:p>
    <w:p>
      <w:pPr>
        <w:jc w:val="both"/>
        <w:ind w:firstLine="494"/>
        <w:spacing w:after="0" w:line="261" w:lineRule="auto"/>
        <w:rPr>
          <w:sz w:val="20"/>
          <w:szCs w:val="20"/>
          <w:color w:val="auto"/>
        </w:rPr>
      </w:pPr>
      <w:r>
        <w:rPr>
          <w:rFonts w:ascii="Arial" w:cs="Arial" w:eastAsia="Arial" w:hAnsi="Arial"/>
          <w:sz w:val="17"/>
          <w:szCs w:val="17"/>
          <w:color w:val="auto"/>
        </w:rPr>
        <w:t>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market price of our Class A common stock and diluting their interests.</w:t>
      </w:r>
    </w:p>
    <w:p>
      <w:pPr>
        <w:spacing w:after="0" w:line="16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Natural catastrophic events, pandemics and man-made problems such as power disruptions, computer viruses, security breaches and incidents and terrorism may disrupt our business.</w:t>
      </w:r>
    </w:p>
    <w:p>
      <w:pPr>
        <w:spacing w:after="0" w:line="67" w:lineRule="exact"/>
        <w:rPr>
          <w:sz w:val="20"/>
          <w:szCs w:val="20"/>
          <w:color w:val="auto"/>
        </w:rPr>
      </w:pPr>
    </w:p>
    <w:p>
      <w:pPr>
        <w:ind w:right="120" w:firstLine="494"/>
        <w:spacing w:after="0" w:line="234" w:lineRule="auto"/>
        <w:rPr>
          <w:sz w:val="20"/>
          <w:szCs w:val="20"/>
          <w:color w:val="auto"/>
        </w:rPr>
      </w:pPr>
      <w:r>
        <w:rPr>
          <w:rFonts w:ascii="Arial" w:cs="Arial" w:eastAsia="Arial" w:hAnsi="Arial"/>
          <w:sz w:val="18"/>
          <w:szCs w:val="18"/>
          <w:color w:val="auto"/>
        </w:rPr>
        <w:t>Natural disasters, pandemics or other catastrophic events may cause damage or disruption to our operations, commerce in general and the global economy, and thus could harm our business. Our headquarters are located in Charlotte, North Carolina, and we have a large employee presence in the United States, Toronto, Canada and Delhi, India. In the event of a major earthquake, hurricane or catastrophic event such as fire, power loss, telecommunications failure, vandalism, cyber-attack, war or terrorist attack affecting regions where we maintain operations or where our data centers are located, we may be unable to continue our operations and may endure system interruptions, reputational harm, delays in our application development, lengthy interruptions in our services, breaches of data security, security incidents, and unauthorized access to or loss, disclosure, modification, misuse, corruption, unavailability, or destruction of critical data, any of which could harm our business, operating results and financial condition. In addition, most of our employees currently work remotely. Given these widespread remote work arrangements, if a natural disaster, power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30" w:name="page31"/>
    <w:bookmarkEnd w:id="30"/>
    <w:p>
      <w:pPr>
        <w:ind w:right="240"/>
        <w:spacing w:after="0" w:line="245" w:lineRule="auto"/>
        <w:rPr>
          <w:sz w:val="20"/>
          <w:szCs w:val="20"/>
          <w:color w:val="auto"/>
        </w:rPr>
      </w:pPr>
      <w:r>
        <w:rPr>
          <w:rFonts w:ascii="Arial" w:cs="Arial" w:eastAsia="Arial" w:hAnsi="Arial"/>
          <w:sz w:val="18"/>
          <w:szCs w:val="18"/>
          <w:color w:val="auto"/>
        </w:rPr>
        <w:t>outage, connectivity issue or other event occurs that impacts our employees’ ability to work remotely, it may be difficult or, in certain cases, impossible, for us to continue our business for a substantial period of time.</w:t>
      </w:r>
    </w:p>
    <w:p>
      <w:pPr>
        <w:spacing w:after="0" w:line="90"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Additionally, as computer malware, viruses, computer hacking, intrusions, ransomware attacks, denial-of-service attacks, social engineering attacks, fraudulent use attempts, phishing attacks and other security breaches and incidents have become more prevalent, we, and third parties upon which we rely, face increased risk in maintaining the performance, reliability, security and availability of our solutions and related services and technical infrastructure to the satisfaction of our billers, financial institutions, partners and consumers. Any computer malware, viruses, computer hacking, intrusions, ransomware attacks, denial-of-service attacks, social engineering attacks, fraudulent use attempts, phishing attacks or other security breaches and incidents related to our network infrastructure or information technology systems or to computer hardware we lease from third parties, could, among other things, harm our reputation and our ability to retain existing billers, financial institutions and partners and attract new billers, financial institutions and partners.</w:t>
      </w:r>
    </w:p>
    <w:p>
      <w:pPr>
        <w:spacing w:after="0" w:line="98"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In addition, the insurance we maintain may be insufficient to cover our losses resulting from disasters, cyber-attacks or other business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operating results, financial condition and reputation.</w:t>
      </w:r>
    </w:p>
    <w:p>
      <w:pPr>
        <w:spacing w:after="0" w:line="18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Any future litigation, investigations or similar matters, or adverse facts and developments related thereto, could adversely affect our business, operating results and financial condition.</w:t>
      </w:r>
    </w:p>
    <w:p>
      <w:pPr>
        <w:spacing w:after="0" w:line="67" w:lineRule="exact"/>
        <w:rPr>
          <w:sz w:val="20"/>
          <w:szCs w:val="20"/>
          <w:color w:val="auto"/>
        </w:rPr>
      </w:pPr>
    </w:p>
    <w:p>
      <w:pPr>
        <w:ind w:right="220" w:firstLine="494"/>
        <w:spacing w:after="0" w:line="236" w:lineRule="auto"/>
        <w:rPr>
          <w:sz w:val="20"/>
          <w:szCs w:val="20"/>
          <w:color w:val="auto"/>
        </w:rPr>
      </w:pPr>
      <w:r>
        <w:rPr>
          <w:rFonts w:ascii="Arial" w:cs="Arial" w:eastAsia="Arial" w:hAnsi="Arial"/>
          <w:sz w:val="18"/>
          <w:szCs w:val="18"/>
          <w:color w:val="auto"/>
        </w:rPr>
        <w:t>We have in the past and may in the future become subject to legal proceedings, claims, investigations or similar matters that arise in the ordinary course of business, such as claims brought by our billers or their consumers in connection with commercial disputes, employment claims made by our current or former employees or claims regarding misappropriation of consumer data. Litigation, investigations or similar matters might result in substantial costs and may divert management’s attention and resources, which might seriously harm our business, operating results and financial condition. Insurance might not cover such matters, might not provide sufficient payments to cover all the costs to resolve one or more such matters and might not continue to be available on terms acceptable to us. A claim brought against us that is uninsured or underinsured could result in unanticipated costs, thereby reducing our operating results and leading analysts or potential investors to reduce their expectations of our performance, which could reduce the market price of our Class A common stock.</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Regulation</w:t>
      </w:r>
    </w:p>
    <w:p>
      <w:pPr>
        <w:spacing w:after="0" w:line="103"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and any failure by us to comply could materially harm our business.</w:t>
      </w:r>
    </w:p>
    <w:p>
      <w:pPr>
        <w:spacing w:after="0" w:line="67" w:lineRule="exact"/>
        <w:rPr>
          <w:sz w:val="20"/>
          <w:szCs w:val="20"/>
          <w:color w:val="auto"/>
        </w:rPr>
      </w:pPr>
    </w:p>
    <w:p>
      <w:pPr>
        <w:ind w:firstLine="494"/>
        <w:spacing w:after="0" w:line="234" w:lineRule="auto"/>
        <w:rPr>
          <w:sz w:val="20"/>
          <w:szCs w:val="20"/>
          <w:color w:val="auto"/>
        </w:rPr>
      </w:pPr>
      <w:r>
        <w:rPr>
          <w:rFonts w:ascii="Arial" w:cs="Arial" w:eastAsia="Arial" w:hAnsi="Arial"/>
          <w:sz w:val="18"/>
          <w:szCs w:val="18"/>
          <w:color w:val="auto"/>
        </w:rPr>
        <w:t>The local, state and federal laws, rules, regulations, licensing schemes and industry standards that govern our business, both directly and through our relationships with banks, card networks and other financial services partners, include, or may in the future include, those relating to payments services, such as payment processing and settlement services, anti-money laundering, combating terrorist financing, escheatment, international sanctions regimes and compliance with the Payment Card Industry Data Security Standard, or PCI-DSS, a set of requirements designed to ensure that all companies that process, store or transmit payment card information maintain a secure environment to protect cardholder data. We do not directly collect or store payment card information; instead, we rely on a third-party payment processor to do so. These laws, rules, regulations, licensing schemes and standards are enforced by multiple authorities and governing bodies in the United States, including the Department of the Treasury, self-regulatory organizations and numerous state and local agencies. Currently, we do not possess any permits or licenses from financial regulators. We believe the licensing requirements of federal and state agencies that regulate or monitor banks or other types of providers of electronic commerce services do not apply to us. While our business itself is not currently subject to financial services-related regulation, and we have received confirmation from multiple state regulators that we are not required to obtain money transmitter licenses in those states, the banks, payment networks and card networks that we partner with operate in a highly regulated landscape and there is a risk that those regulations could become directly applicable to us. As we expand into new jurisdictions, the number of foreign laws, rules, regulations, licensing schemes and standards governing our business will expand as well. In addition, as our business and products continue to develop and expand, we may become subject to additional laws, rules, regulations, licensing schemes and standards. For example, the Consumer Financial Protection Bureau, or CFPB, and several states have recently provided guidance or prohibitions against the use of convenience or similar “pay-to-pay” fees in certain industries that may impact us and our billers.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31" w:name="page32"/>
    <w:bookmarkEnd w:id="31"/>
    <w:p>
      <w:pPr>
        <w:ind w:firstLine="494"/>
        <w:spacing w:after="0" w:line="236" w:lineRule="auto"/>
        <w:rPr>
          <w:sz w:val="20"/>
          <w:szCs w:val="20"/>
          <w:color w:val="auto"/>
        </w:rPr>
      </w:pPr>
      <w:r>
        <w:rPr>
          <w:rFonts w:ascii="Arial" w:cs="Arial" w:eastAsia="Arial" w:hAnsi="Arial"/>
          <w:sz w:val="18"/>
          <w:szCs w:val="18"/>
          <w:color w:val="auto"/>
        </w:rPr>
        <w:t>In the future, as a result of the regulations that are or may become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certifications or regulatory approvals. There can be no assurance that we will be able to successfully implement changes to our business practices or obtain or maintain any such licenses, certifications or regulatory approvals, and, even if we were able to do so, there could be substantial costs and potential product changes involved in obtaining, maintaining and renewing such licenses, certifications and approvals, which could have a material and adverse effect on our business. In addition, we could be subject to fines or other enforcement action if we are found to violate disclosure, reporting, anti-money laundering, capitalization, corporate governance or other requirements of such licenses, certifications or approvals. These factors could impose substantial additional costs, involve considerable delay to the development or provision of our products or services, require significant and costly operational changes or prevent us from providing our products or services in any given market.</w:t>
      </w:r>
    </w:p>
    <w:p>
      <w:pPr>
        <w:spacing w:after="0" w:line="18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We are required to comply with payment network operating rules, and changes to such rules or payment network fees could harm our business.</w:t>
      </w:r>
    </w:p>
    <w:p>
      <w:pPr>
        <w:spacing w:after="0" w:line="67"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Payment networks, such as Visa, Mastercard, American Express, NACHA and INTERAC, establish their own rules and standards that allocate liabilities and responsibilities among the payment networks and their participants. These rules and standards, including PCI-DSS, govern a variety of areas, including how consumers may use their cards, the security features of cards, security standards for processing, data protection and information security and allocation of liability for certain acts or omissions, including liability in the event of a data breach. Participants are subject to audits by the payment networks to ensure compliance with applicable rules and standards.</w:t>
      </w:r>
    </w:p>
    <w:p>
      <w:pPr>
        <w:spacing w:after="0" w:line="97"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We are required to comply with card network operating rules and have agreed to reimburse our service providers for any fines they are assessed by payment networks as a result of any rule violations by us. We may also be directly liable to the payment networks for rule violations. The payment networks set and interpret the card operating rules. The payment networks could adopt new operating rules or interpret or reinterpret existing rules that we or our processors might find difficult or even impossible to follow or costly to implement.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For example, changes in the payment network rules regarding chargebacks may affect our ability to dispute chargebacks and the amount of losses we incur from chargebacks. If we fail to make such changes or otherwise resolve the issue with the payment networks, the networks could pass on fines and assessments in respect of fraud or chargebacks related to our merchants or disqualify us from processing transactions if satisfactory controls are not maintained, which could have a material adverse effect on our business, operating results and financial condition. As a result of any violations of rules or new rules being implemented, the networks may fine, penalize or suspend the registration of participants for certain acts or omissions or the failure of the participants to comply with applicable rules and standards, existing billers, partners or other third parties may cease using or referring our services, prospective billers, partners or other third parties may choose to terminate negotiations with us, or delay or choose not to consider us for their processing needs, and the networks could refuse to allow us to process payments through their networks. Any of the foregoing could materially adversely impact our business, operating results and financial condition.</w:t>
      </w:r>
    </w:p>
    <w:p>
      <w:pPr>
        <w:spacing w:after="0" w:line="101" w:lineRule="exact"/>
        <w:rPr>
          <w:sz w:val="20"/>
          <w:szCs w:val="20"/>
          <w:color w:val="auto"/>
        </w:rPr>
      </w:pPr>
    </w:p>
    <w:p>
      <w:pPr>
        <w:ind w:right="60" w:firstLine="494"/>
        <w:spacing w:after="0" w:line="236" w:lineRule="auto"/>
        <w:rPr>
          <w:sz w:val="20"/>
          <w:szCs w:val="20"/>
          <w:color w:val="auto"/>
        </w:rPr>
      </w:pPr>
      <w:r>
        <w:rPr>
          <w:rFonts w:ascii="Arial" w:cs="Arial" w:eastAsia="Arial" w:hAnsi="Arial"/>
          <w:sz w:val="18"/>
          <w:szCs w:val="18"/>
          <w:color w:val="auto"/>
        </w:rPr>
        <w:t>From time to time, these networks increase the fees that they charge payment processors. We could attempt to pass these increases along to our billers, but this strategy might result in the loss of billers to competing solutions. If competitive practices prevent us from passing along the higher fees to our billers in the future, we may have to absorb all or a portion of such increases, which may increase our operating costs and reduce our earnings. In addition, regulators are subjecting interchange and other fees to increased scrutiny, and new regulations could require greater pricing transparency of the breakdown in fees or fee limitations, which could lead to increased price-based competition, lower margins and higher rates of biller attrition and negatively affect our business, operating results and financial condition. As a result of any increased fees, such payments could become prohibitively expensive for us or for our billers.</w:t>
      </w:r>
    </w:p>
    <w:p>
      <w:pPr>
        <w:spacing w:after="0" w:line="18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b w:val="1"/>
          <w:bCs w:val="1"/>
          <w:i w:val="1"/>
          <w:iCs w:val="1"/>
          <w:color w:val="auto"/>
        </w:rPr>
        <w:t>We are subject to U.S. and foreign governmental laws, regulations, rules, standards, policies, contractual obligations and other legal obligations, particularly those related to privacy, data protection and information security, and our actual or perceived failure to comply with such obligations could harm our business, by resulting in litigation, fines, penalties, increased costs or adverse publicity and reputational damage that may negatively affect the value of our business and decrease the market price of our Class A common stock.</w:t>
      </w:r>
    </w:p>
    <w:p>
      <w:pPr>
        <w:spacing w:after="0" w:line="93" w:lineRule="exact"/>
        <w:rPr>
          <w:sz w:val="20"/>
          <w:szCs w:val="20"/>
          <w:color w:val="auto"/>
        </w:rPr>
      </w:pPr>
    </w:p>
    <w:p>
      <w:pPr>
        <w:ind w:right="140" w:firstLine="494"/>
        <w:spacing w:after="0" w:line="234" w:lineRule="auto"/>
        <w:rPr>
          <w:sz w:val="20"/>
          <w:szCs w:val="20"/>
          <w:color w:val="auto"/>
        </w:rPr>
      </w:pPr>
      <w:r>
        <w:rPr>
          <w:rFonts w:ascii="Arial" w:cs="Arial" w:eastAsia="Arial" w:hAnsi="Arial"/>
          <w:sz w:val="18"/>
          <w:szCs w:val="18"/>
          <w:color w:val="auto"/>
        </w:rPr>
        <w:t>Our billers, financial institutions and consumers store personal and business information, financial information and other sensitive information on our platform. In addition, we receive, store, handle, transmit, use and otherwise process personal and business information and other data from and about actual and prospective billers and financial institutions, as well as our employees and service providers. As a result, we are subject to a variety of laws, rules and regulations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32" w:name="page33"/>
    <w:bookmarkEnd w:id="32"/>
    <w:p>
      <w:pPr>
        <w:ind w:right="20"/>
        <w:spacing w:after="0" w:line="237" w:lineRule="auto"/>
        <w:rPr>
          <w:sz w:val="20"/>
          <w:szCs w:val="20"/>
          <w:color w:val="auto"/>
        </w:rPr>
      </w:pPr>
      <w:r>
        <w:rPr>
          <w:rFonts w:ascii="Arial" w:cs="Arial" w:eastAsia="Arial" w:hAnsi="Arial"/>
          <w:sz w:val="18"/>
          <w:szCs w:val="18"/>
          <w:color w:val="auto"/>
        </w:rPr>
        <w:t>relating to privacy, data protection and information security, including regulation by various governmental authorities, such as the FTC, and various state, local and foreign agencies. Our data handling and processing activities are also subject to contractual obligations and industry standard requirements. The legislative and regulatory landscapes for privacy, data protection and information security continue to evolve in jurisdictions worldwide, with an increasing focus on privacy and data protection issues with the potential to affect our business. Failure to comply with any of these laws or regulations could result in litigation, enforcement actions, damages, fines, penalties or adverse publicity and reputational damage, any of which could have a material adverse effect on our business, operating results and financial condition.</w:t>
      </w:r>
    </w:p>
    <w:p>
      <w:pPr>
        <w:spacing w:after="0" w:line="95" w:lineRule="exact"/>
        <w:rPr>
          <w:sz w:val="20"/>
          <w:szCs w:val="20"/>
          <w:color w:val="auto"/>
        </w:rPr>
      </w:pPr>
    </w:p>
    <w:p>
      <w:pPr>
        <w:ind w:right="200" w:firstLine="494"/>
        <w:spacing w:after="0" w:line="236" w:lineRule="auto"/>
        <w:rPr>
          <w:sz w:val="20"/>
          <w:szCs w:val="20"/>
          <w:color w:val="auto"/>
        </w:rPr>
      </w:pPr>
      <w:r>
        <w:rPr>
          <w:rFonts w:ascii="Arial" w:cs="Arial" w:eastAsia="Arial" w:hAnsi="Arial"/>
          <w:sz w:val="18"/>
          <w:szCs w:val="18"/>
          <w:color w:val="auto"/>
        </w:rPr>
        <w:t>The U.S. federal and various state and foreign governments have also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security, collection, processing, storage, use, disclosure and other processing of certain types of data, including the Electronic Communications Privacy Act, the Computer Fraud and Abuse Act, the Gramm Leach Bliley Act, and state and local laws relating to privacy and data security. Additionally, the FTC and many state attorneys general have interpreted and are continuing to interpret federal and state consumer protection laws to impose standards for the online collection, use, dissemination, processing and security of data.</w:t>
      </w:r>
    </w:p>
    <w:p>
      <w:pPr>
        <w:spacing w:after="0" w:line="99"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In addition, many states in which we operate have laws that protect the privacy and security of sensitive and personal data and are considering or enacting new laws. Certain U.S. state laws may be more stringent or broader in scope, or offer greater individual rights, with respect to sensitive and personal information than international, federal, or other state laws, and such laws may differ from each other, which may complicate compliance efforts. For example, in June 2018, California enacted the CCPA, which became operative on January 1, 2020 and broadly defines personal information, gives California residents expanded privacy rights and protections, including the right to access and delete certain personal information, as well as the right to opt-out of certain sales of personal information, and provides for civil penalties for violations and a private right of action for data breaches. This private right of action may increase the likelihood of, and risks associated with, data breach litigation. Additionally, the CPRA, was passed in November 2020. Effective as of January 1, 2023, the CPRA imposes additional obligations on companies covered by the legislation and significantly modifies the CCPA, including by expanding California residents’ rights with respect to certain sensitive personal information. The CPRA also created a new state agency that is vested with authority to implement and enforce the CCPA and the CPRA. The interpretation and enforcement of the CCPA and many aspects of the CPRA remain unclear, and the effects of the CCPA and the CPRA potentially are significant and may require us to modify our data collection or processing practices and policies and to incur substantial costs and expenses in an effort to comply and increase our potential exposure to regulatory enforcement and sanctions and litigation.</w:t>
      </w:r>
    </w:p>
    <w:p>
      <w:pPr>
        <w:spacing w:after="0" w:line="102"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Certain other state laws impose similar privacy obligations, and all 50 states have laws including obligations to provide notification of security breaches of computer databases that contain personal information to affected individuals, state officers and others. For example, the CCPA has prompted the enactment of several new state laws or amendments of existing state laws, such as in New York, Nevada, Virginia, Colorado, Connecticut and Utah. These laws could mark the beginning of a trend toward more stringent privacy legislation in other U.S. states and have prompted a number of proposals for new federal and state-level privacy legislation. This legislation, if passed,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w:t>
      </w:r>
    </w:p>
    <w:p>
      <w:pPr>
        <w:spacing w:after="0" w:line="98" w:lineRule="exact"/>
        <w:rPr>
          <w:sz w:val="20"/>
          <w:szCs w:val="20"/>
          <w:color w:val="auto"/>
        </w:rPr>
      </w:pPr>
    </w:p>
    <w:p>
      <w:pPr>
        <w:ind w:right="20" w:firstLine="494"/>
        <w:spacing w:after="0" w:line="234" w:lineRule="auto"/>
        <w:rPr>
          <w:sz w:val="20"/>
          <w:szCs w:val="20"/>
          <w:color w:val="auto"/>
        </w:rPr>
      </w:pPr>
      <w:r>
        <w:rPr>
          <w:rFonts w:ascii="Arial" w:cs="Arial" w:eastAsia="Arial" w:hAnsi="Arial"/>
          <w:sz w:val="18"/>
          <w:szCs w:val="18"/>
          <w:color w:val="auto"/>
        </w:rPr>
        <w:t>In addition, several foreign countries and governmental bodies, including the EU, have established their own laws, rules and regulations addressing privacy, data protection and information security with regard to the handling and processing of sensitive and personal data obtained from their residents with which we or our billers, financial institutions or partners may need to comply. These laws and regulations are in certain cases more restrictive than those in the United States. Laws and regulations in these jurisdictions apply broadly to the collection, use, storage, disclosure and security of various types of data, including data that identifies or may be used to identify an individual, such as names, email addresses and in some jurisdictions, IP addresses. The EU’s privacy, data protection and information security landscapes are currently evolving, resulting in possible significant operational costs for internal compliance and risk to our business. Within the EU, the GDPR, which went into effect in May 2018, contains numerous requirements and changes from previously existing EU law, including more robust, direct obligations on data processors in addition to data controllers, heavier documentation requirements for data protection compliance programs by companies and significantly increases the level of sanctions for non-compliance as compared to previous EU data protection law. In particular, under the GDPR, EU data protection authorities have the power to impose administrative fines for violations of the GDPR of up to a maximum of €20 million or 4% of the data controller’s or data processor’s total global turnover for the preceding fiscal year, whichever is higher, and violations of the GDPR may also lead to damages claims by data controllers and data subjects. Such penalties are in addition to any civil litigation claims by data controllers, customers and data subjects. We have taken steps to comply with applicable portions of the GDPR, but we cannot assure you that such steps will be sufficient and we may still face the risk of liability under the GDPR. The laws and regulations relating to privacy, data</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33" w:name="page34"/>
    <w:bookmarkEnd w:id="33"/>
    <w:p>
      <w:pPr>
        <w:ind w:right="20"/>
        <w:spacing w:after="0" w:line="245" w:lineRule="auto"/>
        <w:rPr>
          <w:sz w:val="20"/>
          <w:szCs w:val="20"/>
          <w:color w:val="auto"/>
        </w:rPr>
      </w:pPr>
      <w:r>
        <w:rPr>
          <w:rFonts w:ascii="Arial" w:cs="Arial" w:eastAsia="Arial" w:hAnsi="Arial"/>
          <w:sz w:val="18"/>
          <w:szCs w:val="18"/>
          <w:color w:val="auto"/>
        </w:rPr>
        <w:t>protection and information security are evolving, can be subject to significant change, and may result in ever-increasing regulatory and public scrutiny and escalating levels of enforcement and sanctions.</w:t>
      </w:r>
    </w:p>
    <w:p>
      <w:pPr>
        <w:spacing w:after="0" w:line="90"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We are also subject to certain obligations under HIPAA, as amended by HITECH, as well as certain state laws and related contractual obligations. HIPAA imposes obligations on certain covered entity healthcare providers, health plans and healthcare clearinghouses, as well as on business associates, like us,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97"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The scope and interpretation of the laws and regulations relating to privacy, data protection and information security that are or may be applicable to us are often uncertain and may be conflicting, as a result of the rapidly evolving regulatory framework for privacy issues worldwide. It is possible that these laws, regulations, rules, self-regulatory standards and other actual or alleged legal obligations may be interpreted and applied in a manner that is inconsistent with our existing data management practices, solutions or platform capabilities. For example, laws relating to the liability of providers of online services for activities of their users and other third parties are currently being tested by a number of claims, including actions based on invasion of privacy and other torts, unfair competition, copyright and trademark infringement, and other theories based on the nature and content of the materials searched, the ads posted or the content provided by users. As a result of the laws that are or may be applicable to us, and due to the sensitive nature of the information we collect, we have implemented policies and procedures to preserve and protect our data and our platform users’ data against loss, misuse, corruption, misappropriation caused by systems failures or unauthorized access. If our policies, procedures or measures relating to privacy, data protection, information security or the processing of data for marketing purposes or consumer communications fail to comply with laws, regulations, policies, legal obligations or industry standards, we may be subject to governmental enforcement actions, litigation, regulatory investigations, fines, penalties and negative publicity, and could cause our application providers, billers, financial institutions and partners to lose trust in us, and have an adverse effect on our business, operating results and financial condition.</w:t>
      </w:r>
    </w:p>
    <w:p>
      <w:pPr>
        <w:spacing w:after="0" w:line="102" w:lineRule="exact"/>
        <w:rPr>
          <w:sz w:val="20"/>
          <w:szCs w:val="20"/>
          <w:color w:val="auto"/>
        </w:rPr>
      </w:pPr>
    </w:p>
    <w:p>
      <w:pPr>
        <w:ind w:right="60" w:firstLine="494"/>
        <w:spacing w:after="0" w:line="253" w:lineRule="auto"/>
        <w:rPr>
          <w:sz w:val="20"/>
          <w:szCs w:val="20"/>
          <w:color w:val="auto"/>
        </w:rPr>
      </w:pPr>
      <w:r>
        <w:rPr>
          <w:rFonts w:ascii="Arial" w:cs="Arial" w:eastAsia="Arial" w:hAnsi="Arial"/>
          <w:sz w:val="17"/>
          <w:szCs w:val="17"/>
          <w:color w:val="auto"/>
        </w:rPr>
        <w:t>In addition to government regulation, privacy advocates and industry groups may propose new and different self-regulatory standards that may apply to us. Because the interpretation and application of privacy, data protection and information security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w:t>
      </w:r>
    </w:p>
    <w:p>
      <w:pPr>
        <w:spacing w:after="0" w:line="85"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Further, any failure or perceived failure by us, or any third parties with which we do business, to comply with laws, regulations, policies (including our publicly posted privacy policies), procedures, measures, legal or contractual obligations, industry standards or regulatory guidance relating to privacy, data protection or information security may result in governmental investigations and enforcement actions, litigation, fines and penalties, or adverse publicity, and could cause our billers, financial institutions and partners to lose trust in us, which could have an adverse effect on our reputation, business, operating results and financial condition. We expect that there will continue to be new proposed laws, regulations and industry standards relating to privacy, data protection, information security, marketing and consumer communications, and we cannot predict the impact such future laws, regulations and standards may have on our business. Future laws, regulations, standards and other obligations or any changed interpretation of existing laws or regulations may be inconsistent among jurisdictions and may conflict with our current or future practices, which could impair our ability to develop and market new functionality and maintain and grow our biller and financial institution base and increase revenue. Additionally, our billers, financial institutions or partners may be subject to differing privacy laws, rules and legislation, which may mean that they require us to be bound by varying contractual requirements applicable to certain other jurisdictions. Future restrictions on the collection, use, processing, storage, sharing or disclosure of various types of data, including financial information and other personal data, or additional requirements for express or implied consent of our billers, financial institutions, partners or consumers for the collection, use, processing, storage, sharing and disclosure of such information could require us to incur additional costs or modify our platform, possibly in a material manner, and could limit our ability to develop new functionality. Complying with these requirements and changing our policies and practices may be onerous and costly, and we may not be able to respond quickly or effectively to regulatory, legislative and other developments.</w:t>
      </w:r>
    </w:p>
    <w:p>
      <w:pPr>
        <w:spacing w:after="0" w:line="101" w:lineRule="exact"/>
        <w:rPr>
          <w:sz w:val="20"/>
          <w:szCs w:val="20"/>
          <w:color w:val="auto"/>
        </w:rPr>
      </w:pPr>
    </w:p>
    <w:p>
      <w:pPr>
        <w:ind w:right="20" w:firstLine="494"/>
        <w:spacing w:after="0" w:line="234"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including through fines and litigation, and we may be forced to implement new measures to reduce our exposure to this liability. This may require us to expend substantial resources or to discontinue certain products, which would negatively affect our business, operating results and financial condition.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2" w:right="379" w:bottom="1440" w:gutter="0" w:footer="0" w:header="0"/>
        </w:sectPr>
      </w:pPr>
    </w:p>
    <w:bookmarkStart w:id="34" w:name="page35"/>
    <w:bookmarkEnd w:id="34"/>
    <w:p>
      <w:pPr>
        <w:ind w:right="120"/>
        <w:spacing w:after="0" w:line="252" w:lineRule="auto"/>
        <w:rPr>
          <w:sz w:val="20"/>
          <w:szCs w:val="20"/>
          <w:color w:val="auto"/>
        </w:rPr>
      </w:pPr>
      <w:r>
        <w:rPr>
          <w:rFonts w:ascii="Arial" w:cs="Arial" w:eastAsia="Arial" w:hAnsi="Arial"/>
          <w:sz w:val="18"/>
          <w:szCs w:val="18"/>
          <w:b w:val="1"/>
          <w:bCs w:val="1"/>
          <w:i w:val="1"/>
          <w:iCs w:val="1"/>
          <w:color w:val="auto"/>
        </w:rPr>
        <w:t>Our and our billers’ and partners’ communications with existing and potential consumers are subject to laws regulating telephone and email marketing practices, and our or their failure to comply with such communications laws could adversely affect our business, operating results and financial condition and significantly harm our reputation.</w:t>
      </w:r>
    </w:p>
    <w:p>
      <w:pPr>
        <w:spacing w:after="0" w:line="85"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Our platform enables our billers and partners to communicate directly with their consumers, including via email, text messages and telephone calls. Our platform also enables recording and monitoring of calls between our billers and partners and their consumers for training and quality assurance purposes. On occasion we also send communications directly to consumers. These activities are subject to a variety of U.S. state and federal laws, rules and regulations, such as the TCPA, the CAN-SPAM Act, and others related to telemarketing, recording and monitoring of communications. The TCPA prohibits companies from making telemarketing calls to numbers listed in the Federal Do-Not-Call Registry and imposes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The TCPA, the CAN-SPAM Act and other communications laws, rules and regulations are subject to varying interpretations by courts and governmental authorities and often require subjective interpretation, making it difficult to predict their application and therefore making compliance efforts more challenging. We and our billers and partners may be required to comply with these and similar laws, rules and regulations. To comply with these laws, rules and regulations, in some cases we rely on our billers and partners to obtain legally required consents from their consumers to receive communications sent using our platform. We cannot, however, be certain that our or their efforts to comply will always be successful. Our business could be adversely affected by changes to the application or interpretation of existing laws, rules and regulations governing our platform’s communication capabilities, or the enactment of new laws, rules and regulations, and by our and our billers’ and partners’ failure to comply with such laws, rules and regulations in using our platform. If any of these laws, rules or regulations were to significantly restrict our or our billers’ or partners’ ability to use our platform to communicate with existing and potential consumers, we may not be able to develop adequate alternative communication modules for our platform. Further, our or our billers’ or partners’ non-compliance with these laws, rules and regulations could result in significant financial penalties, litigation, including class action litigation, consent decrees and injunctions, adverse publicity and other negative consequences, any of which could adversely affect our business, operating results and financial condition and significantly harm our reputation.</w:t>
      </w:r>
    </w:p>
    <w:p>
      <w:pPr>
        <w:spacing w:after="0" w:line="185"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i w:val="1"/>
          <w:iCs w:val="1"/>
          <w:color w:val="auto"/>
        </w:rPr>
        <w:t>If we fail to comply with extensive, complex, overlapping and frequently changing rules, regulations, standards and legal interpretations, our business could be materially harmed.</w:t>
      </w:r>
    </w:p>
    <w:p>
      <w:pPr>
        <w:spacing w:after="0" w:line="67" w:lineRule="exact"/>
        <w:rPr>
          <w:sz w:val="20"/>
          <w:szCs w:val="20"/>
          <w:color w:val="auto"/>
        </w:rPr>
      </w:pPr>
    </w:p>
    <w:p>
      <w:pPr>
        <w:ind w:right="20" w:firstLine="494"/>
        <w:spacing w:after="0" w:line="235" w:lineRule="auto"/>
        <w:rPr>
          <w:sz w:val="20"/>
          <w:szCs w:val="20"/>
          <w:color w:val="auto"/>
        </w:rPr>
      </w:pPr>
      <w:r>
        <w:rPr>
          <w:rFonts w:ascii="Arial" w:cs="Arial" w:eastAsia="Arial" w:hAnsi="Arial"/>
          <w:sz w:val="18"/>
          <w:szCs w:val="18"/>
          <w:color w:val="auto"/>
        </w:rPr>
        <w:t>Our success and increased visibility, and that of the electronic and online billing and payments sector more generally, may result in increased regulatory oversight and enforcement and more restrictive rules and regulations that apply to our business. We are subject to a wide variety of local, state, federal and international laws, rules, regulations, licensing schemes and industry standards in the United States and in other countries in which we operate. These laws, rules, regulations, licensing schemes and standards govern numerous areas that are important to our business. In addition to the payments and financial services-related regulations, and privacy, data protection and information security-related laws, our business is also subject to, without limitation, rules and regulations applicable to securities, labor and employment, immigration, competition and marketing and communications practices. Laws, rules, regulations, licensing schemes and standards applicable to our business are subject to change and evolving interpretations and application, including by means of legislative changes and executive orders, and it can be difficult to predict how they may be applied to our business and the way we conduct our operations, particularly as we introduce new products and services and expand into new jurisdictions. We may not be able to respond quickly or effectively to regulatory, legislative and other developments, and these changes may in turn impair our ability to offer our existing or planned features, products and services and increase our cost of doing business.</w:t>
      </w:r>
    </w:p>
    <w:p>
      <w:pPr>
        <w:spacing w:after="0" w:line="103" w:lineRule="exact"/>
        <w:rPr>
          <w:sz w:val="20"/>
          <w:szCs w:val="20"/>
          <w:color w:val="auto"/>
        </w:rPr>
      </w:pPr>
    </w:p>
    <w:p>
      <w:pPr>
        <w:ind w:right="180" w:firstLine="494"/>
        <w:spacing w:after="0" w:line="238" w:lineRule="auto"/>
        <w:rPr>
          <w:sz w:val="20"/>
          <w:szCs w:val="20"/>
          <w:color w:val="auto"/>
        </w:rPr>
      </w:pPr>
      <w:r>
        <w:rPr>
          <w:rFonts w:ascii="Arial" w:cs="Arial" w:eastAsia="Arial" w:hAnsi="Arial"/>
          <w:sz w:val="18"/>
          <w:szCs w:val="18"/>
          <w:color w:val="auto"/>
        </w:rPr>
        <w:t>There can be no assurance that our employees or contractors will not violate laws, rules, regulations, licensing schemes and industry standards. Any failure or perceived failure by us or our employees or contractors to comply with existing or new laws, rules, regulations, licensing schemes, industry standards or orders of any governmental authority (including changes to or expansion of the interpretation of those laws, regulations, standards or orders), may, among other things:</w:t>
      </w:r>
    </w:p>
    <w:p>
      <w:pPr>
        <w:spacing w:after="0" w:line="96" w:lineRule="exact"/>
        <w:rPr>
          <w:sz w:val="20"/>
          <w:szCs w:val="20"/>
          <w:color w:val="auto"/>
        </w:rPr>
      </w:pPr>
    </w:p>
    <w:p>
      <w:pPr>
        <w:ind w:left="1020" w:right="240" w:hanging="504"/>
        <w:spacing w:after="0" w:line="23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us to significant fines, penalties, criminal and civil lawsuits, license suspension or revocation, forfeiture of significant assets, audits, inquiries, whistleblower complaints, adverse media coverage, investigations and enforcement actions in one or more jurisdictions levied by federal, state, local or foreign regulators, state attorneys general and private plaintiffs who may be acting as private attorneys general pursuant to various applicable federal, state and local laws;</w:t>
      </w:r>
    </w:p>
    <w:p>
      <w:pPr>
        <w:spacing w:after="0" w:line="95"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additional compliance and licensure requirements;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regulatory scrutiny of our business;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5" w:name="page36"/>
    <w:bookmarkEnd w:id="35"/>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operations, product features, quality and breadth and depth of functionality; and</w:t>
      </w:r>
    </w:p>
    <w:p>
      <w:pPr>
        <w:spacing w:after="0" w:line="116" w:lineRule="exact"/>
        <w:rPr>
          <w:rFonts w:ascii="Arial" w:cs="Arial" w:eastAsia="Arial" w:hAnsi="Arial"/>
          <w:sz w:val="18"/>
          <w:szCs w:val="18"/>
          <w:color w:val="auto"/>
        </w:rPr>
      </w:pPr>
    </w:p>
    <w:p>
      <w:pPr>
        <w:ind w:left="1020" w:right="540" w:hanging="504"/>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force us to change our business practices or compliance program, make product or operational changes or delay planned product launches or improvements.</w:t>
      </w:r>
    </w:p>
    <w:p>
      <w:pPr>
        <w:spacing w:after="0" w:line="90" w:lineRule="exact"/>
        <w:rPr>
          <w:sz w:val="20"/>
          <w:szCs w:val="20"/>
          <w:color w:val="auto"/>
        </w:rPr>
      </w:pPr>
    </w:p>
    <w:p>
      <w:pPr>
        <w:ind w:right="260" w:firstLine="494"/>
        <w:spacing w:after="0"/>
        <w:rPr>
          <w:sz w:val="20"/>
          <w:szCs w:val="20"/>
          <w:color w:val="auto"/>
        </w:rPr>
      </w:pPr>
      <w:r>
        <w:rPr>
          <w:rFonts w:ascii="Arial" w:cs="Arial" w:eastAsia="Arial" w:hAnsi="Arial"/>
          <w:sz w:val="18"/>
          <w:szCs w:val="18"/>
          <w:color w:val="auto"/>
        </w:rPr>
        <w:t>The complexity of U.S. federal and state regulatory and enforcement regimes, coupled with the current and potential future scope of our international operations and the evolving regulatory environment, could result in a single event giving rise to many overlapping investigations and legal and regulatory proceedings by multiple government authorities in different jurisdictions.</w:t>
      </w:r>
    </w:p>
    <w:p>
      <w:pPr>
        <w:spacing w:after="0" w:line="94"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Any of the foregoing could, individually or in the aggregate, harm our reputation as a trusted provider, damage our brand and business, cause us to lose existing billers, financial institutions and partners, prevent us from obtaining new billers, financial institutions and partners, require us to expend significant funds to remedy problems caused by breaches and to avert further breaches, expose us to legal risk and potential liability, and adversely affect our business, operating results and financial condition.</w:t>
      </w:r>
    </w:p>
    <w:p>
      <w:pPr>
        <w:spacing w:after="0" w:line="182"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b w:val="1"/>
          <w:bCs w:val="1"/>
          <w:i w:val="1"/>
          <w:iCs w:val="1"/>
          <w:color w:val="auto"/>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fail to remediate any material weaknesses, identify additional material weaknesses, or if we otherwise fail to establish and maintain effective internal control over financial reporting, our ability to accurately and timely report our financial results could be adversely affected.</w:t>
      </w:r>
    </w:p>
    <w:p>
      <w:pPr>
        <w:spacing w:after="0" w:line="93"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We are required to comply with the rules of the SEC implementing Sections 302 and 404 of the Sarbanes-Oxley Act, which require management to certify financial and other information in our quarterly and annual reports and provide an annual management report on the effectiveness of internal control over financial reporting. In addition to disclosing changes that have materially affected, or are reasonably likely to materially affect our internal control over financial reporting on a quarterly basis, we are required to make our first annual assessment of our internal control over financial reporting pursuant to the rules of the SEC implementing Section 404 in this annual report on Form 10-K for the year ended December 31, 2022. However, as an emerging growth company, our independent registered public accounting firm will not be required to attest to the effectiveness of our internal control over financial reporting pursuant to Section 404 until the later of December 31, 2023 (the year following our first annual report required to be filed with the SEC) or the date we are no longer an emerging growth company. If our internal control over financial reporting is not effective, management’s report and our independent registered public accounting firm’s report would be adverse.</w:t>
      </w:r>
    </w:p>
    <w:p>
      <w:pPr>
        <w:spacing w:after="0" w:line="95" w:lineRule="exact"/>
        <w:rPr>
          <w:sz w:val="20"/>
          <w:szCs w:val="20"/>
          <w:color w:val="auto"/>
        </w:rPr>
      </w:pPr>
    </w:p>
    <w:p>
      <w:pPr>
        <w:ind w:right="240" w:firstLine="494"/>
        <w:spacing w:after="0" w:line="245" w:lineRule="auto"/>
        <w:rPr>
          <w:sz w:val="20"/>
          <w:szCs w:val="20"/>
          <w:color w:val="auto"/>
        </w:rPr>
      </w:pPr>
      <w:r>
        <w:rPr>
          <w:rFonts w:ascii="Arial" w:cs="Arial" w:eastAsia="Arial" w:hAnsi="Arial"/>
          <w:sz w:val="18"/>
          <w:szCs w:val="18"/>
          <w:color w:val="auto"/>
        </w:rPr>
        <w:t>As of December 31, 2022, material weaknesses were identified in our internal control over financial reporting were identified. These material weaknesses, as well as our remediation plans, are described in Item 9A of this annual report.</w:t>
      </w:r>
    </w:p>
    <w:p>
      <w:pPr>
        <w:spacing w:after="0" w:line="90"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While we believe our remediation efforts will remediate the material weaknesses, we may not be able to complete our evaluation, testing or any required remediation in a timely fashion, or at all. We cannot provide assurance that the measures we have taken to date and may take in the future will be sufficient to remediate the control deficiencies that led to the identified material weaknesses in internal control over financial reporting or that the measures will prevent or avoid future material weaknesses.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our ability to record, process and report financial information accurately, and to prepare financial statements within the time periods required under SEC rules, could be adversely affected. This may in turn adversely affect our reputation and business and the market price of our Class A common stock. In addition, any such failures could result in litigation or regulatory actions by the SEC or other regulatory authorities, loss of investor confidence, delisting of our Class A common stock and diversion of financial and management resources from the operation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25" w:lineRule="exact"/>
        <w:rPr>
          <w:sz w:val="20"/>
          <w:szCs w:val="20"/>
          <w:color w:val="auto"/>
        </w:rPr>
      </w:pPr>
    </w:p>
    <w:p>
      <w:pPr>
        <w:ind w:right="80" w:firstLine="494"/>
        <w:spacing w:after="0" w:line="234" w:lineRule="auto"/>
        <w:rPr>
          <w:sz w:val="20"/>
          <w:szCs w:val="20"/>
          <w:color w:val="auto"/>
        </w:rPr>
      </w:pPr>
      <w:r>
        <w:rPr>
          <w:rFonts w:ascii="Arial" w:cs="Arial" w:eastAsia="Arial" w:hAnsi="Arial"/>
          <w:sz w:val="18"/>
          <w:szCs w:val="18"/>
          <w:color w:val="auto"/>
        </w:rPr>
        <w:t>We are subject to the requirements of the Securities Exchange Act of 1934, as amended, or the Exchange Act, the Sarbanes-Oxley Act, the Dodd-Frank Wall Street Reform and Consumer Protection Act, the listing requirements of the New York Stock Exchange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are required. As a result, management’s attention may be diverted from other business concerns, which could adversely affect our business and operating results.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36" w:name="page37"/>
    <w:bookmarkEnd w:id="36"/>
    <w:p>
      <w:pPr>
        <w:ind w:right="300"/>
        <w:spacing w:after="0" w:line="245" w:lineRule="auto"/>
        <w:rPr>
          <w:sz w:val="20"/>
          <w:szCs w:val="20"/>
          <w:color w:val="auto"/>
        </w:rPr>
      </w:pPr>
      <w:r>
        <w:rPr>
          <w:rFonts w:ascii="Arial" w:cs="Arial" w:eastAsia="Arial" w:hAnsi="Arial"/>
          <w:sz w:val="18"/>
          <w:szCs w:val="18"/>
          <w:color w:val="auto"/>
        </w:rPr>
        <w:t>We have and may need to continue to hire additional employees or engage outside consultants to comply with these requirements, which has and will increase our costs and expenses.</w:t>
      </w:r>
    </w:p>
    <w:p>
      <w:pPr>
        <w:spacing w:after="0" w:line="90"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or for other reasons, regulatory authorities may initiate legal proceedings against us and our business may be adversely affected.</w:t>
      </w:r>
    </w:p>
    <w:p>
      <w:pPr>
        <w:spacing w:after="0" w:line="95"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These new rules and regulations may make it more expensive for us to maintain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are subject to laws and regulations regarding export control, import, economic and trade sanctions, anti-money laundering and counter-terror financing that could impair our ability to compete in international markets or subject us to criminal or civil liability if we violate them.</w:t>
      </w:r>
    </w:p>
    <w:p>
      <w:pPr>
        <w:spacing w:after="0" w:line="85"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We anticipate expanding internationally as part of our long-term growth strategy and will thus become subject to additional laws and regulations for which we will need to implement new regulatory compliance controls. In some cases, our products are subject to export control laws and regulations, including the Export Administration Regulations administered by the U.S. Department of Commerce, and our activities may be subject to trade and economic sanctions, including U.S. economic and trade sanctions administered by the U.S. Department of Treasury’s Office of Foreign Assets Control, or OFAC, which we collectively refer to as trade controls. As such, a license may be required to export or re-export our products, or provide related services, to certain countries and billers and financial institutions. Further, our products incorporating encryption functionality may be subject to special controls applying to encryption items or certain reporting requirements. The process for obtaining necessary licenses may be time-consuming or unsuccessful, potentially causing delays in sales or losses of sales opportunities.</w:t>
      </w:r>
    </w:p>
    <w:p>
      <w:pPr>
        <w:spacing w:after="0" w:line="96"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Even though we have procedures in place designed to ensure our compliance with trade controls, failure to comply with these controls could subject us to both civil and criminal penalties, including substantial fines, possible incarceration of responsible individuals for willful violations, possible loss of our export or import privileges and reputational harm. Although we have no knowledge that our activities have resulted in violations of trade controls, any failure by us or our partners to comply with applicable laws and regulations would have negative consequences for us, including reputational harm, government investigations and penalties.</w:t>
      </w:r>
    </w:p>
    <w:p>
      <w:pPr>
        <w:spacing w:after="0" w:line="97"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In addition, various countries regulate the import of certain encryption technology, including through import permit and license requirements, and have enacted laws that could limit our ability to distribute our products or could limit billers’ and financial institutions' ability to implement our products in those countries. Changes in our products or changes in export and import regulations in such countries may create delays in the introduction of our products into international markets, prevent billers with international operations from deploying our products globally or, in some cases, prevent or delay the export or import of our products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products by, or in our decreased ability to export or sell our products to, existing or potential billers and financial institutions with international operations. Any decreased use of our products or limitation on our ability to export to or sell our products in international markets could adversely affect our business, operating results and financial condition.</w:t>
      </w:r>
    </w:p>
    <w:p>
      <w:pPr>
        <w:spacing w:after="0" w:line="94" w:lineRule="exact"/>
        <w:rPr>
          <w:sz w:val="20"/>
          <w:szCs w:val="20"/>
          <w:color w:val="auto"/>
        </w:rPr>
      </w:pPr>
    </w:p>
    <w:p>
      <w:pPr>
        <w:ind w:firstLine="494"/>
        <w:spacing w:after="0" w:line="234" w:lineRule="auto"/>
        <w:rPr>
          <w:sz w:val="20"/>
          <w:szCs w:val="20"/>
          <w:color w:val="auto"/>
        </w:rPr>
      </w:pPr>
      <w:r>
        <w:rPr>
          <w:rFonts w:ascii="Arial" w:cs="Arial" w:eastAsia="Arial" w:hAnsi="Arial"/>
          <w:sz w:val="18"/>
          <w:szCs w:val="18"/>
          <w:color w:val="auto"/>
        </w:rPr>
        <w:t>We are also subject to various anti-money laundering and counter-terrorist financing laws and regulations around the world that prohibit, among other things, our involvement in transferring the proceeds of criminal activities. There has been increased scrutiny in the United States and globally regarding compliance with these laws and regulations, which may require us to further revise or expand our compliance program, including the procedures we use to verify the identity of our billers. While we have controls in place that are designed to comply with applicable anti-money laundering and counter-terrorist financing laws and regulations, violations of these laws could subject us to investigations, settlements, prosecution, and other enforcement actions, which could have a material negative impact on our business, financial condition, and results of operations.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2" w:right="379" w:bottom="1440" w:gutter="0" w:footer="0" w:header="0"/>
        </w:sectPr>
      </w:pPr>
    </w:p>
    <w:bookmarkStart w:id="37" w:name="page38"/>
    <w:bookmarkEnd w:id="37"/>
    <w:p>
      <w:pPr>
        <w:ind w:right="220"/>
        <w:spacing w:after="0" w:line="271"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67"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We are subject to the FCPA, U.S. domestic bribery laws and other anti-corruption laws in countries outside of the U.S. where we conduct our activities. Anti-corruption and anti-bribery laws have been enforced aggressively in recent years and are interpreted broadly to generally prohibit companies, their employees, agents, representatives, business partners, and their third-party intermediaries from authorizing, offering or providing, directly or indirectly, improper payments or benefits to recipients in the public or private sector. These laws also require that we keep accurate books and records and maintain internal controls and compliance procedures designed to prevent any such actions. Although we currently only maintain operations in the United States, Canada and India, as we increase our international cross-border business and expand operations abroad, we may engage with business partners and third-party intermediaries to market our services and to obtain necessary permits, licenses and other regulatory approvals. Our operations are dependent in part upon transmission bandwidth provided by third-party network providers and access to co-location facilities to house our servers, which in some countries may be state owned. Similarly, some of our billers and financial institutions may be state-owned, in each case exposing us to potential risks. In addition, we, our employees, agents, representatives, business partners and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agents, representatives, business partners and third-party intermediaries will not take actions in violation of our policies and applicable law, for which we may be ultimately held responsible. As we increase our international business, our risks under these laws may increase.</w:t>
      </w:r>
    </w:p>
    <w:p>
      <w:pPr>
        <w:spacing w:after="0" w:line="101"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management as well as significant defense costs and other professional fees. In addition, allegations or violations of anti-corruption or anti-bribery laws could subject us to whistleblower complaints, investigations, sanctions, settlements, prosecution, enforcement actions, fines, damages, other civil or criminal penalties, injunctions, suspension or debarment from government contracting, reputational harm, adverse media coverage and other collateral consequences, all of which may have an adverse impact on our business, operating results, prospects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operating results.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03" w:lineRule="exact"/>
        <w:rPr>
          <w:sz w:val="20"/>
          <w:szCs w:val="20"/>
          <w:color w:val="auto"/>
        </w:rPr>
      </w:pPr>
    </w:p>
    <w:p>
      <w:pPr>
        <w:ind w:left="1020" w:right="60" w:hanging="504"/>
        <w:spacing w:after="0" w:line="245"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due to differing statutory tax rates in various jurisdictions;</w:t>
      </w:r>
    </w:p>
    <w:p>
      <w:pPr>
        <w:spacing w:after="0" w:line="89" w:lineRule="exact"/>
        <w:rPr>
          <w:rFonts w:ascii="Arial" w:cs="Arial" w:eastAsia="Arial" w:hAnsi="Arial"/>
          <w:sz w:val="18"/>
          <w:szCs w:val="18"/>
          <w:color w:val="auto"/>
        </w:rPr>
      </w:pPr>
    </w:p>
    <w:p>
      <w:pPr>
        <w:ind w:left="1020" w:right="6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thereof, including the Tax Cuts and Jobs Act of 2017, as modified by the Coronavirus Aid, Relief, and Economic Security Act and the Emergency Coronavirus Relief Act and the Inflation Reduction Act of 2022;</w:t>
      </w:r>
    </w:p>
    <w:p>
      <w:pPr>
        <w:spacing w:after="0" w:line="93" w:lineRule="exact"/>
        <w:rPr>
          <w:rFonts w:ascii="Arial" w:cs="Arial" w:eastAsia="Arial" w:hAnsi="Arial"/>
          <w:sz w:val="18"/>
          <w:szCs w:val="18"/>
          <w:color w:val="auto"/>
        </w:rPr>
      </w:pPr>
    </w:p>
    <w:p>
      <w:pPr>
        <w:ind w:left="1020" w:right="10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developments could adversely affect our operating results.</w:t>
      </w:r>
    </w:p>
    <w:p>
      <w:pPr>
        <w:spacing w:after="0" w:line="198" w:lineRule="exact"/>
        <w:rPr>
          <w:sz w:val="20"/>
          <w:szCs w:val="20"/>
          <w:color w:val="auto"/>
        </w:rPr>
      </w:pPr>
    </w:p>
    <w:p>
      <w:pPr>
        <w:ind w:right="120" w:firstLine="300"/>
        <w:spacing w:after="0" w:line="238" w:lineRule="auto"/>
        <w:rPr>
          <w:sz w:val="20"/>
          <w:szCs w:val="20"/>
          <w:color w:val="auto"/>
        </w:rPr>
      </w:pPr>
      <w:r>
        <w:rPr>
          <w:rFonts w:ascii="Arial" w:cs="Arial" w:eastAsia="Arial" w:hAnsi="Arial"/>
          <w:sz w:val="18"/>
          <w:szCs w:val="18"/>
          <w:color w:val="auto"/>
        </w:rPr>
        <w:t>Further, beginning January 1, 2022, the Tax Cuts and Jobs Act of 2017 eliminated the right to deduct research and development expenditures for tax purposes in the period the expenses were incurred and instead requires all U.S. and foreign research and development expenditures to be amortized over five and fifteen tax years, respectively. This provision may materially increase our effective tax rate and reduce our operating cash flows over time as we continue to utilize available net operating losses and tax credits.</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suites, applications and other technologies that are developed by others, including our partners, or if there are performance issues with such third-party systems, our solutions will not operate effectively, we may become less competitive and our business, operating results and financial condition may be harmed.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38" w:name="page39"/>
    <w:bookmarkEnd w:id="38"/>
    <w:p>
      <w:pPr>
        <w:ind w:right="80" w:firstLine="494"/>
        <w:spacing w:after="0" w:line="237" w:lineRule="auto"/>
        <w:rPr>
          <w:sz w:val="20"/>
          <w:szCs w:val="20"/>
          <w:color w:val="auto"/>
        </w:rPr>
      </w:pPr>
      <w:r>
        <w:rPr>
          <w:rFonts w:ascii="Arial" w:cs="Arial" w:eastAsia="Arial" w:hAnsi="Arial"/>
          <w:sz w:val="18"/>
          <w:szCs w:val="18"/>
          <w:color w:val="auto"/>
        </w:rPr>
        <w:t>Our platform must integrate with a variety of software suites, applications and other technologies that are developed by third parties, and we need to continuously modify and enhance our platform to adapt to changes in such software and other technologies. In particular, we have developed our platform to be able to easily integrate with key third-party applications of our software partners. We are typically subject to standard terms and conditions of providers of software or other technology, which govern the distribution and operation of such software and other technologies and are subject to change by such providers from time to time. Our business will be harmed if any provider of such software or other technologies:</w:t>
      </w:r>
    </w:p>
    <w:p>
      <w:pPr>
        <w:spacing w:after="0" w:line="95" w:lineRule="exact"/>
        <w:rPr>
          <w:sz w:val="20"/>
          <w:szCs w:val="20"/>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other technologies;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modifies its terms of service or other legal terms or policies, including fees charged to, or other restrictions on us;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how information is accessed by us or our billers, financial institutions or partners or their consumers;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has performance or other problems that affect the perception of our platform, products or services;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establishes exclusive or more favorable relationships with one or more of our competitors; or</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 or products.</w:t>
      </w:r>
    </w:p>
    <w:p>
      <w:pPr>
        <w:spacing w:after="0" w:line="117"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For example, to deliver a comprehensive solution, our platform integrates with offerings of popular software providers, including Oracle and SAP, through application program interfaces, or APIs, made available by these software providers. If any providers of software or other technologies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platform and harm our business, operating results and financial condition.</w:t>
      </w:r>
    </w:p>
    <w:p>
      <w:pPr>
        <w:spacing w:after="0" w:line="97"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our competitors or competitive products,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software suites, applications and other technologies in the future, our business, results of operations and financial condition would be harmed.</w:t>
      </w:r>
    </w:p>
    <w:p>
      <w:pPr>
        <w:spacing w:after="0" w:line="96" w:lineRule="exact"/>
        <w:rPr>
          <w:sz w:val="20"/>
          <w:szCs w:val="20"/>
          <w:color w:val="auto"/>
        </w:rPr>
      </w:pPr>
    </w:p>
    <w:p>
      <w:pPr>
        <w:ind w:right="80" w:firstLine="494"/>
        <w:spacing w:after="0" w:line="252" w:lineRule="auto"/>
        <w:rPr>
          <w:sz w:val="20"/>
          <w:szCs w:val="20"/>
          <w:color w:val="auto"/>
        </w:rPr>
      </w:pPr>
      <w:r>
        <w:rPr>
          <w:rFonts w:ascii="Arial" w:cs="Arial" w:eastAsia="Arial" w:hAnsi="Arial"/>
          <w:sz w:val="17"/>
          <w:szCs w:val="17"/>
          <w:color w:val="auto"/>
        </w:rPr>
        <w:t>Furthermore, the functionality of our platform also depends on our and our partners’ ability to integrate our platform with their offerings. These partners periodically update and change their systems, and although we have been able to adapt our platform to their evolving needs in the past, there can be no guarantee that we will be able to do so in the future or in a way such that our billers, financial institutions or partners or their consumers are satisfied with the quality of work performed by us or with the technical support services rendered. In particular, if we are unable to adapt to the needs of our partners’ platforms, software and solutions, our billers’, financial institutions' and partners’ operations may be disrupted, which could result in disputes with our billers, financial institutions or partners or their consumers or other third parties and additional costs to address the situation. Additionally, our billers, financial institutions and partners may terminate their relationship with us and we may lose access to large numbers of consumers and biller and financial institution referrals as a result.</w:t>
      </w:r>
    </w:p>
    <w:p>
      <w:pPr>
        <w:spacing w:after="0" w:line="84" w:lineRule="exact"/>
        <w:rPr>
          <w:sz w:val="20"/>
          <w:szCs w:val="20"/>
          <w:color w:val="auto"/>
        </w:rPr>
      </w:pPr>
    </w:p>
    <w:p>
      <w:pPr>
        <w:ind w:right="300" w:firstLine="494"/>
        <w:spacing w:after="0"/>
        <w:rPr>
          <w:sz w:val="20"/>
          <w:szCs w:val="20"/>
          <w:color w:val="auto"/>
        </w:rPr>
      </w:pPr>
      <w:r>
        <w:rPr>
          <w:rFonts w:ascii="Arial" w:cs="Arial" w:eastAsia="Arial" w:hAnsi="Arial"/>
          <w:sz w:val="18"/>
          <w:szCs w:val="18"/>
          <w:color w:val="auto"/>
        </w:rPr>
        <w:t>Any negative publicity related to our solutions, regardless of its accuracy or whether the ultimate cause of any poor performance actually results from our platform, or from the systems of our billers, financial institutions, partners or consumers, may adversely affect our reputation, business, operating results and financial condition.</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Interruptions or delays in the services provided by our third-party data centers or internet service providers could impair the delivery of our platform. Any changes in the systems that these providers make available to us that degrade the functionality of our platform, impose additional costs or requirements on us, or give preferential treatment to competitors’ services, including their own services, could materially and adversely affect usage of our products and services.</w:t>
      </w:r>
    </w:p>
    <w:p>
      <w:pPr>
        <w:spacing w:after="0" w:line="90" w:lineRule="exact"/>
        <w:rPr>
          <w:sz w:val="20"/>
          <w:szCs w:val="20"/>
          <w:color w:val="auto"/>
        </w:rPr>
      </w:pPr>
    </w:p>
    <w:p>
      <w:pPr>
        <w:ind w:firstLine="494"/>
        <w:spacing w:after="0" w:line="234" w:lineRule="auto"/>
        <w:rPr>
          <w:sz w:val="20"/>
          <w:szCs w:val="20"/>
          <w:color w:val="auto"/>
        </w:rPr>
      </w:pPr>
      <w:r>
        <w:rPr>
          <w:rFonts w:ascii="Arial" w:cs="Arial" w:eastAsia="Arial" w:hAnsi="Arial"/>
          <w:sz w:val="18"/>
          <w:szCs w:val="18"/>
          <w:color w:val="auto"/>
        </w:rPr>
        <w:t>Our third-party service providers are ultimately responsible for maintaining their own network security, disaster recovery and system management procedures, and our review processes for such providers may be insufficient to identify, prevent or mitigate adverse events. The owners and operators of our current and future hosting facilities do not guarantee that our billers’ or partners’ or their consumers’ access to our solutions will be uninterrupted, error-free or secure. We or our third-party service providers may experience website disruptions, outages and other performance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39" w:name="page40"/>
    <w:bookmarkEnd w:id="39"/>
    <w:p>
      <w:pPr>
        <w:ind w:right="80"/>
        <w:spacing w:after="0" w:line="254" w:lineRule="auto"/>
        <w:rPr>
          <w:sz w:val="20"/>
          <w:szCs w:val="20"/>
          <w:color w:val="auto"/>
        </w:rPr>
      </w:pPr>
      <w:r>
        <w:rPr>
          <w:rFonts w:ascii="Arial" w:cs="Arial" w:eastAsia="Arial" w:hAnsi="Arial"/>
          <w:sz w:val="17"/>
          <w:szCs w:val="17"/>
          <w:color w:val="auto"/>
        </w:rPr>
        <w:t>problems. We have periodically experienced service disruptions in the past, and we cannot assure you that we will not experience service interruptions or delays in the future. We depend on our third-party service providers to protect their infrastructure against damage, interruption and other performance problems, maintain their respective configuration, architecture and interconnection specifications and protect information stored by such providers, as well as on internet service providers to transmit data. We may also incur significant costs for using alternative equipment or taking other actions in preparation for, or in reaction to, events that damage the data storage services we use.</w:t>
      </w:r>
    </w:p>
    <w:p>
      <w:pPr>
        <w:spacing w:after="0" w:line="85"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Although we have disaster recovery plans that use multiple data storage locations, any incident affecting their infrastructure that may be caused by fire, flood, severe storm, earthquake, power loss, telecommunications failures, unauthorized entry or intrusion, sabotage, criminal acts, intentional acts of vandalism and other misconduct, computer viruses and disabling devices, natural disasters, military actions, terrorist attacks, negligence, infrastructure changes, human or software errors, fraud, spikes in biller, financial institution, partner or consumer usage and denial of service issues, hardware failures, improper operation, data loss, compromise or corruption, cybersecurity attacks, wars, hurricanes, tornadoes and other similar events beyond our control could negatively affect our platform. In some instances, we may not be able to identify the cause or causes of these performance problems within an acceptable period of time. Any prolonged service disruption affecting our platform for any of the foregoing reasons could result in lengthy interruptions in the delivery of our platform, products or services, cause system interruptions, prevent our billers, financial institutions, partners or consumers from accessing their accounts online, damage our reputation with current and potential billers, financial institutions, partners or consumers, expose us to liability, cause us to lose billers, financial institutions, partners or consumers, cause the loss or unavailability of critical data, prevent us from supporting our platform, products or services, result in regulatory investigations, enforcement actions and litigation or cause us to incur additional expense in investigating, remediating and responding to these disruptions and arranging for new facilities and support or otherwise harm our business.</w:t>
      </w:r>
    </w:p>
    <w:p>
      <w:pPr>
        <w:spacing w:after="0" w:line="103"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Also, in the event of damage or interruption, our insurance policies may not adequately compensate us for any losses that we may incur. System failures or outages could compromise our ability to perform these functions in a timely manner, which could harm our ability to conduct business or delay our financial reporting. Such failures could adversely affect our operating results and financial condition. In addition, certain of our third-party service providers are required to notify us if they experience a security breach or unauthorized disclosure of certain personal information, or, in some cases, confidential data or information of ours or our billers, financial institutions, partners or consumers, and their failure to timely notify us of such a breach or disclosure may cause us to incur significant costs or otherwise harm our business.</w:t>
      </w:r>
    </w:p>
    <w:p>
      <w:pPr>
        <w:spacing w:after="0" w:line="99"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Our platform is accessed by many billers, financial institutions, partners and consumers, often at the same time. As we continue to expand the number of our billers, financial institutions, partners and consumers, and products available through our platform,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spacing w:after="0" w:line="98" w:lineRule="exact"/>
        <w:rPr>
          <w:sz w:val="20"/>
          <w:szCs w:val="20"/>
          <w:color w:val="auto"/>
        </w:rPr>
      </w:pPr>
    </w:p>
    <w:p>
      <w:pPr>
        <w:ind w:right="180" w:firstLine="494"/>
        <w:spacing w:after="0" w:line="236" w:lineRule="auto"/>
        <w:rPr>
          <w:sz w:val="20"/>
          <w:szCs w:val="20"/>
          <w:color w:val="auto"/>
        </w:rPr>
      </w:pPr>
      <w:r>
        <w:rPr>
          <w:rFonts w:ascii="Arial" w:cs="Arial" w:eastAsia="Arial" w:hAnsi="Arial"/>
          <w:sz w:val="18"/>
          <w:szCs w:val="18"/>
          <w:color w:val="auto"/>
        </w:rPr>
        <w:t>We also depend on third-party internet-hosting providers and continuous and uninterrupted access to the internet through third-party bandwidth providers to operate our business. If we lose the services of one or more of our internet-hosting or bandwidth providers for any reason or if their services are disrupted, for example due to viruses, ransomware, denial of service or other attacks on their systems, or due to human error, intentional bad acts, power loss, hardware failures, telecommunications failures, fires, wars, terrorist attacks, floods, earthquakes, hurricanes, tornadoes or similar catastrophic events, we could experience disruption in our ability to offer our solutions and adverse perception of our solutions’ reliability, or we could be required to retain the services of replacement providers, which could increase our operating costs and materially and adversely affect our business, operating results and financial condition.</w:t>
      </w:r>
    </w:p>
    <w:p>
      <w:pPr>
        <w:spacing w:after="0" w:line="99" w:lineRule="exact"/>
        <w:rPr>
          <w:sz w:val="20"/>
          <w:szCs w:val="20"/>
          <w:color w:val="auto"/>
        </w:rPr>
      </w:pPr>
    </w:p>
    <w:p>
      <w:pPr>
        <w:ind w:right="280" w:firstLine="494"/>
        <w:spacing w:after="0" w:line="237" w:lineRule="auto"/>
        <w:rPr>
          <w:sz w:val="20"/>
          <w:szCs w:val="20"/>
          <w:color w:val="auto"/>
        </w:rPr>
      </w:pPr>
      <w:r>
        <w:rPr>
          <w:rFonts w:ascii="Arial" w:cs="Arial" w:eastAsia="Arial" w:hAnsi="Arial"/>
          <w:sz w:val="18"/>
          <w:szCs w:val="18"/>
          <w:color w:val="auto"/>
        </w:rPr>
        <w:t>Furthermore, prolonged interruption in the availability, or reduction in the speed or other functionality, of our platform, products or services could materially harm our reputation and business. Frequent or persistent interruptions in accessing our platform, products and services could cause billers, financial institutions, partners or consumers to believe that our platform, products and services are unreliable, leading them to switch to our competitors or to avoid our platform, products and services, and could permanently harm our reputation and business.</w:t>
      </w:r>
    </w:p>
    <w:p>
      <w:pPr>
        <w:spacing w:after="0" w:line="97" w:lineRule="exact"/>
        <w:rPr>
          <w:sz w:val="20"/>
          <w:szCs w:val="20"/>
          <w:color w:val="auto"/>
        </w:rPr>
      </w:pPr>
    </w:p>
    <w:p>
      <w:pPr>
        <w:ind w:right="60" w:firstLine="494"/>
        <w:spacing w:after="0" w:line="234" w:lineRule="auto"/>
        <w:rPr>
          <w:sz w:val="20"/>
          <w:szCs w:val="20"/>
          <w:color w:val="auto"/>
        </w:rPr>
      </w:pPr>
      <w:r>
        <w:rPr>
          <w:rFonts w:ascii="Arial" w:cs="Arial" w:eastAsia="Arial" w:hAnsi="Arial"/>
          <w:sz w:val="18"/>
          <w:szCs w:val="18"/>
          <w:color w:val="auto"/>
        </w:rPr>
        <w:t>Additionally, as our billers, financial institutions and partners and their consumers may use our platform for critical transactions, any errors, defects or other infrastructure problems could result in damage to such billers’, financial institutions', partners’ or consumers’ businesses. These billers, financial institutions, partners and consumers could seek significant compensation from us for their losses and our insurance policies may be insufficient to cover a claim. Even if unsuccessful, this type of claim may be time-consuming and costly for us to defend. Any of the foregoing could have a material adverse effect on our business, operating results and financial condition.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40" w:name="page41"/>
    <w:bookmarkEnd w:id="40"/>
    <w:p>
      <w:pPr>
        <w:spacing w:after="0" w:line="274" w:lineRule="auto"/>
        <w:rPr>
          <w:sz w:val="20"/>
          <w:szCs w:val="20"/>
          <w:color w:val="auto"/>
        </w:rPr>
      </w:pPr>
      <w:r>
        <w:rPr>
          <w:rFonts w:ascii="Arial" w:cs="Arial" w:eastAsia="Arial" w:hAnsi="Arial"/>
          <w:sz w:val="17"/>
          <w:szCs w:val="17"/>
          <w:b w:val="1"/>
          <w:bCs w:val="1"/>
          <w:i w:val="1"/>
          <w:iCs w:val="1"/>
          <w:color w:val="auto"/>
        </w:rPr>
        <w:t>We may experience software and technology defects, undetected errors, development delays or other performance problems in our software and other technology used as part of our platform, which could damage biller, financial institution and partner relations, harm our reputation, result in significant costs to us, decrease our potential profitability and expose us to substantial liability.</w:t>
      </w:r>
    </w:p>
    <w:p>
      <w:pPr>
        <w:spacing w:after="0" w:line="67" w:lineRule="exact"/>
        <w:rPr>
          <w:sz w:val="20"/>
          <w:szCs w:val="20"/>
          <w:color w:val="auto"/>
        </w:rPr>
      </w:pPr>
    </w:p>
    <w:p>
      <w:pPr>
        <w:ind w:right="20" w:firstLine="494"/>
        <w:spacing w:after="0" w:line="235" w:lineRule="auto"/>
        <w:rPr>
          <w:sz w:val="20"/>
          <w:szCs w:val="20"/>
          <w:color w:val="auto"/>
        </w:rPr>
      </w:pPr>
      <w:r>
        <w:rPr>
          <w:rFonts w:ascii="Arial" w:cs="Arial" w:eastAsia="Arial" w:hAnsi="Arial"/>
          <w:sz w:val="18"/>
          <w:szCs w:val="18"/>
          <w:color w:val="auto"/>
        </w:rPr>
        <w:t>Our software and other technology used as part of our platform may contain undetected errors, viruses or defects when implemented or when new functionality is released, as we may modify, enhance, upgrade and implement new systems, procedures and controls to reflect changes in our business, technological advancements and changing industry trends. Despite extensive testing, from time to time we have discovered and may in the future discover defects or errors in our solutions. Any performance problems or defects in our solutions could materially and adversely affect our business, operating results and financial conditions. Defects, errors or other similar performance problems or disruptions, whether in connection with day-to-day operations or otherwise, could be costly for us, adversely affect our billers’, financial institutions' or partners’ businesses, harm our reputation and result in reduced sales or a loss of, or delay in, the market acceptance of our solutions. In addition, if we have any such errors, defects or other performance problems, our billers, financial institutions or partners could seek to terminate, or elect not to renew, their contracts with us, delay or withhold payment or make claims against us. Any of these actions could result in liability, lost business, increased insurance costs, difficulty in collecting accounts receivable, costly litigation or adverse publicity, which could materially and adversely affect our business, operating results and financial condition. Additionally, our software uses open-source software and any defects or security vulnerabilities in such open-source software could materially and adversely affect our business, operating results and financial condition. In addition, we rely on technologies and software supplied by third parties that may also contain undetected errors, viruses or defects. Software defects and errors or delays in electronic bill presentment or our facilitation of payment processing could result in additional development costs, diversion of technical and other resources from our other development efforts, loss of credibility with current or potential billers, financial institutions, partners and consumers, harm to our reputation and exposure to liability claims, any of which could result in a material adverse effect on our business, operating results and financial condition.</w:t>
      </w:r>
    </w:p>
    <w:p>
      <w:pPr>
        <w:spacing w:after="0" w:line="18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b w:val="1"/>
          <w:bCs w:val="1"/>
          <w:i w:val="1"/>
          <w:iCs w:val="1"/>
          <w:color w:val="auto"/>
        </w:rPr>
        <w:t>We use open source software in our platform and products, which may pose particular risks to our proprietary software in a manner that could subject us to litigation or other actions, negatively affect our ability to sell our products or otherwise adversely affect our business, operating results and financial condition.</w:t>
      </w:r>
    </w:p>
    <w:p>
      <w:pPr>
        <w:spacing w:after="0" w:line="85" w:lineRule="exact"/>
        <w:rPr>
          <w:sz w:val="20"/>
          <w:szCs w:val="20"/>
          <w:color w:val="auto"/>
        </w:rPr>
      </w:pPr>
    </w:p>
    <w:p>
      <w:pPr>
        <w:ind w:right="320" w:firstLine="494"/>
        <w:spacing w:after="0" w:line="237" w:lineRule="auto"/>
        <w:rPr>
          <w:sz w:val="20"/>
          <w:szCs w:val="20"/>
          <w:color w:val="auto"/>
        </w:rPr>
      </w:pPr>
      <w:r>
        <w:rPr>
          <w:rFonts w:ascii="Arial" w:cs="Arial" w:eastAsia="Arial" w:hAnsi="Arial"/>
          <w:sz w:val="18"/>
          <w:szCs w:val="18"/>
          <w:color w:val="auto"/>
        </w:rPr>
        <w:t>Our platform incorporates software modules licensed to us by third-party authors under “open source” licenses, and we expect to continue to incorporate open source software in our products and platform in the future. Some open source licenses contain requirements that those who distribute open source software as part of their own software product also make publicly available all or part of the source code for modifications or derivative works created based on the type of open source software they use, or grant other licenses to their intellectual property on unfavorable terms or at no cost, and we may be subject to such requirements.</w:t>
      </w:r>
    </w:p>
    <w:p>
      <w:pPr>
        <w:spacing w:after="0" w:line="97" w:lineRule="exact"/>
        <w:rPr>
          <w:sz w:val="20"/>
          <w:szCs w:val="20"/>
          <w:color w:val="auto"/>
        </w:rPr>
      </w:pPr>
    </w:p>
    <w:p>
      <w:pPr>
        <w:ind w:right="140" w:firstLine="494"/>
        <w:spacing w:after="0" w:line="23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and there is a risk that these licenses could be construed in a way that could impose unanticipated conditions or restrictions on our ability to provide, or distribute our platform, products or services related to, the open source software subject to those licenses. In addition, the public availability of such software may make it easier for others to compromise our platform. Although we generally monitor our use of open source software to avoid subjecting our platform to conditions we do not intend and to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Moreover, we cannot assure you that our processes for controlling our use of open source software in our platform, products and services will be effective. From time to time, there have been claims challenging the ownership of open source software against companies that incorporate it into their products. Likewise, we could become subject to lawsuits and face claims from third parties claiming ownership of, or demanding release of, any open source software or derivative works that we have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Litigation could be costly for us to defend, have a negative effect on our business, operating results and financial condition or require us to devote additional research and development resources to change our products. If we are held to have breached or failed to fully comply with all the terms and conditions of an open source software license, we could face infringement or other liability, or be required to seek costly licenses from third parties, to continue providing our offerings on terms that are not economically feasible, to re-engineer our platform (which could involve substantial time and resources), to discontinue or delay the provision of our offerings if re-engineering could not be accomplished on a timely basis or to make generally available, in source code form, our proprietary code, any of which could adversely affect our business, operating results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1" w:name="page42"/>
    <w:bookmarkEnd w:id="41"/>
    <w:p>
      <w:pPr>
        <w:ind w:firstLine="494"/>
        <w:spacing w:after="0" w:line="236" w:lineRule="auto"/>
        <w:rPr>
          <w:sz w:val="20"/>
          <w:szCs w:val="20"/>
          <w:color w:val="auto"/>
        </w:rPr>
      </w:pPr>
      <w:r>
        <w:rPr>
          <w:rFonts w:ascii="Arial" w:cs="Arial" w:eastAsia="Arial" w:hAnsi="Arial"/>
          <w:sz w:val="18"/>
          <w:szCs w:val="18"/>
          <w:color w:val="auto"/>
        </w:rPr>
        <w:t>In addition to risks related to complying with applicable license requirements, a release of our proprietary code could also allow our competitors to create similar offerings with lower development effort and time and ultimately could result in a loss of our competitive advantages. Furthermore,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materially and adversely affect our business, operating results and financial condition.</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If we fail to adequately obtain, maintain, protect or enforce our intellectual property and proprietary rights, our competitive position could be impaired, our reputation could be harmed and we may lose valuable assets, generate less revenue and incur costly litigation to protect our rights.</w:t>
      </w:r>
    </w:p>
    <w:p>
      <w:pPr>
        <w:spacing w:after="0" w:line="85" w:lineRule="exact"/>
        <w:rPr>
          <w:sz w:val="20"/>
          <w:szCs w:val="20"/>
          <w:color w:val="auto"/>
        </w:rPr>
      </w:pPr>
    </w:p>
    <w:p>
      <w:pPr>
        <w:jc w:val="both"/>
        <w:ind w:right="220" w:firstLine="494"/>
        <w:spacing w:after="0" w:line="248" w:lineRule="auto"/>
        <w:rPr>
          <w:sz w:val="20"/>
          <w:szCs w:val="20"/>
          <w:color w:val="auto"/>
        </w:rPr>
      </w:pPr>
      <w:r>
        <w:rPr>
          <w:rFonts w:ascii="Arial" w:cs="Arial" w:eastAsia="Arial" w:hAnsi="Arial"/>
          <w:sz w:val="17"/>
          <w:szCs w:val="17"/>
          <w:color w:val="auto"/>
        </w:rPr>
        <w:t>Our success is dependent, in part, upon protecting our intellectual property and proprietary technology. We rely on a combination of patents, copyrights, trademarks, service marks, trade secret laws and contractual provisions with our employees, independent contractors, consultants and third parties with whom we have relationships to establish and protect our intellectual property and proprietary rights.</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However, the steps we take to protect our intellectual property may be inadequate, may not afford complete protection and may not adequately permit us to gain or keep any competitive advantage or otherwise fail to prevent unauthorized use or disclosure of our confidential information, intellectual property or technology, and may not provide an adequate remedy in the event of unauthorized use or disclosure of our confidential information, intellectual property or technology.</w:t>
      </w:r>
    </w:p>
    <w:p>
      <w:pPr>
        <w:spacing w:after="0" w:line="96" w:lineRule="exact"/>
        <w:rPr>
          <w:sz w:val="20"/>
          <w:szCs w:val="20"/>
          <w:color w:val="auto"/>
        </w:rPr>
      </w:pPr>
    </w:p>
    <w:p>
      <w:pPr>
        <w:ind w:right="20" w:firstLine="494"/>
        <w:spacing w:after="0" w:line="235" w:lineRule="auto"/>
        <w:rPr>
          <w:sz w:val="20"/>
          <w:szCs w:val="20"/>
          <w:color w:val="auto"/>
        </w:rPr>
      </w:pPr>
      <w:r>
        <w:rPr>
          <w:rFonts w:ascii="Arial" w:cs="Arial" w:eastAsia="Arial" w:hAnsi="Arial"/>
          <w:sz w:val="18"/>
          <w:szCs w:val="18"/>
          <w:color w:val="auto"/>
        </w:rPr>
        <w:t>Various factors outside our control pose a threat to our intellectual property rights, as well as to our products, services and technologies. Although we have been issued patents in the United States and Canada and have additional patent applications pending, we may be unable to obtain patent protection for the technology covered in our patent applications or obtain the coverage originally sought. In addition, any patents issued in the future may not provide us with competitive advantages or may be successfully challenged by third parties, which could result in them being narrowed in scope or declared invalid or unenforceable. For example, it is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 or file suit against us. Any of our patents, trademarks or other intellectual property rights may lapse, be abandoned, be challenged or circumvented by others or invalidated through administrative process or litigation. We also may allow certain of our registered intellectual property rights, or our pending applications for intellectual property rights, to lapse or to become abandoned if we determine that obtaining or maintaining the applicable registered intellectual property rights is not worthwhile. Despite our efforts to protect our intellectual property and proprietary rights, there can be no guarantee that such rights will be sufficient to protect against others offering products or services that are substantially similar to ours, independently developing similar products, duplicating any of our products, designing around our patents, adopting trade names or domain names similar to ours, competing with our business or attempting to copy aspects of our technology and using information that we consider proprietary, thereby impeding our ability to promote our platform and possibly leading to biller, financial institution or consumer confusion. Furthermore, legal standards relating to the validity, enforceability and scope of protection of intellectual property rights are uncertain. Despite our precautions, it may be possible for unauthorized third parties to copy our products and use information that we regard as proprietary to create products and services that compete with ours.</w:t>
      </w:r>
    </w:p>
    <w:p>
      <w:pPr>
        <w:spacing w:after="0" w:line="100" w:lineRule="exact"/>
        <w:rPr>
          <w:sz w:val="20"/>
          <w:szCs w:val="20"/>
          <w:color w:val="auto"/>
        </w:rPr>
      </w:pPr>
    </w:p>
    <w:p>
      <w:pPr>
        <w:ind w:right="140" w:firstLine="494"/>
        <w:spacing w:after="0" w:line="238" w:lineRule="auto"/>
        <w:rPr>
          <w:sz w:val="20"/>
          <w:szCs w:val="20"/>
          <w:color w:val="auto"/>
        </w:rPr>
      </w:pPr>
      <w:r>
        <w:rPr>
          <w:rFonts w:ascii="Arial" w:cs="Arial" w:eastAsia="Arial" w:hAnsi="Arial"/>
          <w:sz w:val="18"/>
          <w:szCs w:val="18"/>
          <w:color w:val="auto"/>
        </w:rPr>
        <w:t>We cannot guarantee that our ability to assert our intellectual property rights against potential competitors or to settle current or future disputes will not be limited by our agreements with third parties. Further, no assurance can be given that our agreements will be effective in controlling access to and distribution of our products and proprietary information, and they do not prevent our competitors or partners from independently developing technologies that are substantially equivalent or superior to our platform.</w:t>
      </w:r>
    </w:p>
    <w:p>
      <w:pPr>
        <w:spacing w:after="0" w:line="96" w:lineRule="exact"/>
        <w:rPr>
          <w:sz w:val="20"/>
          <w:szCs w:val="20"/>
          <w:color w:val="auto"/>
        </w:rPr>
      </w:pPr>
    </w:p>
    <w:p>
      <w:pPr>
        <w:ind w:right="20" w:firstLine="494"/>
        <w:spacing w:after="0" w:line="234" w:lineRule="auto"/>
        <w:rPr>
          <w:sz w:val="20"/>
          <w:szCs w:val="20"/>
          <w:color w:val="auto"/>
        </w:rPr>
      </w:pPr>
      <w:r>
        <w:rPr>
          <w:rFonts w:ascii="Arial" w:cs="Arial" w:eastAsia="Arial" w:hAnsi="Arial"/>
          <w:sz w:val="18"/>
          <w:szCs w:val="18"/>
          <w:color w:val="auto"/>
        </w:rPr>
        <w:t>We will not be able to protect our intellectual property rights if we are unable to enforce our rights or if we do not detect unauthorized use of our intellectual property rights. Despite our efforts to protect our proprietary rights, unauthorized parties may attempt to copy, reverse engineer or otherwise obtain and use our products, technology, systems, methods, processes, intellectual property and other information that we regard as proprietary to create products and services that compete with ours. We cannot be certain that we will be able to prevent unauthorized use of our products, technology, systems, methods and processes or infringement, misappropriation or other violation of our intellectual property, particularly in foreign countries where the laws may not protect our proprietary rights as comprehensively as in the United States, if at all. In addition, any changes in, or unexpected interpretations of, intellectual property laws may compromise our ability to enforce our trade secret and intellectual property rights. Failure to obtain or maintain protection of our trade secrets or other proprietary information could harm our competitive position and materially and adversely affect our business, operating results and financial condition.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42" w:name="page43"/>
    <w:bookmarkEnd w:id="42"/>
    <w:p>
      <w:pPr>
        <w:ind w:right="40" w:firstLine="494"/>
        <w:spacing w:after="0" w:line="236" w:lineRule="auto"/>
        <w:rPr>
          <w:sz w:val="20"/>
          <w:szCs w:val="20"/>
          <w:color w:val="auto"/>
        </w:rPr>
      </w:pPr>
      <w:r>
        <w:rPr>
          <w:rFonts w:ascii="Arial" w:cs="Arial" w:eastAsia="Arial" w:hAnsi="Arial"/>
          <w:sz w:val="18"/>
          <w:szCs w:val="18"/>
          <w:color w:val="auto"/>
        </w:rPr>
        <w:t>In addition to registered intellectual property rights such as issued patents and trademark registrations, we rely on non-registered proprietary information and technology, such as copyrights, trade secrets, confidential information, know-how and technical information. In order to protect our proprietary information and technology, we rely in part on confidentiality and intellectual property assignment agreements with our employees and contractors involved in the development of material intellectual property for us, which place restrictions on the employees’ and contractors’ use and disclosure of this intellectual property. However, these agreements may not be self-executing, sufficient in scope or enforceable or may not provide meaningful protection for our trade secrets or other proprietary information in the event of unauthorized use or disclosure or other breaches of the agreements. We cannot guarantee that we have entered into such agreements with each person or entity that may have or have had access to our trade secrets or proprietary information or otherwise developed intellectual property for us, including our technology and processes. Individuals that were involved in the development of intellectual property for us or who had access to our intellectual property but who are not subject to invention assignment agreements may make adverse ownership claims to our current and future intellectual property.</w:t>
      </w:r>
    </w:p>
    <w:p>
      <w:pPr>
        <w:spacing w:after="0" w:line="94"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Additionally, these agreements may be insufficient or breached, or this intellectual property, including trade secrets, may otherwise be disclosed or become known to our competitors, which could cause us to lose any competitive advantage resulting from this intellectual property. We may not be able to obtain adequate remedies for such breaches. Additionally, to the extent that our employees, independent contractors or other third parties with whom we do business use intellectual property owned by others in their work for us, disputes may arise as to the rights in related or resulting works of authorship, know-how and inventions. The loss of trade secret protection could make it easier for third parties to compete with our products and services by copying functionality.</w:t>
      </w:r>
    </w:p>
    <w:p>
      <w:pPr>
        <w:spacing w:after="0" w:line="95"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Effective patent, copyright, trademark, service mark, trade secret and domain name protection is time-consuming and expensive. We may not be able to obtain protection for our technology and even if we are successful in obtaining effective patent, copyright, trademark, service mark, trade secret and domain name protection, it is expensive to maintain these rights, both in terms of application and maintenance costs, and the time and cost required to defend our rights could be substantial. Moreover, our failure to develop and properly manage and protect new intellectual property could hurt our market position and business opportunities. Furthermore, changes to U.S. or foreign intellectual property laws and regulations may jeopardize the enforceability and validity of our intellectual property portfolio and harm our ability to obtain patent protection, including for some of our unique business methods. We may be unable to obtain trademark protection for our products and brands, and our existing trademark registrations and applications, and any trademarks that may be used in the future, may not provide us with competitive advantages or distinguish our products and services from those of our competitors. We do not and may not own registered trademarks for all trademarks and logos used in our business in the jurisdictions in which we operate or may operate in the future. In addition, our trademarks may be contested or found to be unenforceable, weak or invalid, and we may not be able to prevent third parties from infringing or otherwise violating them. Litigation may be necessary to enforce our intellectual property rights, to protect our trade secrets or to determine the validity and scope of the proprietary rights of others, which could result in substantial costs and diversion of our resources. In addition, our efforts may be met with defenses and counterclaims challenging the validity and enforceability of our intellectual property rights or may result in a court determining that our intellectual property rights are unenforceable. Further, we have and may in the future employ individuals who previously were employed by our competitors, and, as a result, those competitors may bring claims against such individuals or us alleging their intellectual property rights have been infringed, misappropriated or otherwise violated. If we are unable to cost-effectively protect our intellectual property rights, our business would be harmed. If competitors are able to use our technology or develop proprietary technology similar to ours or competing technologies, our ability to compete effectively and our growth prospects would be adversely affected.</w:t>
      </w:r>
    </w:p>
    <w:p>
      <w:pPr>
        <w:spacing w:after="0" w:line="18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We and our billers, financial institutions and partners and their consumers and other third parties that use our platform obtain, provide and process a large amount of sensitive and personal data. Any real or perceived improper or unauthorized use of, disclosure of or access to such data could harm our reputation as a trusted brand, as well as have a material adverse effect on our business, operating results and financial condition.</w:t>
      </w:r>
    </w:p>
    <w:p>
      <w:pPr>
        <w:spacing w:after="0" w:line="90"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We and our billers, financial institutions and partners and their consumers and the third-party vendors and data centers that we use obtain, provide and process large amounts of sensitive and personal data, including data provided by and related to consumers and their transactions, as well as other data of the counterparties to their payments. We face risks, including to our reputation as a trusted brand, in the handling and protection of this data, and these risks will increase as our business continues to expand to include new products and technologies.</w:t>
      </w:r>
    </w:p>
    <w:p>
      <w:pPr>
        <w:spacing w:after="0" w:line="97" w:lineRule="exact"/>
        <w:rPr>
          <w:sz w:val="20"/>
          <w:szCs w:val="20"/>
          <w:color w:val="auto"/>
        </w:rPr>
      </w:pPr>
    </w:p>
    <w:p>
      <w:pPr>
        <w:ind w:right="80" w:firstLine="494"/>
        <w:spacing w:after="0" w:line="234" w:lineRule="auto"/>
        <w:rPr>
          <w:sz w:val="20"/>
          <w:szCs w:val="20"/>
          <w:color w:val="auto"/>
        </w:rPr>
      </w:pPr>
      <w:r>
        <w:rPr>
          <w:rFonts w:ascii="Arial" w:cs="Arial" w:eastAsia="Arial" w:hAnsi="Arial"/>
          <w:sz w:val="18"/>
          <w:szCs w:val="18"/>
          <w:color w:val="auto"/>
        </w:rPr>
        <w:t>Cybersecurity threats and attacks, privacy and cybersecurity breaches, insider threats and malicious internet-based activity and other incidents continue to evolve in nature and become more sophisticated and severe, and providers of cloud-based services have frequently been targeted by such attacks, particularly in the financial technology sector. These cybersecurity challenges, including threats to our own IT infrastructure or those of our billers, financial institutions or partners or their consumers or third-party service providers, may take a variety of forms ranging from stolen bank</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43" w:name="page44"/>
    <w:bookmarkEnd w:id="43"/>
    <w:p>
      <w:pPr>
        <w:spacing w:after="0" w:line="235" w:lineRule="auto"/>
        <w:rPr>
          <w:sz w:val="20"/>
          <w:szCs w:val="20"/>
          <w:color w:val="auto"/>
        </w:rPr>
      </w:pPr>
      <w:r>
        <w:rPr>
          <w:rFonts w:ascii="Arial" w:cs="Arial" w:eastAsia="Arial" w:hAnsi="Arial"/>
          <w:sz w:val="18"/>
          <w:szCs w:val="18"/>
          <w:color w:val="auto"/>
        </w:rPr>
        <w:t>accounts, business email compromise, biller or financial institution employee fraud, account takeover, check fraud or cybersecurity attacks, to “mega breaches” targeted against cloud-based services and other hosted software. A cybersecurity incident or breach could result in loss, compromise, corruption or disclosure of confidential information, intellectual property and sensitive and personal data and impair our ability to provide our solutions and meet our billers’, financial institutions' or partners’ or their consumers’ requirements, or cause production downtimes and compromised data. We may be unable to anticipate or prevent techniques used to obtain unauthorized access or to sabotage systems because they change frequently and often are not detected until after an incident has occurred. As we increase our biller and financial institution base and our brand becomes more widely known and recognized, third parties may increasingly seek to compromise our security controls or gain unauthorized access to our sensitive corporate information or our billers’, financial institutions' or partners’ or their consumers’ sensitive and personal data. Information security risks for technology companies such as ours have significantly increased in recent years in part because of the proliferation of new technologies, the use of the internet and telecommunications technologies to conduct financial transactions, and the increased sophistication and activities of organized crime, hackers, terrorists and other external parties as well as nation-state and nation-state-supported actors. Additionally, geopolitical events and resulting government activity could lead to information security threats and attacks by affected jurisdictions and their sympathizers. Because of our position in the financial services industry, we believe that we are likely to continue to be a target of such threats and attacks.</w:t>
      </w:r>
    </w:p>
    <w:p>
      <w:pPr>
        <w:spacing w:after="0" w:line="102" w:lineRule="exact"/>
        <w:rPr>
          <w:sz w:val="20"/>
          <w:szCs w:val="20"/>
          <w:color w:val="auto"/>
        </w:rPr>
      </w:pPr>
    </w:p>
    <w:p>
      <w:pPr>
        <w:ind w:firstLine="494"/>
        <w:spacing w:after="0" w:line="250" w:lineRule="auto"/>
        <w:rPr>
          <w:sz w:val="20"/>
          <w:szCs w:val="20"/>
          <w:color w:val="auto"/>
        </w:rPr>
      </w:pPr>
      <w:r>
        <w:rPr>
          <w:rFonts w:ascii="Arial" w:cs="Arial" w:eastAsia="Arial" w:hAnsi="Arial"/>
          <w:sz w:val="17"/>
          <w:szCs w:val="17"/>
          <w:color w:val="auto"/>
        </w:rPr>
        <w:t>We have administrative, technical and physical security measures in place, and we have policies and procedures in place to contractually require service providers to whom we disclose data to implement and maintain reasonable privacy, data protection and information security measures. However, if our privacy, data protection or information security measures or those of the previously mentioned third parties are inadequate, breached or otherwise compromised, including as a result of third-party action, employee or contractor error, malfeasance, malware, phishing, hacking, system error, software bugs or defects in our products, trickery, process failure, or otherwise, and, as a result, there is improper disclosure of, or someone obtains unauthorized access to or exfiltrates funds or accesses, modifies, corrupts, or destroys any sensitive and personal data on our systems or our partners’ systems, or if we suffer a ransomware or advanced persistent threat attack, or if any of the foregoing is reported or perceived to have occurred, our reputation and business could be damaged. If sensitive and personal data is unavailable, lost, modified, corrupted, or destroyed without authorization or improperly disclosed or threatened to be disclosed, we could incur significant costs associated with remediation and the implementation of additional security measures, and may incur significant liability and financial loss and be subject to regulatory scrutiny, investigations, proceedings and penalties.</w:t>
      </w:r>
    </w:p>
    <w:p>
      <w:pPr>
        <w:spacing w:after="0" w:line="93" w:lineRule="exact"/>
        <w:rPr>
          <w:sz w:val="20"/>
          <w:szCs w:val="20"/>
          <w:color w:val="auto"/>
        </w:rPr>
      </w:pPr>
    </w:p>
    <w:p>
      <w:pPr>
        <w:ind w:right="80" w:firstLine="494"/>
        <w:spacing w:after="0" w:line="235" w:lineRule="auto"/>
        <w:rPr>
          <w:sz w:val="20"/>
          <w:szCs w:val="20"/>
          <w:color w:val="auto"/>
        </w:rPr>
      </w:pPr>
      <w:r>
        <w:rPr>
          <w:rFonts w:ascii="Arial" w:cs="Arial" w:eastAsia="Arial" w:hAnsi="Arial"/>
          <w:sz w:val="18"/>
          <w:szCs w:val="18"/>
          <w:color w:val="auto"/>
        </w:rPr>
        <w:t>In addition, because we leverage third-party service providers, including cloud, software, data center and other critical technology vendors to deliver our solutions to our billers, financial institutions, partners or consumers and their clients, we rely heavily on the data protection and information security technology practices and policies adopted by these third-party service providers. Such third-party service providers have access to sensitive and personal data and other data about our billers, partners and employees, as well as consumers using our products and services to pay the bills of our billers, financial institutions. Some of these providers in turn may subcontract with other third-party service providers. Our ability to monitor our third-party service providers’ data protection and information security practices and policies is limited. There have been and may continue to be significant supply chain attacks, and we cannot guarantee that our or our third-party service providers’ software or systems have not been breached or compromised or that they do not contain exploitable defects or bugs that could result in a breach of or disruption to our systems or the systems of third parties that support us and our services. A vulnerability in our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Techniques used to sabotage or obtain unauthorized access to systems are constantly evolving and our third-party service providers may face difficulties or delays in identifying breaches and compromises, and notifying us of any such breaches and compromises. This could cause us to face delays in responding to any such breach or compromise and providing any required notifications to consumers or other third parties.</w:t>
      </w:r>
    </w:p>
    <w:p>
      <w:pPr>
        <w:spacing w:after="0" w:line="102" w:lineRule="exact"/>
        <w:rPr>
          <w:sz w:val="20"/>
          <w:szCs w:val="20"/>
          <w:color w:val="auto"/>
        </w:rPr>
      </w:pPr>
    </w:p>
    <w:p>
      <w:pPr>
        <w:ind w:firstLine="494"/>
        <w:spacing w:after="0" w:line="234" w:lineRule="auto"/>
        <w:rPr>
          <w:sz w:val="20"/>
          <w:szCs w:val="20"/>
          <w:color w:val="auto"/>
        </w:rPr>
      </w:pPr>
      <w:r>
        <w:rPr>
          <w:rFonts w:ascii="Arial" w:cs="Arial" w:eastAsia="Arial" w:hAnsi="Arial"/>
          <w:sz w:val="18"/>
          <w:szCs w:val="18"/>
          <w:color w:val="auto"/>
        </w:rPr>
        <w:t>In addition, our financial institution strategic partners conduct regular audits of our cybersecurity program, and if any of them were to conclude that our systems and procedures are insufficiently rigorous, they could terminate their relationships with us, and our financial results and business would be adversely affected. Under our terms of service and our contracts with strategic partners, if there is a breach of payment information that we store, we could be liable to the partner for their losses and related expenses. Additionally, if our own confidential business information were improperly disclosed, our business could be materially and adversely affected. A core aspect of our business is the reliability and security of our platform. Any perceived or actual security breach or incident, regardless of how it occurs or the extent of the breach or incident, could have a significant impact on our reputation as a trusted brand, cause us to lose existing billers, financial institutions, partners and consumers, prevent us from obtaining new billers, financial institutions, partners and consumers, require us to expend significant funds to remedy problems caused by breaches and incidents and implement measures to prevent further breaches and incidents, and expose us to legal risk and potential liability including those resulting from governmental or regulatory investigations, class action litigation, indemnity obligations, damages for contract breach or penalties for violation of security obligations and costs associated with remediation, such as fraud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44" w:name="page45"/>
    <w:bookmarkEnd w:id="44"/>
    <w:p>
      <w:pPr>
        <w:ind w:right="80"/>
        <w:spacing w:after="0" w:line="236" w:lineRule="auto"/>
        <w:rPr>
          <w:sz w:val="20"/>
          <w:szCs w:val="20"/>
          <w:color w:val="auto"/>
        </w:rPr>
      </w:pPr>
      <w:r>
        <w:rPr>
          <w:rFonts w:ascii="Arial" w:cs="Arial" w:eastAsia="Arial" w:hAnsi="Arial"/>
          <w:sz w:val="18"/>
          <w:szCs w:val="18"/>
          <w:color w:val="auto"/>
        </w:rPr>
        <w:t>monitoring and forensics, all of which could divert resources and attention of our management and key personnel away from our business operations and materially and adversely affect our business, operating results and financial condition. Any actual or perceived breach or incident at a third-party service provider providing services to us or our billers, financial institutions, partners or consumers could have similar effects. Further, as a result of a significant number of people continuing to work from home due to the pandemic, these cybersecurity risks may be heightened by an increased attack surface across our business and those of our partners and service providers. We cannot guarantee that our efforts, or the efforts of those upon whom we rely and partner with, will be successful in preventing any such breaches or incidents or protecting sensitive and personal data that they obtain and process on our behalf.</w:t>
      </w:r>
    </w:p>
    <w:p>
      <w:pPr>
        <w:spacing w:after="0" w:line="99"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Federal, state and international regulations may require us or our billers, financial institutions or partners to notify governmental entities and individuals of breaches or incidents involving certain types of personal and sensitive data or information technology systems. Any security breach or incident in our industry, whether actual or perceived, could lead to public disclosures and negative publicity, erode consumer, biller, financial institution or partner confidence in the effectiveness of our security measures, negatively impact our ability to attract new billers, financial institutions, partners and consumers, cause existing billers, financial institutions, partners and consumers to elect not to renew or expand their use of our platform, services and products or subject us to third-party lawsuits, regulatory fines or other actions or liabilities, which could materially and adversely affect our business, operating results and financial condition.</w:t>
      </w:r>
    </w:p>
    <w:p>
      <w:pPr>
        <w:spacing w:after="0" w:line="99" w:lineRule="exact"/>
        <w:rPr>
          <w:sz w:val="20"/>
          <w:szCs w:val="20"/>
          <w:color w:val="auto"/>
        </w:rPr>
      </w:pPr>
    </w:p>
    <w:p>
      <w:pPr>
        <w:ind w:right="60" w:firstLine="494"/>
        <w:spacing w:after="0" w:line="236" w:lineRule="auto"/>
        <w:rPr>
          <w:sz w:val="20"/>
          <w:szCs w:val="20"/>
          <w:color w:val="auto"/>
        </w:rPr>
      </w:pPr>
      <w:r>
        <w:rPr>
          <w:rFonts w:ascii="Arial" w:cs="Arial" w:eastAsia="Arial" w:hAnsi="Arial"/>
          <w:sz w:val="18"/>
          <w:szCs w:val="18"/>
          <w:color w:val="auto"/>
        </w:rPr>
        <w:t>In addition, some of our billers, financial institutions and partners contractually require notification of security breaches or incidents and include representations and warranties in their contracts with us that our platform, products and services comply with certain legal and technical standards related to information security and privacy and meet certain service levels. In our contracts, a security breach or incident or operational disruption impacting us or one of our critical vendors, or system unavailability or damage due to other circumstances, may constitute a material breach and give rise to a biller’s, financial institution's or partner’s right to terminate their contract with us. In these circumstances, it may be difficult or impossible to cure such a breach in order to prevent billers, financial institutions or partners from potentially terminating their contracts with us. Furthermore, although our contracts typically include limitations on our potential liability, we cannot ensure that such limitations of liability would be adequate or apply to security breaches or incidents.</w:t>
      </w:r>
    </w:p>
    <w:p>
      <w:pPr>
        <w:spacing w:after="0" w:line="98"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While we maintain cybersecurity insurance, our insurance may be insufficient or may not cover all liabilities incurred by any security breach or incident.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litigation to pursue claims under our insurance policies or the occurrence of changes in our insurance policies, including premium increases or the imposition of large deductible or co-insurance requirements, or denials of coverage, could have a material adverse effect on our business, reputation, operating results and financial condition.</w:t>
      </w:r>
    </w:p>
    <w:p>
      <w:pPr>
        <w:spacing w:after="0" w:line="18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 may in the future become subject to or initiate intellectual property disputes, which are costly and time-consuming to defend against or pursue, and may subject us to significant liability and increased costs of doing business.</w:t>
      </w:r>
    </w:p>
    <w:p>
      <w:pPr>
        <w:spacing w:after="0" w:line="67" w:lineRule="exact"/>
        <w:rPr>
          <w:sz w:val="20"/>
          <w:szCs w:val="20"/>
          <w:color w:val="auto"/>
        </w:rPr>
      </w:pPr>
    </w:p>
    <w:p>
      <w:pPr>
        <w:ind w:right="100" w:firstLine="494"/>
        <w:spacing w:after="0" w:line="236" w:lineRule="auto"/>
        <w:rPr>
          <w:sz w:val="20"/>
          <w:szCs w:val="20"/>
          <w:color w:val="auto"/>
        </w:rPr>
      </w:pPr>
      <w:r>
        <w:rPr>
          <w:rFonts w:ascii="Arial" w:cs="Arial" w:eastAsia="Arial" w:hAnsi="Arial"/>
          <w:sz w:val="18"/>
          <w:szCs w:val="18"/>
          <w:color w:val="auto"/>
        </w:rPr>
        <w:t>We may in the future become subject to and involved in lawsuits, disputes, legal proceedings or claims to protect or enforce our intellectual property rights, and we may be subject to claims by third parties that we have infringed, misappropriated or otherwise violated their intellectual property. Even if we believe that particular intellectual property-related claims are without merit, litigation may be necessary to determine the scope and validity of intellectual property or proprietary rights of others or to protect or enforce our intellectual property rights. The ultimate outcome of any allegation is often uncertain and, regardless of the outcome, lawsuits, with or without merit, are time-consuming and expensive to resolve and they divert management’s time and attention and require us to, among other things, redesign or stop providing our products or services, pay substantial amounts to satisfy judgments or settle claims or lawsuits, pay substantial royalty or licensing fees, or satisfy indemnification obligations that we have with certain parties with whom we have commercial relationships. Although we carry insurance, our insurance may not cover potential claims of this type or may not be adequate to indemnify us for all liability that may be imposed. We cannot predict the outcome of lawsuits and cannot assure you that the results of any such actions will not have an adverse effect on our business, operating results or financial condition.</w:t>
      </w:r>
    </w:p>
    <w:p>
      <w:pPr>
        <w:spacing w:after="0" w:line="94" w:lineRule="exact"/>
        <w:rPr>
          <w:sz w:val="20"/>
          <w:szCs w:val="20"/>
          <w:color w:val="auto"/>
        </w:rPr>
      </w:pPr>
    </w:p>
    <w:p>
      <w:pPr>
        <w:ind w:right="80" w:firstLine="494"/>
        <w:spacing w:after="0" w:line="248" w:lineRule="auto"/>
        <w:rPr>
          <w:sz w:val="20"/>
          <w:szCs w:val="20"/>
          <w:color w:val="auto"/>
        </w:rPr>
      </w:pPr>
      <w:r>
        <w:rPr>
          <w:rFonts w:ascii="Arial" w:cs="Arial" w:eastAsia="Arial" w:hAnsi="Arial"/>
          <w:sz w:val="17"/>
          <w:szCs w:val="17"/>
          <w:color w:val="auto"/>
        </w:rPr>
        <w:t>The software industry is characterized by the existence of many patents, copyrights, trademarks, trade secrets and other intellectual property rights. Companies in the software industry are often required to defend against litigation claims based on allegations of infringement or other violations of intellectual property rights. Our technologies may not be able to withstand any third-party claims against their use. We could also face trade name or trademark or service mark infringement claims brought by owners of other registered or unregistered trademarks or service marks, including trademarks or service marks that may incorporate variations of our brand names. Any claims related to our intellectual property or biller, financial institution or consumer confusion related to our marketplace could damage our reputation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45" w:name="page46"/>
    <w:bookmarkEnd w:id="45"/>
    <w:p>
      <w:pPr>
        <w:ind w:right="20"/>
        <w:spacing w:after="0" w:line="238" w:lineRule="auto"/>
        <w:rPr>
          <w:sz w:val="20"/>
          <w:szCs w:val="20"/>
          <w:color w:val="auto"/>
        </w:rPr>
      </w:pPr>
      <w:r>
        <w:rPr>
          <w:rFonts w:ascii="Arial" w:cs="Arial" w:eastAsia="Arial" w:hAnsi="Arial"/>
          <w:sz w:val="18"/>
          <w:szCs w:val="18"/>
          <w:color w:val="auto"/>
        </w:rPr>
        <w:t>adversely affect our growth prospects. In addition, many companies have the capability to dedicate substantially greater resources to enforce their intellectual property rights and to defend claims that may be brought against them than we do. Any litigation may also involve patent holding companies or other adverse patent owners that have no relevant product revenue, and therefore, our patents may provide little or no deterrence as we would not be able to assert them against such entities or individuals.</w:t>
      </w:r>
    </w:p>
    <w:p>
      <w:pPr>
        <w:spacing w:after="0" w:line="96"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If a third party is able to obtain an injunction preventing us from accessing such third-party’s intellectual property rights, or if we cannot license or develop alternative technology for any infringing aspect of our business, we would be forced to limit or stop sales of our products or cease business activities related to such intellectual property. Any inability to license third-party technology in the future would have an adverse effect on our business or operating results and would adversely affect our ability to compete.</w:t>
      </w:r>
    </w:p>
    <w:p>
      <w:pPr>
        <w:spacing w:after="0" w:line="96"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We also are, and may in the future become, contractually obligated to indemnify our billers, financial institutions and partners in the event of infringement, misappropriation or other violation of a third party’s intellectual property rights. Responding to such claims, regardless of their merit, can be time-consuming, costly to defend and damaging to our reputation and brand.</w:t>
      </w:r>
    </w:p>
    <w:p>
      <w:pPr>
        <w:spacing w:after="0" w:line="180"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b w:val="1"/>
          <w:bCs w:val="1"/>
          <w:i w:val="1"/>
          <w:iCs w:val="1"/>
          <w:color w:val="auto"/>
        </w:rPr>
        <w:t>Our business and platform depend in part on intellectual property and proprietary rights and technology licensed from or otherwise made available to us by third parties.</w:t>
      </w:r>
    </w:p>
    <w:p>
      <w:pPr>
        <w:spacing w:after="0" w:line="67" w:lineRule="exact"/>
        <w:rPr>
          <w:sz w:val="20"/>
          <w:szCs w:val="20"/>
          <w:color w:val="auto"/>
        </w:rPr>
      </w:pPr>
    </w:p>
    <w:p>
      <w:pPr>
        <w:ind w:firstLine="494"/>
        <w:spacing w:after="0" w:line="251" w:lineRule="auto"/>
        <w:rPr>
          <w:sz w:val="20"/>
          <w:szCs w:val="20"/>
          <w:color w:val="auto"/>
        </w:rPr>
      </w:pPr>
      <w:r>
        <w:rPr>
          <w:rFonts w:ascii="Arial" w:cs="Arial" w:eastAsia="Arial" w:hAnsi="Arial"/>
          <w:sz w:val="17"/>
          <w:szCs w:val="17"/>
          <w:color w:val="auto"/>
        </w:rPr>
        <w:t>Much of our business and our platform rely on key technologies developed or licensed by third parties. These third-party software components may become obsolete, defective or incompatible with future versions of our services, relationships with the third-party licensors or technology providers may deteriorate, or our agreements with the third-party licensors or technology providers may expire or be terminated. Additionally, some of these licenses or other grants of rights may not be available to us in the future on terms that are acceptable, or at all, or that allow our platform, products and services to remain competitive. Our inability to obtain licenses or rights on favorable terms could have a material and adverse effect on our business and results of operations. Furthermore, incorporating intellectual property or proprietary rights licensed from or otherwise made available to us by third parties on a non-exclusive basis in our products or services could limit our ability to protect the intellectual property and proprietary rights in our services and our ability to restrict third parties from developing, selling or otherwise providing similar or competitive technology using the same third-party intellectual property or proprietary rights.</w:t>
      </w:r>
    </w:p>
    <w:p>
      <w:pPr>
        <w:spacing w:after="0" w:line="88"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We believe we have all the necessary licenses and other grants of rights from third parties to use technology and software that we do not own. A third party could, however, allege that we are infringing its rights, which may deter our ability to obtain licenses or other grants of rights on commercially reasonable terms from the third party, if at all, or cause the third party to commence litigation against us. Our failure to obtain necessary licenses or other rights, or litigation or claims arising out of intellectual property matters, may harm or restrict our business. Even if we were able to obtain a license or other grant of rights, it could be non-exclusive, thereby giving our competitors and other third parties access to the same technologies licensed to or otherwise made available to us. In addition, we could be found liable for significant monetary damages, including treble damages and attorneys’ fees, if we are found to have willfully infringed a patent or other intellectual property right. Any such litigation or the failure to obtain any necessary licenses or other rights could adversely impact our business, financial position, results of operations and liquidity.</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0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steeply or suddenly regardless of our operating performance, and we may not be able to meet investor or analyst expectations.</w:t>
      </w:r>
    </w:p>
    <w:p>
      <w:pPr>
        <w:spacing w:after="0" w:line="67" w:lineRule="exact"/>
        <w:rPr>
          <w:sz w:val="20"/>
          <w:szCs w:val="20"/>
          <w:color w:val="auto"/>
        </w:rPr>
      </w:pPr>
    </w:p>
    <w:p>
      <w:pPr>
        <w:ind w:right="180" w:firstLine="494"/>
        <w:spacing w:after="0" w:line="238" w:lineRule="auto"/>
        <w:rPr>
          <w:sz w:val="20"/>
          <w:szCs w:val="20"/>
          <w:color w:val="auto"/>
        </w:rPr>
      </w:pPr>
      <w:r>
        <w:rPr>
          <w:rFonts w:ascii="Arial" w:cs="Arial" w:eastAsia="Arial" w:hAnsi="Arial"/>
          <w:sz w:val="18"/>
          <w:szCs w:val="18"/>
          <w:color w:val="auto"/>
        </w:rPr>
        <w:t>The market price of our Class A common stock has, and may continue to, fluctuate or decline significantly in response to numerous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spacing w:after="0" w:line="96" w:lineRule="exact"/>
        <w:rPr>
          <w:sz w:val="20"/>
          <w:szCs w:val="20"/>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volatility and economic disruption caused by widespread health issues or pandemics;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6" w:lineRule="exact"/>
        <w:rPr>
          <w:rFonts w:ascii="Arial" w:cs="Arial" w:eastAsia="Arial" w:hAnsi="Arial"/>
          <w:sz w:val="18"/>
          <w:szCs w:val="18"/>
          <w:color w:val="auto"/>
        </w:rPr>
      </w:pPr>
    </w:p>
    <w:p>
      <w:pPr>
        <w:ind w:left="1020" w:right="880" w:hanging="504"/>
        <w:spacing w:after="0" w:line="245"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between our actual operating results and the expectations of securities analysts, investors and the financial community;</w:t>
      </w:r>
    </w:p>
    <w:p>
      <w:pPr>
        <w:spacing w:after="0" w:line="89" w:lineRule="exact"/>
        <w:rPr>
          <w:rFonts w:ascii="Arial" w:cs="Arial" w:eastAsia="Arial" w:hAnsi="Arial"/>
          <w:sz w:val="18"/>
          <w:szCs w:val="18"/>
          <w:color w:val="auto"/>
        </w:rPr>
      </w:pPr>
    </w:p>
    <w:p>
      <w:pPr>
        <w:ind w:left="1020" w:right="600" w:hanging="504"/>
        <w:spacing w:after="0" w:line="234"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such as annual guidance, and any changes in this information or our failure to meet expectations based on this information;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46" w:name="page47"/>
    <w:bookmarkEnd w:id="46"/>
    <w:p>
      <w:pPr>
        <w:ind w:left="1020" w:right="200" w:hanging="504"/>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89" w:lineRule="exact"/>
        <w:rPr>
          <w:rFonts w:ascii="Arial" w:cs="Arial" w:eastAsia="Arial" w:hAnsi="Arial"/>
          <w:sz w:val="18"/>
          <w:szCs w:val="18"/>
          <w:color w:val="auto"/>
        </w:rPr>
      </w:pPr>
    </w:p>
    <w:p>
      <w:pPr>
        <w:ind w:left="1020" w:right="620" w:hanging="504"/>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investors or securities analysts view our stock structure unfavorably, particularly our dual-class structure and the significant voting control of AKKR and our founder and chief executive officer;</w:t>
      </w:r>
    </w:p>
    <w:p>
      <w:pPr>
        <w:spacing w:after="0" w:line="89" w:lineRule="exact"/>
        <w:rPr>
          <w:rFonts w:ascii="Arial" w:cs="Arial" w:eastAsia="Arial" w:hAnsi="Arial"/>
          <w:sz w:val="18"/>
          <w:szCs w:val="18"/>
          <w:color w:val="auto"/>
        </w:rPr>
      </w:pPr>
    </w:p>
    <w:p>
      <w:pPr>
        <w:ind w:left="1020" w:right="100" w:hanging="504"/>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shares of our Class A common stock being sold into the market by us or our existing stockholders, or the anticipation of such sales, including if existing stockholders sell shares into the market;</w:t>
      </w:r>
    </w:p>
    <w:p>
      <w:pPr>
        <w:spacing w:after="0" w:line="89" w:lineRule="exact"/>
        <w:rPr>
          <w:rFonts w:ascii="Arial" w:cs="Arial" w:eastAsia="Arial" w:hAnsi="Arial"/>
          <w:sz w:val="18"/>
          <w:szCs w:val="18"/>
          <w:color w:val="auto"/>
        </w:rPr>
      </w:pPr>
    </w:p>
    <w:p>
      <w:pPr>
        <w:ind w:left="1020" w:right="660" w:hanging="504"/>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89" w:lineRule="exact"/>
        <w:rPr>
          <w:rFonts w:ascii="Arial" w:cs="Arial" w:eastAsia="Arial" w:hAnsi="Arial"/>
          <w:sz w:val="18"/>
          <w:szCs w:val="18"/>
          <w:color w:val="auto"/>
        </w:rPr>
      </w:pPr>
    </w:p>
    <w:p>
      <w:pPr>
        <w:ind w:left="1020" w:right="80" w:hanging="504"/>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 such as the widespread market revaluation of technology companies generally in 2022;</w:t>
      </w:r>
    </w:p>
    <w:p>
      <w:pPr>
        <w:spacing w:after="0" w:line="89" w:lineRule="exact"/>
        <w:rPr>
          <w:rFonts w:ascii="Arial" w:cs="Arial" w:eastAsia="Arial" w:hAnsi="Arial"/>
          <w:sz w:val="18"/>
          <w:szCs w:val="18"/>
          <w:color w:val="auto"/>
        </w:rPr>
      </w:pPr>
    </w:p>
    <w:p>
      <w:pPr>
        <w:ind w:left="1020" w:right="120" w:hanging="504"/>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trading patterns or the economy as a whole;</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lawsuits, claims or investigations threatened, filed or initiated against us;</w:t>
      </w:r>
    </w:p>
    <w:p>
      <w:pPr>
        <w:spacing w:after="0" w:line="116" w:lineRule="exact"/>
        <w:rPr>
          <w:rFonts w:ascii="Arial" w:cs="Arial" w:eastAsia="Arial" w:hAnsi="Arial"/>
          <w:sz w:val="18"/>
          <w:szCs w:val="18"/>
          <w:color w:val="auto"/>
        </w:rPr>
      </w:pPr>
    </w:p>
    <w:p>
      <w:pPr>
        <w:ind w:left="1020" w:right="640" w:hanging="504"/>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or incidents of terrorism, or responses to these events.</w:t>
      </w:r>
    </w:p>
    <w:p>
      <w:pPr>
        <w:spacing w:after="0" w:line="117" w:lineRule="exact"/>
        <w:rPr>
          <w:sz w:val="20"/>
          <w:szCs w:val="20"/>
          <w:color w:val="auto"/>
        </w:rPr>
      </w:pPr>
    </w:p>
    <w:p>
      <w:pPr>
        <w:ind w:right="160" w:firstLine="494"/>
        <w:spacing w:after="0" w:line="237" w:lineRule="auto"/>
        <w:rPr>
          <w:sz w:val="20"/>
          <w:szCs w:val="20"/>
          <w:color w:val="auto"/>
        </w:rPr>
      </w:pPr>
      <w:r>
        <w:rPr>
          <w:rFonts w:ascii="Arial" w:cs="Arial" w:eastAsia="Arial" w:hAnsi="Arial"/>
          <w:sz w:val="18"/>
          <w:szCs w:val="18"/>
          <w:color w:val="auto"/>
        </w:rPr>
        <w:t>In addition, extreme price and volume fluctuations in the stock markets have affected and continue to affect many other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97"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or the perception that such sales could occur, could cause our stock price to decline.</w:t>
      </w:r>
    </w:p>
    <w:p>
      <w:pPr>
        <w:spacing w:after="0" w:line="125"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Sales of a substantial number of shares of our Class A common stock, particularly sales by our directors, executive officers and principal stockholders, or the perception that such sales may occur could cause the market price of our Class A common stock to fall or make it more difficult for you to sell your Class A common stock at a time and price that you deem appropriate.</w:t>
      </w:r>
    </w:p>
    <w:p>
      <w:pPr>
        <w:spacing w:after="0" w:line="94"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As of December 31, 2022, we had 19,934,331 shares of Class A common stock and 103,306,842 shares of Class B common stock issued and outstanding.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96" w:lineRule="exact"/>
        <w:rPr>
          <w:sz w:val="20"/>
          <w:szCs w:val="20"/>
          <w:color w:val="auto"/>
        </w:rPr>
      </w:pPr>
    </w:p>
    <w:p>
      <w:pPr>
        <w:ind w:right="100" w:firstLine="494"/>
        <w:spacing w:after="0" w:line="237" w:lineRule="auto"/>
        <w:rPr>
          <w:sz w:val="20"/>
          <w:szCs w:val="20"/>
          <w:color w:val="auto"/>
        </w:rPr>
      </w:pPr>
      <w:r>
        <w:rPr>
          <w:rFonts w:ascii="Arial" w:cs="Arial" w:eastAsia="Arial" w:hAnsi="Arial"/>
          <w:sz w:val="18"/>
          <w:szCs w:val="18"/>
          <w:color w:val="auto"/>
        </w:rPr>
        <w:t>In addition, 1,361,510 shares of Class A common stock and 4,154,390 shares of Class B common stock were subject to outstanding equity awards as of December 31, 2022. We have registered the offer and sale of all shares of Class A common stock and Class B common stock subject to equity awards outstanding and reserved for issuance under our 2012 Equity Incentive Plan and 2021 Equity Incentive Plan. The shares covered by that registration statement are eligible for resale in the public markets, subject to Rule 144 limitations applicable to affiliates. If these additional shares are sold, or if it is perceived that they will be sold in the public market, the market price of our Class A common stock could decline.</w:t>
      </w:r>
    </w:p>
    <w:p>
      <w:pPr>
        <w:spacing w:after="0" w:line="95" w:lineRule="exact"/>
        <w:rPr>
          <w:sz w:val="20"/>
          <w:szCs w:val="20"/>
          <w:color w:val="auto"/>
        </w:rPr>
      </w:pPr>
    </w:p>
    <w:p>
      <w:pPr>
        <w:jc w:val="both"/>
        <w:ind w:right="40" w:firstLine="494"/>
        <w:spacing w:after="0"/>
        <w:rPr>
          <w:sz w:val="20"/>
          <w:szCs w:val="20"/>
          <w:color w:val="auto"/>
        </w:rPr>
      </w:pPr>
      <w:r>
        <w:rPr>
          <w:rFonts w:ascii="Arial" w:cs="Arial" w:eastAsia="Arial" w:hAnsi="Arial"/>
          <w:sz w:val="18"/>
          <w:szCs w:val="18"/>
          <w:color w:val="auto"/>
        </w:rPr>
        <w:t>Furthermore, up to 1,193,880 shares of Class A common stock may be issuable pursuant to a warrant agreement with JPMC Strategic Investments I Corporation. These shares will become eligible for sale in the public market to the extent permitted by the vesting terms of the warrant, and Rules 144 and 701 of the Securities Act.</w:t>
      </w:r>
    </w:p>
    <w:p>
      <w:pPr>
        <w:spacing w:after="0" w:line="94" w:lineRule="exact"/>
        <w:rPr>
          <w:sz w:val="20"/>
          <w:szCs w:val="20"/>
          <w:color w:val="auto"/>
        </w:rPr>
      </w:pPr>
    </w:p>
    <w:p>
      <w:pPr>
        <w:ind w:right="160" w:firstLine="494"/>
        <w:spacing w:after="0" w:line="234" w:lineRule="auto"/>
        <w:rPr>
          <w:sz w:val="20"/>
          <w:szCs w:val="20"/>
          <w:color w:val="auto"/>
        </w:rPr>
      </w:pPr>
      <w:r>
        <w:rPr>
          <w:rFonts w:ascii="Arial" w:cs="Arial" w:eastAsia="Arial" w:hAnsi="Arial"/>
          <w:sz w:val="18"/>
          <w:szCs w:val="18"/>
          <w:color w:val="auto"/>
        </w:rPr>
        <w:t>As of December 31, 2022, the holders of approximately 107 million shares of our Class A common stock and Class B common stock, or certain permitted transferees, are entitled to require us to file registration statements for the public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47" w:name="page48"/>
    <w:bookmarkEnd w:id="47"/>
    <w:p>
      <w:pPr>
        <w:ind w:right="60"/>
        <w:spacing w:after="0"/>
        <w:rPr>
          <w:sz w:val="20"/>
          <w:szCs w:val="20"/>
          <w:color w:val="auto"/>
        </w:rPr>
      </w:pPr>
      <w:r>
        <w:rPr>
          <w:rFonts w:ascii="Arial" w:cs="Arial" w:eastAsia="Arial" w:hAnsi="Arial"/>
          <w:sz w:val="18"/>
          <w:szCs w:val="18"/>
          <w:color w:val="auto"/>
        </w:rPr>
        <w:t>resale of the shares of Class A common stock, including shares issuable upon conversion of their shares of Class B common stock, or to include such shares in registration statements that we may file, subject to certain conditions. If we register the offer and sale of shares for the holders of registration rights, those shares can be freely sold in the public market upon registration.</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The dual class structure of our common stock and our stockholders agreement have the effect of concentrating voting control with AKKR and our founder and chief executive officer, which limits or precludes your ability to influence corporate matters for the foreseeable future and may depress the market price of our Class A common stock.</w:t>
      </w:r>
    </w:p>
    <w:p>
      <w:pPr>
        <w:spacing w:after="0" w:line="85"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Because of the ten-to-one voting ratio between our Class B common stock and Class A common stock, AKKR and our founder and chief executive officer, collectively controlled approximately 99% of the voting power of our outstanding common stock as of December 31, 2022 and therefore are able to control all matters submitted to our stockholders and will continue to control such matters so long as the shares of Class B common stock represent at least 9.1% of all outstanding shares of our Class A common stock and Class B common stock, including the election of directors, amendments of our organizational documents, compensation matters and any merger, consolidation, sale of all or substantially all of our assets, or other major corporate transaction requiring stockholder approval. This concentrated control will limit or preclude your ability to influence corporate matters for the foreseeable future.</w:t>
      </w:r>
    </w:p>
    <w:p>
      <w:pPr>
        <w:spacing w:after="0" w:line="98"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Further, the stockholders agreement we have entered into with AKKR provides that, for so long as AKKR or certain of its permitted transferees hold more of our outstanding common stock than Mr. Sharma and certain of his affiliates, AKKR has the right to nominate (x) five directors to our board of directors for so long as AKKR beneficially owns at least 10% of our outstanding common stock and (y) two directors to our board of directors for so long as AKKR beneficially owns at least 5% but less than 10% of our outstanding common stock. Moreover, after such time as AKKR ceases to hold more of our outstanding common stock than Mr. Sharma and certain of his affiliates, AKKR will continue to have the right to nominate two directors to our board of directors until such time as AKKR ceases to beneficially own at least 5% of our outstanding common stock.</w:t>
      </w:r>
    </w:p>
    <w:p>
      <w:pPr>
        <w:spacing w:after="0" w:line="99"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transfers to affiliates, members or partners of AKKR and transfers for estate planning purposes so long as the transferring holder retains exclusive voting and dispositive power with respect to the shares transferred. The conversion of Class B common stock to Class A common stock will have the effect, over time, of increasing the relative voting power of those holders of Class B common stock who retain their shares in the long term.</w:t>
      </w:r>
    </w:p>
    <w:p>
      <w:pPr>
        <w:spacing w:after="0" w:line="97"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In addition, certain index providers have implemented restrictions on including companies with multiple-class share structures in certain of their indices. The FTSE Russell requires new constituents of its indices to have greater than 5% of the company’s voting rights in the hands of public stockholders, and S&amp;P Dow Jones does not admit companies with multiple-class share structures to certain of its indices. Affected indices include the Russell 2000 and the S&amp;P 500, S&amp;P MidCap 400 and S&amp;P SmallCap 600, which together make up the S&amp;P Composite 1500. The dual class structure of our common stock makes us ineligible for inclusion in these indices and we cannot assure you that other stock indices will not take similar actions. It is unclear what effect, if any, these policies have on the valuations of publicly traded companies excluded from such indices, but it is possible that they may depress valuations, as compared to similar companies that are included. Further, given the sustained flow of investment funds into passive strategies that seek to track certain indices, exclusion from certain stock indices will likely preclude investment by many of these funds and could make our Class A common stock less attractive to other investors. As a result, the market price of our Class A common stock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AKKR controls us and its interests may conflict with ours or yours in the future.</w:t>
      </w:r>
    </w:p>
    <w:p>
      <w:pPr>
        <w:spacing w:after="0" w:line="125" w:lineRule="exact"/>
        <w:rPr>
          <w:sz w:val="20"/>
          <w:szCs w:val="20"/>
          <w:color w:val="auto"/>
        </w:rPr>
      </w:pPr>
    </w:p>
    <w:p>
      <w:pPr>
        <w:ind w:right="280" w:firstLine="494"/>
        <w:spacing w:after="0" w:line="237" w:lineRule="auto"/>
        <w:rPr>
          <w:sz w:val="20"/>
          <w:szCs w:val="20"/>
          <w:color w:val="auto"/>
        </w:rPr>
      </w:pPr>
      <w:r>
        <w:rPr>
          <w:rFonts w:ascii="Arial" w:cs="Arial" w:eastAsia="Arial" w:hAnsi="Arial"/>
          <w:sz w:val="18"/>
          <w:szCs w:val="18"/>
          <w:color w:val="auto"/>
        </w:rPr>
        <w:t>As of December 31, 2022, AKKR controlled approximately 79.1% of the voting power of our outstanding common stock. As a result, AKKR has the ability to elect all of the members of our board of directors and thereby control our policies and operations, including the appointment of management, future issuances of our Class A common stock or other securities, the payment of dividends, if any, on our Class A common stock, the incurrence of debt by us, amendments to our certificate of incorporation and bylaws, and the entering into extraordinary transactions, and the interests of AKKR may not in all cases be aligned with our or your interests.</w:t>
      </w:r>
    </w:p>
    <w:p>
      <w:pPr>
        <w:spacing w:after="0" w:line="97" w:lineRule="exact"/>
        <w:rPr>
          <w:sz w:val="20"/>
          <w:szCs w:val="20"/>
          <w:color w:val="auto"/>
        </w:rPr>
      </w:pPr>
    </w:p>
    <w:p>
      <w:pPr>
        <w:ind w:right="380" w:firstLine="494"/>
        <w:spacing w:after="0" w:line="234" w:lineRule="auto"/>
        <w:rPr>
          <w:sz w:val="20"/>
          <w:szCs w:val="20"/>
          <w:color w:val="auto"/>
        </w:rPr>
      </w:pPr>
      <w:r>
        <w:rPr>
          <w:rFonts w:ascii="Arial" w:cs="Arial" w:eastAsia="Arial" w:hAnsi="Arial"/>
          <w:sz w:val="18"/>
          <w:szCs w:val="18"/>
          <w:color w:val="auto"/>
        </w:rPr>
        <w:t>AKKR may have an interest in pursuing acquisitions, divestitures and other transactions that, in its judgment, could enhance its investment in us, even though such transactions might involve risks to you. For example, AKKR could cause us to make acquisitions that increase our indebtedness or cause us to sell revenue-generating assets. Moreover, AKKR will be able to determine the outcome of all matters requiring stockholder approval and will be able to cause or prevent a change of control of our company or a change in the composition of our board of directors and could preclude any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48" w:name="page49"/>
    <w:bookmarkEnd w:id="48"/>
    <w:p>
      <w:pPr>
        <w:ind w:right="100"/>
        <w:spacing w:after="0" w:line="245" w:lineRule="auto"/>
        <w:rPr>
          <w:sz w:val="20"/>
          <w:szCs w:val="20"/>
          <w:color w:val="auto"/>
        </w:rPr>
      </w:pPr>
      <w:r>
        <w:rPr>
          <w:rFonts w:ascii="Arial" w:cs="Arial" w:eastAsia="Arial" w:hAnsi="Arial"/>
          <w:sz w:val="18"/>
          <w:szCs w:val="18"/>
          <w:color w:val="auto"/>
        </w:rPr>
        <w:t>acquisition of our company. This concentration of voting control could deprive you of an opportunity to receive a premium for your shares of Class A common stock as part of a sale of our company and ultimately might affect the market price of our Class A common stock.</w:t>
      </w:r>
    </w:p>
    <w:p>
      <w:pPr>
        <w:spacing w:after="0" w:line="90"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So long as AKKR continues to beneficially own a sufficient number of shares of Class B common stock, even if it beneficially owns significantly less than 50% of the shares of our outstanding common stock, it will continue to be able to effectively control our decisions. For example, if our Class B common stock amounted to 15% of our outstanding common stock, beneficial owners of our Class B common stock (including AKKR), would collectively control approximately 64% of the voting power of our common stock. Moreover, AKKR will continue to have the right to nominate directors to our board of directors under our stockholders agreement for so long as AKKR beneficially owns at least 5% of our outstanding common stock.</w:t>
      </w:r>
    </w:p>
    <w:p>
      <w:pPr>
        <w:spacing w:after="0" w:line="18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spacing w:after="0" w:line="90" w:lineRule="exact"/>
        <w:rPr>
          <w:sz w:val="20"/>
          <w:szCs w:val="20"/>
          <w:color w:val="auto"/>
        </w:rPr>
      </w:pPr>
    </w:p>
    <w:p>
      <w:pPr>
        <w:ind w:right="20" w:firstLine="494"/>
        <w:spacing w:after="0" w:line="235" w:lineRule="auto"/>
        <w:rPr>
          <w:sz w:val="20"/>
          <w:szCs w:val="20"/>
          <w:color w:val="auto"/>
        </w:rPr>
      </w:pPr>
      <w:r>
        <w:rPr>
          <w:rFonts w:ascii="Arial" w:cs="Arial" w:eastAsia="Arial" w:hAnsi="Arial"/>
          <w:sz w:val="18"/>
          <w:szCs w:val="18"/>
          <w:color w:val="auto"/>
        </w:rPr>
        <w:t>AKKR, our controlling stockholder, is in the business of making investments in companies and may from time to time acquire and hold interests in businesses that compete directly or indirectly with us or that would be complementary to our business if we acquired them. Our certificate of incorporation provides that, to the fullest extent permitted by law, none of AKKR or its affiliates, or any of their respective directors, partners, principals, officers, members, managers or employees, including any of the foregoing who serve as our officers or directors (all of whom we refer to as the “Exempted Persons”), has any duty to refrain from engaging directly or indirectly in the same or similar business activities or lines of business as us or any of our affiliates. In addition, to the fullest extent permitted by law, in the event that any Exempted Person is presented with a business opportunity, even if the opportunity is one that we or our affiliates might reasonably be deemed to have pursued or had the ability or desire to pursue if granted the opportunity to do so, such Exempted Person has no duty to communicate or offer such business opportunity to us or any of our affiliates. No Exempted Person will be liable to us, any of our affiliates or our stockholders for breach of any fiduciary or other duty, solely by reason of the fact that any such Exempted Person pursues or acquires such business opportunity, sells, assigns, transfers or directs such business opportunity to another person or fails to present such business opportunity, or information regarding such business opportunity, to us or any of our affiliates. These provisions could create conflicts of interest and have a material adverse effect on our business, results of operations, financial condition and prospects if attractive business opportunities are allocated by AKKR or another Exempted Person to itself, its affiliates or third parties instead of to us.</w:t>
      </w:r>
    </w:p>
    <w:p>
      <w:pPr>
        <w:spacing w:after="0" w:line="188"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Class A common stock, the market price or trading volume of our Class A common stock could decline.</w:t>
      </w:r>
    </w:p>
    <w:p>
      <w:pPr>
        <w:spacing w:after="0" w:line="85"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The trading market for our Class A common stock will be influenced in part by the research and reports that securities or industry analysts may publish about us, our business, our market or our competitors. If one or more of the analysts initiate research with an unfavorable rating or downgrade our Class A common stock, provide a more favorable recommendation about our competitors or publish inaccurate or unfavorable research about our business, our Class A common stock price would likely decline. If any analyst who may cover us were to cease coverage of us or fail to regularly publish reports on us, we could lose visibility in the financial markets, which in turn could cause the market price or trading volume of our Class A common stock to decline.</w:t>
      </w:r>
    </w:p>
    <w:p>
      <w:pPr>
        <w:spacing w:after="0" w:line="181"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44"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94" w:lineRule="exact"/>
        <w:rPr>
          <w:sz w:val="20"/>
          <w:szCs w:val="20"/>
          <w:color w:val="auto"/>
        </w:rPr>
      </w:pPr>
    </w:p>
    <w:p>
      <w:pPr>
        <w:ind w:left="1020" w:right="20" w:hanging="504"/>
        <w:spacing w:after="0" w:line="24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exemption from the requirement to have our registered independent public accounting firm attest to management’s assessment of our internal control over financial reporting;</w:t>
      </w:r>
    </w:p>
    <w:p>
      <w:pPr>
        <w:spacing w:after="0" w:line="89" w:lineRule="exact"/>
        <w:rPr>
          <w:rFonts w:ascii="Arial" w:cs="Arial" w:eastAsia="Arial" w:hAnsi="Arial"/>
          <w:sz w:val="18"/>
          <w:szCs w:val="18"/>
          <w:color w:val="auto"/>
        </w:rPr>
      </w:pPr>
    </w:p>
    <w:p>
      <w:pPr>
        <w:ind w:left="1020" w:right="360" w:hanging="504"/>
        <w:spacing w:after="0" w:line="24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exemption from compliance with the requirement of the PCAOB regarding the communication of critical audit matters in the auditor’s report on the financial statements;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62" w:right="439" w:bottom="1440" w:gutter="0" w:footer="0" w:header="0"/>
        </w:sectPr>
      </w:pPr>
    </w:p>
    <w:bookmarkStart w:id="49" w:name="page50"/>
    <w:bookmarkEnd w:id="49"/>
    <w:p>
      <w:pPr>
        <w:ind w:left="1020" w:right="1020" w:hanging="504"/>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exemption from the requirement to hold non-binding advisory votes on executive compensation or golden parachute arrangements.</w:t>
      </w:r>
    </w:p>
    <w:p>
      <w:pPr>
        <w:spacing w:after="0" w:line="90" w:lineRule="exact"/>
        <w:rPr>
          <w:sz w:val="20"/>
          <w:szCs w:val="20"/>
          <w:color w:val="auto"/>
        </w:rPr>
      </w:pPr>
    </w:p>
    <w:p>
      <w:pPr>
        <w:ind w:right="220" w:firstLine="494"/>
        <w:spacing w:after="0" w:line="237" w:lineRule="auto"/>
        <w:rPr>
          <w:sz w:val="20"/>
          <w:szCs w:val="20"/>
          <w:color w:val="auto"/>
        </w:rPr>
      </w:pPr>
      <w:r>
        <w:rPr>
          <w:rFonts w:ascii="Arial" w:cs="Arial" w:eastAsia="Arial" w:hAnsi="Arial"/>
          <w:sz w:val="18"/>
          <w:szCs w:val="18"/>
          <w:color w:val="auto"/>
        </w:rPr>
        <w:t>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status as an emerging growth company will end as soon as any of the following takes place:</w:t>
      </w:r>
    </w:p>
    <w:p>
      <w:pPr>
        <w:spacing w:after="0" w:line="103" w:lineRule="exact"/>
        <w:rPr>
          <w:sz w:val="20"/>
          <w:szCs w:val="20"/>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last day of the fiscal year in which we have at least $1.235 billion in annual revenue;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$700.0 million of equity securities held by non-affiliates;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December 31, 2026.</w:t>
      </w:r>
    </w:p>
    <w:p>
      <w:pPr>
        <w:spacing w:after="0" w:line="117"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any of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18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i w:val="1"/>
          <w:iCs w:val="1"/>
          <w:color w:val="auto"/>
        </w:rPr>
        <w:t>We have elected to take advantage of the “controlled company” exemption to the corporate governance rules for New York Stock Exchange-listed companies, which could make our Class A common stock less attractive to some investors or otherwise harm our stock price.</w:t>
      </w:r>
    </w:p>
    <w:p>
      <w:pPr>
        <w:spacing w:after="0" w:line="85" w:lineRule="exact"/>
        <w:rPr>
          <w:sz w:val="20"/>
          <w:szCs w:val="20"/>
          <w:color w:val="auto"/>
        </w:rPr>
      </w:pPr>
    </w:p>
    <w:p>
      <w:pPr>
        <w:ind w:right="120" w:firstLine="494"/>
        <w:spacing w:after="0" w:line="236" w:lineRule="auto"/>
        <w:rPr>
          <w:sz w:val="20"/>
          <w:szCs w:val="20"/>
          <w:color w:val="auto"/>
        </w:rPr>
      </w:pPr>
      <w:r>
        <w:rPr>
          <w:rFonts w:ascii="Arial" w:cs="Arial" w:eastAsia="Arial" w:hAnsi="Arial"/>
          <w:sz w:val="18"/>
          <w:szCs w:val="18"/>
          <w:color w:val="auto"/>
        </w:rPr>
        <w:t>AKKR controls a majority of the voting power of our outstanding common stock. Because we qualify as a “controlled company” under the corporate governance rules for New York Stock Exchange-listed companies, we are not required to have a majority of our board of directors be independent, nor are we required to have an independent compensation committee or an independent nominating function. In light of our status as a controlled company, in the future we could elect not to have a majority of our board of directors be independent or not to have an independent compensation committee or nominating and corporate governance committee. Accordingly, should the interests of our management and AKKR differ from those of other stockholders, the other stockholders may not have the same protections afforded to stockholders of companies that are subject to all of the corporate governance rules for New York Stock Exchange-listed companies. Our status as a controlled company could make our Class A common stock less attractive to some investors or otherwise harm our stock price.</w:t>
      </w:r>
    </w:p>
    <w:p>
      <w:pPr>
        <w:spacing w:after="0" w:line="184"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Future securities issuances could result in significant dilution to our stockholders and impair the market price of our Class A common stock.</w:t>
      </w:r>
    </w:p>
    <w:p>
      <w:pPr>
        <w:spacing w:after="0" w:line="67"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Future issuances of shares of our Class A common stock, including in connection with acquisitions, or the conversion of a substantial number of shares of our Class B common stock, or the perception that these sales or conversions may occur, could depress the market price of our Class A common stock and result in dilution to existing holders of our Class A common stock. Also, to the extent outstanding options to purchase shares of our Class B common stock are exercised or options or other equity-based awards are issued or become vested, there will be further dilution. The amount of dilution could be substantial depending upon the size of the issuances or exercises. Furthermore, we may issue additional equity securities that could have rights senior to those of our Class A common stock.</w:t>
      </w:r>
    </w:p>
    <w:p>
      <w:pPr>
        <w:spacing w:after="0" w:line="181"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b w:val="1"/>
          <w:bCs w:val="1"/>
          <w:i w:val="1"/>
          <w:iCs w:val="1"/>
          <w:color w:val="auto"/>
        </w:rPr>
        <w:t>Anti-takeover provisions in our charter documents or applicable state law could make an acquisition of us difficult, limit attempts by our stockholders to replace or remove our current management and depress the market price of our Class A common stock.</w:t>
      </w:r>
    </w:p>
    <w:p>
      <w:pPr>
        <w:spacing w:after="0" w:line="44"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In addition to AKKR controlling a substantial majority of the voting power of our outstanding common stock, our certificate of incorporation and bylaws contain provisions that could depress the market price of our Class A common stock by acting to discourage, delay or prevent a change of control of our company or changes in our management that the stockholders of our company may deem advantageous. Among other things, these provisions provide that:</w:t>
      </w:r>
    </w:p>
    <w:p>
      <w:pPr>
        <w:spacing w:after="0" w:line="96" w:lineRule="exact"/>
        <w:rPr>
          <w:sz w:val="20"/>
          <w:szCs w:val="20"/>
          <w:color w:val="auto"/>
        </w:rPr>
      </w:pPr>
    </w:p>
    <w:p>
      <w:pPr>
        <w:ind w:left="5520" w:right="4420" w:hanging="5004"/>
        <w:spacing w:after="0" w:line="261" w:lineRule="auto"/>
        <w:tabs>
          <w:tab w:leader="none" w:pos="1022"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a dual class common stock structure, with differing voting rights;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50" w:name="page51"/>
    <w:bookmarkEnd w:id="50"/>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the board of directors;</w:t>
      </w:r>
    </w:p>
    <w:p>
      <w:pPr>
        <w:spacing w:after="0" w:line="116" w:lineRule="exact"/>
        <w:rPr>
          <w:rFonts w:ascii="Arial" w:cs="Arial" w:eastAsia="Arial" w:hAnsi="Arial"/>
          <w:sz w:val="18"/>
          <w:szCs w:val="18"/>
          <w:color w:val="auto"/>
        </w:rPr>
      </w:pPr>
    </w:p>
    <w:p>
      <w:pPr>
        <w:ind w:left="1020" w:right="560" w:hanging="504"/>
        <w:spacing w:after="0" w:line="245"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vacancies on the board of directors and any newly created directorships may only be filled by the affirmative vote of a majority of directors then in office, even if less than a quorum;</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each of which stands for election once every three years;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no cumulative voting;</w:t>
      </w:r>
    </w:p>
    <w:p>
      <w:pPr>
        <w:spacing w:after="0" w:line="116" w:lineRule="exact"/>
        <w:rPr>
          <w:rFonts w:ascii="Arial" w:cs="Arial" w:eastAsia="Arial" w:hAnsi="Arial"/>
          <w:sz w:val="18"/>
          <w:szCs w:val="18"/>
          <w:color w:val="auto"/>
        </w:rPr>
      </w:pPr>
    </w:p>
    <w:p>
      <w:pPr>
        <w:ind w:left="1020" w:right="160" w:hanging="504"/>
        <w:spacing w:after="0" w:line="245"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board of directors may issue “blank check” preferred stock that our board of directors could use to implement a stockholder rights plan;</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board of directors may adopt, alter or repeal our bylaws;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forum for certain litigation against us is restricted to Delaware; and</w:t>
      </w:r>
    </w:p>
    <w:p>
      <w:pPr>
        <w:spacing w:after="0" w:line="116" w:lineRule="exact"/>
        <w:rPr>
          <w:rFonts w:ascii="Arial" w:cs="Arial" w:eastAsia="Arial" w:hAnsi="Arial"/>
          <w:sz w:val="18"/>
          <w:szCs w:val="18"/>
          <w:color w:val="auto"/>
        </w:rPr>
      </w:pPr>
    </w:p>
    <w:p>
      <w:pPr>
        <w:ind w:left="1020" w:right="18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94" w:lineRule="exact"/>
        <w:rPr>
          <w:sz w:val="20"/>
          <w:szCs w:val="20"/>
          <w:color w:val="auto"/>
        </w:rPr>
      </w:pPr>
    </w:p>
    <w:p>
      <w:pPr>
        <w:ind w:right="560" w:firstLine="494"/>
        <w:spacing w:after="0" w:line="245" w:lineRule="auto"/>
        <w:rPr>
          <w:sz w:val="20"/>
          <w:szCs w:val="20"/>
          <w:color w:val="auto"/>
        </w:rPr>
      </w:pPr>
      <w:r>
        <w:rPr>
          <w:rFonts w:ascii="Arial" w:cs="Arial" w:eastAsia="Arial" w:hAnsi="Arial"/>
          <w:sz w:val="18"/>
          <w:szCs w:val="18"/>
          <w:color w:val="auto"/>
        </w:rPr>
        <w:t>Additional provisions will become effective on such date when AKKR and its affiliates cease to beneficially own in the aggregate, directly or indirectly, at least 50% of the voting power of our capital stock, which, among other things, provide that:</w:t>
      </w:r>
    </w:p>
    <w:p>
      <w:pPr>
        <w:spacing w:after="0" w:line="90" w:lineRule="exact"/>
        <w:rPr>
          <w:sz w:val="20"/>
          <w:szCs w:val="20"/>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stockholders may not call special meetings of stockholders or act by written consent;</w:t>
      </w:r>
    </w:p>
    <w:p>
      <w:pPr>
        <w:spacing w:after="0" w:line="116" w:lineRule="exact"/>
        <w:rPr>
          <w:rFonts w:ascii="Arial" w:cs="Arial" w:eastAsia="Arial" w:hAnsi="Arial"/>
          <w:sz w:val="18"/>
          <w:szCs w:val="18"/>
          <w:color w:val="auto"/>
        </w:rPr>
      </w:pPr>
    </w:p>
    <w:p>
      <w:pPr>
        <w:ind w:left="1020" w:right="6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directors may only be removed from office for cause and with the affirmative vote of at least a majority of the voting power of our outstanding capital stock;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amending certain provisions of our certificate of incorporation and bylaws will be subject to super-majority voting thresholds.</w:t>
      </w:r>
    </w:p>
    <w:p>
      <w:pPr>
        <w:spacing w:after="0" w:line="117"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Moreover, our certificate of incorporation contains a provision that provides us with protections similar to Section 203 of the General Corporation Law of the State of Delaware, or the DGCL, and prevents us from engaging in a business combination with certain interested stockholders (excluding AKKR, certain of its direct or indirect transferees and any group as to which AKKR is a party), including a person who owns 15% or more of our voting stock for a period of three years from the date such person acquired such common stock, unless approval from our board of directors or stockholders is obtained prior to the acquisition and subject to other exceptions.</w:t>
      </w:r>
    </w:p>
    <w:p>
      <w:pPr>
        <w:spacing w:after="0" w:line="97" w:lineRule="exact"/>
        <w:rPr>
          <w:sz w:val="20"/>
          <w:szCs w:val="20"/>
          <w:color w:val="auto"/>
        </w:rPr>
      </w:pPr>
    </w:p>
    <w:p>
      <w:pPr>
        <w:ind w:right="300" w:firstLine="494"/>
        <w:spacing w:after="0" w:line="245" w:lineRule="auto"/>
        <w:rPr>
          <w:sz w:val="20"/>
          <w:szCs w:val="20"/>
          <w:color w:val="auto"/>
        </w:rPr>
      </w:pPr>
      <w:r>
        <w:rPr>
          <w:rFonts w:ascii="Arial" w:cs="Arial" w:eastAsia="Arial" w:hAnsi="Arial"/>
          <w:sz w:val="18"/>
          <w:szCs w:val="18"/>
          <w:color w:val="auto"/>
        </w:rPr>
        <w:t>In addition, certain state laws may discourage, delay or prevent a change of control of our company or changes in our management that the stockholders of our company may deem advantageous.</w:t>
      </w:r>
    </w:p>
    <w:p>
      <w:pPr>
        <w:spacing w:after="0" w:line="90" w:lineRule="exact"/>
        <w:rPr>
          <w:sz w:val="20"/>
          <w:szCs w:val="20"/>
          <w:color w:val="auto"/>
        </w:rPr>
      </w:pPr>
    </w:p>
    <w:p>
      <w:pPr>
        <w:jc w:val="both"/>
        <w:ind w:right="40" w:firstLine="494"/>
        <w:spacing w:after="0"/>
        <w:rPr>
          <w:sz w:val="20"/>
          <w:szCs w:val="20"/>
          <w:color w:val="auto"/>
        </w:rPr>
      </w:pPr>
      <w:r>
        <w:rPr>
          <w:rFonts w:ascii="Arial" w:cs="Arial" w:eastAsia="Arial" w:hAnsi="Arial"/>
          <w:sz w:val="18"/>
          <w:szCs w:val="18"/>
          <w:color w:val="auto"/>
        </w:rPr>
        <w:t>Any provision of our certificate of incorporation or bylaws, or under any applicable state law, that has the effect of delaying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8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are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90"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our certificate of incorporation or our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 the rules and regulations thereunder.</w:t>
      </w:r>
    </w:p>
    <w:p>
      <w:pPr>
        <w:spacing w:after="0" w:line="95" w:lineRule="exact"/>
        <w:rPr>
          <w:sz w:val="20"/>
          <w:szCs w:val="20"/>
          <w:color w:val="auto"/>
        </w:rPr>
      </w:pPr>
    </w:p>
    <w:p>
      <w:pPr>
        <w:ind w:right="140" w:firstLine="494"/>
        <w:spacing w:after="0" w:line="234" w:lineRule="auto"/>
        <w:rPr>
          <w:sz w:val="20"/>
          <w:szCs w:val="20"/>
          <w:color w:val="auto"/>
        </w:rPr>
      </w:pPr>
      <w:r>
        <w:rPr>
          <w:rFonts w:ascii="Arial" w:cs="Arial" w:eastAsia="Arial" w:hAnsi="Arial"/>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51" w:name="page52"/>
    <w:bookmarkEnd w:id="51"/>
    <w:p>
      <w:pPr>
        <w:jc w:val="both"/>
        <w:ind w:right="180"/>
        <w:spacing w:after="0"/>
        <w:rPr>
          <w:sz w:val="20"/>
          <w:szCs w:val="20"/>
          <w:color w:val="auto"/>
        </w:rPr>
      </w:pPr>
      <w:r>
        <w:rPr>
          <w:rFonts w:ascii="Arial" w:cs="Arial" w:eastAsia="Arial" w:hAnsi="Arial"/>
          <w:sz w:val="18"/>
          <w:szCs w:val="18"/>
          <w:color w:val="auto"/>
        </w:rPr>
        <w:t>claims in multiple jurisdictions and the threat of inconsistent or contrary rulings by different courts, among other considerations, our 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spacing w:after="0" w:line="94" w:lineRule="exact"/>
        <w:rPr>
          <w:sz w:val="20"/>
          <w:szCs w:val="20"/>
          <w:color w:val="auto"/>
        </w:rPr>
      </w:pPr>
    </w:p>
    <w:p>
      <w:pPr>
        <w:ind w:firstLine="494"/>
        <w:spacing w:after="0" w:line="252"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spacing w:after="0" w:line="87" w:lineRule="exact"/>
        <w:rPr>
          <w:sz w:val="20"/>
          <w:szCs w:val="20"/>
          <w:color w:val="auto"/>
        </w:rPr>
      </w:pPr>
    </w:p>
    <w:p>
      <w:pPr>
        <w:jc w:val="both"/>
        <w:ind w:right="120" w:firstLine="494"/>
        <w:spacing w:after="0" w:line="237" w:lineRule="auto"/>
        <w:rPr>
          <w:sz w:val="20"/>
          <w:szCs w:val="20"/>
          <w:color w:val="auto"/>
        </w:rPr>
      </w:pPr>
      <w:r>
        <w:rPr>
          <w:rFonts w:ascii="Arial" w:cs="Arial" w:eastAsia="Arial" w:hAnsi="Arial"/>
          <w:sz w:val="18"/>
          <w:szCs w:val="18"/>
          <w:color w:val="auto"/>
        </w:rPr>
        <w:t>Further, the enforceability of similar exclusive forum provisions in other companies’ organizational documents has been challenged in legal proceedings, and it is possible that a court of law could rule that these types of provisions are inapplicable or unenforceable if they are challenged in a proceeding or otherwise. If a court were to find either exclusive forum provision contained in our bylaws to be inapplicable or unenforceable in an action, we may incur significant additional costs associated with resolving such action in other jurisdictions, all of which could harm our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0040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04060" cy="8255"/>
                    </a:xfrm>
                    <a:prstGeom prst="rect">
                      <a:avLst/>
                    </a:prstGeom>
                    <a:noFill/>
                  </pic:spPr>
                </pic:pic>
              </a:graphicData>
            </a:graphic>
          </wp:anchor>
        </w:drawing>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957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spacing w:after="0" w:line="105" w:lineRule="exact"/>
        <w:rPr>
          <w:sz w:val="20"/>
          <w:szCs w:val="20"/>
          <w:color w:val="auto"/>
        </w:rPr>
      </w:pPr>
    </w:p>
    <w:p>
      <w:pPr>
        <w:jc w:val="both"/>
        <w:ind w:right="320" w:firstLine="494"/>
        <w:spacing w:after="0"/>
        <w:rPr>
          <w:sz w:val="20"/>
          <w:szCs w:val="20"/>
          <w:color w:val="auto"/>
        </w:rPr>
      </w:pPr>
      <w:r>
        <w:rPr>
          <w:rFonts w:ascii="Arial" w:cs="Arial" w:eastAsia="Arial" w:hAnsi="Arial"/>
          <w:sz w:val="18"/>
          <w:szCs w:val="18"/>
          <w:color w:val="auto"/>
        </w:rPr>
        <w:t>We are headquartered in Charlotte, North Carolina. We also lease office space in Charlotte, North Carolina, Richmond Hill, Canada (part of the Greater Toronto Area) and in Delhi, Gurugram, and Bangalore, India. The table below sets forth certain information regarding these properties, all of which are leased. We also lease several smaller properties on a month-to-month basis.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ind w:left="216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4"/>
                <w:szCs w:val="14"/>
                <w:color w:val="auto"/>
              </w:rPr>
            </w:pPr>
          </w:p>
        </w:tc>
        <w:tc>
          <w:tcPr>
            <w:tcW w:w="2500" w:type="dxa"/>
            <w:vAlign w:val="bottom"/>
          </w:tcPr>
          <w:p>
            <w:pPr>
              <w:ind w:left="1080"/>
              <w:spacing w:after="0"/>
              <w:rPr>
                <w:sz w:val="20"/>
                <w:szCs w:val="20"/>
                <w:color w:val="auto"/>
              </w:rPr>
            </w:pPr>
            <w:r>
              <w:rPr>
                <w:rFonts w:ascii="Arial" w:cs="Arial" w:eastAsia="Arial" w:hAnsi="Arial"/>
                <w:sz w:val="14"/>
                <w:szCs w:val="14"/>
                <w:b w:val="1"/>
                <w:bCs w:val="1"/>
                <w:color w:val="auto"/>
              </w:rPr>
              <w:t>Type</w:t>
            </w:r>
          </w:p>
        </w:tc>
        <w:tc>
          <w:tcPr>
            <w:tcW w:w="120" w:type="dxa"/>
            <w:vAlign w:val="bottom"/>
          </w:tcPr>
          <w:p>
            <w:pPr>
              <w:spacing w:after="0"/>
              <w:rPr>
                <w:sz w:val="14"/>
                <w:szCs w:val="14"/>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b w:val="1"/>
                <w:bCs w:val="1"/>
                <w:color w:val="auto"/>
              </w:rPr>
              <w:t>Square Footage</w:t>
            </w:r>
          </w:p>
        </w:tc>
        <w:tc>
          <w:tcPr>
            <w:tcW w:w="120" w:type="dxa"/>
            <w:vAlign w:val="bottom"/>
          </w:tcPr>
          <w:p>
            <w:pPr>
              <w:spacing w:after="0"/>
              <w:rPr>
                <w:sz w:val="14"/>
                <w:szCs w:val="14"/>
                <w:color w:val="auto"/>
              </w:rPr>
            </w:pPr>
          </w:p>
        </w:tc>
        <w:tc>
          <w:tcPr>
            <w:tcW w:w="2060" w:type="dxa"/>
            <w:vAlign w:val="bottom"/>
          </w:tcPr>
          <w:p>
            <w:pPr>
              <w:jc w:val="right"/>
              <w:ind w:right="735"/>
              <w:spacing w:after="0"/>
              <w:rPr>
                <w:sz w:val="20"/>
                <w:szCs w:val="20"/>
                <w:color w:val="auto"/>
              </w:rPr>
            </w:pPr>
            <w:r>
              <w:rPr>
                <w:rFonts w:ascii="Arial" w:cs="Arial" w:eastAsia="Arial" w:hAnsi="Arial"/>
                <w:sz w:val="14"/>
                <w:szCs w:val="14"/>
                <w:b w:val="1"/>
                <w:bCs w:val="1"/>
                <w:color w:val="auto"/>
              </w:rPr>
              <w:t>Lease</w:t>
            </w:r>
          </w:p>
        </w:tc>
      </w:tr>
      <w:tr>
        <w:trPr>
          <w:trHeight w:val="189"/>
        </w:trPr>
        <w:tc>
          <w:tcPr>
            <w:tcW w:w="4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(approximate)</w:t>
            </w: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Expiration</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Charlotte, North Carolina</w:t>
            </w:r>
          </w:p>
        </w:tc>
        <w:tc>
          <w:tcPr>
            <w:tcW w:w="14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Corporate Headquarters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26,700</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March 31, 2027</w:t>
            </w:r>
          </w:p>
        </w:tc>
      </w:tr>
      <w:tr>
        <w:trPr>
          <w:trHeight w:val="431"/>
        </w:trPr>
        <w:tc>
          <w:tcPr>
            <w:tcW w:w="4900" w:type="dxa"/>
            <w:vAlign w:val="bottom"/>
          </w:tcPr>
          <w:p>
            <w:pPr>
              <w:ind w:left="20"/>
              <w:spacing w:after="0"/>
              <w:rPr>
                <w:sz w:val="20"/>
                <w:szCs w:val="20"/>
                <w:color w:val="auto"/>
              </w:rPr>
            </w:pPr>
            <w:r>
              <w:rPr>
                <w:rFonts w:ascii="Arial" w:cs="Arial" w:eastAsia="Arial" w:hAnsi="Arial"/>
                <w:sz w:val="18"/>
                <w:szCs w:val="18"/>
                <w:color w:val="auto"/>
              </w:rPr>
              <w:t>Richmond Hill, Canada</w:t>
            </w:r>
          </w:p>
        </w:tc>
        <w:tc>
          <w:tcPr>
            <w:tcW w:w="14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56,000</w:t>
            </w: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March 31, 2031</w:t>
            </w:r>
          </w:p>
        </w:tc>
      </w:tr>
      <w:tr>
        <w:trPr>
          <w:trHeight w:val="431"/>
        </w:trPr>
        <w:tc>
          <w:tcPr>
            <w:tcW w:w="4900" w:type="dxa"/>
            <w:vAlign w:val="bottom"/>
          </w:tcPr>
          <w:p>
            <w:pPr>
              <w:ind w:left="20"/>
              <w:spacing w:after="0"/>
              <w:rPr>
                <w:sz w:val="20"/>
                <w:szCs w:val="20"/>
                <w:color w:val="auto"/>
              </w:rPr>
            </w:pPr>
            <w:r>
              <w:rPr>
                <w:rFonts w:ascii="Arial" w:cs="Arial" w:eastAsia="Arial" w:hAnsi="Arial"/>
                <w:sz w:val="18"/>
                <w:szCs w:val="18"/>
                <w:color w:val="auto"/>
              </w:rPr>
              <w:t>Richmond Hill, Canada</w:t>
            </w:r>
          </w:p>
        </w:tc>
        <w:tc>
          <w:tcPr>
            <w:tcW w:w="14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May 31, 2025</w:t>
            </w:r>
          </w:p>
        </w:tc>
      </w:tr>
      <w:tr>
        <w:trPr>
          <w:trHeight w:val="431"/>
        </w:trPr>
        <w:tc>
          <w:tcPr>
            <w:tcW w:w="4900" w:type="dxa"/>
            <w:vAlign w:val="bottom"/>
          </w:tcPr>
          <w:p>
            <w:pPr>
              <w:ind w:left="20"/>
              <w:spacing w:after="0"/>
              <w:rPr>
                <w:sz w:val="20"/>
                <w:szCs w:val="20"/>
                <w:color w:val="auto"/>
              </w:rPr>
            </w:pPr>
            <w:r>
              <w:rPr>
                <w:rFonts w:ascii="Arial" w:cs="Arial" w:eastAsia="Arial" w:hAnsi="Arial"/>
                <w:sz w:val="18"/>
                <w:szCs w:val="18"/>
                <w:color w:val="auto"/>
              </w:rPr>
              <w:t>Delhi, India</w:t>
            </w:r>
          </w:p>
        </w:tc>
        <w:tc>
          <w:tcPr>
            <w:tcW w:w="14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October 23, 2025</w:t>
            </w:r>
          </w:p>
        </w:tc>
      </w:tr>
      <w:tr>
        <w:trPr>
          <w:trHeight w:val="496"/>
        </w:trPr>
        <w:tc>
          <w:tcPr>
            <w:tcW w:w="4900" w:type="dxa"/>
            <w:vAlign w:val="bottom"/>
          </w:tcPr>
          <w:p>
            <w:pPr>
              <w:ind w:left="20"/>
              <w:spacing w:after="0"/>
              <w:rPr>
                <w:sz w:val="20"/>
                <w:szCs w:val="20"/>
                <w:color w:val="auto"/>
              </w:rPr>
            </w:pPr>
            <w:r>
              <w:rPr>
                <w:rFonts w:ascii="Arial" w:cs="Arial" w:eastAsia="Arial" w:hAnsi="Arial"/>
                <w:sz w:val="18"/>
                <w:szCs w:val="18"/>
                <w:color w:val="auto"/>
              </w:rPr>
              <w:t>Gurugram, India</w:t>
            </w:r>
          </w:p>
        </w:tc>
        <w:tc>
          <w:tcPr>
            <w:tcW w:w="14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19,800</w:t>
            </w: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February 1, 2023</w:t>
            </w:r>
            <w:r>
              <w:rPr>
                <w:rFonts w:ascii="Arial" w:cs="Arial" w:eastAsia="Arial" w:hAnsi="Arial"/>
                <w:sz w:val="24"/>
                <w:szCs w:val="24"/>
                <w:color w:val="auto"/>
                <w:vertAlign w:val="superscript"/>
              </w:rPr>
              <w:t>(1)</w:t>
            </w:r>
          </w:p>
        </w:tc>
      </w:tr>
      <w:tr>
        <w:trPr>
          <w:trHeight w:val="366"/>
        </w:trPr>
        <w:tc>
          <w:tcPr>
            <w:tcW w:w="4900" w:type="dxa"/>
            <w:vAlign w:val="bottom"/>
          </w:tcPr>
          <w:p>
            <w:pPr>
              <w:ind w:left="20"/>
              <w:spacing w:after="0"/>
              <w:rPr>
                <w:sz w:val="20"/>
                <w:szCs w:val="20"/>
                <w:color w:val="auto"/>
              </w:rPr>
            </w:pPr>
            <w:r>
              <w:rPr>
                <w:rFonts w:ascii="Arial" w:cs="Arial" w:eastAsia="Arial" w:hAnsi="Arial"/>
                <w:sz w:val="18"/>
                <w:szCs w:val="18"/>
                <w:color w:val="auto"/>
              </w:rPr>
              <w:t>Bangalore, India</w:t>
            </w:r>
          </w:p>
        </w:tc>
        <w:tc>
          <w:tcPr>
            <w:tcW w:w="14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December 31, 2023</w:t>
            </w:r>
          </w:p>
        </w:tc>
      </w:tr>
      <w:tr>
        <w:trPr>
          <w:trHeight w:val="202"/>
        </w:trPr>
        <w:tc>
          <w:tcPr>
            <w:tcW w:w="4900" w:type="dxa"/>
            <w:vAlign w:val="bottom"/>
          </w:tcPr>
          <w:p>
            <w:pPr>
              <w:spacing w:after="0" w:line="202" w:lineRule="exact"/>
              <w:rPr>
                <w:sz w:val="20"/>
                <w:szCs w:val="20"/>
                <w:color w:val="auto"/>
              </w:rPr>
            </w:pPr>
            <w:r>
              <w:rPr>
                <w:rFonts w:ascii="Arial" w:cs="Arial" w:eastAsia="Arial" w:hAnsi="Arial"/>
                <w:sz w:val="18"/>
                <w:szCs w:val="18"/>
                <w:color w:val="auto"/>
              </w:rPr>
              <w:t>_______________</w:t>
            </w:r>
          </w:p>
        </w:tc>
        <w:tc>
          <w:tcPr>
            <w:tcW w:w="1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17"/>
        </w:trPr>
        <w:tc>
          <w:tcPr>
            <w:tcW w:w="4900" w:type="dxa"/>
            <w:vAlign w:val="bottom"/>
          </w:tcPr>
          <w:p>
            <w:pPr>
              <w:spacing w:after="0"/>
              <w:rPr>
                <w:sz w:val="20"/>
                <w:szCs w:val="20"/>
                <w:color w:val="auto"/>
              </w:rPr>
            </w:pPr>
            <w:r>
              <w:rPr>
                <w:rFonts w:ascii="Arial" w:cs="Arial" w:eastAsia="Arial" w:hAnsi="Arial"/>
                <w:sz w:val="18"/>
                <w:szCs w:val="18"/>
                <w:color w:val="auto"/>
              </w:rPr>
              <w:t>(1) Lease term converted to month-to-month upon expiration.</w:t>
            </w:r>
          </w:p>
        </w:tc>
        <w:tc>
          <w:tcPr>
            <w:tcW w:w="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r>
    </w:tbl>
    <w:p>
      <w:pPr>
        <w:spacing w:after="0" w:line="93" w:lineRule="exact"/>
        <w:rPr>
          <w:sz w:val="20"/>
          <w:szCs w:val="20"/>
          <w:color w:val="auto"/>
        </w:rPr>
      </w:pPr>
    </w:p>
    <w:p>
      <w:pPr>
        <w:ind w:right="180" w:firstLine="494"/>
        <w:spacing w:after="0"/>
        <w:rPr>
          <w:sz w:val="20"/>
          <w:szCs w:val="20"/>
          <w:color w:val="auto"/>
        </w:rPr>
      </w:pPr>
      <w:r>
        <w:rPr>
          <w:rFonts w:ascii="Arial" w:cs="Arial" w:eastAsia="Arial" w:hAnsi="Arial"/>
          <w:sz w:val="18"/>
          <w:szCs w:val="18"/>
          <w:color w:val="auto"/>
        </w:rPr>
        <w:t>For leases that are scheduled to expire during the next 12 months, we may negotiate new lease agreements, renew existing lease agreements or relocate to alternate facilities. We believe that our facilities are adequate for our needs and believe that we should be able to renew any of the above leases or secure alternative suitable property without an adverse impact on our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4077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105" w:lineRule="exact"/>
        <w:rPr>
          <w:sz w:val="20"/>
          <w:szCs w:val="20"/>
          <w:color w:val="auto"/>
        </w:rPr>
      </w:pPr>
    </w:p>
    <w:p>
      <w:pPr>
        <w:ind w:right="20" w:firstLine="494"/>
        <w:spacing w:after="0" w:line="234" w:lineRule="auto"/>
        <w:rPr>
          <w:sz w:val="20"/>
          <w:szCs w:val="20"/>
          <w:color w:val="auto"/>
        </w:rPr>
      </w:pPr>
      <w:r>
        <w:rPr>
          <w:rFonts w:ascii="Arial" w:cs="Arial" w:eastAsia="Arial" w:hAnsi="Arial"/>
          <w:sz w:val="18"/>
          <w:szCs w:val="18"/>
          <w:color w:val="auto"/>
        </w:rPr>
        <w:t>From time to time, we are involved in legal proceedings and subject to claims that arise in the ordinary course of our business, which may include claims relating to contractual disputes, product liability, tort or personal injury, employment, intellectual property or other commercial or regulatory matters. In addition, if current or future government regulations are interpreted or enforced in a manner adverse to our business, including among other things, those related to security and privacy laws, we may be subject to investigations, enforcement actions, penalties, damages, material limitations on our business, and reputational harm. Furthermore, we may become subject to stockholder inspection demands under Delaware law and derivative or other similar litigation. Although the results of legal proceedings and claims cannot be predicted with certainty, we believe we are not currently party to any legal proceedings which, if determined adversely to us, would individually or taken together have a material adverse effect on our business, operating results or financial condition.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7062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1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19" w:lineRule="exact"/>
        <w:rPr>
          <w:sz w:val="20"/>
          <w:szCs w:val="20"/>
          <w:color w:val="auto"/>
        </w:rPr>
      </w:pPr>
    </w:p>
    <w:p>
      <w:pPr>
        <w:ind w:right="1060"/>
        <w:spacing w:after="0" w:line="434" w:lineRule="auto"/>
        <w:rPr>
          <w:sz w:val="20"/>
          <w:szCs w:val="20"/>
          <w:color w:val="auto"/>
        </w:rPr>
      </w:pPr>
      <w:r>
        <w:rPr>
          <w:rFonts w:ascii="Arial" w:cs="Arial" w:eastAsia="Arial" w:hAnsi="Arial"/>
          <w:sz w:val="18"/>
          <w:szCs w:val="18"/>
          <w:b w:val="1"/>
          <w:bCs w:val="1"/>
          <w:u w:val="single" w:color="auto"/>
          <w:color w:val="auto"/>
        </w:rPr>
        <w:t xml:space="preserve">Item 5. Market for Registrant’s Common Equity, Related Stockholder Matters and Issuer Purchases of Equity Securities </w:t>
      </w:r>
      <w:r>
        <w:rPr>
          <w:rFonts w:ascii="Arial" w:cs="Arial" w:eastAsia="Arial" w:hAnsi="Arial"/>
          <w:sz w:val="18"/>
          <w:szCs w:val="18"/>
          <w:b w:val="1"/>
          <w:bCs w:val="1"/>
          <w:color w:val="auto"/>
        </w:rPr>
        <w:t>Market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64433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43345" cy="8255"/>
                    </a:xfrm>
                    <a:prstGeom prst="rect">
                      <a:avLst/>
                    </a:prstGeom>
                    <a:noFill/>
                  </pic:spPr>
                </pic:pic>
              </a:graphicData>
            </a:graphic>
          </wp:anchor>
        </w:drawing>
      </w:r>
    </w:p>
    <w:p>
      <w:pPr>
        <w:ind w:right="60" w:firstLine="494"/>
        <w:spacing w:after="0" w:line="245" w:lineRule="auto"/>
        <w:rPr>
          <w:sz w:val="20"/>
          <w:szCs w:val="20"/>
          <w:color w:val="auto"/>
        </w:rPr>
      </w:pPr>
      <w:r>
        <w:rPr>
          <w:rFonts w:ascii="Arial" w:cs="Arial" w:eastAsia="Arial" w:hAnsi="Arial"/>
          <w:sz w:val="18"/>
          <w:szCs w:val="18"/>
          <w:color w:val="auto"/>
        </w:rPr>
        <w:t>Paymentus Holdings, Inc. Class A common stock is listed on the New York Stock Exchange under the ticker symbol “PAY.” There is no established trading market for our Class B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Based on the records of our transfer agent, as of February 28, 2023, there were 41 holders of record of our Class A common stock and 14 holders of record of our Class B common stock. Because a substantial portion of our shares of Class A common stock are held by brokers and institutions on behalf of stockholders, we are unable to estimate the total number of beneficial owners of our Class A common stock represented by these record 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5"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5" w:lineRule="exact"/>
        <w:rPr>
          <w:sz w:val="20"/>
          <w:szCs w:val="20"/>
          <w:color w:val="auto"/>
        </w:rPr>
      </w:pPr>
    </w:p>
    <w:p>
      <w:pPr>
        <w:ind w:right="160" w:firstLine="494"/>
        <w:spacing w:after="0" w:line="245" w:lineRule="auto"/>
        <w:rPr>
          <w:sz w:val="20"/>
          <w:szCs w:val="20"/>
          <w:color w:val="auto"/>
        </w:rPr>
      </w:pPr>
      <w:r>
        <w:rPr>
          <w:rFonts w:ascii="Arial" w:cs="Arial" w:eastAsia="Arial" w:hAnsi="Arial"/>
          <w:sz w:val="18"/>
          <w:szCs w:val="18"/>
          <w:color w:val="auto"/>
        </w:rPr>
        <w:t>All sales of unregistered securities during the fiscal year ended December 31, 2022 have been previously reported in our filings with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25" w:lineRule="exact"/>
        <w:rPr>
          <w:sz w:val="20"/>
          <w:szCs w:val="20"/>
          <w:color w:val="auto"/>
        </w:rPr>
      </w:pPr>
    </w:p>
    <w:p>
      <w:pPr>
        <w:ind w:right="100" w:firstLine="494"/>
        <w:spacing w:after="0" w:line="245" w:lineRule="auto"/>
        <w:rPr>
          <w:sz w:val="20"/>
          <w:szCs w:val="20"/>
          <w:color w:val="auto"/>
        </w:rPr>
      </w:pPr>
      <w:r>
        <w:rPr>
          <w:rFonts w:ascii="Arial" w:cs="Arial" w:eastAsia="Arial" w:hAnsi="Arial"/>
          <w:sz w:val="18"/>
          <w:szCs w:val="18"/>
          <w:color w:val="auto"/>
        </w:rPr>
        <w:t>Except as previously reported in filings with the SEC, there were no repurchases of equity securities during the year ended December 31, 2022. We do not have any publicly announced or other repurchase plans regarding our Class A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5" w:lineRule="exact"/>
        <w:rPr>
          <w:sz w:val="20"/>
          <w:szCs w:val="20"/>
          <w:color w:val="auto"/>
        </w:rPr>
      </w:pPr>
    </w:p>
    <w:p>
      <w:pPr>
        <w:ind w:right="180" w:firstLine="494"/>
        <w:spacing w:after="0" w:line="245" w:lineRule="auto"/>
        <w:rPr>
          <w:sz w:val="20"/>
          <w:szCs w:val="20"/>
          <w:color w:val="auto"/>
        </w:rPr>
      </w:pPr>
      <w:r>
        <w:rPr>
          <w:rFonts w:ascii="Arial" w:cs="Arial" w:eastAsia="Arial" w:hAnsi="Arial"/>
          <w:sz w:val="18"/>
          <w:szCs w:val="18"/>
          <w:color w:val="auto"/>
        </w:rPr>
        <w:t>The following graph and table compare the total stockholder return from May 26, 2021, the date on which our Class A common stock commenced trading on NYSE through December 31, 2022, based on an initial investment of $100 in each of:</w:t>
      </w:r>
    </w:p>
    <w:p>
      <w:pPr>
        <w:spacing w:after="0" w:line="90" w:lineRule="exact"/>
        <w:rPr>
          <w:sz w:val="20"/>
          <w:szCs w:val="20"/>
          <w:color w:val="auto"/>
        </w:rPr>
      </w:pPr>
    </w:p>
    <w:p>
      <w:pPr>
        <w:ind w:left="1000" w:hanging="49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Class A common stock;</w:t>
      </w:r>
    </w:p>
    <w:p>
      <w:pPr>
        <w:spacing w:after="0" w:line="8" w:lineRule="exact"/>
        <w:rPr>
          <w:rFonts w:ascii="Arial" w:cs="Arial" w:eastAsia="Arial" w:hAnsi="Arial"/>
          <w:sz w:val="18"/>
          <w:szCs w:val="18"/>
          <w:color w:val="auto"/>
        </w:rPr>
      </w:pPr>
    </w:p>
    <w:p>
      <w:pPr>
        <w:ind w:left="1000" w:hanging="49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Standard and Poor's 500 Stock Index, or S&amp;P 500 Index; and</w:t>
      </w:r>
    </w:p>
    <w:p>
      <w:pPr>
        <w:spacing w:after="0" w:line="8" w:lineRule="exact"/>
        <w:rPr>
          <w:rFonts w:ascii="Arial" w:cs="Arial" w:eastAsia="Arial" w:hAnsi="Arial"/>
          <w:sz w:val="18"/>
          <w:szCs w:val="18"/>
          <w:color w:val="auto"/>
        </w:rPr>
      </w:pPr>
    </w:p>
    <w:p>
      <w:pPr>
        <w:ind w:left="1000" w:hanging="49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Standard and Poor's 500 Information Technology Index, or S&amp;P Information Technology.</w:t>
      </w:r>
    </w:p>
    <w:p>
      <w:pPr>
        <w:spacing w:after="0" w:line="117" w:lineRule="exact"/>
        <w:rPr>
          <w:sz w:val="20"/>
          <w:szCs w:val="20"/>
          <w:color w:val="auto"/>
        </w:rPr>
      </w:pPr>
    </w:p>
    <w:p>
      <w:pPr>
        <w:ind w:right="120" w:firstLine="494"/>
        <w:spacing w:after="0" w:line="234" w:lineRule="auto"/>
        <w:rPr>
          <w:sz w:val="20"/>
          <w:szCs w:val="20"/>
          <w:color w:val="auto"/>
        </w:rPr>
      </w:pPr>
      <w:r>
        <w:rPr>
          <w:rFonts w:ascii="Arial" w:cs="Arial" w:eastAsia="Arial" w:hAnsi="Arial"/>
          <w:sz w:val="18"/>
          <w:szCs w:val="18"/>
          <w:color w:val="auto"/>
        </w:rPr>
        <w:t>The performance graph and table are not intended to be indicative of future performance. The performance graph and table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6" w:right="35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833120</wp:posOffset>
            </wp:positionH>
            <wp:positionV relativeFrom="page">
              <wp:posOffset>294640</wp:posOffset>
            </wp:positionV>
            <wp:extent cx="6165215" cy="4478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165215" cy="447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72"/>
              <w:spacing w:after="0"/>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2"/>
                <w:szCs w:val="12"/>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12"/>
              <w:spacing w:after="0"/>
              <w:rPr>
                <w:sz w:val="20"/>
                <w:szCs w:val="20"/>
                <w:color w:val="auto"/>
              </w:rPr>
            </w:pPr>
            <w:r>
              <w:rPr>
                <w:rFonts w:ascii="Arial" w:cs="Arial" w:eastAsia="Arial" w:hAnsi="Arial"/>
                <w:sz w:val="13"/>
                <w:szCs w:val="13"/>
                <w:b w:val="1"/>
                <w:bCs w:val="1"/>
                <w:color w:val="auto"/>
                <w:w w:val="96"/>
              </w:rPr>
              <w:t>March 31,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72"/>
              <w:spacing w:after="0"/>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72"/>
              <w:spacing w:after="0"/>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2"/>
                <w:szCs w:val="12"/>
                <w:color w:val="auto"/>
              </w:rPr>
            </w:pPr>
          </w:p>
        </w:tc>
      </w:tr>
      <w:tr>
        <w:trPr>
          <w:trHeight w:val="168"/>
        </w:trPr>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95"/>
              </w:rPr>
              <w:t>May 26, 2021</w:t>
            </w:r>
          </w:p>
        </w:tc>
        <w:tc>
          <w:tcPr>
            <w:tcW w:w="12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June 30, 2021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June 30, 2022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84"/>
        </w:trPr>
        <w:tc>
          <w:tcPr>
            <w:tcW w:w="2260" w:type="dxa"/>
            <w:vAlign w:val="bottom"/>
            <w:shd w:val="clear" w:color="auto" w:fill="CFF0FC"/>
          </w:tcPr>
          <w:p>
            <w:pPr>
              <w:ind w:left="60"/>
              <w:spacing w:after="0"/>
              <w:rPr>
                <w:sz w:val="20"/>
                <w:szCs w:val="20"/>
                <w:color w:val="auto"/>
              </w:rPr>
            </w:pPr>
            <w:r>
              <w:rPr>
                <w:rFonts w:ascii="Arial" w:cs="Arial" w:eastAsia="Arial" w:hAnsi="Arial"/>
                <w:sz w:val="14"/>
                <w:szCs w:val="14"/>
                <w:color w:val="auto"/>
              </w:rPr>
              <w:t>Paymentus Holdings, Inc.</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440" w:type="dxa"/>
            <w:vAlign w:val="bottom"/>
            <w:gridSpan w:val="2"/>
            <w:shd w:val="clear" w:color="auto" w:fill="CFF0FC"/>
          </w:tcPr>
          <w:p>
            <w:pPr>
              <w:jc w:val="right"/>
              <w:ind w:right="157"/>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123.76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109.48</w:t>
            </w:r>
          </w:p>
        </w:tc>
        <w:tc>
          <w:tcPr>
            <w:tcW w:w="360" w:type="dxa"/>
            <w:vAlign w:val="bottom"/>
            <w:gridSpan w:val="2"/>
            <w:shd w:val="clear" w:color="auto" w:fill="CFF0FC"/>
          </w:tcPr>
          <w:p>
            <w:pPr>
              <w:jc w:val="right"/>
              <w:ind w:right="77"/>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57.12</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47.60</w:t>
            </w:r>
          </w:p>
        </w:tc>
        <w:tc>
          <w:tcPr>
            <w:tcW w:w="420" w:type="dxa"/>
            <w:vAlign w:val="bottom"/>
            <w:gridSpan w:val="2"/>
            <w:shd w:val="clear" w:color="auto" w:fill="CFF0FC"/>
          </w:tcPr>
          <w:p>
            <w:pPr>
              <w:jc w:val="right"/>
              <w:ind w:right="157"/>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61.88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38.08</w:t>
            </w:r>
          </w:p>
        </w:tc>
        <w:tc>
          <w:tcPr>
            <w:tcW w:w="100" w:type="dxa"/>
            <w:vAlign w:val="bottom"/>
            <w:shd w:val="clear" w:color="auto" w:fill="CFF0FC"/>
          </w:tcPr>
          <w:p>
            <w:pPr>
              <w:spacing w:after="0"/>
              <w:rPr>
                <w:sz w:val="16"/>
                <w:szCs w:val="16"/>
                <w:color w:val="auto"/>
              </w:rPr>
            </w:pPr>
          </w:p>
        </w:tc>
      </w:tr>
      <w:tr>
        <w:trPr>
          <w:trHeight w:val="189"/>
        </w:trPr>
        <w:tc>
          <w:tcPr>
            <w:tcW w:w="2260" w:type="dxa"/>
            <w:vAlign w:val="bottom"/>
          </w:tcPr>
          <w:p>
            <w:pPr>
              <w:ind w:left="60"/>
              <w:spacing w:after="0"/>
              <w:rPr>
                <w:sz w:val="20"/>
                <w:szCs w:val="20"/>
                <w:color w:val="auto"/>
              </w:rPr>
            </w:pPr>
            <w:r>
              <w:rPr>
                <w:rFonts w:ascii="Arial" w:cs="Arial" w:eastAsia="Arial" w:hAnsi="Arial"/>
                <w:sz w:val="14"/>
                <w:szCs w:val="14"/>
                <w:color w:val="auto"/>
              </w:rPr>
              <w:t>S&amp;P 500 Index</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76.80</w:t>
            </w:r>
          </w:p>
        </w:tc>
        <w:tc>
          <w:tcPr>
            <w:tcW w:w="100" w:type="dxa"/>
            <w:vAlign w:val="bottom"/>
          </w:tcPr>
          <w:p>
            <w:pPr>
              <w:spacing w:after="0"/>
              <w:rPr>
                <w:sz w:val="16"/>
                <w:szCs w:val="16"/>
                <w:color w:val="auto"/>
              </w:rPr>
            </w:pPr>
          </w:p>
        </w:tc>
      </w:tr>
      <w:tr>
        <w:trPr>
          <w:trHeight w:val="189"/>
        </w:trPr>
        <w:tc>
          <w:tcPr>
            <w:tcW w:w="2260" w:type="dxa"/>
            <w:vAlign w:val="bottom"/>
            <w:shd w:val="clear" w:color="auto" w:fill="CFF0FC"/>
          </w:tcPr>
          <w:p>
            <w:pPr>
              <w:ind w:left="60"/>
              <w:spacing w:after="0"/>
              <w:rPr>
                <w:sz w:val="20"/>
                <w:szCs w:val="20"/>
                <w:color w:val="auto"/>
              </w:rPr>
            </w:pPr>
            <w:r>
              <w:rPr>
                <w:rFonts w:ascii="Arial" w:cs="Arial" w:eastAsia="Arial" w:hAnsi="Arial"/>
                <w:sz w:val="14"/>
                <w:szCs w:val="14"/>
                <w:color w:val="auto"/>
              </w:rPr>
              <w:t>S&amp;P Information Technology</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111.44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108.04</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94.60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94.88</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88.92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83.20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86.88</w:t>
            </w:r>
          </w:p>
        </w:tc>
        <w:tc>
          <w:tcPr>
            <w:tcW w:w="100" w:type="dxa"/>
            <w:vAlign w:val="bottom"/>
            <w:shd w:val="clear" w:color="auto" w:fill="CFF0FC"/>
          </w:tcPr>
          <w:p>
            <w:pPr>
              <w:spacing w:after="0"/>
              <w:rPr>
                <w:sz w:val="16"/>
                <w:szCs w:val="16"/>
                <w:color w:val="auto"/>
              </w:rPr>
            </w:pPr>
          </w:p>
        </w:tc>
      </w:tr>
    </w:tbl>
    <w:p>
      <w:pPr>
        <w:spacing w:after="0" w:line="107" w:lineRule="exact"/>
        <w:rPr>
          <w:sz w:val="20"/>
          <w:szCs w:val="20"/>
          <w:color w:val="auto"/>
        </w:rPr>
      </w:pPr>
    </w:p>
    <w:p>
      <w:pPr>
        <w:jc w:val="both"/>
        <w:ind w:right="20" w:firstLine="494"/>
        <w:spacing w:after="0" w:line="245" w:lineRule="auto"/>
        <w:rPr>
          <w:sz w:val="20"/>
          <w:szCs w:val="20"/>
          <w:color w:val="auto"/>
        </w:rPr>
      </w:pPr>
      <w:r>
        <w:rPr>
          <w:rFonts w:ascii="Arial" w:cs="Arial" w:eastAsia="Arial" w:hAnsi="Arial"/>
          <w:sz w:val="18"/>
          <w:szCs w:val="18"/>
          <w:color w:val="auto"/>
        </w:rPr>
        <w:t>We will neither make nor endorse any predictions as to future stock performance or whether the trends depicted in the graph above will continue or change in the future.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[Reserved]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33" w:lineRule="exact"/>
        <w:rPr>
          <w:sz w:val="20"/>
          <w:szCs w:val="20"/>
          <w:color w:val="auto"/>
        </w:rPr>
      </w:pPr>
    </w:p>
    <w:p>
      <w:pPr>
        <w:ind w:right="120" w:firstLine="499"/>
        <w:spacing w:after="0" w:line="236"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those discussed in “Special Note Regarding Forward-Looking Statements” and those discussed in the section titled “Risk Factors” under Part I, Item 1A in this Annual Report on Form 10-K.</w:t>
      </w:r>
    </w:p>
    <w:p>
      <w:pPr>
        <w:spacing w:after="0" w:line="99" w:lineRule="exact"/>
        <w:rPr>
          <w:sz w:val="20"/>
          <w:szCs w:val="20"/>
          <w:color w:val="auto"/>
        </w:rPr>
      </w:pPr>
    </w:p>
    <w:p>
      <w:pPr>
        <w:jc w:val="both"/>
        <w:ind w:right="420" w:firstLine="499"/>
        <w:spacing w:after="0" w:line="234" w:lineRule="auto"/>
        <w:rPr>
          <w:sz w:val="20"/>
          <w:szCs w:val="20"/>
          <w:color w:val="auto"/>
        </w:rPr>
      </w:pPr>
      <w:r>
        <w:rPr>
          <w:rFonts w:ascii="Arial" w:cs="Arial" w:eastAsia="Arial" w:hAnsi="Arial"/>
          <w:sz w:val="18"/>
          <w:szCs w:val="18"/>
          <w:color w:val="auto"/>
        </w:rPr>
        <w:t>A discussion of changes in our results of operations from fiscal year 2020 to fiscal year 2021 and a discussion of our liquidity and capital resources for 2020 has been omitted from this Annual Report on Form 10-K but may be found under the heading “Management’s Discussion and Analysis of Financial Condition and Results of Operations—Comparison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ind w:right="280"/>
        <w:spacing w:after="0"/>
        <w:rPr>
          <w:sz w:val="20"/>
          <w:szCs w:val="20"/>
          <w:color w:val="auto"/>
        </w:rPr>
      </w:pPr>
      <w:r>
        <w:rPr>
          <w:rFonts w:ascii="Arial" w:cs="Arial" w:eastAsia="Arial" w:hAnsi="Arial"/>
          <w:sz w:val="18"/>
          <w:szCs w:val="18"/>
          <w:color w:val="auto"/>
        </w:rPr>
        <w:t>the Years Ended December 31, 2021 and 2020” and “—Liquidity and Capital Resources—"Sources and Uses of Funds" and "—Historical Cash Flows" in our Annual Report on Form 10-K for the year ended December 31, 2021, filed with the SEC on March 3, 2022, which is available free of charge on the SECs website at www.sec.gov and our website at https://ir.paymentus.com/home/default.aspx.</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125"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We are a leading provider of cloud-based bill payment technology and solutions. We deliver our next-generation product suite through a modern technology stack to more than 1,900 biller business and financial institution clients. Our platform was used by approximately 27 million consumers and businesses in North America in December 2022 to pay their bills, make money movements and engage with our clients. We serve billers of all sizes that primarily provide non-discretionary services across a variety of industry verticals, including utilities, financial services, insurance, government, telecommunications and healthcare.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96"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95"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We generate substantially all of our revenue from payment transaction fees and have achieved significant growth through our capital efficient model. We rely on a diversified go-to-market strategy to reach new billers. We acquire new billers through direct sales channels, software and strategic partnerships and our Instant Payment Network, or IPN, which together promote rapid adoption of our platform through partnerships with leading business networks. Through these channels, our platform reaches millions of consumers, driving transaction growth.</w:t>
      </w:r>
    </w:p>
    <w:p>
      <w:pPr>
        <w:spacing w:after="0" w:line="97"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Our revenue is highly visible. We derive the majority of our revenue from a fee paid per transaction by the consumer, the biller or a combination of both. Our usage-based monetization strategy aligns our economic success with the success of our billers and partners. Since we benefit from increased transactional volume, we do not charge separate license fees or implementation fees. In addition, our modern platform architecture allows us to provide integration, implementation, maintenance and upgrades at no additional cost to billers.</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Impact of Economic and Inflationary Trends</w:t>
      </w:r>
    </w:p>
    <w:p>
      <w:pPr>
        <w:spacing w:after="0" w:line="233" w:lineRule="exact"/>
        <w:rPr>
          <w:sz w:val="20"/>
          <w:szCs w:val="20"/>
          <w:color w:val="auto"/>
        </w:rPr>
      </w:pPr>
    </w:p>
    <w:p>
      <w:pPr>
        <w:ind w:right="160" w:firstLine="400"/>
        <w:spacing w:after="0" w:line="236" w:lineRule="auto"/>
        <w:rPr>
          <w:sz w:val="20"/>
          <w:szCs w:val="20"/>
          <w:color w:val="auto"/>
        </w:rPr>
      </w:pPr>
      <w:r>
        <w:rPr>
          <w:rFonts w:ascii="Arial" w:cs="Arial" w:eastAsia="Arial" w:hAnsi="Arial"/>
          <w:sz w:val="18"/>
          <w:szCs w:val="18"/>
          <w:color w:val="auto"/>
        </w:rPr>
        <w:t>In 2022, the United States economy experienced inflationary conditions, increased interest rates and two consecutive quarters of decreased gross domestic product. While we believe our business is resilient and can generally weather unusual levels of inflation, the economic uncertainty and continuing inflationary pressures, which have been particularly acute in the utility sector, impacted our 2022 financial performance and will likely impact our 2023 performance. For example, some of our clients have deferred anticipated 2022 implementations into 2023 or are reevaluating the development of technology resources, which will delay expected revenue recognition. Furthermore, inflationary pressure is resulting in higher average bills, particularly in the utility sector, and increased interchange fees. While we are seeking to adjust our prices to address the inflationary pressures, our ability to do so typically lags behind the impact of inflation on our clients, the increase in average bill amounts and increased interchange fees. We intend to continue to manage through this uncertain economic environment by working closely with clients on implementations and price adjustments. In addition, although we are focused on prudent expense management, we are seeing ongoing wage pressure in our current workforce due to the levels of inflation, which is also putting some short-term pressure on our EBITDA margins.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Potential Impacts of the Widespread Health Issues or Pandemics</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2" w:right="399" w:bottom="1440" w:gutter="0" w:footer="0" w:header="0"/>
        </w:sectPr>
      </w:pPr>
    </w:p>
    <w:bookmarkStart w:id="55" w:name="page56"/>
    <w:bookmarkEnd w:id="55"/>
    <w:p>
      <w:pPr>
        <w:ind w:firstLine="499"/>
        <w:spacing w:after="0" w:line="237" w:lineRule="auto"/>
        <w:rPr>
          <w:sz w:val="20"/>
          <w:szCs w:val="20"/>
          <w:color w:val="auto"/>
        </w:rPr>
      </w:pPr>
      <w:r>
        <w:rPr>
          <w:rFonts w:ascii="Arial" w:cs="Arial" w:eastAsia="Arial" w:hAnsi="Arial"/>
          <w:sz w:val="18"/>
          <w:szCs w:val="18"/>
          <w:color w:val="auto"/>
        </w:rPr>
        <w:t>We are subject to many risks associated with widespread health issues, such as the recent COVID-19 pandemic, which can result in significantly curtailing the movement of people, goods and services in the United States, where we generate substantially all of our revenue, and worldwide, where we are targeting future growth. Precautionary measures we may take and government policies instituted in the event of future widespread health issues could negatively impact employee productivity, training and collaboration or otherwise disrupt our business operations. In addition, such restrictions may impact certain of our sales efforts, marketing efforts and implementations, adversely affecting the effectiveness of such efforts in some cases and potentially inhibiting future growth.</w:t>
      </w:r>
    </w:p>
    <w:p>
      <w:pPr>
        <w:spacing w:after="0" w:line="9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In addition, widespread health issues may disrupt the operations of our billers and partners for an indefinite period of time, which in turn could negatively impact our business and operating results. See the section titled “Risk Factors—Widespread health issues or pandemics could have a material adverse impact on our employees, billers, financial institutions, partners, consumers and other key stakeholders, which could materially and adversely impact our business, operating results and financial condition.”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5" w:lineRule="exact"/>
        <w:rPr>
          <w:sz w:val="20"/>
          <w:szCs w:val="20"/>
          <w:color w:val="auto"/>
        </w:rPr>
      </w:pPr>
    </w:p>
    <w:p>
      <w:pPr>
        <w:ind w:right="120" w:firstLine="494"/>
        <w:spacing w:after="0" w:line="237" w:lineRule="auto"/>
        <w:rPr>
          <w:sz w:val="20"/>
          <w:szCs w:val="20"/>
          <w:color w:val="auto"/>
        </w:rPr>
      </w:pPr>
      <w:r>
        <w:rPr>
          <w:rFonts w:ascii="Arial" w:cs="Arial" w:eastAsia="Arial" w:hAnsi="Arial"/>
          <w:sz w:val="18"/>
          <w:szCs w:val="18"/>
          <w:color w:val="auto"/>
        </w:rPr>
        <w:t>We generate substantially all of our revenue from payment transaction fees. Transaction fees are fees collected for each transaction processed through our platform, on either a fixed basis or variable basis based on the transaction value, with the actual fees dependent on type of transaction, payment or transaction channel and industry vertical. However, irrespective of these factors, the transaction fees that we receive are generally consistent across transaction types, payment and transaction channels and industry verticals. We receive such transaction fees directly from billers, financial institutions, partners or, in some cases, from consumers as a convenience fee.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25" w:lineRule="exact"/>
        <w:rPr>
          <w:sz w:val="20"/>
          <w:szCs w:val="20"/>
          <w:color w:val="auto"/>
        </w:rPr>
      </w:pPr>
    </w:p>
    <w:p>
      <w:pPr>
        <w:ind w:right="100" w:firstLine="494"/>
        <w:spacing w:after="0" w:line="236" w:lineRule="auto"/>
        <w:rPr>
          <w:sz w:val="20"/>
          <w:szCs w:val="20"/>
          <w:color w:val="auto"/>
        </w:rPr>
      </w:pPr>
      <w:r>
        <w:rPr>
          <w:rFonts w:ascii="Arial" w:cs="Arial" w:eastAsia="Arial" w:hAnsi="Arial"/>
          <w:sz w:val="18"/>
          <w:szCs w:val="18"/>
          <w:color w:val="auto"/>
        </w:rPr>
        <w:t>Cost of revenue consists of certain direct costs that are directly attributed to processing transactions on our platform. This includes interchange, assessment and network expenses incurred for processing payments as well as costs of servicing our clients through product support, implementations and customer care. Cost of revenue also includes an allocation of hosting and data center costs for our infrastructure and platform environment, telecommunication expenses used by sales and customer support teams and a portion of amortization of capitalized internal-use software development costs and a portion of amortization of intangible assets, including amortization of intangible assets acquired as part of our acquisitions of other businesses. We expect that cost of revenue will increase in absolute dollars, but it may fluctuate as a percentage of revenue from period to period, as our transaction mix changes and we continue to invest in growing our business across all geographical segments, including through the acquisition of other businesses.</w:t>
      </w:r>
    </w:p>
    <w:p>
      <w:pPr>
        <w:spacing w:after="0" w:line="98"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There are external factors that impact interchange fees, such as the average transaction amount in a particular month or quarter. For example, hot summers and cold winters tend to increase utility bills, and property taxes result in two larger payments per year, each of which increases our interchange cost.</w:t>
      </w:r>
    </w:p>
    <w:p>
      <w:pPr>
        <w:spacing w:after="0" w:line="94" w:lineRule="exact"/>
        <w:rPr>
          <w:sz w:val="20"/>
          <w:szCs w:val="20"/>
          <w:color w:val="auto"/>
        </w:rPr>
      </w:pPr>
    </w:p>
    <w:p>
      <w:pPr>
        <w:jc w:val="both"/>
        <w:ind w:right="260" w:firstLine="494"/>
        <w:spacing w:after="0"/>
        <w:rPr>
          <w:sz w:val="20"/>
          <w:szCs w:val="20"/>
          <w:color w:val="auto"/>
        </w:rPr>
      </w:pPr>
      <w:r>
        <w:rPr>
          <w:rFonts w:ascii="Arial" w:cs="Arial" w:eastAsia="Arial" w:hAnsi="Arial"/>
          <w:sz w:val="18"/>
          <w:szCs w:val="18"/>
          <w:color w:val="auto"/>
        </w:rPr>
        <w:t>Gross profit is equal to our revenue less cost of revenue. Gross profit as a percentage of our revenue is referred to as gross margin. Our gross margin has been and will continue to be affected by a number of factors, including average transaction value, payment type and payments and transactions through our IPN.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121"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Research and development expenses consist of personnel-related expenses, including stock-based compensation expenses, incurred in developing new products or enhancing existing products and are expensed as incurred, unless they qualify as internal-use software development costs, which are capitalized and amortized. We expect our research and development expenses to increase in absolute dollars, but they may fluctuate as a percentage of revenue from period to period as we expand our research and development team to develop new products and product enhancements. Over the longer term, we expect research and development expenses to decrease as a percentage of revenue as we leverage the scale of our business.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121" w:lineRule="exact"/>
        <w:rPr>
          <w:sz w:val="20"/>
          <w:szCs w:val="20"/>
          <w:color w:val="auto"/>
        </w:rPr>
      </w:pPr>
    </w:p>
    <w:p>
      <w:pPr>
        <w:ind w:right="100" w:firstLine="494"/>
        <w:spacing w:after="0" w:line="234" w:lineRule="auto"/>
        <w:rPr>
          <w:sz w:val="20"/>
          <w:szCs w:val="20"/>
          <w:color w:val="auto"/>
        </w:rPr>
      </w:pPr>
      <w:r>
        <w:rPr>
          <w:rFonts w:ascii="Arial" w:cs="Arial" w:eastAsia="Arial" w:hAnsi="Arial"/>
          <w:sz w:val="18"/>
          <w:szCs w:val="18"/>
          <w:color w:val="auto"/>
        </w:rPr>
        <w:t>Sales and marketing expenses consist primarily of personnel-related expenses, including stock-based compensation expenses for sales and marketing personnel, sales commissions, partner fees, marketing program expenses, travel-related expenses and costs to market and promote our platform through advertisements, marketing events, partnership arrangements and direct biller acquisition as well as amortization of intangible assets acquired as part of our acquisitions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56" w:name="page57"/>
    <w:bookmarkEnd w:id="56"/>
    <w:p>
      <w:pPr>
        <w:ind w:right="120"/>
        <w:spacing w:after="0" w:line="245" w:lineRule="auto"/>
        <w:rPr>
          <w:sz w:val="20"/>
          <w:szCs w:val="20"/>
          <w:color w:val="auto"/>
        </w:rPr>
      </w:pPr>
      <w:r>
        <w:rPr>
          <w:rFonts w:ascii="Arial" w:cs="Arial" w:eastAsia="Arial" w:hAnsi="Arial"/>
          <w:sz w:val="18"/>
          <w:szCs w:val="18"/>
          <w:color w:val="auto"/>
        </w:rPr>
        <w:t>of other businesses. We expect our sales and marketing expenses to increase in absolute dollars, but they may fluctuate as a percentage of revenue from period to period.</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121"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General and administrative expenses consist primarily of personnel-related expenses, including stock-based compensation expenses for finance, risk management, legal and compliance, human resources, information technology and facilities personnel. General and administrative expenses also include costs incurred for external professional services and other corporate expenses. We expect to incur additional general and administrative expenses as a result of operating as a public company, and to support the growth in our business. We expect that our general and administrative expenses will increase in absolute dollars, but they may fluctuate as a percentage of revenue from period to period. Over the longer term, we expect general and administrative expenses to decrease as a percentage of revenue as we leverage the scale of our business.</w:t>
      </w:r>
    </w:p>
    <w:p>
      <w:pPr>
        <w:spacing w:after="0" w:line="18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Factors Affecting Our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Adoption of Electronic Bill Payment Solutions</w:t>
      </w:r>
    </w:p>
    <w:p>
      <w:pPr>
        <w:spacing w:after="0" w:line="125" w:lineRule="exact"/>
        <w:rPr>
          <w:sz w:val="20"/>
          <w:szCs w:val="20"/>
          <w:color w:val="auto"/>
        </w:rPr>
      </w:pPr>
    </w:p>
    <w:p>
      <w:pPr>
        <w:ind w:right="240" w:firstLine="494"/>
        <w:spacing w:after="0" w:line="238" w:lineRule="auto"/>
        <w:rPr>
          <w:sz w:val="20"/>
          <w:szCs w:val="20"/>
          <w:color w:val="auto"/>
        </w:rPr>
      </w:pPr>
      <w:r>
        <w:rPr>
          <w:rFonts w:ascii="Arial" w:cs="Arial" w:eastAsia="Arial" w:hAnsi="Arial"/>
          <w:sz w:val="18"/>
          <w:szCs w:val="18"/>
          <w:color w:val="auto"/>
        </w:rPr>
        <w:t>As the number of financial transactions online continues to increase, electronic bill payment is becoming a greater share of the bill payment market. We have observed that consumers demand a frictionless electronic bill payment experience and increasingly prefer more flexible and innovative digital payment options. We expect this trend to continue, providing us with a greater opportunity to provide next-generation bill and digital payment technology and power more transactions, further fueling our growth.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and Maintaining Existing Billers and Financial Institutions</w:t>
      </w:r>
    </w:p>
    <w:p>
      <w:pPr>
        <w:spacing w:after="0" w:line="125"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Our future growth depends on the continued adoption of our platform by new billers and financial institutions, as well as maintaining our existing billers and financial institutions. We intend to continue investing in our efficient go-to-market strategies, increasing brand awareness and driving adoption of our platform and products. We had more than 1,900 billers and financial institution clients as of December 31, 2022, including billers of all sizes and across numerous vertical markets and financial institutions of all sizes. Our ability to attract new, and maintain existing, billers and financial institutions and drive adoption of our platform will depend on a number of factors, including the effectiveness and pricing of our products, offerings of our competitors and the effectiveness of our marketing efforts. Our growth and performance also depends on our ability to promptly implement and begin recognizing revenues from our new billers and financial institutions.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Usage of Our Platform with Existing Billers and Financial Institutions</w:t>
      </w:r>
    </w:p>
    <w:p>
      <w:pPr>
        <w:spacing w:after="0" w:line="125"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We believe our large base of existing billers and financial institutions represents a significant opportunity for further consumption of our platform. We believe our solutions create a superior experience for consumers and accelerate revenue realization for billers, which drives increased usage of our platform. We intend to continue investing in this value proposition. Leveraging our platform to capture more transactions from our existing biller and financial institution base is expected to organically drive transaction growth at lower cost.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Our Partner Base</w:t>
      </w:r>
    </w:p>
    <w:p>
      <w:pPr>
        <w:spacing w:after="0" w:line="125" w:lineRule="exact"/>
        <w:rPr>
          <w:sz w:val="20"/>
          <w:szCs w:val="20"/>
          <w:color w:val="auto"/>
        </w:rPr>
      </w:pPr>
    </w:p>
    <w:p>
      <w:pPr>
        <w:ind w:right="100" w:firstLine="494"/>
        <w:spacing w:after="0" w:line="237" w:lineRule="auto"/>
        <w:rPr>
          <w:sz w:val="20"/>
          <w:szCs w:val="20"/>
          <w:color w:val="auto"/>
        </w:rPr>
      </w:pPr>
      <w:r>
        <w:rPr>
          <w:rFonts w:ascii="Arial" w:cs="Arial" w:eastAsia="Arial" w:hAnsi="Arial"/>
          <w:sz w:val="18"/>
          <w:szCs w:val="18"/>
          <w:color w:val="auto"/>
        </w:rPr>
        <w:t>We believe there is a significant opportunity to increase the transactions on our platform through expanding our base of software, strategic and IPN partners. While revenue derived from or through our IPN partnerships has not been significant historically, we expect that the revenue contribution from our IPN will grow over time. As our IPN partner base expands, and new partners use our platform to power bill payment experiences within their ecosystems, we expect to organically expand the reach of our platform to millions of new consumers and thereby drive new, revenue-generating transactions to our platform. We intend to invest in the expansion of our partner base, including the addition of new IPN partners, because our ability to secure new partners will have a direct impact on our transaction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Sales and Marketing</w:t>
      </w:r>
    </w:p>
    <w:p>
      <w:pPr>
        <w:spacing w:after="0" w:line="125"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We will continue to expand efforts to market our platform through our diversified sales and marketing strategy. We intend to invest in sales and marketing strategies that we believe will drive further brand awareness and preference among our billers, financial institutions, partners and consumers. Given the nature of our biller, financial institution, and partner base, our investment in sales and marketing in a given period may not impact results until subsequent periods. We approach sales and marketing spend strategically to maintain efficient biller and partner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Enhancement of Our Platform</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57" w:name="page58"/>
    <w:bookmarkEnd w:id="57"/>
    <w:p>
      <w:pPr>
        <w:ind w:right="80" w:firstLine="494"/>
        <w:spacing w:after="0" w:line="257" w:lineRule="auto"/>
        <w:rPr>
          <w:sz w:val="20"/>
          <w:szCs w:val="20"/>
          <w:color w:val="auto"/>
        </w:rPr>
      </w:pPr>
      <w:r>
        <w:rPr>
          <w:rFonts w:ascii="Arial" w:cs="Arial" w:eastAsia="Arial" w:hAnsi="Arial"/>
          <w:sz w:val="17"/>
          <w:szCs w:val="17"/>
          <w:color w:val="auto"/>
        </w:rPr>
        <w:t>We will continue to invest in our platform and IPN to maintain our position as a leading provider of biller communication and payments. To drive adoption and increase penetration of our platform, we intend to continue to introduce new products and features. We believe that investment in research and development will contribute to our long-term growth, but may also negatively impact our short-term profitability. We will continue to leverage emerging technologies and invest in the development of more features and better functionality for consumers.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Performance and Non-GAAP Measures</w:t>
      </w:r>
    </w:p>
    <w:p>
      <w:pPr>
        <w:spacing w:after="0" w:line="125" w:lineRule="exact"/>
        <w:rPr>
          <w:sz w:val="20"/>
          <w:szCs w:val="20"/>
          <w:color w:val="auto"/>
        </w:rPr>
      </w:pPr>
    </w:p>
    <w:p>
      <w:pPr>
        <w:ind w:right="60" w:firstLine="494"/>
        <w:spacing w:after="0" w:line="257" w:lineRule="auto"/>
        <w:rPr>
          <w:sz w:val="20"/>
          <w:szCs w:val="20"/>
          <w:color w:val="auto"/>
        </w:rPr>
      </w:pPr>
      <w:r>
        <w:rPr>
          <w:rFonts w:ascii="Arial" w:cs="Arial" w:eastAsia="Arial" w:hAnsi="Arial"/>
          <w:sz w:val="17"/>
          <w:szCs w:val="17"/>
          <w:color w:val="auto"/>
        </w:rPr>
        <w:t>We use the following metrics to measure our performance, identify trends affecting our business, prepare financial projections and make strategic decisions. We believe that these key performance and non-GAAP measures provide meaningful supplemental information for management and investors in assessing our historical and future operating performance. The calculation of the key performance and non-GAAP measures discussed below may differ from other similarly titled metrics used by other companies, securities analysts or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Processed</w:t>
      </w:r>
    </w:p>
    <w:p>
      <w:pPr>
        <w:spacing w:after="0" w:line="45"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17780</wp:posOffset>
            </wp:positionV>
            <wp:extent cx="30137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1371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66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24"/>
        </w:trPr>
        <w:tc>
          <w:tcPr>
            <w:tcW w:w="63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7300" w:type="dxa"/>
            <w:vAlign w:val="bottom"/>
            <w:gridSpan w:val="2"/>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gridSpan w:val="2"/>
          </w:tcPr>
          <w:p>
            <w:pPr>
              <w:spacing w:after="0"/>
              <w:rPr>
                <w:sz w:val="19"/>
                <w:szCs w:val="19"/>
                <w:color w:val="auto"/>
              </w:rPr>
            </w:pPr>
          </w:p>
        </w:tc>
        <w:tc>
          <w:tcPr>
            <w:tcW w:w="16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00" w:type="dxa"/>
            <w:vAlign w:val="bottom"/>
            <w:gridSpan w:val="2"/>
            <w:shd w:val="clear" w:color="auto" w:fill="CFF0FC"/>
          </w:tcPr>
          <w:p>
            <w:pPr>
              <w:jc w:val="right"/>
              <w:ind w:right="5340"/>
              <w:spacing w:after="0"/>
              <w:rPr>
                <w:sz w:val="20"/>
                <w:szCs w:val="20"/>
                <w:color w:val="auto"/>
              </w:rPr>
            </w:pPr>
            <w:r>
              <w:rPr>
                <w:rFonts w:ascii="Arial" w:cs="Arial" w:eastAsia="Arial" w:hAnsi="Arial"/>
                <w:sz w:val="18"/>
                <w:szCs w:val="18"/>
                <w:color w:val="auto"/>
              </w:rPr>
              <w:t>Transactions processed</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280.5</w:t>
            </w: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FF0FC"/>
          </w:tcPr>
          <w:p>
            <w:pPr>
              <w:spacing w:after="0"/>
              <w:rPr>
                <w:sz w:val="19"/>
                <w:szCs w:val="19"/>
                <w:color w:val="auto"/>
              </w:rPr>
            </w:pPr>
          </w:p>
        </w:tc>
      </w:tr>
    </w:tbl>
    <w:p>
      <w:pPr>
        <w:spacing w:after="0" w:line="215" w:lineRule="exact"/>
        <w:rPr>
          <w:sz w:val="20"/>
          <w:szCs w:val="20"/>
          <w:color w:val="auto"/>
        </w:rPr>
      </w:pPr>
    </w:p>
    <w:p>
      <w:pPr>
        <w:ind w:right="220" w:firstLine="499"/>
        <w:spacing w:after="0" w:line="237" w:lineRule="auto"/>
        <w:rPr>
          <w:sz w:val="20"/>
          <w:szCs w:val="20"/>
          <w:color w:val="auto"/>
        </w:rPr>
      </w:pPr>
      <w:r>
        <w:rPr>
          <w:rFonts w:ascii="Arial" w:cs="Arial" w:eastAsia="Arial" w:hAnsi="Arial"/>
          <w:sz w:val="18"/>
          <w:szCs w:val="18"/>
          <w:color w:val="auto"/>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number of transactions processed during the year ended December 31, 2022 increased approximately 30.8% as compared to 2021.The number of transactions processed during the year ended December 31, 2021 increased approximately 43.8% as compared to 2020. The increase for both years was primarily driven by the addition of new billers and increased transactions from our existing billers.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25" w:lineRule="exact"/>
        <w:rPr>
          <w:sz w:val="20"/>
          <w:szCs w:val="20"/>
          <w:color w:val="auto"/>
        </w:rPr>
      </w:pPr>
    </w:p>
    <w:p>
      <w:pPr>
        <w:jc w:val="both"/>
        <w:ind w:right="400" w:firstLine="494"/>
        <w:spacing w:after="0"/>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Contribution Profit</w:t>
      </w:r>
    </w:p>
    <w:p>
      <w:pPr>
        <w:spacing w:after="0" w:line="121" w:lineRule="exact"/>
        <w:rPr>
          <w:sz w:val="20"/>
          <w:szCs w:val="20"/>
          <w:color w:val="auto"/>
        </w:rPr>
      </w:pPr>
    </w:p>
    <w:p>
      <w:pPr>
        <w:ind w:right="880" w:firstLine="544"/>
        <w:spacing w:after="0" w:line="245" w:lineRule="auto"/>
        <w:rPr>
          <w:sz w:val="20"/>
          <w:szCs w:val="20"/>
          <w:color w:val="auto"/>
        </w:rPr>
      </w:pPr>
      <w:r>
        <w:rPr>
          <w:rFonts w:ascii="Arial" w:cs="Arial" w:eastAsia="Arial" w:hAnsi="Arial"/>
          <w:sz w:val="18"/>
          <w:szCs w:val="18"/>
          <w:color w:val="auto"/>
        </w:rPr>
        <w:t>We calculate contribution profit as gross profit plus other cost of revenue. Other cost of revenue equals cost of revenue less interchange and assessment fees paid by us to our payment processors.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Gross Profit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calculate adjusted gross profit as gross profit adjusted for non-cash items, primarily stock-based compensation and amortization.</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EBITDA</w:t>
      </w:r>
    </w:p>
    <w:p>
      <w:pPr>
        <w:spacing w:after="0" w:line="121" w:lineRule="exact"/>
        <w:rPr>
          <w:sz w:val="20"/>
          <w:szCs w:val="20"/>
          <w:color w:val="auto"/>
        </w:rPr>
      </w:pPr>
    </w:p>
    <w:p>
      <w:pPr>
        <w:ind w:right="340" w:firstLine="494"/>
        <w:spacing w:after="0" w:line="238" w:lineRule="auto"/>
        <w:rPr>
          <w:sz w:val="20"/>
          <w:szCs w:val="20"/>
          <w:color w:val="auto"/>
        </w:rPr>
      </w:pPr>
      <w:r>
        <w:rPr>
          <w:rFonts w:ascii="Arial" w:cs="Arial" w:eastAsia="Arial" w:hAnsi="Arial"/>
          <w:sz w:val="18"/>
          <w:szCs w:val="18"/>
          <w:color w:val="auto"/>
        </w:rPr>
        <w:t>We calculate adjusted EBITDA as net income before other income (expense) (which consists of interest income (expense), net and foreign exchange gain (loss)), depreciation and amortization, income taxes, adjusted to exclude the effects of stock-based compensation expense and certain nonrecurring expenses that management believes are not indicative of ongoing operations, consisting primarily of professional fees and other indirect charges associated with our initial public offering, or IPO.</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Free Cash Flow</w:t>
      </w:r>
    </w:p>
    <w:p>
      <w:pPr>
        <w:spacing w:after="0" w:line="121" w:lineRule="exact"/>
        <w:rPr>
          <w:sz w:val="20"/>
          <w:szCs w:val="20"/>
          <w:color w:val="auto"/>
        </w:rPr>
      </w:pPr>
    </w:p>
    <w:p>
      <w:pPr>
        <w:ind w:right="60" w:firstLine="494"/>
        <w:spacing w:after="0" w:line="245" w:lineRule="auto"/>
        <w:rPr>
          <w:sz w:val="20"/>
          <w:szCs w:val="20"/>
          <w:color w:val="auto"/>
        </w:rPr>
      </w:pPr>
      <w:r>
        <w:rPr>
          <w:rFonts w:ascii="Arial" w:cs="Arial" w:eastAsia="Arial" w:hAnsi="Arial"/>
          <w:sz w:val="18"/>
          <w:szCs w:val="18"/>
          <w:color w:val="auto"/>
        </w:rPr>
        <w:t>We calculate free cash flow as net cash provided by (used in) operating activities less capital expenditures and capitalized internal-use software development costs.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How We Use Non-GAAP Measures</w:t>
      </w:r>
    </w:p>
    <w:p>
      <w:pPr>
        <w:spacing w:after="0" w:line="121" w:lineRule="exact"/>
        <w:rPr>
          <w:sz w:val="20"/>
          <w:szCs w:val="20"/>
          <w:color w:val="auto"/>
        </w:rPr>
      </w:pPr>
    </w:p>
    <w:p>
      <w:pPr>
        <w:ind w:right="80" w:firstLine="494"/>
        <w:spacing w:after="0" w:line="234" w:lineRule="auto"/>
        <w:rPr>
          <w:sz w:val="20"/>
          <w:szCs w:val="20"/>
          <w:color w:val="auto"/>
        </w:rPr>
      </w:pPr>
      <w:r>
        <w:rPr>
          <w:rFonts w:ascii="Arial" w:cs="Arial" w:eastAsia="Arial" w:hAnsi="Arial"/>
          <w:sz w:val="18"/>
          <w:szCs w:val="18"/>
          <w:color w:val="auto"/>
        </w:rPr>
        <w:t>We use non-GAAP measures to supplement financial information presented on a GAAP basis. We believe that excluding certain items from our GAAP results allows management and our board of directors to more fully understand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58" w:name="page59"/>
    <w:bookmarkEnd w:id="58"/>
    <w:p>
      <w:pPr>
        <w:ind w:right="40"/>
        <w:spacing w:after="0" w:line="235" w:lineRule="auto"/>
        <w:rPr>
          <w:sz w:val="20"/>
          <w:szCs w:val="20"/>
          <w:color w:val="auto"/>
        </w:rPr>
      </w:pPr>
      <w:r>
        <w:rPr>
          <w:rFonts w:ascii="Arial" w:cs="Arial" w:eastAsia="Arial" w:hAnsi="Arial"/>
          <w:sz w:val="18"/>
          <w:szCs w:val="18"/>
          <w:color w:val="auto"/>
        </w:rPr>
        <w:t>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103"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We also urge you to review the reconciliation of these non-GAAP financial measures included below. To properly and prudently evaluate our business, we encourage you to review the consolidated financial statements and related notes included elsewhere in this report and to not rely on any single financial measure to evaluate our business.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Contribution Profit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23"/>
        </w:trPr>
        <w:tc>
          <w:tcPr>
            <w:tcW w:w="6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149,678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121,380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92,627</w:t>
            </w:r>
          </w:p>
        </w:tc>
        <w:tc>
          <w:tcPr>
            <w:tcW w:w="100" w:type="dxa"/>
            <w:vAlign w:val="bottom"/>
            <w:shd w:val="clear" w:color="auto" w:fill="CFF0FC"/>
          </w:tcPr>
          <w:p>
            <w:pPr>
              <w:spacing w:after="0"/>
              <w:rPr>
                <w:sz w:val="19"/>
                <w:szCs w:val="19"/>
                <w:color w:val="auto"/>
              </w:rPr>
            </w:pPr>
          </w:p>
        </w:tc>
      </w:tr>
      <w:tr>
        <w:trPr>
          <w:trHeight w:val="229"/>
        </w:trPr>
        <w:tc>
          <w:tcPr>
            <w:tcW w:w="6340" w:type="dxa"/>
            <w:vAlign w:val="bottom"/>
          </w:tcPr>
          <w:p>
            <w:pPr>
              <w:ind w:left="80"/>
              <w:spacing w:after="0"/>
              <w:rPr>
                <w:sz w:val="20"/>
                <w:szCs w:val="20"/>
                <w:color w:val="auto"/>
              </w:rPr>
            </w:pPr>
            <w:r>
              <w:rPr>
                <w:rFonts w:ascii="Arial" w:cs="Arial" w:eastAsia="Arial" w:hAnsi="Arial"/>
                <w:sz w:val="18"/>
                <w:szCs w:val="18"/>
                <w:color w:val="auto"/>
              </w:rPr>
              <w:t>Plus: other cost of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51,622</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37,098</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27,876</w:t>
            </w:r>
          </w:p>
        </w:tc>
        <w:tc>
          <w:tcPr>
            <w:tcW w:w="100" w:type="dxa"/>
            <w:vAlign w:val="bottom"/>
          </w:tcPr>
          <w:p>
            <w:pPr>
              <w:spacing w:after="0"/>
              <w:rPr>
                <w:sz w:val="19"/>
                <w:szCs w:val="19"/>
                <w:color w:val="auto"/>
              </w:rPr>
            </w:pPr>
          </w:p>
        </w:tc>
      </w:tr>
      <w:tr>
        <w:trPr>
          <w:trHeight w:val="263"/>
        </w:trPr>
        <w:tc>
          <w:tcPr>
            <w:tcW w:w="63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Contribution profit</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201,300</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158,478</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120,503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-24765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-7620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40" w:firstLine="499"/>
        <w:spacing w:after="0" w:line="236" w:lineRule="auto"/>
        <w:rPr>
          <w:sz w:val="20"/>
          <w:szCs w:val="20"/>
          <w:color w:val="auto"/>
        </w:rPr>
      </w:pPr>
      <w:r>
        <w:rPr>
          <w:rFonts w:ascii="Arial" w:cs="Arial" w:eastAsia="Arial" w:hAnsi="Arial"/>
          <w:sz w:val="18"/>
          <w:szCs w:val="18"/>
          <w:color w:val="auto"/>
        </w:rPr>
        <w:t>In general, contribution profit is driven by the number of transactions we process offset by network fees associated with processing those transactions. The amount of contribution profit per transaction may vary due to a variety of factors including client size, type and industry as well as whether the client is a biller, financial institution or other partner. Contribution profit for the year ended December 31, 2022 increased approximately 27.0% as compared to 2021 and increased approximately 31.5% for the year ended December 31, 2021 as compared to 2020. The increase in both years was primarily driven by the addition of new billers and increased transactions from our existing billers. For 2022, contribution profit increased at a slower rate than transactions processed due to a continued mix shift to larger, high volume clients.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Gross Profit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23"/>
        </w:trPr>
        <w:tc>
          <w:tcPr>
            <w:tcW w:w="6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149,678</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121,380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92,627</w:t>
            </w:r>
          </w:p>
        </w:tc>
        <w:tc>
          <w:tcPr>
            <w:tcW w:w="100" w:type="dxa"/>
            <w:vAlign w:val="bottom"/>
            <w:shd w:val="clear" w:color="auto" w:fill="CFF0FC"/>
          </w:tcPr>
          <w:p>
            <w:pPr>
              <w:spacing w:after="0"/>
              <w:rPr>
                <w:sz w:val="19"/>
                <w:szCs w:val="19"/>
                <w:color w:val="auto"/>
              </w:rPr>
            </w:pPr>
          </w:p>
        </w:tc>
      </w:tr>
      <w:tr>
        <w:trPr>
          <w:trHeight w:val="229"/>
        </w:trPr>
        <w:tc>
          <w:tcPr>
            <w:tcW w:w="6340" w:type="dxa"/>
            <w:vAlign w:val="bottom"/>
          </w:tcPr>
          <w:p>
            <w:pPr>
              <w:ind w:left="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3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12,077</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161,755</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127,385</w:t>
            </w:r>
          </w:p>
        </w:tc>
        <w:tc>
          <w:tcPr>
            <w:tcW w:w="2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96,140</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-179070</wp:posOffset>
            </wp:positionV>
            <wp:extent cx="76835"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-179070</wp:posOffset>
            </wp:positionV>
            <wp:extent cx="6858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95" w:lineRule="exact"/>
        <w:rPr>
          <w:sz w:val="20"/>
          <w:szCs w:val="20"/>
          <w:color w:val="auto"/>
        </w:rPr>
      </w:pPr>
    </w:p>
    <w:p>
      <w:pPr>
        <w:ind w:right="60" w:firstLine="499"/>
        <w:spacing w:after="0" w:line="248" w:lineRule="auto"/>
        <w:rPr>
          <w:sz w:val="20"/>
          <w:szCs w:val="20"/>
          <w:color w:val="auto"/>
        </w:rPr>
      </w:pPr>
      <w:r>
        <w:rPr>
          <w:rFonts w:ascii="Arial" w:cs="Arial" w:eastAsia="Arial" w:hAnsi="Arial"/>
          <w:sz w:val="17"/>
          <w:szCs w:val="17"/>
          <w:color w:val="auto"/>
        </w:rPr>
        <w:t>Adjusted gross profit for the year ended December 31, 2022 increased 27.0% as compared to 2021 and increase 32.5% for the year ended December 31, 2021 as compared to 2020. Adjusted gross profit is driven primarily by the same factors that impact gross profit with the exception of excluding the amortization in cost of revenue. The increase in amortization was driven by additional amortization of capitalization of software costs as well as amortization of acquired intangibles associated with the 2021 acquisition of Payveris and Finovera.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59" w:name="page60"/>
    <w:bookmarkEnd w:id="59"/>
    <w:p>
      <w:pPr>
        <w:ind w:left="500"/>
        <w:spacing w:after="0"/>
        <w:rPr>
          <w:sz w:val="20"/>
          <w:szCs w:val="20"/>
          <w:color w:val="auto"/>
        </w:rPr>
      </w:pPr>
      <w:r>
        <w:rPr>
          <w:rFonts w:ascii="Arial" w:cs="Arial" w:eastAsia="Arial" w:hAnsi="Arial"/>
          <w:sz w:val="18"/>
          <w:szCs w:val="18"/>
          <w:i w:val="1"/>
          <w:iCs w:val="1"/>
          <w:color w:val="auto"/>
        </w:rPr>
        <w:t>Adjusted EBITDA</w:t>
      </w:r>
    </w:p>
    <w:p>
      <w:pPr>
        <w:spacing w:after="0" w:line="124" w:lineRule="exact"/>
        <w:rPr>
          <w:sz w:val="20"/>
          <w:szCs w:val="20"/>
          <w:color w:val="auto"/>
        </w:rPr>
      </w:pPr>
    </w:p>
    <w:p>
      <w:pPr>
        <w:ind w:right="160" w:firstLine="8"/>
        <w:spacing w:after="0" w:line="259" w:lineRule="auto"/>
        <w:tabs>
          <w:tab w:leader="none" w:pos="2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nonrecurring expenses consists of indirect costs incurred associated with completion of our IPO in 2021 and an estimated liability booked in 2022 related to the potential cost of terminating a commercial contract.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23"/>
        </w:trPr>
        <w:tc>
          <w:tcPr>
            <w:tcW w:w="6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(513 )</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13,711</w:t>
            </w:r>
          </w:p>
        </w:tc>
        <w:tc>
          <w:tcPr>
            <w:tcW w:w="100" w:type="dxa"/>
            <w:vAlign w:val="bottom"/>
            <w:shd w:val="clear" w:color="auto" w:fill="CFF0FC"/>
          </w:tcPr>
          <w:p>
            <w:pPr>
              <w:spacing w:after="0"/>
              <w:rPr>
                <w:sz w:val="19"/>
                <w:szCs w:val="19"/>
                <w:color w:val="auto"/>
              </w:rPr>
            </w:pPr>
          </w:p>
        </w:tc>
      </w:tr>
      <w:tr>
        <w:trPr>
          <w:trHeight w:val="229"/>
        </w:trPr>
        <w:tc>
          <w:tcPr>
            <w:tcW w:w="6340" w:type="dxa"/>
            <w:vAlign w:val="bottom"/>
          </w:tcPr>
          <w:p>
            <w:pPr>
              <w:ind w:left="80"/>
              <w:spacing w:after="0"/>
              <w:rPr>
                <w:sz w:val="20"/>
                <w:szCs w:val="20"/>
                <w:color w:val="auto"/>
              </w:rPr>
            </w:pPr>
            <w:r>
              <w:rPr>
                <w:rFonts w:ascii="Arial" w:cs="Arial" w:eastAsia="Arial" w:hAnsi="Arial"/>
                <w:sz w:val="18"/>
                <w:szCs w:val="18"/>
                <w:color w:val="auto"/>
              </w:rPr>
              <w:t>Excluding</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Interest (expense) income, net</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(1,663 )</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(52 )</w:t>
            </w:r>
          </w:p>
        </w:tc>
      </w:tr>
      <w:tr>
        <w:trPr>
          <w:trHeight w:val="229"/>
        </w:trPr>
        <w:tc>
          <w:tcPr>
            <w:tcW w:w="6340" w:type="dxa"/>
            <w:vAlign w:val="bottom"/>
          </w:tcPr>
          <w:p>
            <w:pPr>
              <w:ind w:left="8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(795 )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9"/>
                <w:szCs w:val="19"/>
                <w:color w:val="auto"/>
              </w:rPr>
            </w:pPr>
          </w:p>
        </w:tc>
      </w:tr>
      <w:tr>
        <w:trPr>
          <w:trHeight w:val="229"/>
        </w:trPr>
        <w:tc>
          <w:tcPr>
            <w:tcW w:w="6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8,069</w:t>
            </w:r>
          </w:p>
        </w:tc>
        <w:tc>
          <w:tcPr>
            <w:tcW w:w="100" w:type="dxa"/>
            <w:vAlign w:val="bottom"/>
            <w:shd w:val="clear" w:color="auto" w:fill="CFF0FC"/>
          </w:tcPr>
          <w:p>
            <w:pPr>
              <w:spacing w:after="0"/>
              <w:rPr>
                <w:sz w:val="19"/>
                <w:szCs w:val="19"/>
                <w:color w:val="auto"/>
              </w:rPr>
            </w:pPr>
          </w:p>
        </w:tc>
      </w:tr>
      <w:tr>
        <w:trPr>
          <w:trHeight w:val="229"/>
        </w:trPr>
        <w:tc>
          <w:tcPr>
            <w:tcW w:w="6340" w:type="dxa"/>
            <w:vAlign w:val="bottom"/>
          </w:tcPr>
          <w:p>
            <w:pPr>
              <w:ind w:left="80"/>
              <w:spacing w:after="0"/>
              <w:rPr>
                <w:sz w:val="20"/>
                <w:szCs w:val="20"/>
                <w:color w:val="auto"/>
              </w:rPr>
            </w:pPr>
            <w:r>
              <w:rPr>
                <w:rFonts w:ascii="Arial" w:cs="Arial" w:eastAsia="Arial" w:hAnsi="Arial"/>
                <w:sz w:val="18"/>
                <w:szCs w:val="18"/>
                <w:color w:val="auto"/>
              </w:rPr>
              <w:t>Foreign exchange loss (gain)</w:t>
            </w:r>
          </w:p>
        </w:tc>
        <w:tc>
          <w:tcPr>
            <w:tcW w:w="3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r>
      <w:tr>
        <w:trPr>
          <w:trHeight w:val="229"/>
        </w:trPr>
        <w:tc>
          <w:tcPr>
            <w:tcW w:w="6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FF0FC"/>
          </w:tcPr>
          <w:p>
            <w:pPr>
              <w:spacing w:after="0"/>
              <w:rPr>
                <w:sz w:val="19"/>
                <w:szCs w:val="19"/>
                <w:color w:val="auto"/>
              </w:rPr>
            </w:pPr>
          </w:p>
        </w:tc>
      </w:tr>
      <w:tr>
        <w:trPr>
          <w:trHeight w:val="229"/>
        </w:trPr>
        <w:tc>
          <w:tcPr>
            <w:tcW w:w="6340" w:type="dxa"/>
            <w:vAlign w:val="bottom"/>
          </w:tcPr>
          <w:p>
            <w:pPr>
              <w:ind w:left="80"/>
              <w:spacing w:after="0"/>
              <w:rPr>
                <w:sz w:val="20"/>
                <w:szCs w:val="20"/>
                <w:color w:val="auto"/>
              </w:rPr>
            </w:pPr>
            <w:r>
              <w:rPr>
                <w:rFonts w:ascii="Arial" w:cs="Arial" w:eastAsia="Arial" w:hAnsi="Arial"/>
                <w:sz w:val="18"/>
                <w:szCs w:val="18"/>
                <w:color w:val="auto"/>
              </w:rPr>
              <w:t>Other nonrecurring expenses(1)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63"/>
        </w:trPr>
        <w:tc>
          <w:tcPr>
            <w:tcW w:w="63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28,592</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29,515</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28,491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120" w:firstLine="494"/>
        <w:spacing w:after="0" w:line="238" w:lineRule="auto"/>
        <w:rPr>
          <w:sz w:val="20"/>
          <w:szCs w:val="20"/>
          <w:color w:val="auto"/>
        </w:rPr>
      </w:pPr>
      <w:r>
        <w:rPr>
          <w:rFonts w:ascii="Arial" w:cs="Arial" w:eastAsia="Arial" w:hAnsi="Arial"/>
          <w:sz w:val="18"/>
          <w:szCs w:val="18"/>
          <w:color w:val="auto"/>
        </w:rPr>
        <w:t>As adjusted EBITDA is a measure of profitability, it would generally be expected to move in line with revenue, contribution profit, gross profit and adjusted gross profit. However, it decreased from 2021 to 2022 due to our investment in sales and marketing and research and development in order to drive future growth of the business as well as the increased costs associated with being a public company and the impact of the Payveris and Finovera acquisitions.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Free Cash Flow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23"/>
        </w:trPr>
        <w:tc>
          <w:tcPr>
            <w:tcW w:w="6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19,867</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35,620</w:t>
            </w: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Pr>
          <w:p>
            <w:pPr>
              <w:ind w:left="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(1,257 )</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(979 )</w:t>
            </w:r>
          </w:p>
        </w:tc>
        <w:tc>
          <w:tcPr>
            <w:tcW w:w="3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(458 )</w:t>
            </w:r>
          </w:p>
        </w:tc>
      </w:tr>
      <w:tr>
        <w:trPr>
          <w:trHeight w:val="229"/>
        </w:trPr>
        <w:tc>
          <w:tcPr>
            <w:tcW w:w="6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Other intangible assets acquired</w:t>
            </w:r>
          </w:p>
        </w:tc>
        <w:tc>
          <w:tcPr>
            <w:tcW w:w="3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(280 )</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(130 )</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tcPr>
          <w:p>
            <w:pPr>
              <w:ind w:left="80"/>
              <w:spacing w:after="0"/>
              <w:rPr>
                <w:sz w:val="20"/>
                <w:szCs w:val="20"/>
                <w:color w:val="auto"/>
              </w:rPr>
            </w:pPr>
            <w:r>
              <w:rPr>
                <w:rFonts w:ascii="Arial" w:cs="Arial" w:eastAsia="Arial" w:hAnsi="Arial"/>
                <w:sz w:val="18"/>
                <w:szCs w:val="18"/>
                <w:color w:val="auto"/>
              </w:rPr>
              <w:t>Capitalized internal-use software development costs</w:t>
            </w:r>
          </w:p>
        </w:tc>
        <w:tc>
          <w:tcPr>
            <w:tcW w:w="3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(29,763 )</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(19,300 )</w:t>
            </w:r>
          </w:p>
        </w:tc>
        <w:tc>
          <w:tcPr>
            <w:tcW w:w="3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(14,389 )</w:t>
            </w:r>
          </w:p>
        </w:tc>
      </w:tr>
      <w:tr>
        <w:trPr>
          <w:trHeight w:val="20"/>
        </w:trPr>
        <w:tc>
          <w:tcPr>
            <w:tcW w:w="6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Free cash flow</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(11,433 )</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(916 )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Pr>
          <w:p>
            <w:pPr>
              <w:ind w:left="80"/>
              <w:spacing w:after="0"/>
              <w:rPr>
                <w:sz w:val="20"/>
                <w:szCs w:val="20"/>
                <w:color w:val="auto"/>
              </w:rPr>
            </w:pPr>
            <w:r>
              <w:rPr>
                <w:rFonts w:ascii="Arial" w:cs="Arial" w:eastAsia="Arial" w:hAnsi="Arial"/>
                <w:sz w:val="18"/>
                <w:szCs w:val="18"/>
                <w:color w:val="auto"/>
              </w:rPr>
              <w:t>Net cash used in investing activities(1)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(34,560 )</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(77,809 )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(15,137 )</w:t>
            </w:r>
          </w:p>
        </w:tc>
      </w:tr>
      <w:tr>
        <w:trPr>
          <w:trHeight w:val="229"/>
        </w:trPr>
        <w:tc>
          <w:tcPr>
            <w:tcW w:w="6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(37,283 )</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213,487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(1,358 )</w:t>
            </w:r>
          </w:p>
        </w:tc>
      </w:tr>
    </w:tbl>
    <w:p>
      <w:pPr>
        <w:spacing w:after="0" w:line="110" w:lineRule="exact"/>
        <w:rPr>
          <w:sz w:val="20"/>
          <w:szCs w:val="20"/>
          <w:color w:val="auto"/>
        </w:rPr>
      </w:pPr>
    </w:p>
    <w:p>
      <w:pPr>
        <w:ind w:right="280" w:firstLine="8"/>
        <w:spacing w:after="0" w:line="259" w:lineRule="auto"/>
        <w:tabs>
          <w:tab w:leader="none" w:pos="243"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Net cash used in investing activities includes payments for purchases of property and equipment and costs related to capitalized internal-use software development, which is also included in our calculation of free cash flow.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84"/>
        </w:trPr>
        <w:tc>
          <w:tcPr>
            <w:tcW w:w="4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8"/>
        </w:trPr>
        <w:tc>
          <w:tcPr>
            <w:tcW w:w="4440" w:type="dxa"/>
            <w:vAlign w:val="bottom"/>
          </w:tcPr>
          <w:p>
            <w:pPr>
              <w:spacing w:after="0"/>
              <w:rPr>
                <w:sz w:val="19"/>
                <w:szCs w:val="19"/>
                <w:color w:val="auto"/>
              </w:rPr>
            </w:pPr>
          </w:p>
        </w:tc>
        <w:tc>
          <w:tcPr>
            <w:tcW w:w="2320" w:type="dxa"/>
            <w:vAlign w:val="bottom"/>
            <w:gridSpan w:val="2"/>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3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497,001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395,524</w:t>
            </w: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301,767</w:t>
            </w: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ind w:left="20"/>
              <w:spacing w:after="0" w:line="229" w:lineRule="exact"/>
              <w:rPr>
                <w:sz w:val="20"/>
                <w:szCs w:val="20"/>
                <w:color w:val="auto"/>
              </w:rPr>
            </w:pPr>
            <w:r>
              <w:rPr>
                <w:rFonts w:ascii="Arial" w:cs="Arial" w:eastAsia="Arial" w:hAnsi="Arial"/>
                <w:sz w:val="18"/>
                <w:szCs w:val="18"/>
                <w:color w:val="auto"/>
              </w:rPr>
              <w:t>Cost of revenue</w:t>
            </w:r>
            <w:r>
              <w:rPr>
                <w:rFonts w:ascii="Arial" w:cs="Arial" w:eastAsia="Arial" w:hAnsi="Arial"/>
                <w:sz w:val="24"/>
                <w:szCs w:val="24"/>
                <w:color w:val="auto"/>
                <w:vertAlign w:val="superscript"/>
              </w:rPr>
              <w:t>(1)</w:t>
            </w: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347,323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209,140</w:t>
            </w:r>
          </w:p>
        </w:tc>
        <w:tc>
          <w:tcPr>
            <w:tcW w:w="100" w:type="dxa"/>
            <w:vAlign w:val="bottom"/>
          </w:tcPr>
          <w:p>
            <w:pPr>
              <w:spacing w:after="0"/>
              <w:rPr>
                <w:sz w:val="19"/>
                <w:szCs w:val="19"/>
                <w:color w:val="auto"/>
              </w:rPr>
            </w:pPr>
          </w:p>
        </w:tc>
      </w:tr>
      <w:tr>
        <w:trPr>
          <w:trHeight w:val="223"/>
        </w:trPr>
        <w:tc>
          <w:tcPr>
            <w:tcW w:w="4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149,678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121,380</w:t>
            </w: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92,627</w:t>
            </w: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40" w:type="dxa"/>
            <w:vAlign w:val="bottom"/>
            <w:shd w:val="clear" w:color="auto" w:fill="CFF0FC"/>
          </w:tcPr>
          <w:p>
            <w:pPr>
              <w:ind w:left="140"/>
              <w:spacing w:after="0" w:line="229"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4"/>
                <w:szCs w:val="24"/>
                <w:color w:val="auto"/>
                <w:vertAlign w:val="superscript"/>
              </w:rPr>
              <w:t>(1)</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34,122</w:t>
            </w: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24,510</w:t>
            </w: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ind w:left="140"/>
              <w:spacing w:after="0" w:line="229"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4"/>
                <w:szCs w:val="24"/>
                <w:color w:val="auto"/>
                <w:vertAlign w:val="superscript"/>
              </w:rPr>
              <w:t>(1)</w:t>
            </w: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73,295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43,917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31,842</w:t>
            </w:r>
          </w:p>
        </w:tc>
        <w:tc>
          <w:tcPr>
            <w:tcW w:w="100" w:type="dxa"/>
            <w:vAlign w:val="bottom"/>
          </w:tcPr>
          <w:p>
            <w:pPr>
              <w:spacing w:after="0"/>
              <w:rPr>
                <w:sz w:val="19"/>
                <w:szCs w:val="19"/>
                <w:color w:val="auto"/>
              </w:rPr>
            </w:pPr>
          </w:p>
        </w:tc>
      </w:tr>
      <w:tr>
        <w:trPr>
          <w:trHeight w:val="229"/>
        </w:trPr>
        <w:tc>
          <w:tcPr>
            <w:tcW w:w="4440" w:type="dxa"/>
            <w:vAlign w:val="bottom"/>
            <w:tcBorders>
              <w:bottom w:val="single" w:sz="8" w:color="CFF0FC"/>
            </w:tcBorders>
            <w:shd w:val="clear" w:color="auto" w:fill="CFF0FC"/>
          </w:tcPr>
          <w:p>
            <w:pPr>
              <w:ind w:left="140"/>
              <w:spacing w:after="0" w:line="229"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4"/>
                <w:szCs w:val="24"/>
                <w:color w:val="auto"/>
                <w:vertAlign w:val="superscript"/>
              </w:rPr>
              <w:t>(1)</w:t>
            </w:r>
          </w:p>
        </w:tc>
        <w:tc>
          <w:tcPr>
            <w:tcW w:w="19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38,139</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32,968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4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152,654</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74,199</w:t>
            </w:r>
          </w:p>
        </w:tc>
        <w:tc>
          <w:tcPr>
            <w:tcW w:w="100" w:type="dxa"/>
            <w:vAlign w:val="bottom"/>
          </w:tcPr>
          <w:p>
            <w:pPr>
              <w:spacing w:after="0"/>
              <w:rPr>
                <w:sz w:val="19"/>
                <w:szCs w:val="19"/>
                <w:color w:val="auto"/>
              </w:rPr>
            </w:pPr>
          </w:p>
        </w:tc>
      </w:tr>
      <w:tr>
        <w:trPr>
          <w:trHeight w:val="223"/>
        </w:trPr>
        <w:tc>
          <w:tcPr>
            <w:tcW w:w="4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income from operations</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(2,976 )</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10,373</w:t>
            </w: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18,428</w:t>
            </w: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(expense), net</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Foreign exchange gain (loss)</w:t>
            </w: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(116 )</w:t>
            </w:r>
          </w:p>
        </w:tc>
      </w:tr>
      <w:tr>
        <w:trPr>
          <w:trHeight w:val="20"/>
        </w:trPr>
        <w:tc>
          <w:tcPr>
            <w:tcW w:w="4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income before income taxes</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(1,308 )</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10,366</w:t>
            </w: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18,364</w:t>
            </w:r>
          </w:p>
        </w:tc>
        <w:tc>
          <w:tcPr>
            <w:tcW w:w="100" w:type="dxa"/>
            <w:vAlign w:val="bottom"/>
            <w:shd w:val="clear" w:color="auto" w:fill="CFF0FC"/>
          </w:tcPr>
          <w:p>
            <w:pPr>
              <w:spacing w:after="0"/>
              <w:rPr>
                <w:sz w:val="19"/>
                <w:szCs w:val="19"/>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440" w:type="dxa"/>
            <w:vAlign w:val="bottom"/>
          </w:tcPr>
          <w:p>
            <w:pPr>
              <w:ind w:left="140"/>
              <w:spacing w:after="0"/>
              <w:rPr>
                <w:sz w:val="20"/>
                <w:szCs w:val="20"/>
                <w:color w:val="auto"/>
              </w:rPr>
            </w:pPr>
            <w:r>
              <w:rPr>
                <w:rFonts w:ascii="Arial" w:cs="Arial" w:eastAsia="Arial" w:hAnsi="Arial"/>
                <w:sz w:val="18"/>
                <w:szCs w:val="18"/>
                <w:color w:val="auto"/>
              </w:rPr>
              <w:t>(Provision for) benefit from income taxes</w:t>
            </w: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(1,066 )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(4,653 )</w:t>
            </w:r>
          </w:p>
        </w:tc>
      </w:tr>
      <w:tr>
        <w:trPr>
          <w:trHeight w:val="20"/>
        </w:trPr>
        <w:tc>
          <w:tcPr>
            <w:tcW w:w="4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98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(513 )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w:t>
            </w:r>
          </w:p>
        </w:tc>
        <w:tc>
          <w:tcPr>
            <w:tcW w:w="120" w:type="dxa"/>
            <w:vAlign w:val="bottom"/>
            <w:shd w:val="clear" w:color="auto" w:fill="CFF0FC"/>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13,711</w:t>
            </w:r>
          </w:p>
        </w:tc>
        <w:tc>
          <w:tcPr>
            <w:tcW w:w="100" w:type="dxa"/>
            <w:vAlign w:val="bottom"/>
            <w:shd w:val="clear" w:color="auto" w:fill="CFF0FC"/>
          </w:tcPr>
          <w:p>
            <w:pPr>
              <w:spacing w:after="0"/>
              <w:rPr>
                <w:sz w:val="22"/>
                <w:szCs w:val="22"/>
                <w:color w:val="auto"/>
              </w:rPr>
            </w:pPr>
          </w:p>
        </w:tc>
      </w:tr>
      <w:tr>
        <w:trPr>
          <w:trHeight w:val="412"/>
        </w:trPr>
        <w:tc>
          <w:tcPr>
            <w:tcW w:w="444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jc w:val="right"/>
              <w:ind w:right="610"/>
              <w:spacing w:after="0"/>
              <w:rPr>
                <w:sz w:val="20"/>
                <w:szCs w:val="20"/>
                <w:color w:val="auto"/>
              </w:rPr>
            </w:pPr>
            <w:r>
              <w:rPr>
                <w:rFonts w:ascii="Arial" w:cs="Arial" w:eastAsia="Arial" w:hAnsi="Arial"/>
                <w:sz w:val="18"/>
                <w:szCs w:val="18"/>
                <w:color w:val="auto"/>
              </w:rPr>
              <w:t>59</w:t>
            </w: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1"/>
        </w:trPr>
        <w:tc>
          <w:tcPr>
            <w:tcW w:w="444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4996815</wp:posOffset>
            </wp:positionH>
            <wp:positionV relativeFrom="paragraph">
              <wp:posOffset>-1583690</wp:posOffset>
            </wp:positionV>
            <wp:extent cx="6858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-1583690</wp:posOffset>
            </wp:positionV>
            <wp:extent cx="6858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-1583690</wp:posOffset>
            </wp:positionV>
            <wp:extent cx="6858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-684530</wp:posOffset>
            </wp:positionV>
            <wp:extent cx="68580"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-684530</wp:posOffset>
            </wp:positionV>
            <wp:extent cx="68580"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-375920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-358775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-375920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-358775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-375920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0" w:name="page61"/>
    <w:bookmarkEnd w:id="60"/>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Stock-based compensation expense was allocated in cost of revenue and operating expenses as follows:</w:t>
      </w:r>
    </w:p>
    <w:p>
      <w:pPr>
        <w:sectPr>
          <w:pgSz w:w="11900" w:h="16838" w:orient="portrait"/>
          <w:cols w:equalWidth="0" w:num="1">
            <w:col w:w="11300"/>
          </w:cols>
          <w:pgMar w:left="320" w:top="46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stock-based compensation</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184"/>
        </w:trPr>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255"/>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8"/>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r>
      <w:tr>
        <w:trPr>
          <w:trHeight w:val="223"/>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6,736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3,136</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-761365</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-470535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-170815</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720"/>
            <w:col w:w="4920"/>
          </w:cols>
          <w:pgMar w:left="320" w:top="465" w:right="279" w:bottom="1440" w:gutter="0" w:footer="0" w:header="0"/>
          <w:type w:val="continuous"/>
        </w:sectPr>
      </w:pPr>
    </w:p>
    <w:p>
      <w:pPr>
        <w:spacing w:after="0" w:line="15" w:lineRule="exact"/>
        <w:rPr>
          <w:sz w:val="20"/>
          <w:szCs w:val="20"/>
          <w:color w:val="auto"/>
        </w:rPr>
      </w:pPr>
    </w:p>
    <w:p>
      <w:pPr>
        <w:ind w:right="260" w:firstLine="494"/>
        <w:spacing w:after="0" w:line="245" w:lineRule="auto"/>
        <w:rPr>
          <w:sz w:val="20"/>
          <w:szCs w:val="20"/>
          <w:color w:val="auto"/>
        </w:rPr>
      </w:pPr>
      <w:r>
        <w:rPr>
          <w:rFonts w:ascii="Arial" w:cs="Arial" w:eastAsia="Arial" w:hAnsi="Arial"/>
          <w:sz w:val="18"/>
          <w:szCs w:val="18"/>
          <w:color w:val="auto"/>
        </w:rPr>
        <w:t>The following table presents the components of our consolidated statements of operations for the periods presented as a percentage of revenue: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384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100.0 %</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100.0 %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Borders>
              <w:right w:val="single" w:sz="8" w:color="CFF0FC"/>
            </w:tcBorders>
            <w:shd w:val="clear" w:color="auto" w:fill="CFF0FC"/>
          </w:tcPr>
          <w:p>
            <w:pPr>
              <w:spacing w:after="0"/>
              <w:rPr>
                <w:sz w:val="19"/>
                <w:szCs w:val="19"/>
                <w:color w:val="auto"/>
              </w:rPr>
            </w:pPr>
          </w:p>
        </w:tc>
        <w:tc>
          <w:tcPr>
            <w:tcW w:w="14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right w:val="single" w:sz="8" w:color="CFF0FC"/>
            </w:tcBorders>
            <w:shd w:val="clear" w:color="auto" w:fill="CFF0FC"/>
          </w:tcPr>
          <w:p>
            <w:pPr>
              <w:spacing w:after="0"/>
              <w:rPr>
                <w:sz w:val="19"/>
                <w:szCs w:val="19"/>
                <w:color w:val="auto"/>
              </w:rPr>
            </w:pPr>
          </w:p>
        </w:tc>
        <w:tc>
          <w:tcPr>
            <w:tcW w:w="14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CFF0FC"/>
              <w:right w:val="single" w:sz="8" w:color="CFF0FC"/>
            </w:tcBorders>
            <w:shd w:val="clear" w:color="auto" w:fill="CFF0FC"/>
          </w:tcPr>
          <w:p>
            <w:pPr>
              <w:spacing w:after="0"/>
              <w:rPr>
                <w:sz w:val="19"/>
                <w:szCs w:val="19"/>
                <w:color w:val="auto"/>
              </w:rPr>
            </w:pPr>
          </w:p>
        </w:tc>
        <w:tc>
          <w:tcPr>
            <w:tcW w:w="142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income from operations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(0.6 )</w:t>
            </w:r>
          </w:p>
        </w:tc>
        <w:tc>
          <w:tcPr>
            <w:tcW w:w="14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(expense), net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right w:val="single" w:sz="8" w:color="CFF0FC"/>
            </w:tcBorders>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Foreign exchange gain (loss)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income before income taxes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(0.3 )</w:t>
            </w:r>
          </w:p>
        </w:tc>
        <w:tc>
          <w:tcPr>
            <w:tcW w:w="14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tcPr>
          <w:p>
            <w:pPr>
              <w:ind w:left="14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(0.3 )</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(0.1 %)</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2.3 %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840" w:type="dxa"/>
            <w:vAlign w:val="bottom"/>
          </w:tcPr>
          <w:p>
            <w:pPr>
              <w:ind w:left="500"/>
              <w:spacing w:after="0"/>
              <w:rPr>
                <w:sz w:val="20"/>
                <w:szCs w:val="20"/>
                <w:color w:val="auto"/>
              </w:rPr>
            </w:pPr>
            <w:r>
              <w:rPr>
                <w:rFonts w:ascii="Arial" w:cs="Arial" w:eastAsia="Arial" w:hAnsi="Arial"/>
                <w:sz w:val="18"/>
                <w:szCs w:val="18"/>
                <w:i w:val="1"/>
                <w:iCs w:val="1"/>
                <w:color w:val="auto"/>
              </w:rPr>
              <w:t>Revenue</w:t>
            </w:r>
          </w:p>
        </w:tc>
        <w:tc>
          <w:tcPr>
            <w:tcW w:w="360" w:type="dxa"/>
            <w:vAlign w:val="bottom"/>
          </w:tcPr>
          <w:p>
            <w:pPr>
              <w:spacing w:after="0"/>
              <w:rPr>
                <w:sz w:val="24"/>
                <w:szCs w:val="24"/>
                <w:color w:val="auto"/>
              </w:rPr>
            </w:pPr>
          </w:p>
        </w:tc>
        <w:tc>
          <w:tcPr>
            <w:tcW w:w="3180" w:type="dxa"/>
            <w:vAlign w:val="bottom"/>
            <w:gridSpan w:val="4"/>
            <w:vMerge w:val="restart"/>
          </w:tcPr>
          <w:p>
            <w:pPr>
              <w:jc w:val="right"/>
              <w:ind w:right="824"/>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vMerge w:val="continue"/>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gridSpan w:val="7"/>
          </w:tcPr>
          <w:p>
            <w:pPr>
              <w:jc w:val="right"/>
              <w:ind w:right="1580"/>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497,001</w:t>
            </w:r>
          </w:p>
        </w:tc>
        <w:tc>
          <w:tcPr>
            <w:tcW w:w="96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395,524</w:t>
            </w:r>
          </w:p>
        </w:tc>
        <w:tc>
          <w:tcPr>
            <w:tcW w:w="5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101,477</w:t>
            </w:r>
          </w:p>
        </w:tc>
        <w:tc>
          <w:tcPr>
            <w:tcW w:w="3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-3338830</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-2311400</wp:posOffset>
            </wp:positionV>
            <wp:extent cx="76835"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-2311400</wp:posOffset>
            </wp:positionV>
            <wp:extent cx="6858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-2311400</wp:posOffset>
            </wp:positionV>
            <wp:extent cx="6858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-1412240</wp:posOffset>
            </wp:positionV>
            <wp:extent cx="7132320" cy="3340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195" w:lineRule="exact"/>
        <w:rPr>
          <w:sz w:val="20"/>
          <w:szCs w:val="20"/>
          <w:color w:val="auto"/>
        </w:rPr>
      </w:pPr>
    </w:p>
    <w:p>
      <w:pPr>
        <w:ind w:right="520" w:firstLine="499"/>
        <w:spacing w:after="0"/>
        <w:rPr>
          <w:sz w:val="20"/>
          <w:szCs w:val="20"/>
          <w:color w:val="auto"/>
        </w:rPr>
      </w:pPr>
      <w:r>
        <w:rPr>
          <w:rFonts w:ascii="Arial" w:cs="Arial" w:eastAsia="Arial" w:hAnsi="Arial"/>
          <w:sz w:val="18"/>
          <w:szCs w:val="18"/>
          <w:color w:val="auto"/>
        </w:rPr>
        <w:t>The increase in revenue was primarily due to an increase in the number of transactions processed, which was driven by the implementation of new billers, increased transactions from our existing billers and additional transactions as a result of the Payveris and Finovera acquisitions, offset by a decrease in the revenue we received per transaction on a blended basis.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40" w:type="dxa"/>
            <w:vAlign w:val="bottom"/>
            <w:gridSpan w:val="6"/>
          </w:tcPr>
          <w:p>
            <w:pPr>
              <w:jc w:val="right"/>
              <w:ind w:right="1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1940" w:type="dxa"/>
            <w:vAlign w:val="bottom"/>
            <w:gridSpan w:val="3"/>
          </w:tcPr>
          <w:p>
            <w:pPr>
              <w:ind w:left="112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38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223"/>
        </w:trPr>
        <w:tc>
          <w:tcPr>
            <w:tcW w:w="3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4"/>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347,323</w:t>
            </w:r>
          </w:p>
        </w:tc>
        <w:tc>
          <w:tcPr>
            <w:tcW w:w="2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274,144</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73,179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149,678</w:t>
            </w:r>
          </w:p>
        </w:tc>
        <w:tc>
          <w:tcPr>
            <w:tcW w:w="2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121,380</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28,298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r>
      <w:tr>
        <w:trPr>
          <w:trHeight w:val="22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30.1 %</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30.7 %</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15" w:lineRule="exact"/>
        <w:rPr>
          <w:sz w:val="20"/>
          <w:szCs w:val="20"/>
          <w:color w:val="auto"/>
        </w:rPr>
      </w:pPr>
    </w:p>
    <w:p>
      <w:pPr>
        <w:ind w:right="460" w:firstLine="499"/>
        <w:spacing w:after="0"/>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 interchange fees and processor costs, driven by higher average bill amounts due primarily to inflation, as well as other direct and indirect costs associated with making our platform available to our billers.</w:t>
      </w:r>
    </w:p>
    <w:p>
      <w:pPr>
        <w:spacing w:after="0" w:line="94" w:lineRule="exact"/>
        <w:rPr>
          <w:sz w:val="20"/>
          <w:szCs w:val="20"/>
          <w:color w:val="auto"/>
        </w:rPr>
      </w:pPr>
    </w:p>
    <w:p>
      <w:pPr>
        <w:ind w:left="5520" w:right="1740" w:hanging="5021"/>
        <w:spacing w:after="0" w:line="245" w:lineRule="auto"/>
        <w:rPr>
          <w:sz w:val="20"/>
          <w:szCs w:val="20"/>
          <w:color w:val="auto"/>
        </w:rPr>
      </w:pPr>
      <w:r>
        <w:rPr>
          <w:rFonts w:ascii="Arial" w:cs="Arial" w:eastAsia="Arial" w:hAnsi="Arial"/>
          <w:sz w:val="18"/>
          <w:szCs w:val="18"/>
          <w:color w:val="auto"/>
        </w:rPr>
        <w:t>Gross margin was consistent during the year ended December 31, 2022 as compared to the same period in 2021.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65" w:right="279" w:bottom="1440" w:gutter="0" w:footer="0" w:header="0"/>
          <w:type w:val="continuous"/>
        </w:sectPr>
      </w:pPr>
    </w:p>
    <w:bookmarkStart w:id="61" w:name="page62"/>
    <w:bookmarkEnd w:id="61"/>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38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182"/>
        </w:trPr>
        <w:tc>
          <w:tcPr>
            <w:tcW w:w="3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41,220</w:t>
            </w:r>
          </w:p>
        </w:tc>
        <w:tc>
          <w:tcPr>
            <w:tcW w:w="7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34,122</w:t>
            </w:r>
          </w:p>
        </w:tc>
        <w:tc>
          <w:tcPr>
            <w:tcW w:w="8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7,098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r>
      <w:tr>
        <w:trPr>
          <w:trHeight w:val="229"/>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73,295</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43,917</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FF0FC"/>
          </w:tcPr>
          <w:p>
            <w:pPr>
              <w:spacing w:after="0"/>
              <w:rPr>
                <w:sz w:val="19"/>
                <w:szCs w:val="19"/>
                <w:color w:val="auto"/>
              </w:rPr>
            </w:pPr>
          </w:p>
        </w:tc>
      </w:tr>
      <w:tr>
        <w:trPr>
          <w:trHeight w:val="229"/>
        </w:trPr>
        <w:tc>
          <w:tcPr>
            <w:tcW w:w="38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38,139</w:t>
            </w:r>
          </w:p>
        </w:tc>
        <w:tc>
          <w:tcPr>
            <w:tcW w:w="3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32,968</w:t>
            </w:r>
          </w:p>
        </w:tc>
        <w:tc>
          <w:tcPr>
            <w:tcW w:w="3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FF0FC"/>
            </w:tcBorders>
          </w:tcPr>
          <w:p>
            <w:pPr>
              <w:spacing w:after="0"/>
              <w:rPr>
                <w:sz w:val="19"/>
                <w:szCs w:val="19"/>
                <w:color w:val="auto"/>
              </w:rPr>
            </w:pPr>
          </w:p>
        </w:tc>
      </w:tr>
      <w:tr>
        <w:trPr>
          <w:trHeight w:val="223"/>
        </w:trPr>
        <w:tc>
          <w:tcPr>
            <w:tcW w:w="3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152,654</w:t>
            </w:r>
          </w:p>
        </w:tc>
        <w:tc>
          <w:tcPr>
            <w:tcW w:w="3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111,007</w:t>
            </w:r>
          </w:p>
        </w:tc>
        <w:tc>
          <w:tcPr>
            <w:tcW w:w="3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41,647</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3206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206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37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6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29"/>
        </w:trPr>
        <w:tc>
          <w:tcPr>
            <w:tcW w:w="3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26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rPr>
              <w:t>8.3 %</w:t>
            </w:r>
          </w:p>
        </w:tc>
        <w:tc>
          <w:tcPr>
            <w:tcW w:w="4900" w:type="dxa"/>
            <w:vAlign w:val="bottom"/>
            <w:shd w:val="clear" w:color="auto" w:fill="CFF0FC"/>
          </w:tcPr>
          <w:p>
            <w:pPr>
              <w:jc w:val="right"/>
              <w:ind w:right="3570"/>
              <w:spacing w:after="0"/>
              <w:rPr>
                <w:sz w:val="20"/>
                <w:szCs w:val="20"/>
                <w:color w:val="auto"/>
              </w:rPr>
            </w:pPr>
            <w:r>
              <w:rPr>
                <w:rFonts w:ascii="Arial" w:cs="Arial" w:eastAsia="Arial" w:hAnsi="Arial"/>
                <w:sz w:val="18"/>
                <w:szCs w:val="18"/>
                <w:color w:val="auto"/>
              </w:rPr>
              <w:t>8.6 %</w:t>
            </w:r>
          </w:p>
        </w:tc>
      </w:tr>
      <w:tr>
        <w:trPr>
          <w:trHeight w:val="229"/>
        </w:trPr>
        <w:tc>
          <w:tcPr>
            <w:tcW w:w="37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620" w:type="dxa"/>
            <w:vAlign w:val="bottom"/>
          </w:tcPr>
          <w:p>
            <w:pPr>
              <w:jc w:val="right"/>
              <w:ind w:right="630"/>
              <w:spacing w:after="0"/>
              <w:rPr>
                <w:sz w:val="20"/>
                <w:szCs w:val="20"/>
                <w:color w:val="auto"/>
              </w:rPr>
            </w:pPr>
            <w:r>
              <w:rPr>
                <w:rFonts w:ascii="Arial" w:cs="Arial" w:eastAsia="Arial" w:hAnsi="Arial"/>
                <w:sz w:val="18"/>
                <w:szCs w:val="18"/>
                <w:color w:val="auto"/>
              </w:rPr>
              <w:t>14.7 %</w:t>
            </w:r>
          </w:p>
        </w:tc>
        <w:tc>
          <w:tcPr>
            <w:tcW w:w="4900" w:type="dxa"/>
            <w:vAlign w:val="bottom"/>
          </w:tcPr>
          <w:p>
            <w:pPr>
              <w:jc w:val="right"/>
              <w:ind w:right="3570"/>
              <w:spacing w:after="0"/>
              <w:rPr>
                <w:sz w:val="20"/>
                <w:szCs w:val="20"/>
                <w:color w:val="auto"/>
              </w:rPr>
            </w:pPr>
            <w:r>
              <w:rPr>
                <w:rFonts w:ascii="Arial" w:cs="Arial" w:eastAsia="Arial" w:hAnsi="Arial"/>
                <w:sz w:val="18"/>
                <w:szCs w:val="18"/>
                <w:color w:val="auto"/>
              </w:rPr>
              <w:t>11.1 %</w:t>
            </w:r>
          </w:p>
        </w:tc>
      </w:tr>
      <w:tr>
        <w:trPr>
          <w:trHeight w:val="229"/>
        </w:trPr>
        <w:tc>
          <w:tcPr>
            <w:tcW w:w="3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26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rPr>
              <w:t>7.7 %</w:t>
            </w:r>
          </w:p>
        </w:tc>
        <w:tc>
          <w:tcPr>
            <w:tcW w:w="4900" w:type="dxa"/>
            <w:vAlign w:val="bottom"/>
            <w:shd w:val="clear" w:color="auto" w:fill="CFF0FC"/>
          </w:tcPr>
          <w:p>
            <w:pPr>
              <w:jc w:val="right"/>
              <w:ind w:right="3570"/>
              <w:spacing w:after="0"/>
              <w:rPr>
                <w:sz w:val="20"/>
                <w:szCs w:val="20"/>
                <w:color w:val="auto"/>
              </w:rPr>
            </w:pPr>
            <w:r>
              <w:rPr>
                <w:rFonts w:ascii="Arial" w:cs="Arial" w:eastAsia="Arial" w:hAnsi="Arial"/>
                <w:sz w:val="18"/>
                <w:szCs w:val="18"/>
                <w:color w:val="auto"/>
              </w:rPr>
              <w:t>8.4 %</w:t>
            </w: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21"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The increase in research and development expenses was primarily due to an increase in employee-related costs, including benefits due to an increase in headcount as we continued to invest in building and adding additional features and functionality to our platform. Additionally, we incurred increased hosting costs as we transitioned from data center to the cloud and an increase stock-based compensation associated with equity grants.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21" w:lineRule="exact"/>
        <w:rPr>
          <w:sz w:val="20"/>
          <w:szCs w:val="20"/>
          <w:color w:val="auto"/>
        </w:rPr>
      </w:pPr>
    </w:p>
    <w:p>
      <w:pPr>
        <w:ind w:right="240" w:firstLine="494"/>
        <w:spacing w:after="0" w:line="238" w:lineRule="auto"/>
        <w:rPr>
          <w:sz w:val="20"/>
          <w:szCs w:val="20"/>
          <w:color w:val="auto"/>
        </w:rPr>
      </w:pPr>
      <w:r>
        <w:rPr>
          <w:rFonts w:ascii="Arial" w:cs="Arial" w:eastAsia="Arial" w:hAnsi="Arial"/>
          <w:sz w:val="18"/>
          <w:szCs w:val="18"/>
          <w:color w:val="auto"/>
        </w:rPr>
        <w:t>The increase in sales and marketing expenses was primarily due to an increase in employee-related costs, including benefits, as we continued to expand our sales and marketing efforts with additional headcount in order to continue to drive our growth. In addition, we incurred amortization expense related to the identifiable intangible assets from the 2021 Payveris and Finovera acquisitions, as well as increased stock-based compensation associated with routine grants.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1" w:lineRule="exact"/>
        <w:rPr>
          <w:sz w:val="20"/>
          <w:szCs w:val="20"/>
          <w:color w:val="auto"/>
        </w:rPr>
      </w:pPr>
    </w:p>
    <w:p>
      <w:pPr>
        <w:ind w:right="560" w:firstLine="494"/>
        <w:spacing w:after="0"/>
        <w:rPr>
          <w:sz w:val="20"/>
          <w:szCs w:val="20"/>
          <w:color w:val="auto"/>
        </w:rPr>
      </w:pPr>
      <w:r>
        <w:rPr>
          <w:rFonts w:ascii="Arial" w:cs="Arial" w:eastAsia="Arial" w:hAnsi="Arial"/>
          <w:sz w:val="18"/>
          <w:szCs w:val="18"/>
          <w:color w:val="auto"/>
        </w:rPr>
        <w:t>The increase in general and administrative expenses was primarily due to the increased costs of operating as a public company, including increases in employee-related costs, including benefits and stock-based compensation, due to an increase in general and administrative headcount.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(Loss)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spacing w:after="0"/>
              <w:rPr>
                <w:sz w:val="16"/>
                <w:szCs w:val="16"/>
                <w:color w:val="auto"/>
              </w:rPr>
            </w:pPr>
          </w:p>
        </w:tc>
      </w:tr>
      <w:tr>
        <w:trPr>
          <w:trHeight w:val="209"/>
        </w:trPr>
        <w:tc>
          <w:tcPr>
            <w:tcW w:w="3880" w:type="dxa"/>
            <w:vAlign w:val="bottom"/>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w:t>
            </w:r>
          </w:p>
        </w:tc>
      </w:tr>
      <w:tr>
        <w:trPr>
          <w:trHeight w:val="223"/>
        </w:trPr>
        <w:tc>
          <w:tcPr>
            <w:tcW w:w="3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9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1040" w:type="dxa"/>
            <w:vAlign w:val="bottom"/>
            <w:shd w:val="clear" w:color="auto" w:fill="CFF0FC"/>
          </w:tcPr>
          <w:p>
            <w:pPr>
              <w:jc w:val="right"/>
              <w:ind w:right="84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132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(6 )</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1,669</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n/m</w:t>
            </w: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Foreign exchange gain (loss)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(1 )</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w w:val="99"/>
              </w:rPr>
              <w:t>n/m</w:t>
            </w:r>
          </w:p>
        </w:tc>
      </w:tr>
    </w:tbl>
    <w:p>
      <w:pPr>
        <w:spacing w:after="0" w:line="215" w:lineRule="exact"/>
        <w:rPr>
          <w:sz w:val="20"/>
          <w:szCs w:val="20"/>
          <w:color w:val="auto"/>
        </w:rPr>
      </w:pPr>
    </w:p>
    <w:p>
      <w:pPr>
        <w:ind w:right="280" w:firstLine="499"/>
        <w:spacing w:after="0" w:line="245" w:lineRule="auto"/>
        <w:rPr>
          <w:sz w:val="20"/>
          <w:szCs w:val="20"/>
          <w:color w:val="auto"/>
        </w:rPr>
      </w:pPr>
      <w:r>
        <w:rPr>
          <w:rFonts w:ascii="Arial" w:cs="Arial" w:eastAsia="Arial" w:hAnsi="Arial"/>
          <w:sz w:val="18"/>
          <w:szCs w:val="18"/>
          <w:color w:val="auto"/>
        </w:rPr>
        <w:t>The change in interest income, net was primarily due to interest expense recorded for finance leases offset by interest on the higher cash balance as a result of the IPO.</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3840" w:type="dxa"/>
            <w:vAlign w:val="bottom"/>
          </w:tcPr>
          <w:p>
            <w:pPr>
              <w:spacing w:after="0"/>
              <w:rPr>
                <w:sz w:val="15"/>
                <w:szCs w:val="15"/>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223"/>
        </w:trPr>
        <w:tc>
          <w:tcPr>
            <w:tcW w:w="3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4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100" w:type="dxa"/>
            <w:vAlign w:val="bottom"/>
            <w:shd w:val="clear" w:color="auto" w:fill="CFF0FC"/>
          </w:tcPr>
          <w:p>
            <w:pPr>
              <w:jc w:val="right"/>
              <w:ind w:right="90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32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CFF0FC"/>
          </w:tcPr>
          <w:p>
            <w:pPr>
              <w:jc w:val="right"/>
              <w:ind w:right="888"/>
              <w:spacing w:after="0"/>
              <w:rPr>
                <w:sz w:val="20"/>
                <w:szCs w:val="20"/>
                <w:color w:val="auto"/>
              </w:rPr>
            </w:pPr>
            <w:r>
              <w:rPr>
                <w:rFonts w:ascii="Arial" w:cs="Arial" w:eastAsia="Arial" w:hAnsi="Arial"/>
                <w:sz w:val="18"/>
                <w:szCs w:val="18"/>
                <w:color w:val="auto"/>
              </w:rPr>
              <w:t>(1,066 )   $</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1,861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(174.6 )</w:t>
            </w:r>
          </w:p>
        </w:tc>
      </w:tr>
    </w:tbl>
    <w:p>
      <w:pPr>
        <w:spacing w:after="0" w:line="215" w:lineRule="exact"/>
        <w:rPr>
          <w:sz w:val="20"/>
          <w:szCs w:val="20"/>
          <w:color w:val="auto"/>
        </w:rPr>
      </w:pPr>
    </w:p>
    <w:p>
      <w:pPr>
        <w:ind w:right="100" w:firstLine="499"/>
        <w:spacing w:after="0" w:line="237" w:lineRule="auto"/>
        <w:rPr>
          <w:sz w:val="20"/>
          <w:szCs w:val="20"/>
          <w:color w:val="auto"/>
        </w:rPr>
      </w:pPr>
      <w:r>
        <w:rPr>
          <w:rFonts w:ascii="Arial" w:cs="Arial" w:eastAsia="Arial" w:hAnsi="Arial"/>
          <w:sz w:val="18"/>
          <w:szCs w:val="18"/>
          <w:color w:val="auto"/>
        </w:rPr>
        <w:t>The change in benefit from (provision for) income taxes, as well as the increase in our effective tax rate, which increased to 60.8% for the year ended December 31, 2022 as compared to 10.4% for the same period in the prior year, was primarily due to the excess tax benefits on stock-based compensation from option exercises, offset by the impact of non-deductible expenses for executive compensation, state taxes and the valuation allowance recorded against the net U.S. deferred tax assets. Further, the decline in pre-tax income to nearly break-even from the prior year also had the effect of causing rate impact items to have a higher percentage impact on the rate overall given the smaller base of pre-tax income.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25" w:lineRule="exact"/>
        <w:rPr>
          <w:sz w:val="20"/>
          <w:szCs w:val="20"/>
          <w:color w:val="auto"/>
        </w:rPr>
      </w:pPr>
    </w:p>
    <w:p>
      <w:pPr>
        <w:ind w:right="100" w:firstLine="494"/>
        <w:spacing w:after="0" w:line="237" w:lineRule="auto"/>
        <w:rPr>
          <w:sz w:val="20"/>
          <w:szCs w:val="20"/>
          <w:color w:val="auto"/>
        </w:rPr>
      </w:pPr>
      <w:r>
        <w:rPr>
          <w:rFonts w:ascii="Arial" w:cs="Arial" w:eastAsia="Arial" w:hAnsi="Arial"/>
          <w:sz w:val="18"/>
          <w:szCs w:val="18"/>
          <w:color w:val="auto"/>
        </w:rPr>
        <w:t>As of December 31, 2022, we had $147.3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and subscriptions. Our principal uses of cash are funding operations, which primarily consist of employee-related costs, and acquisitions. Currently, we do not have any material planned capital expenditures in the next 12 months.</w:t>
      </w:r>
    </w:p>
    <w:p>
      <w:pPr>
        <w:spacing w:after="0" w:line="97"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or execute our growth strategy. Any future indebtedness we incur may result in terms that could be unfavorable to equity investors.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consolidated cash flows.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4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182"/>
        </w:trPr>
        <w:tc>
          <w:tcPr>
            <w:tcW w:w="6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6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42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19,867</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19,493</w:t>
            </w:r>
          </w:p>
        </w:tc>
        <w:tc>
          <w:tcPr>
            <w:tcW w:w="2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35,620</w:t>
            </w:r>
          </w:p>
        </w:tc>
        <w:tc>
          <w:tcPr>
            <w:tcW w:w="100" w:type="dxa"/>
            <w:vAlign w:val="bottom"/>
          </w:tcPr>
          <w:p>
            <w:pPr>
              <w:spacing w:after="0"/>
              <w:rPr>
                <w:sz w:val="19"/>
                <w:szCs w:val="19"/>
                <w:color w:val="auto"/>
              </w:rPr>
            </w:pPr>
          </w:p>
        </w:tc>
      </w:tr>
      <w:tr>
        <w:trPr>
          <w:trHeight w:val="229"/>
        </w:trPr>
        <w:tc>
          <w:tcPr>
            <w:tcW w:w="6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(34,560 )</w:t>
            </w: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(77,809 )</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(15,137 )</w:t>
            </w:r>
          </w:p>
        </w:tc>
      </w:tr>
      <w:tr>
        <w:trPr>
          <w:trHeight w:val="229"/>
        </w:trPr>
        <w:tc>
          <w:tcPr>
            <w:tcW w:w="642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380" w:type="dxa"/>
            <w:vAlign w:val="bottom"/>
            <w:gridSpan w:val="2"/>
          </w:tcPr>
          <w:p>
            <w:pPr>
              <w:jc w:val="right"/>
              <w:ind w:right="128"/>
              <w:spacing w:after="0"/>
              <w:rPr>
                <w:sz w:val="20"/>
                <w:szCs w:val="20"/>
                <w:color w:val="auto"/>
              </w:rPr>
            </w:pPr>
            <w:r>
              <w:rPr>
                <w:rFonts w:ascii="Arial" w:cs="Arial" w:eastAsia="Arial" w:hAnsi="Arial"/>
                <w:sz w:val="18"/>
                <w:szCs w:val="18"/>
                <w:color w:val="auto"/>
              </w:rPr>
              <w:t>(37,283 )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213,487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(1,358 )</w:t>
            </w:r>
          </w:p>
        </w:tc>
      </w:tr>
      <w:tr>
        <w:trPr>
          <w:trHeight w:val="229"/>
        </w:trPr>
        <w:tc>
          <w:tcPr>
            <w:tcW w:w="6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Effects of foreign exchange on cash, cash equivalents and restricted cash</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(168 )</w:t>
            </w: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(8 )</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r>
      <w:tr>
        <w:trPr>
          <w:trHeight w:val="20"/>
        </w:trPr>
        <w:tc>
          <w:tcPr>
            <w:tcW w:w="64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420" w:type="dxa"/>
            <w:vAlign w:val="bottom"/>
          </w:tcPr>
          <w:p>
            <w:pPr>
              <w:ind w:left="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8"/>
              <w:spacing w:after="0"/>
              <w:rPr>
                <w:sz w:val="20"/>
                <w:szCs w:val="20"/>
                <w:color w:val="auto"/>
              </w:rPr>
            </w:pPr>
            <w:r>
              <w:rPr>
                <w:rFonts w:ascii="Arial" w:cs="Arial" w:eastAsia="Arial" w:hAnsi="Arial"/>
                <w:sz w:val="18"/>
                <w:szCs w:val="18"/>
                <w:color w:val="auto"/>
              </w:rPr>
              <w:t>(52,144 )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155,163</w:t>
            </w:r>
          </w:p>
        </w:tc>
        <w:tc>
          <w:tcPr>
            <w:tcW w:w="2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19,239</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4996815</wp:posOffset>
            </wp:positionH>
            <wp:positionV relativeFrom="paragraph">
              <wp:posOffset>-179070</wp:posOffset>
            </wp:positionV>
            <wp:extent cx="68580"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-179070</wp:posOffset>
            </wp:positionV>
            <wp:extent cx="6858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21" w:lineRule="exact"/>
        <w:rPr>
          <w:sz w:val="20"/>
          <w:szCs w:val="20"/>
          <w:color w:val="auto"/>
        </w:rPr>
      </w:pPr>
    </w:p>
    <w:p>
      <w:pPr>
        <w:ind w:right="180" w:firstLine="494"/>
        <w:spacing w:after="0" w:line="238" w:lineRule="auto"/>
        <w:rPr>
          <w:sz w:val="20"/>
          <w:szCs w:val="20"/>
          <w:color w:val="auto"/>
        </w:rPr>
      </w:pPr>
      <w:r>
        <w:rPr>
          <w:rFonts w:ascii="Arial" w:cs="Arial" w:eastAsia="Arial" w:hAnsi="Arial"/>
          <w:sz w:val="18"/>
          <w:szCs w:val="18"/>
          <w:color w:val="auto"/>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mainly consists of our net income (loss) adjusted for certain non-cash items, including depreciation and amortization, stock-based compensation, other non-cash income and expense items, and net changes in operating assets and liabilities.</w:t>
      </w:r>
    </w:p>
    <w:p>
      <w:pPr>
        <w:spacing w:after="0" w:line="96"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Net cash provided by operating activities for the year ended December 31, 2022 was $19.9 million, primarily consisting of our net loss of $0.5 million, non-cash charges of $24.1 million in depreciation and amortization, $2.1 million in non-cash lease expense related to our operating right-of-use assets, $ 2.1 million in amortization of contract asset, $6.7 million in stock-based compensation, $0.3 million in the provision for credit losses, $3.0 million for deferred income taxes, and net cash outflows of $11.9 million provided by changes in our operating assets and liabilities. The main drivers of the changes in operating assets and liabilities include a $ 24.3 million increase in accounts and other receivables due to higher sales and relative timing of our cash collections, and an increase of $1.8 million in operating lease liabilities, due to new leases added. These amounts were partially offset by a $4.8 million increase in accounts payable due to the timing of payments, an increase of $3.4 million in accrued liabilities, increase of $3.3 million in contract liabilities, $1.5 million in income taxes receivable, net and a decrease of $1.2 million in prepaid expenses.</w:t>
      </w:r>
    </w:p>
    <w:p>
      <w:pPr>
        <w:spacing w:after="0" w:line="96" w:lineRule="exact"/>
        <w:rPr>
          <w:sz w:val="20"/>
          <w:szCs w:val="20"/>
          <w:color w:val="auto"/>
        </w:rPr>
      </w:pPr>
    </w:p>
    <w:p>
      <w:pPr>
        <w:ind w:right="40" w:firstLine="494"/>
        <w:spacing w:after="0" w:line="248" w:lineRule="auto"/>
        <w:rPr>
          <w:sz w:val="20"/>
          <w:szCs w:val="20"/>
          <w:color w:val="auto"/>
        </w:rPr>
      </w:pPr>
      <w:r>
        <w:rPr>
          <w:rFonts w:ascii="Arial" w:cs="Arial" w:eastAsia="Arial" w:hAnsi="Arial"/>
          <w:sz w:val="17"/>
          <w:szCs w:val="17"/>
          <w:color w:val="auto"/>
        </w:rPr>
        <w:t>Net cash provided by operating activities for the year ended December 31, 2021 was $19.5 million, primarily consisting of our net income of $9.3 million, adjusted for non-cash charges of $ 13.3 million in depreciation and amortization, $2.5 million in non-cash lease expense related to our operating right-of-use assets, $3.1 million in stock-based compensation, $0.7 million in amortization of contract assets recorded as contra revenue related to the recognition of the warrant issued to JPMC Strategic Investments I Corporation, and net cash outflows of $8.7 million provided by changes in our operating assets and liabilities. The main drivers of the changes in operating assets and liabilities includes a $14.7 million increase in accounts and other receivables due to higher sales and relative timing of our cash collections,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3" w:name="page64"/>
    <w:bookmarkEnd w:id="63"/>
    <w:p>
      <w:pPr>
        <w:ind w:right="320"/>
        <w:spacing w:after="0"/>
        <w:rPr>
          <w:sz w:val="20"/>
          <w:szCs w:val="20"/>
          <w:color w:val="auto"/>
        </w:rPr>
      </w:pPr>
      <w:r>
        <w:rPr>
          <w:rFonts w:ascii="Arial" w:cs="Arial" w:eastAsia="Arial" w:hAnsi="Arial"/>
          <w:sz w:val="18"/>
          <w:szCs w:val="18"/>
          <w:color w:val="auto"/>
        </w:rPr>
        <w:t>and increase of $0.8 million in income taxes receivable, net and a $ 2.4 million decrease in operating lease liabilities, due to current period payments on operating leases. These amounts were partially offset by a $7.4 million increase in accounts payable due to the timing of payments, a decrease of $1.3 million in prepaid expenses and an increase of $0.5 million in contract liabilities.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21" w:lineRule="exact"/>
        <w:rPr>
          <w:sz w:val="20"/>
          <w:szCs w:val="20"/>
          <w:color w:val="auto"/>
        </w:rPr>
      </w:pPr>
    </w:p>
    <w:p>
      <w:pPr>
        <w:ind w:right="440" w:firstLine="494"/>
        <w:spacing w:after="0" w:line="245" w:lineRule="auto"/>
        <w:rPr>
          <w:sz w:val="20"/>
          <w:szCs w:val="20"/>
          <w:color w:val="auto"/>
        </w:rPr>
      </w:pPr>
      <w:r>
        <w:rPr>
          <w:rFonts w:ascii="Arial" w:cs="Arial" w:eastAsia="Arial" w:hAnsi="Arial"/>
          <w:sz w:val="18"/>
          <w:szCs w:val="18"/>
          <w:color w:val="auto"/>
        </w:rPr>
        <w:t>Cash used in our investing activities consists primarily of cash paid for acquisitions, capitalized internal-use software development costs, purchases of property and equipment and intangible assets.</w:t>
      </w:r>
    </w:p>
    <w:p>
      <w:pPr>
        <w:spacing w:after="0" w:line="90" w:lineRule="exact"/>
        <w:rPr>
          <w:sz w:val="20"/>
          <w:szCs w:val="20"/>
          <w:color w:val="auto"/>
        </w:rPr>
      </w:pPr>
    </w:p>
    <w:p>
      <w:pPr>
        <w:ind w:right="360" w:firstLine="494"/>
        <w:spacing w:after="0"/>
        <w:rPr>
          <w:sz w:val="20"/>
          <w:szCs w:val="20"/>
          <w:color w:val="auto"/>
        </w:rPr>
      </w:pPr>
      <w:r>
        <w:rPr>
          <w:rFonts w:ascii="Arial" w:cs="Arial" w:eastAsia="Arial" w:hAnsi="Arial"/>
          <w:sz w:val="18"/>
          <w:szCs w:val="18"/>
          <w:color w:val="auto"/>
        </w:rPr>
        <w:t>Net cash used in investing activities for the year ended December 31, 2022 consisted of $29.8 million of capitalized internal-use software development costs, $3.3 million of cash paid for acquisitions, net of cash acquired and $1.3 million of purchases of property and equipment and intangible assets.</w:t>
      </w:r>
    </w:p>
    <w:p>
      <w:pPr>
        <w:spacing w:after="0" w:line="94" w:lineRule="exact"/>
        <w:rPr>
          <w:sz w:val="20"/>
          <w:szCs w:val="20"/>
          <w:color w:val="auto"/>
        </w:rPr>
      </w:pPr>
    </w:p>
    <w:p>
      <w:pPr>
        <w:jc w:val="both"/>
        <w:ind w:right="80" w:firstLine="494"/>
        <w:spacing w:after="0"/>
        <w:rPr>
          <w:sz w:val="20"/>
          <w:szCs w:val="20"/>
          <w:color w:val="auto"/>
        </w:rPr>
      </w:pPr>
      <w:r>
        <w:rPr>
          <w:rFonts w:ascii="Arial" w:cs="Arial" w:eastAsia="Arial" w:hAnsi="Arial"/>
          <w:sz w:val="18"/>
          <w:szCs w:val="18"/>
          <w:color w:val="auto"/>
        </w:rPr>
        <w:t>Net cash used in investing activities for the year ended December 31, 2021 consisted of $57.4 million of cash paid for acquisitions, net of cash and restricted cash acquired and contingent consideration, $19.3 million of capitalized internal-use software development costs and $1.1 million of purchases of property and equipment and intangible assets.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21" w:lineRule="exact"/>
        <w:rPr>
          <w:sz w:val="20"/>
          <w:szCs w:val="20"/>
          <w:color w:val="auto"/>
        </w:rPr>
      </w:pPr>
    </w:p>
    <w:p>
      <w:pPr>
        <w:jc w:val="both"/>
        <w:ind w:right="60" w:firstLine="494"/>
        <w:spacing w:after="0"/>
        <w:rPr>
          <w:sz w:val="20"/>
          <w:szCs w:val="20"/>
          <w:color w:val="auto"/>
        </w:rPr>
      </w:pPr>
      <w:r>
        <w:rPr>
          <w:rFonts w:ascii="Arial" w:cs="Arial" w:eastAsia="Arial" w:hAnsi="Arial"/>
          <w:sz w:val="18"/>
          <w:szCs w:val="18"/>
          <w:color w:val="auto"/>
        </w:rPr>
        <w:t>Cash provided by (used in) financing activities consists primarily of proceeds from the IPO and private placement and option exercises offset by the redemption of the Series A preferred stock, payment of deferred offering costs related to the IPO, changes in financial institution funds in-transit, and payments on capital lease and other financing arrangements and principal payments on debt.</w:t>
      </w:r>
    </w:p>
    <w:p>
      <w:pPr>
        <w:spacing w:after="0" w:line="94"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Net cash used in financing activities for the year ended December 31, 2022 consisted of a decrease in financial institution funds in-transit of $33.4 million, $5.3 million of payments on finance leases and other financing obligations, offset by proceeds of $1.5 million from the exercise of stock options.</w:t>
      </w:r>
    </w:p>
    <w:p>
      <w:pPr>
        <w:spacing w:after="0" w:line="94" w:lineRule="exact"/>
        <w:rPr>
          <w:sz w:val="20"/>
          <w:szCs w:val="20"/>
          <w:color w:val="auto"/>
        </w:rPr>
      </w:pPr>
    </w:p>
    <w:p>
      <w:pPr>
        <w:ind w:firstLine="494"/>
        <w:spacing w:after="0" w:line="254" w:lineRule="auto"/>
        <w:rPr>
          <w:sz w:val="20"/>
          <w:szCs w:val="20"/>
          <w:color w:val="auto"/>
        </w:rPr>
      </w:pPr>
      <w:r>
        <w:rPr>
          <w:rFonts w:ascii="Arial" w:cs="Arial" w:eastAsia="Arial" w:hAnsi="Arial"/>
          <w:sz w:val="17"/>
          <w:szCs w:val="17"/>
          <w:color w:val="auto"/>
        </w:rPr>
        <w:t>Net cash provided by financing activities for the year ended December 31, 2021 consisted of proceeds from the IPO of $224.6 million, proceeds from the concurrent private placement of $50.0, an increase in financial institution funds in-transit of $2.0 million, proceeds of $0.8 million from the repayment of a related party loan and proceeds of $0.3 million from the exercise of stock options, offset by $23.0 million for the redemption of the Series A preferred stock, $34.4 million for the payment of dividends on the Series A preferred stock, $4.9 million of payments on finance leases and other financing obligations and $2.0 million of payments of deferred offering costs directly related to our IPO.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and commitments in cash as of December 31,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Payments Due by Period:</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38"/>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16"/>
              <w:spacing w:after="0"/>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4"/>
                <w:szCs w:val="14"/>
                <w:color w:val="auto"/>
              </w:rPr>
            </w:pPr>
          </w:p>
        </w:tc>
      </w:tr>
      <w:tr>
        <w:trPr>
          <w:trHeight w:val="189"/>
        </w:trPr>
        <w:tc>
          <w:tcPr>
            <w:tcW w:w="4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1 - 3 Years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3 -5 Years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r>
      <w:tr>
        <w:trPr>
          <w:trHeight w:val="224"/>
        </w:trPr>
        <w:tc>
          <w:tcPr>
            <w:tcW w:w="46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88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80" w:type="dxa"/>
            <w:vAlign w:val="bottom"/>
            <w:gridSpan w:val="2"/>
            <w:shd w:val="clear" w:color="auto" w:fill="CFF0FC"/>
          </w:tcPr>
          <w:p>
            <w:pPr>
              <w:ind w:left="140"/>
              <w:spacing w:after="0" w:line="229" w:lineRule="exact"/>
              <w:rPr>
                <w:sz w:val="20"/>
                <w:szCs w:val="20"/>
                <w:color w:val="auto"/>
              </w:rPr>
            </w:pPr>
            <w:r>
              <w:rPr>
                <w:rFonts w:ascii="Arial" w:cs="Arial" w:eastAsia="Arial" w:hAnsi="Arial"/>
                <w:sz w:val="18"/>
                <w:szCs w:val="18"/>
                <w:color w:val="auto"/>
              </w:rPr>
              <w:t>Operating lease liabilities</w:t>
            </w:r>
            <w:r>
              <w:rPr>
                <w:rFonts w:ascii="Arial" w:cs="Arial" w:eastAsia="Arial" w:hAnsi="Arial"/>
                <w:sz w:val="24"/>
                <w:szCs w:val="24"/>
                <w:color w:val="auto"/>
                <w:vertAlign w:val="superscript"/>
              </w:rPr>
              <w:t>(1)</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w:t>
            </w:r>
          </w:p>
        </w:tc>
        <w:tc>
          <w:tcPr>
            <w:tcW w:w="100" w:type="dxa"/>
            <w:vAlign w:val="bottom"/>
            <w:shd w:val="clear" w:color="auto" w:fill="CFF0FC"/>
          </w:tcPr>
          <w:p>
            <w:pPr>
              <w:spacing w:after="0"/>
              <w:rPr>
                <w:sz w:val="19"/>
                <w:szCs w:val="19"/>
                <w:color w:val="auto"/>
              </w:rPr>
            </w:pPr>
          </w:p>
        </w:tc>
      </w:tr>
      <w:tr>
        <w:trPr>
          <w:trHeight w:val="229"/>
        </w:trPr>
        <w:tc>
          <w:tcPr>
            <w:tcW w:w="4880" w:type="dxa"/>
            <w:vAlign w:val="bottom"/>
            <w:gridSpan w:val="2"/>
          </w:tcPr>
          <w:p>
            <w:pPr>
              <w:ind w:left="140"/>
              <w:spacing w:after="0" w:line="229" w:lineRule="exact"/>
              <w:rPr>
                <w:sz w:val="20"/>
                <w:szCs w:val="20"/>
                <w:color w:val="auto"/>
              </w:rPr>
            </w:pPr>
            <w:r>
              <w:rPr>
                <w:rFonts w:ascii="Arial" w:cs="Arial" w:eastAsia="Arial" w:hAnsi="Arial"/>
                <w:sz w:val="18"/>
                <w:szCs w:val="18"/>
                <w:color w:val="auto"/>
              </w:rPr>
              <w:t>Finance lease liabilities</w:t>
            </w:r>
            <w:r>
              <w:rPr>
                <w:rFonts w:ascii="Arial" w:cs="Arial" w:eastAsia="Arial" w:hAnsi="Arial"/>
                <w:sz w:val="24"/>
                <w:szCs w:val="24"/>
                <w:color w:val="auto"/>
                <w:vertAlign w:val="superscript"/>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640" w:type="dxa"/>
            <w:vAlign w:val="bottom"/>
            <w:tcBorders>
              <w:bottom w:val="single" w:sz="8" w:color="CFF0FC"/>
            </w:tcBorders>
            <w:shd w:val="clear" w:color="auto" w:fill="CFF0FC"/>
          </w:tcPr>
          <w:p>
            <w:pPr>
              <w:ind w:left="140"/>
              <w:spacing w:after="0" w:line="229"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4"/>
                <w:szCs w:val="24"/>
                <w:color w:val="auto"/>
                <w:vertAlign w:val="superscript"/>
              </w:rPr>
              <w:t>(3)</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8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19,272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6,398</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7,384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2,827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-179070</wp:posOffset>
            </wp:positionV>
            <wp:extent cx="76835"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-179070</wp:posOffset>
            </wp:positionV>
            <wp:extent cx="76835"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-179070</wp:posOffset>
            </wp:positionV>
            <wp:extent cx="68580"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-179070</wp:posOffset>
            </wp:positionV>
            <wp:extent cx="68580"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90"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operating lease liabilities for our offices and data centers.</w:t>
      </w:r>
    </w:p>
    <w:p>
      <w:pPr>
        <w:spacing w:after="0" w:line="4" w:lineRule="exact"/>
        <w:rPr>
          <w:rFonts w:ascii="Arial" w:cs="Arial" w:eastAsia="Arial" w:hAnsi="Arial"/>
          <w:sz w:val="16"/>
          <w:szCs w:val="16"/>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finance lease liabilities for equipment.</w:t>
      </w:r>
    </w:p>
    <w:p>
      <w:pPr>
        <w:spacing w:after="0" w:line="4" w:lineRule="exact"/>
        <w:rPr>
          <w:rFonts w:ascii="Arial" w:cs="Arial" w:eastAsia="Arial" w:hAnsi="Arial"/>
          <w:sz w:val="16"/>
          <w:szCs w:val="16"/>
          <w:color w:val="auto"/>
        </w:rPr>
      </w:pPr>
    </w:p>
    <w:p>
      <w:pPr>
        <w:ind w:left="1020" w:right="120" w:hanging="503"/>
        <w:spacing w:after="0" w:line="259"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purchase obligations which were not recognized on the balance sheet as of December 31, 2022, related primarily to infrastructure services and IT software and maintenance service costs.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ind w:left="38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1" w:lineRule="exact"/>
        <w:rPr>
          <w:sz w:val="20"/>
          <w:szCs w:val="20"/>
          <w:color w:val="auto"/>
        </w:rPr>
      </w:pPr>
    </w:p>
    <w:p>
      <w:pPr>
        <w:jc w:val="both"/>
        <w:ind w:right="240" w:firstLine="499"/>
        <w:spacing w:after="0" w:line="234"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94" w:lineRule="exact"/>
        <w:rPr>
          <w:sz w:val="20"/>
          <w:szCs w:val="20"/>
          <w:color w:val="auto"/>
        </w:rPr>
      </w:pPr>
    </w:p>
    <w:p>
      <w:pPr>
        <w:ind w:right="120" w:firstLine="499"/>
        <w:spacing w:after="0" w:line="237" w:lineRule="auto"/>
        <w:rPr>
          <w:sz w:val="20"/>
          <w:szCs w:val="20"/>
          <w:color w:val="auto"/>
        </w:rPr>
      </w:pPr>
      <w:r>
        <w:rPr>
          <w:rFonts w:ascii="Arial" w:cs="Arial" w:eastAsia="Arial" w:hAnsi="Arial"/>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 critical accounting policies and estimates that we believe have the most significant impact on our consolidated financial statements are described below. See Note 2 to our consolidated financial statements included elsewhere in this Annual Report on Form 10-K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right="80" w:firstLine="499"/>
        <w:spacing w:after="0" w:line="236" w:lineRule="auto"/>
        <w:rPr>
          <w:sz w:val="20"/>
          <w:szCs w:val="20"/>
          <w:color w:val="auto"/>
        </w:rPr>
      </w:pPr>
      <w:r>
        <w:rPr>
          <w:rFonts w:ascii="Arial" w:cs="Arial" w:eastAsia="Arial" w:hAnsi="Arial"/>
          <w:sz w:val="18"/>
          <w:szCs w:val="18"/>
          <w:color w:val="auto"/>
        </w:rPr>
        <w:t>Application of the accounting principles in GAAP related to the measurement and recognition of revenue requires us to make judgments and estimates. Complex arrangements with nonstandard terms and conditions may require significant contract interpretation to determine the appropriate accounting. Specifically, the determination of whether we are a principal to a transaction or an agent can require considerable judgment. We have concluded that we are typically the principal in our payment processing arrangements as we control the service on our platform. We also typically contract directly with our billers and have complete pricing latitude on the processing fees charged to our billers. As such, we bear the credit risk for network fees and transactions charged back to the biller. In circumstances where we have minimum revenue or transaction commitments, determining the appropriate accounting treatment of fixed and variable consideration may require considerable judgment.</w:t>
      </w:r>
    </w:p>
    <w:p>
      <w:pPr>
        <w:spacing w:after="0" w:line="98" w:lineRule="exact"/>
        <w:rPr>
          <w:sz w:val="20"/>
          <w:szCs w:val="20"/>
          <w:color w:val="auto"/>
        </w:rPr>
      </w:pPr>
    </w:p>
    <w:p>
      <w:pPr>
        <w:ind w:right="40" w:firstLine="499"/>
        <w:spacing w:after="0" w:line="237" w:lineRule="auto"/>
        <w:rPr>
          <w:sz w:val="20"/>
          <w:szCs w:val="20"/>
          <w:color w:val="auto"/>
        </w:rPr>
      </w:pPr>
      <w:r>
        <w:rPr>
          <w:rFonts w:ascii="Arial" w:cs="Arial" w:eastAsia="Arial" w:hAnsi="Arial"/>
          <w:sz w:val="18"/>
          <w:szCs w:val="18"/>
          <w:color w:val="auto"/>
        </w:rPr>
        <w:t>We will evaluate our accounts receivable portfolio to determine if an allowance for doubtful accounts is necessary. The development of the allowance for doubtful accounts is based on an expected loss model that considers reasonable and supportable forecasts of future conditions and a review of past due amounts, historical write-off and recovery experience, as well as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97" w:lineRule="exact"/>
        <w:rPr>
          <w:sz w:val="20"/>
          <w:szCs w:val="20"/>
          <w:color w:val="auto"/>
        </w:rPr>
      </w:pPr>
    </w:p>
    <w:p>
      <w:pPr>
        <w:ind w:right="140" w:firstLine="499"/>
        <w:spacing w:after="0"/>
        <w:rPr>
          <w:sz w:val="20"/>
          <w:szCs w:val="20"/>
          <w:color w:val="auto"/>
        </w:rPr>
      </w:pPr>
      <w:r>
        <w:rPr>
          <w:rFonts w:ascii="Arial" w:cs="Arial" w:eastAsia="Arial" w:hAnsi="Arial"/>
          <w:sz w:val="18"/>
          <w:szCs w:val="18"/>
          <w:color w:val="auto"/>
        </w:rPr>
        <w:t>We consider current economic trends when evaluating the adequacy of the allowance for doubtful accounts. If circumstances relating to specific billers change or unanticipated changes occur in the general business environment, our estimate of the recoverability of receivables could be further adjusted.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5" w:lineRule="exact"/>
        <w:rPr>
          <w:sz w:val="20"/>
          <w:szCs w:val="20"/>
          <w:color w:val="auto"/>
        </w:rPr>
      </w:pPr>
    </w:p>
    <w:p>
      <w:pPr>
        <w:ind w:right="40" w:firstLine="499"/>
        <w:spacing w:after="0" w:line="236" w:lineRule="auto"/>
        <w:rPr>
          <w:sz w:val="20"/>
          <w:szCs w:val="20"/>
          <w:color w:val="auto"/>
        </w:rPr>
      </w:pPr>
      <w:r>
        <w:rPr>
          <w:rFonts w:ascii="Arial" w:cs="Arial" w:eastAsia="Arial" w:hAnsi="Arial"/>
          <w:sz w:val="18"/>
          <w:szCs w:val="18"/>
          <w:color w:val="auto"/>
        </w:rPr>
        <w:t>Upon acquisition of a company, we determine if the transaction is a business combination, which is accounted for using the acquisition method of accounting. Under the acquisition method, once control is obtained of a business, the assets acquired, and liabilities assumed are recorded at fair value. We use our best estimates and assumptions to assign fair value to the tangible and intangible assets acquired and liabilities assumed at the acquisition date. One of the most significant estimates relates to the determination of the fair value of these assets and liabilities. The determination of the fair values is based on estimates and judgments made by management. Our estimates of fair value are based upon assumptions we believe to be reasonable, but which are inherently uncertain and unpredictable. Measurement period adjustments are reflected at the time identified, up through the conclusion of the measurement period, which is the time at which all information for determination of the values of assets acquired and liabilities assumed is received, and is not to exceed one year from the acquisition date. We may record adjustments to the fair value of these tangible and intangible assets acquired and liabilities assumed, with the corresponding offset to goodwill.</w:t>
      </w:r>
    </w:p>
    <w:p>
      <w:pPr>
        <w:spacing w:after="0" w:line="95" w:lineRule="exact"/>
        <w:rPr>
          <w:sz w:val="20"/>
          <w:szCs w:val="20"/>
          <w:color w:val="auto"/>
        </w:rPr>
      </w:pPr>
    </w:p>
    <w:p>
      <w:pPr>
        <w:ind w:right="120" w:firstLine="499"/>
        <w:spacing w:after="0" w:line="238" w:lineRule="auto"/>
        <w:rPr>
          <w:sz w:val="20"/>
          <w:szCs w:val="20"/>
          <w:color w:val="auto"/>
        </w:rPr>
      </w:pPr>
      <w:r>
        <w:rPr>
          <w:rFonts w:ascii="Arial" w:cs="Arial" w:eastAsia="Arial" w:hAnsi="Arial"/>
          <w:sz w:val="18"/>
          <w:szCs w:val="18"/>
          <w:color w:val="auto"/>
        </w:rPr>
        <w:t>Additionally, uncertain tax positions and tax-related valuation allowances are initially recorded in connection with a business combination as of the acquisition date. We continue to collect information and reevaluate these estimates and assumptions periodically and record any adjustments to preliminary estimates to goodwill, provided we are within the measurement period. If outside of the measurement period, any subsequent adjustments are recorded to the consolidated statement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25" w:lineRule="exact"/>
        <w:rPr>
          <w:sz w:val="20"/>
          <w:szCs w:val="20"/>
          <w:color w:val="auto"/>
        </w:rPr>
      </w:pPr>
    </w:p>
    <w:p>
      <w:pPr>
        <w:ind w:right="60" w:firstLine="499"/>
        <w:spacing w:after="0" w:line="234" w:lineRule="auto"/>
        <w:rPr>
          <w:sz w:val="20"/>
          <w:szCs w:val="20"/>
          <w:color w:val="auto"/>
        </w:rPr>
      </w:pPr>
      <w:r>
        <w:rPr>
          <w:rFonts w:ascii="Arial" w:cs="Arial" w:eastAsia="Arial" w:hAnsi="Arial"/>
          <w:sz w:val="18"/>
          <w:szCs w:val="18"/>
          <w:color w:val="auto"/>
        </w:rPr>
        <w:t>Internal-use software development costs consist of personnel costs, including related benefits, incurred to develop functionality for our platform, as well as certain upgrades and enhancements that are expected to result in enhanced functionality. We capitalize certain software development costs for new offerings as well as upgrades to our existing software platforms. We amortize these development costs over the estimated useful life of three to five years on a straight-line basis. We believe there are two key estimates within the internal-use capitalized software development balance, which are the determination of the useful life of the software and the determination of the amounts to be capitalized.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0" w:right="379" w:bottom="1440" w:gutter="0" w:footer="0" w:header="0"/>
        </w:sectPr>
      </w:pPr>
    </w:p>
    <w:bookmarkStart w:id="65" w:name="page66"/>
    <w:bookmarkEnd w:id="65"/>
    <w:p>
      <w:pPr>
        <w:ind w:right="20" w:firstLine="499"/>
        <w:spacing w:after="0" w:line="236" w:lineRule="auto"/>
        <w:rPr>
          <w:sz w:val="20"/>
          <w:szCs w:val="20"/>
          <w:color w:val="auto"/>
        </w:rPr>
      </w:pPr>
      <w:r>
        <w:rPr>
          <w:rFonts w:ascii="Arial" w:cs="Arial" w:eastAsia="Arial" w:hAnsi="Arial"/>
          <w:sz w:val="18"/>
          <w:szCs w:val="18"/>
          <w:color w:val="auto"/>
        </w:rPr>
        <w:t>We determined that a three to five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three to five years before being significantly replaced or modified to keep up with evolving biller and company needs. While we do not anticipate any significant changes to this three to five year estimate, a change in this estimate could produce a material impact on our financial statements. For example, if we received information that indicated the useful life of all internally developed software was one year rather than three to five, our capitalized software balance would materially decrease and our expense would materially increase.</w:t>
      </w:r>
    </w:p>
    <w:p>
      <w:pPr>
        <w:spacing w:after="0" w:line="98" w:lineRule="exact"/>
        <w:rPr>
          <w:sz w:val="20"/>
          <w:szCs w:val="20"/>
          <w:color w:val="auto"/>
        </w:rPr>
      </w:pPr>
    </w:p>
    <w:p>
      <w:pPr>
        <w:ind w:right="180" w:firstLine="499"/>
        <w:spacing w:after="0" w:line="237" w:lineRule="auto"/>
        <w:rPr>
          <w:sz w:val="20"/>
          <w:szCs w:val="20"/>
          <w:color w:val="auto"/>
        </w:rPr>
      </w:pPr>
      <w:r>
        <w:rPr>
          <w:rFonts w:ascii="Arial" w:cs="Arial" w:eastAsia="Arial" w:hAnsi="Arial"/>
          <w:sz w:val="18"/>
          <w:szCs w:val="18"/>
          <w:color w:val="auto"/>
        </w:rPr>
        <w:t>We determine the amount of internal-use software development costs to be capitalized based on the amount of time spent by our developers on projects. Costs associated with building or significantly enhancing our platforms are capitalized, while costs associated with planning new developments and maintaining our platform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Intangibles</w:t>
      </w:r>
    </w:p>
    <w:p>
      <w:pPr>
        <w:spacing w:after="0" w:line="125" w:lineRule="exact"/>
        <w:rPr>
          <w:sz w:val="20"/>
          <w:szCs w:val="20"/>
          <w:color w:val="auto"/>
        </w:rPr>
      </w:pPr>
    </w:p>
    <w:p>
      <w:pPr>
        <w:ind w:right="140" w:firstLine="499"/>
        <w:spacing w:after="0" w:line="236" w:lineRule="auto"/>
        <w:rPr>
          <w:sz w:val="20"/>
          <w:szCs w:val="20"/>
          <w:color w:val="auto"/>
        </w:rPr>
      </w:pPr>
      <w:r>
        <w:rPr>
          <w:rFonts w:ascii="Arial" w:cs="Arial" w:eastAsia="Arial" w:hAnsi="Arial"/>
          <w:sz w:val="18"/>
          <w:szCs w:val="18"/>
          <w:color w:val="auto"/>
        </w:rPr>
        <w:t>The valuation of assets acquired in a business combination and asset impairment reviews require the use of significant estimates and assumptions. The acquisition method of accounting for business combinations requires us to estimate the fair value of assets acquired and liabilities assumed in an acquired business to allocate purchase price consideration between assets that are depreciated and amortized and goodwill. Impairment testing for assets, other than goodwill requires the comparison of the carrying amount of an asset or an asset group to estimated undiscounted future net cash flows expected to be generated by the asset or asset group. If the carrying amount of an asset exceeds these estimated future cash flows, an impairment charge is recognized in the amount by which the carrying amount of the assets exceeds the fair value of the asset or asset group. Our estimates are based upon assumptions that we believe to be reasonable, but which are inherently uncertain and unpredictable. These valuations require the use of management’s assumptions, which do not reflect unanticipated events and circumstances that may occur.</w:t>
      </w:r>
    </w:p>
    <w:p>
      <w:pPr>
        <w:spacing w:after="0" w:line="96" w:lineRule="exact"/>
        <w:rPr>
          <w:sz w:val="20"/>
          <w:szCs w:val="20"/>
          <w:color w:val="auto"/>
        </w:rPr>
      </w:pPr>
    </w:p>
    <w:p>
      <w:pPr>
        <w:ind w:right="60" w:firstLine="499"/>
        <w:spacing w:after="0" w:line="237" w:lineRule="auto"/>
        <w:rPr>
          <w:sz w:val="20"/>
          <w:szCs w:val="20"/>
          <w:color w:val="auto"/>
        </w:rPr>
      </w:pPr>
      <w:r>
        <w:rPr>
          <w:rFonts w:ascii="Arial" w:cs="Arial" w:eastAsia="Arial" w:hAnsi="Arial"/>
          <w:sz w:val="18"/>
          <w:szCs w:val="18"/>
          <w:color w:val="auto"/>
        </w:rPr>
        <w:t>We evaluate goodwill for impairment on an annual basis, or sooner if indicators of impairment exist. Under GAAP, the evaluation of goodwill for impairment allows for a qualitative assessment to be performed. In performing these qualitative assessments, we consider relevant events and conditions, including but not limited to: macroeconomic trends, industry and market conditions, overall financial performance, cost factors, company-specific events, legal and regulatory factors and our market capitalization. If the qualitative assessments indicate that it is more likely than not that the fair value of the reporting unit is less than its carrying amounts, we must perform a quantitative impairment test.</w:t>
      </w:r>
    </w:p>
    <w:p>
      <w:pPr>
        <w:spacing w:after="0" w:line="95" w:lineRule="exact"/>
        <w:rPr>
          <w:sz w:val="20"/>
          <w:szCs w:val="20"/>
          <w:color w:val="auto"/>
        </w:rPr>
      </w:pPr>
    </w:p>
    <w:p>
      <w:pPr>
        <w:ind w:firstLine="499"/>
        <w:spacing w:after="0" w:line="237" w:lineRule="auto"/>
        <w:rPr>
          <w:sz w:val="20"/>
          <w:szCs w:val="20"/>
          <w:color w:val="auto"/>
        </w:rPr>
      </w:pPr>
      <w:r>
        <w:rPr>
          <w:rFonts w:ascii="Arial" w:cs="Arial" w:eastAsia="Arial" w:hAnsi="Arial"/>
          <w:sz w:val="18"/>
          <w:szCs w:val="18"/>
          <w:color w:val="auto"/>
        </w:rPr>
        <w:t>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Measurement of the fair value of a reporting unit is based on one or more of the following fair value measures: amounts at which the unit as a whole could be bought or sold in a current transaction between willing parties, present value techniques of estimated future cash flows, valuation techniques based on multiples of earnings or revenue or a similar performance measure.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ind w:right="180" w:firstLine="499"/>
        <w:spacing w:after="0" w:line="206" w:lineRule="exact"/>
        <w:rPr>
          <w:sz w:val="20"/>
          <w:szCs w:val="20"/>
          <w:color w:val="auto"/>
        </w:rPr>
      </w:pPr>
      <w:r>
        <w:rPr>
          <w:rFonts w:ascii="Arial" w:cs="Arial" w:eastAsia="Arial" w:hAnsi="Arial"/>
          <w:sz w:val="18"/>
          <w:szCs w:val="18"/>
          <w:color w:val="auto"/>
        </w:rPr>
        <w:t>We measure and recognize stock-based compensation expense for all stock-based awards, including grants of restricted stock units, or RSUs, and options to purchase stock granted to employees, outside directors and consultants based on the estimated fair value of the awards on the grant date of the award with the compensation expense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 of the award. Forfeitures are accounted for in the period in which they occur.</w:t>
      </w:r>
    </w:p>
    <w:p>
      <w:pPr>
        <w:spacing w:after="0" w:line="96" w:lineRule="exact"/>
        <w:rPr>
          <w:sz w:val="20"/>
          <w:szCs w:val="20"/>
          <w:color w:val="auto"/>
        </w:rPr>
      </w:pPr>
    </w:p>
    <w:p>
      <w:pPr>
        <w:ind w:right="160" w:firstLine="494"/>
        <w:spacing w:after="0" w:line="237" w:lineRule="auto"/>
        <w:rPr>
          <w:sz w:val="20"/>
          <w:szCs w:val="20"/>
          <w:color w:val="auto"/>
        </w:rPr>
      </w:pPr>
      <w:r>
        <w:rPr>
          <w:rFonts w:ascii="Arial" w:cs="Arial" w:eastAsia="Arial" w:hAnsi="Arial"/>
          <w:sz w:val="18"/>
          <w:szCs w:val="18"/>
          <w:color w:val="auto"/>
        </w:rPr>
        <w:t>The fair value of an RSU is measured using the market price of our Class A common stock on the date of grant. We estimate grant date fair value for options using the Black-Scholes option pricing model. The determination of the fair value of options on the date of grant using a Black-Scholes option-pricing model is affected by the estimated fair value of our common stock, as well as assumptions regarding a number of variables that are complex, subjective and generally require significant judgment to determine. If factors change and different assumptions are used, our stock-based compensation expense could be materially different in the future.</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valuation assumptions were determined as follows:</w:t>
      </w:r>
    </w:p>
    <w:p>
      <w:pPr>
        <w:spacing w:after="0" w:line="85" w:lineRule="exact"/>
        <w:rPr>
          <w:sz w:val="20"/>
          <w:szCs w:val="20"/>
          <w:color w:val="auto"/>
        </w:rPr>
      </w:pPr>
    </w:p>
    <w:p>
      <w:pPr>
        <w:ind w:right="160" w:firstLine="494"/>
        <w:spacing w:after="0" w:line="250" w:lineRule="auto"/>
        <w:rPr>
          <w:sz w:val="20"/>
          <w:szCs w:val="20"/>
          <w:color w:val="auto"/>
        </w:rPr>
      </w:pPr>
      <w:r>
        <w:rPr>
          <w:rFonts w:ascii="Arial" w:cs="Arial" w:eastAsia="Arial" w:hAnsi="Arial"/>
          <w:sz w:val="18"/>
          <w:szCs w:val="18"/>
          <w:i w:val="1"/>
          <w:iCs w:val="1"/>
          <w:color w:val="auto"/>
        </w:rPr>
        <w:t>Fair Value of Underlying Common Stock</w:t>
      </w:r>
      <w:r>
        <w:rPr>
          <w:rFonts w:ascii="Arial" w:cs="Arial" w:eastAsia="Arial" w:hAnsi="Arial"/>
          <w:sz w:val="18"/>
          <w:szCs w:val="18"/>
          <w:color w:val="auto"/>
        </w:rPr>
        <w:t>—Prior to the IPO, our common stock was not yet publicly traded, therefore we estimated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common stock. Our board of directors considered numerous objective and subjective factors to determine the fair value of our common stock at each meeting in which awards are approved. These factors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66" w:name="page67"/>
    <w:bookmarkEnd w:id="66"/>
    <w:p>
      <w:pPr>
        <w:ind w:right="540"/>
        <w:spacing w:after="0" w:line="239" w:lineRule="auto"/>
        <w:rPr>
          <w:sz w:val="20"/>
          <w:szCs w:val="20"/>
          <w:color w:val="auto"/>
        </w:rPr>
      </w:pPr>
      <w:r>
        <w:rPr>
          <w:rFonts w:ascii="Arial" w:cs="Arial" w:eastAsia="Arial" w:hAnsi="Arial"/>
          <w:sz w:val="18"/>
          <w:szCs w:val="18"/>
          <w:color w:val="auto"/>
        </w:rPr>
        <w:t>included historical and projected financial information, prospects and risks, company performance, various corporate documents, capitalization and economic and financial market conditions. Management, with its third-party valuation firm, also used other economic, industry and market information obtained from other resources considered reliable</w:t>
      </w:r>
      <w:r>
        <w:rPr>
          <w:rFonts w:ascii="Arial" w:cs="Arial" w:eastAsia="Arial" w:hAnsi="Arial"/>
          <w:sz w:val="19"/>
          <w:szCs w:val="19"/>
          <w:color w:val="auto"/>
        </w:rPr>
        <w:t>.</w:t>
      </w:r>
      <w:r>
        <w:rPr>
          <w:rFonts w:ascii="Arial" w:cs="Arial" w:eastAsia="Arial" w:hAnsi="Arial"/>
          <w:sz w:val="18"/>
          <w:szCs w:val="18"/>
          <w:color w:val="auto"/>
        </w:rPr>
        <w:t xml:space="preserve"> After the IPO, we used the publicly quoted price as reported on the New York Stock Exchange as the fair value of our common stock.</w:t>
      </w:r>
    </w:p>
    <w:p>
      <w:pPr>
        <w:spacing w:after="0" w:line="76" w:lineRule="exact"/>
        <w:rPr>
          <w:sz w:val="20"/>
          <w:szCs w:val="20"/>
          <w:color w:val="auto"/>
        </w:rPr>
      </w:pPr>
    </w:p>
    <w:p>
      <w:pPr>
        <w:ind w:right="660" w:firstLine="494"/>
        <w:spacing w:after="0" w:line="266"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life of options granted to employees was determined by using management’s best estimation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activity.</w:t>
      </w:r>
    </w:p>
    <w:p>
      <w:pPr>
        <w:spacing w:after="0" w:line="72" w:lineRule="exact"/>
        <w:rPr>
          <w:sz w:val="20"/>
          <w:szCs w:val="20"/>
          <w:color w:val="auto"/>
        </w:rPr>
      </w:pPr>
    </w:p>
    <w:p>
      <w:pPr>
        <w:ind w:firstLine="494"/>
        <w:spacing w:after="0" w:line="245" w:lineRule="auto"/>
        <w:rPr>
          <w:sz w:val="20"/>
          <w:szCs w:val="20"/>
          <w:color w:val="auto"/>
        </w:rPr>
      </w:pPr>
      <w:r>
        <w:rPr>
          <w:rFonts w:ascii="Arial" w:cs="Arial" w:eastAsia="Arial" w:hAnsi="Arial"/>
          <w:sz w:val="18"/>
          <w:szCs w:val="18"/>
          <w:color w:val="auto"/>
        </w:rPr>
        <w:t>Risk-free Interest Rate—We use a risk-free interest rate in the option valuation model based on U.S. Treasury zero-coupon issues, with remaining terms similar to the expected term of the options.</w:t>
      </w:r>
    </w:p>
    <w:p>
      <w:pPr>
        <w:spacing w:after="0" w:line="72"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we do not have extensive trading history for our common stock, the expected volatility is based on the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of our publicly traded industry peers utilizing a period of time consistent with our estimate of expected term.</w:t>
      </w:r>
    </w:p>
    <w:p>
      <w:pPr>
        <w:spacing w:after="0" w:line="54" w:lineRule="exact"/>
        <w:rPr>
          <w:sz w:val="20"/>
          <w:szCs w:val="20"/>
          <w:color w:val="auto"/>
        </w:rPr>
      </w:pPr>
    </w:p>
    <w:p>
      <w:pPr>
        <w:jc w:val="both"/>
        <w:ind w:right="240" w:firstLine="494"/>
        <w:spacing w:after="0" w:line="266"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do not anticipate paying any cash dividends in the foreseeable future and, therefore, use an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yield of zero in the option valuation model.</w:t>
      </w:r>
    </w:p>
    <w:p>
      <w:pPr>
        <w:spacing w:after="0" w:line="72" w:lineRule="exact"/>
        <w:rPr>
          <w:sz w:val="20"/>
          <w:szCs w:val="20"/>
          <w:color w:val="auto"/>
        </w:rPr>
      </w:pPr>
    </w:p>
    <w:p>
      <w:pPr>
        <w:jc w:val="both"/>
        <w:ind w:right="240" w:firstLine="494"/>
        <w:spacing w:after="0"/>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5"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We are subject to income taxes in the United States and numerous foreign jurisdictions. Significant judgment is required in determining our provision for income taxes and deferred tax assets and liabilities, including evaluating uncertainties in the application of accounting principles and complex tax laws.</w:t>
      </w:r>
    </w:p>
    <w:p>
      <w:pPr>
        <w:spacing w:after="0" w:line="94" w:lineRule="exact"/>
        <w:rPr>
          <w:sz w:val="20"/>
          <w:szCs w:val="20"/>
          <w:color w:val="auto"/>
        </w:rPr>
      </w:pPr>
    </w:p>
    <w:p>
      <w:pPr>
        <w:ind w:right="100" w:firstLine="494"/>
        <w:spacing w:after="0" w:line="237" w:lineRule="auto"/>
        <w:rPr>
          <w:sz w:val="20"/>
          <w:szCs w:val="20"/>
          <w:color w:val="auto"/>
        </w:rPr>
      </w:pPr>
      <w:r>
        <w:rPr>
          <w:rFonts w:ascii="Arial" w:cs="Arial" w:eastAsia="Arial" w:hAnsi="Arial"/>
          <w:sz w:val="18"/>
          <w:szCs w:val="18"/>
          <w:color w:val="auto"/>
        </w:rPr>
        <w:t>We record a provision for income taxes for the anticipated tax consequences of the reported results of operations using the asset and liability method. Under this method, we recognize deferred tax assets and liabilities for the expected future tax consequences of temporary differences between the carrying amounts for financial reporting purposes and the tax bases of assets and liabilities, as well as for loss and tax credit carryforwards. The deferred assets and liabilities are measured using the statutorily enacted tax rates anticipated to be in effect when those tax assets and liabilities are expected to be realized or settled. The effect on deferred tax assets and liabilities of a change in tax rates is recognized in the period that includes the enactment date.</w:t>
      </w:r>
    </w:p>
    <w:p>
      <w:pPr>
        <w:spacing w:after="0" w:line="95" w:lineRule="exact"/>
        <w:rPr>
          <w:sz w:val="20"/>
          <w:szCs w:val="20"/>
          <w:color w:val="auto"/>
        </w:rPr>
      </w:pPr>
    </w:p>
    <w:p>
      <w:pPr>
        <w:jc w:val="both"/>
        <w:ind w:right="80" w:firstLine="494"/>
        <w:spacing w:after="0"/>
        <w:rPr>
          <w:sz w:val="20"/>
          <w:szCs w:val="20"/>
          <w:color w:val="auto"/>
        </w:rPr>
      </w:pPr>
      <w:r>
        <w:rPr>
          <w:rFonts w:ascii="Arial" w:cs="Arial" w:eastAsia="Arial" w:hAnsi="Arial"/>
          <w:sz w:val="18"/>
          <w:szCs w:val="18"/>
          <w:color w:val="auto"/>
        </w:rPr>
        <w:t>A valuation allowance is established if, based upon the available evidence, it is more likely than not that some or all of the deferred tax assets will not be realized. We consider all available evidence, both positive and negative, including historical levels of income, expectations and risks associated with estimates of future taxable income, in assessing the need for a valuation allowance.</w:t>
      </w:r>
    </w:p>
    <w:p>
      <w:pPr>
        <w:spacing w:after="0" w:line="94" w:lineRule="exact"/>
        <w:rPr>
          <w:sz w:val="20"/>
          <w:szCs w:val="20"/>
          <w:color w:val="auto"/>
        </w:rPr>
      </w:pPr>
    </w:p>
    <w:p>
      <w:pPr>
        <w:ind w:right="120" w:firstLine="494"/>
        <w:spacing w:after="0" w:line="236" w:lineRule="auto"/>
        <w:rPr>
          <w:sz w:val="20"/>
          <w:szCs w:val="20"/>
          <w:color w:val="auto"/>
        </w:rPr>
      </w:pPr>
      <w:r>
        <w:rPr>
          <w:rFonts w:ascii="Arial" w:cs="Arial" w:eastAsia="Arial" w:hAnsi="Arial"/>
          <w:sz w:val="18"/>
          <w:szCs w:val="18"/>
          <w:color w:val="auto"/>
        </w:rPr>
        <w:t>Our tax positions are subject to income tax audits by multiple tax jurisdictions throughout the world. We recognize the tax benefit of an uncertain tax position only if it is more likely than not the position will be sustainable upon examination by the taxing authority, including resolution of any related appeals or litigation processes. This evaluation is based on all available evidence and assumes that the tax authorities have full knowledge of all relevant information concerning the tax position. The tax benefit recognized is measured as the largest amount of benefit which is more likely than not (greater than 50% likely) to be realized upon ultimate settlement with the taxing authority. We recognize interest accrued and penalties related to unrecognized tax benefits in income tax expense. We make adjustments to these reserves in accordance with the income tax guidance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 and could have a material impact on our financial condition and operating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Emerging Growth Company Status</w:t>
      </w:r>
    </w:p>
    <w:p>
      <w:pPr>
        <w:spacing w:after="0" w:line="125" w:lineRule="exact"/>
        <w:rPr>
          <w:sz w:val="20"/>
          <w:szCs w:val="20"/>
          <w:color w:val="auto"/>
        </w:rPr>
      </w:pPr>
    </w:p>
    <w:p>
      <w:pPr>
        <w:ind w:right="20" w:firstLine="494"/>
        <w:spacing w:after="0" w:line="234" w:lineRule="auto"/>
        <w:rPr>
          <w:sz w:val="20"/>
          <w:szCs w:val="20"/>
          <w:color w:val="auto"/>
        </w:rPr>
      </w:pPr>
      <w:r>
        <w:rPr>
          <w:rFonts w:ascii="Arial" w:cs="Arial" w:eastAsia="Arial" w:hAnsi="Arial"/>
          <w:sz w:val="18"/>
          <w:szCs w:val="18"/>
          <w:color w:val="auto"/>
        </w:rPr>
        <w:t>Section 107 of the Jumpstart Our Business Startups Act of 2012, as amended, or the JOBS Act, provides that an “emerging growth company” may take advantage of the extended transition period provided in Section 7(a)(2)(B) of the Securities Act for complying with new or revised accounting standards. In other words, an “emerging growth company” may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 until we are no longer an emerging growth company or until we affirmatively and irrevocably opt out of the extended transition period.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67" w:name="page68"/>
    <w:bookmarkEnd w:id="67"/>
    <w:p>
      <w:pPr>
        <w:jc w:val="center"/>
        <w:ind w:right="-139"/>
        <w:spacing w:after="0"/>
        <w:rPr>
          <w:sz w:val="20"/>
          <w:szCs w:val="20"/>
          <w:color w:val="auto"/>
        </w:rPr>
      </w:pPr>
      <w:r>
        <w:rPr>
          <w:rFonts w:ascii="Arial" w:cs="Arial" w:eastAsia="Arial" w:hAnsi="Arial"/>
          <w:sz w:val="18"/>
          <w:szCs w:val="18"/>
          <w:b w:val="1"/>
          <w:bCs w:val="1"/>
          <w:color w:val="auto"/>
        </w:rPr>
        <w:t>Recent Accounting Pronouncements</w:t>
      </w:r>
    </w:p>
    <w:p>
      <w:pPr>
        <w:spacing w:after="0" w:line="125" w:lineRule="exact"/>
        <w:rPr>
          <w:sz w:val="20"/>
          <w:szCs w:val="20"/>
          <w:color w:val="auto"/>
        </w:rPr>
      </w:pPr>
    </w:p>
    <w:p>
      <w:pPr>
        <w:ind w:right="380" w:firstLine="494"/>
        <w:spacing w:after="0" w:line="245"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more information regarding recently issued accounting pronouncements.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6969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96970" cy="8255"/>
                    </a:xfrm>
                    <a:prstGeom prst="rect">
                      <a:avLst/>
                    </a:prstGeom>
                    <a:noFill/>
                  </pic:spPr>
                </pic:pic>
              </a:graphicData>
            </a:graphic>
          </wp:anchor>
        </w:drawing>
      </w:r>
    </w:p>
    <w:p>
      <w:pPr>
        <w:spacing w:after="0" w:line="213"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5" w:lineRule="exact"/>
        <w:rPr>
          <w:sz w:val="20"/>
          <w:szCs w:val="20"/>
          <w:color w:val="auto"/>
        </w:rPr>
      </w:pPr>
    </w:p>
    <w:p>
      <w:pPr>
        <w:ind w:right="20" w:firstLine="494"/>
        <w:spacing w:after="0" w:line="254" w:lineRule="auto"/>
        <w:rPr>
          <w:sz w:val="20"/>
          <w:szCs w:val="20"/>
          <w:color w:val="auto"/>
        </w:rPr>
      </w:pPr>
      <w:r>
        <w:rPr>
          <w:rFonts w:ascii="Arial" w:cs="Arial" w:eastAsia="Arial" w:hAnsi="Arial"/>
          <w:sz w:val="17"/>
          <w:szCs w:val="17"/>
          <w:color w:val="auto"/>
        </w:rPr>
        <w:t>Our unrestricted cash and cash equivalents consist of bank deposits and money market funds with original maturities of three months or less. Our cash and cash equivalents are held for working capital purposes. We do not enter into investments for trading or speculative purposes. Interest income associated with our cash equivalents and our investment portfolio are subject to market risk due to changes in interest rates. In addition, we have no variable interest rate indebtedness. As of December 31, 2022, a hypothetical 10% relative change in interest rates would not have had a material impact on the value of our cash equivalents, investment portfolio or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5"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Certain of our operations are conducted in foreign currencies. While we have generated substantially all of our revenue from billers in the United States, we have foreign currency risks related to revenue denominated in other currencies, such as the Canadian dollar. In addition, we have significant operations outside of the United States, particularly in Canada and India, where expenses are denominated in the local currency. Decreases in the relative value of the U.S. dollar to other currencies may negatively affect revenue and other operating results as expressed in U.S. dollars. We have not engaged in the hedging of foreign currency transactions, although we may do so in the future. We do not believe that an immediate 10% increase or decrease in the relative value of the U.S. dollar to other applicable currencies would have a material effect on operating results.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48" w:right="4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014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w:t>
            </w:r>
          </w:p>
        </w:tc>
        <w:tc>
          <w:tcPr>
            <w:tcW w:w="1100" w:type="dxa"/>
            <w:vAlign w:val="bottom"/>
          </w:tcPr>
          <w:p>
            <w:pPr>
              <w:spacing w:after="0"/>
              <w:rPr>
                <w:sz w:val="17"/>
                <w:szCs w:val="17"/>
                <w:color w:val="auto"/>
              </w:rPr>
            </w:pPr>
          </w:p>
        </w:tc>
      </w:tr>
      <w:tr>
        <w:trPr>
          <w:trHeight w:val="331"/>
        </w:trPr>
        <w:tc>
          <w:tcPr>
            <w:tcW w:w="2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7720" w:type="dxa"/>
            <w:vAlign w:val="bottom"/>
            <w:gridSpan w:val="8"/>
          </w:tcPr>
          <w:p>
            <w:pPr>
              <w:jc w:val="center"/>
              <w:ind w:right="138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9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Report of Independent Registered Public Accounting Firm (PCAOB ID 238)</w:t>
            </w:r>
          </w:p>
        </w:tc>
        <w:tc>
          <w:tcPr>
            <w:tcW w:w="4140" w:type="dxa"/>
            <w:vAlign w:val="bottom"/>
            <w:gridSpan w:val="5"/>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196"/>
        </w:trPr>
        <w:tc>
          <w:tcPr>
            <w:tcW w:w="20" w:type="dxa"/>
            <w:vAlign w:val="bottom"/>
          </w:tcPr>
          <w:p>
            <w:pPr>
              <w:spacing w:after="0"/>
              <w:rPr>
                <w:sz w:val="17"/>
                <w:szCs w:val="17"/>
                <w:color w:val="auto"/>
              </w:rPr>
            </w:pPr>
          </w:p>
        </w:tc>
        <w:tc>
          <w:tcPr>
            <w:tcW w:w="10120" w:type="dxa"/>
            <w:vAlign w:val="bottom"/>
            <w:gridSpan w:val="9"/>
          </w:tcPr>
          <w:p>
            <w:pPr>
              <w:spacing w:after="0" w:line="195" w:lineRule="exact"/>
              <w:rPr>
                <w:sz w:val="20"/>
                <w:szCs w:val="20"/>
                <w:color w:val="auto"/>
              </w:rPr>
            </w:pPr>
            <w:r>
              <w:rPr>
                <w:rFonts w:ascii="Arial" w:cs="Arial" w:eastAsia="Arial" w:hAnsi="Arial"/>
                <w:sz w:val="18"/>
                <w:szCs w:val="18"/>
                <w:color w:val="0000FF"/>
              </w:rPr>
              <w:t>Consolidated Balance Sheets as of December 31, 2022 and 2021</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70</w:t>
            </w:r>
          </w:p>
        </w:tc>
      </w:tr>
      <w:tr>
        <w:trPr>
          <w:trHeight w:val="20"/>
        </w:trPr>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18"/>
                <w:szCs w:val="18"/>
                <w:color w:val="0000FF"/>
                <w:w w:val="99"/>
              </w:rPr>
              <w:t>Consolidated Statements of Operations for the Years ended December 31, 2022, 2021 and 2020</w:t>
            </w:r>
          </w:p>
        </w:tc>
        <w:tc>
          <w:tcPr>
            <w:tcW w:w="2440" w:type="dxa"/>
            <w:vAlign w:val="bottom"/>
            <w:gridSpan w:val="4"/>
          </w:tcPr>
          <w:p>
            <w:pPr>
              <w:spacing w:after="0"/>
              <w:rPr>
                <w:sz w:val="17"/>
                <w:szCs w:val="17"/>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r>
      <w:tr>
        <w:trPr>
          <w:trHeight w:val="196"/>
        </w:trPr>
        <w:tc>
          <w:tcPr>
            <w:tcW w:w="20" w:type="dxa"/>
            <w:vAlign w:val="bottom"/>
          </w:tcPr>
          <w:p>
            <w:pPr>
              <w:spacing w:after="0"/>
              <w:rPr>
                <w:sz w:val="17"/>
                <w:szCs w:val="17"/>
                <w:color w:val="auto"/>
              </w:rPr>
            </w:pPr>
          </w:p>
        </w:tc>
        <w:tc>
          <w:tcPr>
            <w:tcW w:w="10120" w:type="dxa"/>
            <w:vAlign w:val="bottom"/>
            <w:gridSpan w:val="9"/>
          </w:tcPr>
          <w:p>
            <w:pPr>
              <w:spacing w:after="0" w:line="195" w:lineRule="exact"/>
              <w:rPr>
                <w:sz w:val="20"/>
                <w:szCs w:val="20"/>
                <w:color w:val="auto"/>
              </w:rPr>
            </w:pPr>
            <w:r>
              <w:rPr>
                <w:rFonts w:ascii="Arial" w:cs="Arial" w:eastAsia="Arial" w:hAnsi="Arial"/>
                <w:sz w:val="18"/>
                <w:szCs w:val="18"/>
                <w:color w:val="0000FF"/>
              </w:rPr>
              <w:t>Consolidated Statements of Comprehensive (Loss) Income for the Years ended December 31, 2022, 2021 and 2020</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72</w:t>
            </w:r>
          </w:p>
        </w:tc>
      </w:tr>
      <w:tr>
        <w:trPr>
          <w:trHeight w:val="196"/>
        </w:trPr>
        <w:tc>
          <w:tcPr>
            <w:tcW w:w="20" w:type="dxa"/>
            <w:vAlign w:val="bottom"/>
          </w:tcPr>
          <w:p>
            <w:pPr>
              <w:spacing w:after="0"/>
              <w:rPr>
                <w:sz w:val="17"/>
                <w:szCs w:val="17"/>
                <w:color w:val="auto"/>
              </w:rPr>
            </w:pPr>
          </w:p>
        </w:tc>
        <w:tc>
          <w:tcPr>
            <w:tcW w:w="9240" w:type="dxa"/>
            <w:vAlign w:val="bottom"/>
            <w:tcBorders>
              <w:top w:val="single" w:sz="8" w:color="0000FF"/>
            </w:tcBorders>
            <w:gridSpan w:val="8"/>
          </w:tcPr>
          <w:p>
            <w:pPr>
              <w:spacing w:after="0" w:line="195" w:lineRule="exact"/>
              <w:rPr>
                <w:sz w:val="20"/>
                <w:szCs w:val="20"/>
                <w:color w:val="auto"/>
              </w:rPr>
            </w:pPr>
            <w:r>
              <w:rPr>
                <w:rFonts w:ascii="Arial" w:cs="Arial" w:eastAsia="Arial" w:hAnsi="Arial"/>
                <w:sz w:val="18"/>
                <w:szCs w:val="18"/>
                <w:color w:val="0000FF"/>
              </w:rPr>
              <w:t>Consolidated Statements of Stockholders’ Equity for the Years ended December 31, 2022, 2021 and 2020</w:t>
            </w:r>
          </w:p>
        </w:tc>
        <w:tc>
          <w:tcPr>
            <w:tcW w:w="880" w:type="dxa"/>
            <w:vAlign w:val="bottom"/>
          </w:tcPr>
          <w:p>
            <w:pPr>
              <w:spacing w:after="0"/>
              <w:rPr>
                <w:sz w:val="17"/>
                <w:szCs w:val="17"/>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73</w:t>
            </w:r>
          </w:p>
        </w:tc>
      </w:tr>
      <w:tr>
        <w:trPr>
          <w:trHeight w:val="196"/>
        </w:trPr>
        <w:tc>
          <w:tcPr>
            <w:tcW w:w="20" w:type="dxa"/>
            <w:vAlign w:val="bottom"/>
          </w:tcPr>
          <w:p>
            <w:pPr>
              <w:spacing w:after="0"/>
              <w:rPr>
                <w:sz w:val="17"/>
                <w:szCs w:val="17"/>
                <w:color w:val="auto"/>
              </w:rPr>
            </w:pPr>
          </w:p>
        </w:tc>
        <w:tc>
          <w:tcPr>
            <w:tcW w:w="7740" w:type="dxa"/>
            <w:vAlign w:val="bottom"/>
            <w:tcBorders>
              <w:top w:val="single" w:sz="8" w:color="0000FF"/>
              <w:bottom w:val="single" w:sz="8" w:color="0000FF"/>
            </w:tcBorders>
            <w:gridSpan w:val="6"/>
          </w:tcPr>
          <w:p>
            <w:pPr>
              <w:spacing w:after="0" w:line="195" w:lineRule="exact"/>
              <w:rPr>
                <w:sz w:val="20"/>
                <w:szCs w:val="20"/>
                <w:color w:val="auto"/>
              </w:rPr>
            </w:pPr>
            <w:r>
              <w:rPr>
                <w:rFonts w:ascii="Arial" w:cs="Arial" w:eastAsia="Arial" w:hAnsi="Arial"/>
                <w:sz w:val="18"/>
                <w:szCs w:val="18"/>
                <w:color w:val="0000FF"/>
                <w:w w:val="99"/>
              </w:rPr>
              <w:t>Consolidated Statements of Cash Flows for the Years ended December 31, 2022, 2021 and 2020</w:t>
            </w:r>
          </w:p>
        </w:tc>
        <w:tc>
          <w:tcPr>
            <w:tcW w:w="680" w:type="dxa"/>
            <w:vAlign w:val="bottom"/>
            <w:tcBorders>
              <w:top w:val="single" w:sz="8" w:color="0000FF"/>
            </w:tcBorders>
          </w:tcPr>
          <w:p>
            <w:pPr>
              <w:spacing w:after="0"/>
              <w:rPr>
                <w:sz w:val="17"/>
                <w:szCs w:val="17"/>
                <w:color w:val="auto"/>
              </w:rPr>
            </w:pPr>
          </w:p>
        </w:tc>
        <w:tc>
          <w:tcPr>
            <w:tcW w:w="1700" w:type="dxa"/>
            <w:vAlign w:val="bottom"/>
            <w:gridSpan w:val="2"/>
          </w:tcPr>
          <w:p>
            <w:pPr>
              <w:spacing w:after="0"/>
              <w:rPr>
                <w:sz w:val="17"/>
                <w:szCs w:val="17"/>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74</w:t>
            </w:r>
          </w:p>
        </w:tc>
      </w:tr>
      <w:tr>
        <w:trPr>
          <w:trHeight w:val="196"/>
        </w:trPr>
        <w:tc>
          <w:tcPr>
            <w:tcW w:w="20" w:type="dxa"/>
            <w:vAlign w:val="bottom"/>
          </w:tcPr>
          <w:p>
            <w:pPr>
              <w:spacing w:after="0"/>
              <w:rPr>
                <w:sz w:val="17"/>
                <w:szCs w:val="17"/>
                <w:color w:val="auto"/>
              </w:rPr>
            </w:pPr>
          </w:p>
        </w:tc>
        <w:tc>
          <w:tcPr>
            <w:tcW w:w="350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9"/>
              </w:rPr>
              <w:t>Notes to Consolidated Financial Statements</w:t>
            </w:r>
          </w:p>
        </w:tc>
        <w:tc>
          <w:tcPr>
            <w:tcW w:w="6620" w:type="dxa"/>
            <w:vAlign w:val="bottom"/>
            <w:gridSpan w:val="7"/>
          </w:tcPr>
          <w:p>
            <w:pPr>
              <w:spacing w:after="0"/>
              <w:rPr>
                <w:sz w:val="17"/>
                <w:szCs w:val="17"/>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76</w:t>
            </w:r>
          </w:p>
        </w:tc>
      </w:tr>
      <w:tr>
        <w:trPr>
          <w:trHeight w:val="654"/>
        </w:trPr>
        <w:tc>
          <w:tcPr>
            <w:tcW w:w="6000" w:type="dxa"/>
            <w:vAlign w:val="bottom"/>
            <w:gridSpan w:val="5"/>
          </w:tcPr>
          <w:p>
            <w:pPr>
              <w:jc w:val="right"/>
              <w:ind w:right="280"/>
              <w:spacing w:after="0"/>
              <w:rPr>
                <w:sz w:val="20"/>
                <w:szCs w:val="20"/>
                <w:color w:val="auto"/>
              </w:rPr>
            </w:pPr>
            <w:r>
              <w:rPr>
                <w:rFonts w:ascii="Arial" w:cs="Arial" w:eastAsia="Arial" w:hAnsi="Arial"/>
                <w:sz w:val="18"/>
                <w:szCs w:val="18"/>
                <w:color w:val="auto"/>
              </w:rPr>
              <w:t>68</w:t>
            </w: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-1326515</wp:posOffset>
            </wp:positionV>
            <wp:extent cx="317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69" w:name="page70"/>
    <w:bookmarkEnd w:id="69"/>
    <w:p>
      <w:pPr>
        <w:ind w:right="3140" w:firstLine="3135"/>
        <w:spacing w:after="0" w:line="47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Paymentus Holdings, Inc. </w:t>
      </w:r>
      <w:r>
        <w:rPr>
          <w:rFonts w:ascii="Arial" w:cs="Arial" w:eastAsia="Arial" w:hAnsi="Arial"/>
          <w:sz w:val="18"/>
          <w:szCs w:val="18"/>
          <w:b w:val="1"/>
          <w:bCs w:val="1"/>
          <w:i w:val="1"/>
          <w:iCs w:val="1"/>
          <w:color w:val="auto"/>
        </w:rPr>
        <w:t>Opinion on the Financial Statements</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have audited the accompanying consolidated balance sheets of Paymentus Holdings, Inc. and its subsidiaries (the “Company”) as of December 31, 2022 and 2021, and the related consolidated statements of operations, of comprehensive (loss) income, of stockholders’ equity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0"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Charlotte, North Carolina</w:t>
      </w:r>
    </w:p>
    <w:p>
      <w:pPr>
        <w:spacing w:after="0"/>
        <w:rPr>
          <w:sz w:val="20"/>
          <w:szCs w:val="20"/>
          <w:color w:val="auto"/>
        </w:rPr>
      </w:pPr>
      <w:r>
        <w:rPr>
          <w:rFonts w:ascii="Arial" w:cs="Arial" w:eastAsia="Arial" w:hAnsi="Arial"/>
          <w:sz w:val="18"/>
          <w:szCs w:val="18"/>
          <w:color w:val="auto"/>
        </w:rPr>
        <w:t>March 3,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70" w:name="page71"/>
    <w:bookmarkEnd w:id="70"/>
    <w:p>
      <w:pPr>
        <w:ind w:left="4380"/>
        <w:spacing w:after="0"/>
        <w:rPr>
          <w:sz w:val="20"/>
          <w:szCs w:val="20"/>
          <w:color w:val="auto"/>
        </w:rPr>
      </w:pPr>
      <w:r>
        <w:rPr>
          <w:rFonts w:ascii="Arial" w:cs="Arial" w:eastAsia="Arial" w:hAnsi="Arial"/>
          <w:sz w:val="18"/>
          <w:szCs w:val="18"/>
          <w:color w:val="auto"/>
        </w:rPr>
        <w:t>PAYMENTUS HOLDINGS, INC.</w:t>
      </w:r>
    </w:p>
    <w:p>
      <w:pPr>
        <w:ind w:left="4060"/>
        <w:spacing w:after="0" w:line="234" w:lineRule="auto"/>
        <w:rPr>
          <w:sz w:val="20"/>
          <w:szCs w:val="20"/>
          <w:color w:val="auto"/>
        </w:rPr>
      </w:pPr>
      <w:r>
        <w:rPr>
          <w:rFonts w:ascii="Arial" w:cs="Arial" w:eastAsia="Arial" w:hAnsi="Arial"/>
          <w:sz w:val="18"/>
          <w:szCs w:val="18"/>
          <w:color w:val="auto"/>
        </w:rPr>
        <w:t>CONSOLIDATED BALANCE SHEETS</w:t>
      </w:r>
    </w:p>
    <w:p>
      <w:pPr>
        <w:ind w:left="3700"/>
        <w:spacing w:after="0"/>
        <w:rPr>
          <w:sz w:val="20"/>
          <w:szCs w:val="20"/>
          <w:color w:val="auto"/>
        </w:rPr>
      </w:pPr>
      <w:r>
        <w:rPr>
          <w:rFonts w:ascii="Arial" w:cs="Arial" w:eastAsia="Arial" w:hAnsi="Arial"/>
          <w:sz w:val="18"/>
          <w:szCs w:val="18"/>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4"/>
                <w:szCs w:val="14"/>
                <w:color w:val="auto"/>
              </w:rPr>
            </w:pPr>
          </w:p>
        </w:tc>
        <w:tc>
          <w:tcPr>
            <w:tcW w:w="1340" w:type="dxa"/>
            <w:vAlign w:val="bottom"/>
          </w:tcPr>
          <w:p>
            <w:pPr>
              <w:jc w:val="right"/>
              <w:ind w:right="309"/>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4"/>
                <w:szCs w:val="14"/>
                <w:color w:val="auto"/>
              </w:rPr>
            </w:pPr>
          </w:p>
        </w:tc>
      </w:tr>
      <w:tr>
        <w:trPr>
          <w:trHeight w:val="158"/>
        </w:trPr>
        <w:tc>
          <w:tcPr>
            <w:tcW w:w="77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82"/>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147,334</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168,386</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4"/>
                <w:szCs w:val="14"/>
                <w:color w:val="auto"/>
              </w:rPr>
              <w:t>Restricted cash and cash equivalents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2,351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18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Restricted funds held for financial institutions</w:t>
            </w:r>
          </w:p>
        </w:tc>
        <w:tc>
          <w:tcPr>
            <w:tcW w:w="24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33,443</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4"/>
                <w:szCs w:val="14"/>
                <w:color w:val="auto"/>
              </w:rPr>
              <w:t>Accounts and other receivables, net of allowance of $370 and $102</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67,789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43,935</w:t>
            </w:r>
          </w:p>
        </w:tc>
        <w:tc>
          <w:tcPr>
            <w:tcW w:w="100" w:type="dxa"/>
            <w:vAlign w:val="bottom"/>
          </w:tcPr>
          <w:p>
            <w:pPr>
              <w:spacing w:after="0"/>
              <w:rPr>
                <w:sz w:val="16"/>
                <w:szCs w:val="16"/>
                <w:color w:val="auto"/>
              </w:rPr>
            </w:pPr>
          </w:p>
        </w:tc>
      </w:tr>
      <w:tr>
        <w:trPr>
          <w:trHeight w:val="18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tax receivable</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1,493</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2,488</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8,184</w:t>
            </w:r>
          </w:p>
        </w:tc>
        <w:tc>
          <w:tcPr>
            <w:tcW w:w="100" w:type="dxa"/>
            <w:vAlign w:val="bottom"/>
          </w:tcPr>
          <w:p>
            <w:pPr>
              <w:spacing w:after="0"/>
              <w:rPr>
                <w:sz w:val="16"/>
                <w:szCs w:val="16"/>
                <w:color w:val="auto"/>
              </w:rPr>
            </w:pPr>
          </w:p>
        </w:tc>
      </w:tr>
      <w:tr>
        <w:trPr>
          <w:trHeight w:val="182"/>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228,961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256,436</w:t>
            </w:r>
          </w:p>
        </w:tc>
        <w:tc>
          <w:tcPr>
            <w:tcW w:w="100" w:type="dxa"/>
            <w:vAlign w:val="bottom"/>
            <w:shd w:val="clear" w:color="auto" w:fill="CFF0FC"/>
          </w:tcPr>
          <w:p>
            <w:pPr>
              <w:spacing w:after="0"/>
              <w:rPr>
                <w:sz w:val="15"/>
                <w:szCs w:val="15"/>
                <w:color w:val="auto"/>
              </w:rPr>
            </w:pPr>
          </w:p>
        </w:tc>
      </w:tr>
      <w:tr>
        <w:trPr>
          <w:trHeight w:val="180"/>
        </w:trPr>
        <w:tc>
          <w:tcPr>
            <w:tcW w:w="7700" w:type="dxa"/>
            <w:vAlign w:val="bottom"/>
          </w:tcPr>
          <w:p>
            <w:pPr>
              <w:ind w:left="20"/>
              <w:spacing w:after="0"/>
              <w:rPr>
                <w:sz w:val="20"/>
                <w:szCs w:val="20"/>
                <w:color w:val="auto"/>
              </w:rPr>
            </w:pPr>
            <w:r>
              <w:rPr>
                <w:rFonts w:ascii="Arial" w:cs="Arial" w:eastAsia="Arial" w:hAnsi="Arial"/>
                <w:sz w:val="14"/>
                <w:szCs w:val="14"/>
                <w:color w:val="auto"/>
              </w:rPr>
              <w:t>Property and equipment, net of accumulated depreciation and</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7700" w:type="dxa"/>
            <w:vAlign w:val="bottom"/>
          </w:tcPr>
          <w:p>
            <w:pPr>
              <w:ind w:left="140"/>
              <w:spacing w:after="0"/>
              <w:rPr>
                <w:sz w:val="20"/>
                <w:szCs w:val="20"/>
                <w:color w:val="auto"/>
              </w:rPr>
            </w:pPr>
            <w:r>
              <w:rPr>
                <w:rFonts w:ascii="Arial" w:cs="Arial" w:eastAsia="Arial" w:hAnsi="Arial"/>
                <w:sz w:val="14"/>
                <w:szCs w:val="14"/>
                <w:color w:val="auto"/>
              </w:rPr>
              <w:t>amortization of $5,744 and $4,791</w:t>
            </w: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1,823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2,044</w:t>
            </w:r>
          </w:p>
        </w:tc>
        <w:tc>
          <w:tcPr>
            <w:tcW w:w="100" w:type="dxa"/>
            <w:vAlign w:val="bottom"/>
          </w:tcPr>
          <w:p>
            <w:pPr>
              <w:spacing w:after="0"/>
              <w:rPr>
                <w:sz w:val="14"/>
                <w:szCs w:val="14"/>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Capitalized internal-use software development costs, net</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46,032</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30,888</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36,017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42,088</w:t>
            </w:r>
          </w:p>
        </w:tc>
        <w:tc>
          <w:tcPr>
            <w:tcW w:w="100" w:type="dxa"/>
            <w:vAlign w:val="bottom"/>
          </w:tcPr>
          <w:p>
            <w:pPr>
              <w:spacing w:after="0"/>
              <w:rPr>
                <w:sz w:val="16"/>
                <w:szCs w:val="16"/>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131,851</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129,413</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9,561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7,703</w:t>
            </w:r>
          </w:p>
        </w:tc>
        <w:tc>
          <w:tcPr>
            <w:tcW w:w="100" w:type="dxa"/>
            <w:vAlign w:val="bottom"/>
          </w:tcPr>
          <w:p>
            <w:pPr>
              <w:spacing w:after="0"/>
              <w:rPr>
                <w:sz w:val="16"/>
                <w:szCs w:val="16"/>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 asset</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7,178</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4,207</w:t>
            </w:r>
          </w:p>
        </w:tc>
        <w:tc>
          <w:tcPr>
            <w:tcW w:w="100" w:type="dxa"/>
            <w:vAlign w:val="bottom"/>
          </w:tcPr>
          <w:p>
            <w:pPr>
              <w:spacing w:after="0"/>
              <w:rPr>
                <w:sz w:val="16"/>
                <w:szCs w:val="16"/>
                <w:color w:val="auto"/>
              </w:rPr>
            </w:pPr>
          </w:p>
        </w:tc>
      </w:tr>
      <w:tr>
        <w:trPr>
          <w:trHeight w:val="222"/>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461,539</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472,942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29,232</w:t>
            </w:r>
          </w:p>
        </w:tc>
        <w:tc>
          <w:tcPr>
            <w:tcW w:w="2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24,748</w:t>
            </w:r>
          </w:p>
        </w:tc>
        <w:tc>
          <w:tcPr>
            <w:tcW w:w="100" w:type="dxa"/>
            <w:vAlign w:val="bottom"/>
          </w:tcPr>
          <w:p>
            <w:pPr>
              <w:spacing w:after="0"/>
              <w:rPr>
                <w:sz w:val="16"/>
                <w:szCs w:val="16"/>
                <w:color w:val="auto"/>
              </w:rPr>
            </w:pPr>
          </w:p>
        </w:tc>
      </w:tr>
      <w:tr>
        <w:trPr>
          <w:trHeight w:val="18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15,809</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12,491</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4"/>
                <w:szCs w:val="14"/>
                <w:color w:val="auto"/>
              </w:rPr>
              <w:t>Financial institution funds in-transit</w:t>
            </w:r>
          </w:p>
        </w:tc>
        <w:tc>
          <w:tcPr>
            <w:tcW w:w="240" w:type="dxa"/>
            <w:vAlign w:val="bottom"/>
          </w:tcPr>
          <w:p>
            <w:pPr>
              <w:spacing w:after="0"/>
              <w:rPr>
                <w:sz w:val="16"/>
                <w:szCs w:val="16"/>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33,443</w:t>
            </w:r>
          </w:p>
        </w:tc>
        <w:tc>
          <w:tcPr>
            <w:tcW w:w="100" w:type="dxa"/>
            <w:vAlign w:val="bottom"/>
          </w:tcPr>
          <w:p>
            <w:pPr>
              <w:spacing w:after="0"/>
              <w:rPr>
                <w:sz w:val="16"/>
                <w:szCs w:val="16"/>
                <w:color w:val="auto"/>
              </w:rPr>
            </w:pPr>
          </w:p>
        </w:tc>
      </w:tr>
      <w:tr>
        <w:trPr>
          <w:trHeight w:val="18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1,462</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1,456</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4"/>
                <w:szCs w:val="14"/>
                <w:color w:val="auto"/>
              </w:rPr>
              <w:t>Contract liabilities</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4,358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2,173</w:t>
            </w:r>
          </w:p>
        </w:tc>
        <w:tc>
          <w:tcPr>
            <w:tcW w:w="100" w:type="dxa"/>
            <w:vAlign w:val="bottom"/>
          </w:tcPr>
          <w:p>
            <w:pPr>
              <w:spacing w:after="0"/>
              <w:rPr>
                <w:sz w:val="16"/>
                <w:szCs w:val="16"/>
                <w:color w:val="auto"/>
              </w:rPr>
            </w:pPr>
          </w:p>
        </w:tc>
      </w:tr>
      <w:tr>
        <w:trPr>
          <w:trHeight w:val="189"/>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Income tax payable</w:t>
            </w: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635</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0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51,496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74,433</w:t>
            </w:r>
          </w:p>
        </w:tc>
        <w:tc>
          <w:tcPr>
            <w:tcW w:w="100" w:type="dxa"/>
            <w:vAlign w:val="bottom"/>
          </w:tcPr>
          <w:p>
            <w:pPr>
              <w:spacing w:after="0"/>
              <w:rPr>
                <w:sz w:val="15"/>
                <w:szCs w:val="15"/>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 liability</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3,318</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4"/>
                <w:szCs w:val="14"/>
                <w:color w:val="auto"/>
              </w:rPr>
              <w:t>Operating leases, net of current portion</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8,608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6,463</w:t>
            </w:r>
          </w:p>
        </w:tc>
        <w:tc>
          <w:tcPr>
            <w:tcW w:w="100" w:type="dxa"/>
            <w:vAlign w:val="bottom"/>
          </w:tcPr>
          <w:p>
            <w:pPr>
              <w:spacing w:after="0"/>
              <w:rPr>
                <w:sz w:val="16"/>
                <w:szCs w:val="16"/>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Contract liabilities, net of current portion</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2,826</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1,713</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4"/>
                <w:szCs w:val="14"/>
                <w:color w:val="auto"/>
              </w:rPr>
              <w:t>Finance leases and other finance obligations, net of current portion</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6"/>
                <w:szCs w:val="16"/>
                <w:color w:val="auto"/>
              </w:rPr>
            </w:pPr>
          </w:p>
        </w:tc>
      </w:tr>
      <w:tr>
        <w:trPr>
          <w:trHeight w:val="182"/>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64,360</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86,810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700" w:type="dxa"/>
            <w:vAlign w:val="bottom"/>
          </w:tcPr>
          <w:p>
            <w:pPr>
              <w:ind w:left="20"/>
              <w:spacing w:after="0"/>
              <w:rPr>
                <w:sz w:val="20"/>
                <w:szCs w:val="20"/>
                <w:color w:val="auto"/>
              </w:rPr>
            </w:pPr>
            <w:r>
              <w:rPr>
                <w:rFonts w:ascii="Arial" w:cs="Arial" w:eastAsia="Arial" w:hAnsi="Arial"/>
                <w:sz w:val="14"/>
                <w:szCs w:val="14"/>
                <w:color w:val="auto"/>
              </w:rPr>
              <w:t>Commitments and contingencies (Note 9)</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0"/>
        </w:trPr>
        <w:tc>
          <w:tcPr>
            <w:tcW w:w="7700" w:type="dxa"/>
            <w:vAlign w:val="bottom"/>
          </w:tcPr>
          <w:p>
            <w:pPr>
              <w:ind w:left="200"/>
              <w:spacing w:after="0"/>
              <w:rPr>
                <w:sz w:val="20"/>
                <w:szCs w:val="20"/>
                <w:color w:val="auto"/>
              </w:rPr>
            </w:pPr>
            <w:r>
              <w:rPr>
                <w:rFonts w:ascii="Arial" w:cs="Arial" w:eastAsia="Arial" w:hAnsi="Arial"/>
                <w:sz w:val="14"/>
                <w:szCs w:val="14"/>
                <w:color w:val="auto"/>
              </w:rPr>
              <w:t>Preferred stock, $0.0001 par value per share, 5,000,000 shares authorized as of December 31, 2022 and 2021,</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7700" w:type="dxa"/>
            <w:vAlign w:val="bottom"/>
          </w:tcPr>
          <w:p>
            <w:pPr>
              <w:ind w:left="200"/>
              <w:spacing w:after="0"/>
              <w:rPr>
                <w:sz w:val="20"/>
                <w:szCs w:val="20"/>
                <w:color w:val="auto"/>
              </w:rPr>
            </w:pPr>
            <w:r>
              <w:rPr>
                <w:rFonts w:ascii="Arial" w:cs="Arial" w:eastAsia="Arial" w:hAnsi="Arial"/>
                <w:sz w:val="14"/>
                <w:szCs w:val="14"/>
                <w:color w:val="auto"/>
              </w:rPr>
              <w:t>respectively; none issued and outstanding as of December 31, 2022 and 2021, respectively</w:t>
            </w:r>
          </w:p>
        </w:tc>
        <w:tc>
          <w:tcPr>
            <w:tcW w:w="240" w:type="dxa"/>
            <w:vAlign w:val="bottom"/>
          </w:tcPr>
          <w:p>
            <w:pPr>
              <w:spacing w:after="0"/>
              <w:rPr>
                <w:sz w:val="14"/>
                <w:szCs w:val="14"/>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80"/>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Class A common stock, $0.0001 par value per share, 883,950,000 shares authorized as of December 31, 2022</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and 2021, respectively; 19,934,331 and 17,251,079 shares issued and outstanding as of December 31, 2022 and</w:t>
            </w: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1"/>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2021, respectively</w:t>
            </w: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r>
      <w:tr>
        <w:trPr>
          <w:trHeight w:val="180"/>
        </w:trPr>
        <w:tc>
          <w:tcPr>
            <w:tcW w:w="7700" w:type="dxa"/>
            <w:vAlign w:val="bottom"/>
          </w:tcPr>
          <w:p>
            <w:pPr>
              <w:ind w:left="200"/>
              <w:spacing w:after="0"/>
              <w:rPr>
                <w:sz w:val="20"/>
                <w:szCs w:val="20"/>
                <w:color w:val="auto"/>
              </w:rPr>
            </w:pPr>
            <w:r>
              <w:rPr>
                <w:rFonts w:ascii="Arial" w:cs="Arial" w:eastAsia="Arial" w:hAnsi="Arial"/>
                <w:sz w:val="14"/>
                <w:szCs w:val="14"/>
                <w:color w:val="auto"/>
              </w:rPr>
              <w:t>Class B common stock, $0.0001 par value per share, 111,050,000 shares authorized as of December 31, 2022</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7700" w:type="dxa"/>
            <w:vAlign w:val="bottom"/>
          </w:tcPr>
          <w:p>
            <w:pPr>
              <w:ind w:left="200"/>
              <w:spacing w:after="0"/>
              <w:rPr>
                <w:sz w:val="20"/>
                <w:szCs w:val="20"/>
                <w:color w:val="auto"/>
              </w:rPr>
            </w:pPr>
            <w:r>
              <w:rPr>
                <w:rFonts w:ascii="Arial" w:cs="Arial" w:eastAsia="Arial" w:hAnsi="Arial"/>
                <w:sz w:val="14"/>
                <w:szCs w:val="14"/>
                <w:color w:val="auto"/>
              </w:rPr>
              <w:t>and 2021, respectively; 103,306,842 and 103,388,082 shares issued and outstanding as of December 31, 2022</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700" w:type="dxa"/>
            <w:vAlign w:val="bottom"/>
          </w:tcPr>
          <w:p>
            <w:pPr>
              <w:ind w:left="200"/>
              <w:spacing w:after="0"/>
              <w:rPr>
                <w:sz w:val="20"/>
                <w:szCs w:val="20"/>
                <w:color w:val="auto"/>
              </w:rPr>
            </w:pPr>
            <w:r>
              <w:rPr>
                <w:rFonts w:ascii="Arial" w:cs="Arial" w:eastAsia="Arial" w:hAnsi="Arial"/>
                <w:sz w:val="14"/>
                <w:szCs w:val="14"/>
                <w:color w:val="auto"/>
              </w:rPr>
              <w:t>and 2021, respectively</w:t>
            </w: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r>
      <w:tr>
        <w:trPr>
          <w:trHeight w:val="18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367,767</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356,017</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4"/>
                <w:szCs w:val="14"/>
                <w:color w:val="auto"/>
              </w:rPr>
              <w:t>Accumulated other comprehensive (loss) income</w:t>
            </w:r>
          </w:p>
        </w:tc>
        <w:tc>
          <w:tcPr>
            <w:tcW w:w="240" w:type="dxa"/>
            <w:vAlign w:val="bottom"/>
          </w:tcPr>
          <w:p>
            <w:pPr>
              <w:spacing w:after="0"/>
              <w:rPr>
                <w:sz w:val="16"/>
                <w:szCs w:val="16"/>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(22 )</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r>
      <w:tr>
        <w:trPr>
          <w:trHeight w:val="189"/>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Retained earnings</w:t>
            </w: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29,422</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29,935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00" w:type="dxa"/>
            <w:vAlign w:val="bottom"/>
          </w:tcPr>
          <w:p>
            <w:pPr>
              <w:ind w:left="38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397,179</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386,132</w:t>
            </w:r>
          </w:p>
        </w:tc>
        <w:tc>
          <w:tcPr>
            <w:tcW w:w="100" w:type="dxa"/>
            <w:vAlign w:val="bottom"/>
          </w:tcPr>
          <w:p>
            <w:pPr>
              <w:spacing w:after="0"/>
              <w:rPr>
                <w:sz w:val="15"/>
                <w:szCs w:val="15"/>
                <w:color w:val="auto"/>
              </w:rPr>
            </w:pPr>
          </w:p>
        </w:tc>
      </w:tr>
      <w:tr>
        <w:trPr>
          <w:trHeight w:val="222"/>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461,539</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472,942</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-3484245</wp:posOffset>
            </wp:positionV>
            <wp:extent cx="1241425"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41425" cy="1454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-2499360</wp:posOffset>
            </wp:positionV>
            <wp:extent cx="68580" cy="128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-2499360</wp:posOffset>
            </wp:positionV>
            <wp:extent cx="68580" cy="1282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-1763395</wp:posOffset>
            </wp:positionV>
            <wp:extent cx="68580" cy="1282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-1763395</wp:posOffset>
            </wp:positionV>
            <wp:extent cx="68580" cy="1282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-281940</wp:posOffset>
            </wp:positionV>
            <wp:extent cx="6858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PAYMENTUS HOLDINGS, INC.</w:t>
      </w:r>
    </w:p>
    <w:p>
      <w:pPr>
        <w:jc w:val="center"/>
        <w:spacing w:after="0" w:line="234" w:lineRule="auto"/>
        <w:rPr>
          <w:sz w:val="20"/>
          <w:szCs w:val="20"/>
          <w:color w:val="auto"/>
        </w:rPr>
      </w:pPr>
      <w:r>
        <w:rPr>
          <w:rFonts w:ascii="Arial" w:cs="Arial" w:eastAsia="Arial" w:hAnsi="Arial"/>
          <w:sz w:val="18"/>
          <w:szCs w:val="18"/>
          <w:color w:val="auto"/>
        </w:rPr>
        <w:t>CONSOLIDATED STATEMENTS OF OPERATIONS</w:t>
      </w: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125730</wp:posOffset>
            </wp:positionV>
            <wp:extent cx="68580" cy="2571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25717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182"/>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497,001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395,524</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301,767</w:t>
            </w:r>
          </w:p>
        </w:tc>
        <w:tc>
          <w:tcPr>
            <w:tcW w:w="100" w:type="dxa"/>
            <w:vAlign w:val="bottom"/>
            <w:shd w:val="clear" w:color="auto" w:fill="CFF0FC"/>
          </w:tcPr>
          <w:p>
            <w:pPr>
              <w:spacing w:after="0"/>
              <w:rPr>
                <w:sz w:val="15"/>
                <w:szCs w:val="15"/>
                <w:color w:val="auto"/>
              </w:rPr>
            </w:pPr>
          </w:p>
        </w:tc>
      </w:tr>
      <w:tr>
        <w:trPr>
          <w:trHeight w:val="189"/>
        </w:trPr>
        <w:tc>
          <w:tcPr>
            <w:tcW w:w="66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347,323</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274,144</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209,140</w:t>
            </w:r>
          </w:p>
        </w:tc>
        <w:tc>
          <w:tcPr>
            <w:tcW w:w="100" w:type="dxa"/>
            <w:vAlign w:val="bottom"/>
          </w:tcPr>
          <w:p>
            <w:pPr>
              <w:spacing w:after="0"/>
              <w:rPr>
                <w:sz w:val="16"/>
                <w:szCs w:val="16"/>
                <w:color w:val="auto"/>
              </w:rPr>
            </w:pPr>
          </w:p>
        </w:tc>
      </w:tr>
      <w:tr>
        <w:trPr>
          <w:trHeight w:val="182"/>
        </w:trPr>
        <w:tc>
          <w:tcPr>
            <w:tcW w:w="6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Gross profit</w:t>
            </w: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149,678</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121,380</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92,627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66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41,220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34,122</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24,510</w:t>
            </w:r>
          </w:p>
        </w:tc>
        <w:tc>
          <w:tcPr>
            <w:tcW w:w="100" w:type="dxa"/>
            <w:vAlign w:val="bottom"/>
            <w:shd w:val="clear" w:color="auto" w:fill="CFF0FC"/>
          </w:tcPr>
          <w:p>
            <w:pPr>
              <w:spacing w:after="0"/>
              <w:rPr>
                <w:sz w:val="16"/>
                <w:szCs w:val="16"/>
                <w:color w:val="auto"/>
              </w:rPr>
            </w:pPr>
          </w:p>
        </w:tc>
      </w:tr>
      <w:tr>
        <w:trPr>
          <w:trHeight w:val="189"/>
        </w:trPr>
        <w:tc>
          <w:tcPr>
            <w:tcW w:w="6680" w:type="dxa"/>
            <w:vAlign w:val="bottom"/>
          </w:tcPr>
          <w:p>
            <w:pPr>
              <w:ind w:left="20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73,295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43,917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31,842</w:t>
            </w:r>
          </w:p>
        </w:tc>
        <w:tc>
          <w:tcPr>
            <w:tcW w:w="100" w:type="dxa"/>
            <w:vAlign w:val="bottom"/>
          </w:tcPr>
          <w:p>
            <w:pPr>
              <w:spacing w:after="0"/>
              <w:rPr>
                <w:sz w:val="16"/>
                <w:szCs w:val="16"/>
                <w:color w:val="auto"/>
              </w:rPr>
            </w:pPr>
          </w:p>
        </w:tc>
      </w:tr>
      <w:tr>
        <w:trPr>
          <w:trHeight w:val="189"/>
        </w:trPr>
        <w:tc>
          <w:tcPr>
            <w:tcW w:w="6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38,139</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32,968</w:t>
            </w: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17,847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668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152,654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111,007</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74,199</w:t>
            </w:r>
          </w:p>
        </w:tc>
        <w:tc>
          <w:tcPr>
            <w:tcW w:w="100" w:type="dxa"/>
            <w:vAlign w:val="bottom"/>
          </w:tcPr>
          <w:p>
            <w:pPr>
              <w:spacing w:after="0"/>
              <w:rPr>
                <w:sz w:val="15"/>
                <w:szCs w:val="15"/>
                <w:color w:val="auto"/>
              </w:rPr>
            </w:pPr>
          </w:p>
        </w:tc>
      </w:tr>
      <w:tr>
        <w:trPr>
          <w:trHeight w:val="18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income from operations</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(2,976 )</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10,373</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18,428</w:t>
            </w:r>
          </w:p>
        </w:tc>
        <w:tc>
          <w:tcPr>
            <w:tcW w:w="100" w:type="dxa"/>
            <w:vAlign w:val="bottom"/>
            <w:shd w:val="clear" w:color="auto" w:fill="CFF0FC"/>
          </w:tcPr>
          <w:p>
            <w:pPr>
              <w:spacing w:after="0"/>
              <w:rPr>
                <w:sz w:val="15"/>
                <w:szCs w:val="15"/>
                <w:color w:val="auto"/>
              </w:rPr>
            </w:pPr>
          </w:p>
        </w:tc>
      </w:tr>
      <w:tr>
        <w:trPr>
          <w:trHeight w:val="189"/>
        </w:trPr>
        <w:tc>
          <w:tcPr>
            <w:tcW w:w="6680" w:type="dxa"/>
            <w:vAlign w:val="bottom"/>
          </w:tcPr>
          <w:p>
            <w:pPr>
              <w:ind w:left="20"/>
              <w:spacing w:after="0"/>
              <w:rPr>
                <w:sz w:val="20"/>
                <w:szCs w:val="20"/>
                <w:color w:val="auto"/>
              </w:rPr>
            </w:pPr>
            <w:r>
              <w:rPr>
                <w:rFonts w:ascii="Arial" w:cs="Arial" w:eastAsia="Arial" w:hAnsi="Arial"/>
                <w:sz w:val="14"/>
                <w:szCs w:val="14"/>
                <w:color w:val="auto"/>
              </w:rPr>
              <w:t>Other income (loss)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 (expense), net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1,663</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(6 )</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FF0FC"/>
          </w:tcPr>
          <w:p>
            <w:pPr>
              <w:spacing w:after="0"/>
              <w:rPr>
                <w:sz w:val="16"/>
                <w:szCs w:val="16"/>
                <w:color w:val="auto"/>
              </w:rPr>
            </w:pPr>
          </w:p>
        </w:tc>
      </w:tr>
      <w:tr>
        <w:trPr>
          <w:trHeight w:val="189"/>
        </w:trPr>
        <w:tc>
          <w:tcPr>
            <w:tcW w:w="6680" w:type="dxa"/>
            <w:vAlign w:val="bottom"/>
          </w:tcPr>
          <w:p>
            <w:pPr>
              <w:ind w:left="200"/>
              <w:spacing w:after="0"/>
              <w:rPr>
                <w:sz w:val="20"/>
                <w:szCs w:val="20"/>
                <w:color w:val="auto"/>
              </w:rPr>
            </w:pPr>
            <w:r>
              <w:rPr>
                <w:rFonts w:ascii="Arial" w:cs="Arial" w:eastAsia="Arial" w:hAnsi="Arial"/>
                <w:sz w:val="14"/>
                <w:szCs w:val="14"/>
                <w:color w:val="auto"/>
              </w:rPr>
              <w:t>Foreign exchange gain (loss)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(116 )</w:t>
            </w:r>
          </w:p>
        </w:tc>
      </w:tr>
      <w:tr>
        <w:trPr>
          <w:trHeight w:val="20"/>
        </w:trPr>
        <w:tc>
          <w:tcPr>
            <w:tcW w:w="6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income before income taxes</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(1,308 )</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10,366</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18,364</w:t>
            </w:r>
          </w:p>
        </w:tc>
        <w:tc>
          <w:tcPr>
            <w:tcW w:w="100" w:type="dxa"/>
            <w:vAlign w:val="bottom"/>
            <w:shd w:val="clear" w:color="auto" w:fill="CFF0FC"/>
          </w:tcPr>
          <w:p>
            <w:pPr>
              <w:spacing w:after="0"/>
              <w:rPr>
                <w:sz w:val="15"/>
                <w:szCs w:val="15"/>
                <w:color w:val="auto"/>
              </w:rPr>
            </w:pPr>
          </w:p>
        </w:tc>
      </w:tr>
      <w:tr>
        <w:trPr>
          <w:trHeight w:val="189"/>
        </w:trPr>
        <w:tc>
          <w:tcPr>
            <w:tcW w:w="6680" w:type="dxa"/>
            <w:vAlign w:val="bottom"/>
          </w:tcPr>
          <w:p>
            <w:pPr>
              <w:ind w:left="200"/>
              <w:spacing w:after="0"/>
              <w:rPr>
                <w:sz w:val="20"/>
                <w:szCs w:val="20"/>
                <w:color w:val="auto"/>
              </w:rPr>
            </w:pPr>
            <w:r>
              <w:rPr>
                <w:rFonts w:ascii="Arial" w:cs="Arial" w:eastAsia="Arial" w:hAnsi="Arial"/>
                <w:sz w:val="14"/>
                <w:szCs w:val="14"/>
                <w:color w:val="auto"/>
              </w:rPr>
              <w:t>Benefit from (provision for) income taxes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(1,066 )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(4,653 )</w:t>
            </w:r>
          </w:p>
        </w:tc>
      </w:tr>
      <w:tr>
        <w:trPr>
          <w:trHeight w:val="20"/>
        </w:trPr>
        <w:tc>
          <w:tcPr>
            <w:tcW w:w="6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(loss) income</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(513 )</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13,711</w:t>
            </w:r>
          </w:p>
        </w:tc>
        <w:tc>
          <w:tcPr>
            <w:tcW w:w="100" w:type="dxa"/>
            <w:vAlign w:val="bottom"/>
            <w:shd w:val="clear" w:color="auto" w:fill="CFF0FC"/>
          </w:tcPr>
          <w:p>
            <w:pPr>
              <w:spacing w:after="0"/>
              <w:rPr>
                <w:sz w:val="15"/>
                <w:szCs w:val="15"/>
                <w:color w:val="auto"/>
              </w:rPr>
            </w:pPr>
          </w:p>
        </w:tc>
      </w:tr>
      <w:tr>
        <w:trPr>
          <w:trHeight w:val="189"/>
        </w:trPr>
        <w:tc>
          <w:tcPr>
            <w:tcW w:w="6680" w:type="dxa"/>
            <w:vAlign w:val="bottom"/>
          </w:tcPr>
          <w:p>
            <w:pPr>
              <w:ind w:left="380"/>
              <w:spacing w:after="0"/>
              <w:rPr>
                <w:sz w:val="20"/>
                <w:szCs w:val="20"/>
                <w:color w:val="auto"/>
              </w:rPr>
            </w:pPr>
            <w:r>
              <w:rPr>
                <w:rFonts w:ascii="Arial" w:cs="Arial" w:eastAsia="Arial" w:hAnsi="Arial"/>
                <w:sz w:val="14"/>
                <w:szCs w:val="14"/>
                <w:color w:val="auto"/>
              </w:rPr>
              <w:t>Undeclared dividends on Series A preferred stock</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(2,258 )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(5,186 )</w:t>
            </w:r>
          </w:p>
        </w:tc>
      </w:tr>
      <w:tr>
        <w:trPr>
          <w:trHeight w:val="20"/>
        </w:trPr>
        <w:tc>
          <w:tcPr>
            <w:tcW w:w="6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(loss) income attributable to common stock</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(513 )</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8,525</w:t>
            </w:r>
          </w:p>
        </w:tc>
        <w:tc>
          <w:tcPr>
            <w:tcW w:w="100" w:type="dxa"/>
            <w:vAlign w:val="bottom"/>
            <w:shd w:val="clear" w:color="auto" w:fill="CFF0FC"/>
          </w:tcPr>
          <w:p>
            <w:pPr>
              <w:spacing w:after="0"/>
              <w:rPr>
                <w:sz w:val="19"/>
                <w:szCs w:val="19"/>
                <w:color w:val="auto"/>
              </w:rPr>
            </w:pPr>
          </w:p>
        </w:tc>
      </w:tr>
      <w:tr>
        <w:trPr>
          <w:trHeight w:val="169"/>
        </w:trPr>
        <w:tc>
          <w:tcPr>
            <w:tcW w:w="668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Net (loss) income per share attributable to common stock</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0.06</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FF0FC"/>
          </w:tcPr>
          <w:p>
            <w:pPr>
              <w:spacing w:after="0"/>
              <w:rPr>
                <w:sz w:val="16"/>
                <w:szCs w:val="16"/>
                <w:color w:val="auto"/>
              </w:rPr>
            </w:pPr>
          </w:p>
        </w:tc>
      </w:tr>
      <w:tr>
        <w:trPr>
          <w:trHeight w:val="189"/>
        </w:trPr>
        <w:tc>
          <w:tcPr>
            <w:tcW w:w="6680" w:type="dxa"/>
            <w:vAlign w:val="bottom"/>
          </w:tcPr>
          <w:p>
            <w:pPr>
              <w:ind w:left="380"/>
              <w:spacing w:after="0"/>
              <w:rPr>
                <w:sz w:val="20"/>
                <w:szCs w:val="20"/>
                <w:color w:val="auto"/>
              </w:rPr>
            </w:pPr>
            <w:r>
              <w:rPr>
                <w:rFonts w:ascii="Arial" w:cs="Arial" w:eastAsia="Arial" w:hAnsi="Arial"/>
                <w:sz w:val="14"/>
                <w:szCs w:val="14"/>
                <w:color w:val="auto"/>
              </w:rPr>
              <w:t>Diluted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0.06</w:t>
            </w:r>
          </w:p>
        </w:tc>
        <w:tc>
          <w:tcPr>
            <w:tcW w:w="2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6"/>
                <w:szCs w:val="16"/>
                <w:color w:val="auto"/>
              </w:rPr>
            </w:pPr>
          </w:p>
        </w:tc>
      </w:tr>
      <w:tr>
        <w:trPr>
          <w:trHeight w:val="180"/>
        </w:trPr>
        <w:tc>
          <w:tcPr>
            <w:tcW w:w="6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Weighted-average number of shares used to compute net (loss) income per share attributable to</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1"/>
        </w:trPr>
        <w:tc>
          <w:tcPr>
            <w:tcW w:w="6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common stock</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80" w:type="dxa"/>
            <w:vAlign w:val="bottom"/>
          </w:tcPr>
          <w:p>
            <w:pPr>
              <w:ind w:left="38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122,099,437</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112,763,261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103,479,239</w:t>
            </w: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122,099,437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118,821,925</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106,207,883</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-2953385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-2953385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-2576830</wp:posOffset>
            </wp:positionV>
            <wp:extent cx="76835" cy="128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-2576830</wp:posOffset>
            </wp:positionV>
            <wp:extent cx="68580" cy="1282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-2576830</wp:posOffset>
            </wp:positionV>
            <wp:extent cx="68580" cy="128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-2088515</wp:posOffset>
            </wp:positionV>
            <wp:extent cx="76835"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-2088515</wp:posOffset>
            </wp:positionV>
            <wp:extent cx="6858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-2088515</wp:posOffset>
            </wp:positionV>
            <wp:extent cx="6858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-847090</wp:posOffset>
            </wp:positionV>
            <wp:extent cx="205486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54860" cy="145415"/>
                    </a:xfrm>
                    <a:prstGeom prst="rect">
                      <a:avLst/>
                    </a:prstGeom>
                    <a:noFill/>
                  </pic:spPr>
                </pic:pic>
              </a:graphicData>
            </a:graphic>
          </wp:anchor>
        </w:drawing>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PAYMENTUS HOLDINGS, INC.</w:t>
      </w:r>
    </w:p>
    <w:p>
      <w:pPr>
        <w:jc w:val="center"/>
        <w:spacing w:after="0" w:line="234" w:lineRule="auto"/>
        <w:rPr>
          <w:sz w:val="20"/>
          <w:szCs w:val="20"/>
          <w:color w:val="auto"/>
        </w:rPr>
      </w:pPr>
      <w:r>
        <w:rPr>
          <w:rFonts w:ascii="Arial" w:cs="Arial" w:eastAsia="Arial" w:hAnsi="Arial"/>
          <w:sz w:val="18"/>
          <w:szCs w:val="18"/>
          <w:color w:val="auto"/>
        </w:rPr>
        <w:t>CONSOLIDATED STATEMENTS OF COMPREHENSIVE (LOSS) INCOME</w:t>
      </w:r>
    </w:p>
    <w:p>
      <w:pPr>
        <w:jc w:val="cente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23"/>
        </w:trPr>
        <w:tc>
          <w:tcPr>
            <w:tcW w:w="6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income</w:t>
            </w:r>
          </w:p>
        </w:tc>
        <w:tc>
          <w:tcPr>
            <w:tcW w:w="120" w:type="dxa"/>
            <w:vAlign w:val="bottom"/>
          </w:tcPr>
          <w:p>
            <w:pPr>
              <w:spacing w:after="0"/>
              <w:rPr>
                <w:sz w:val="19"/>
                <w:szCs w:val="19"/>
                <w:color w:val="auto"/>
              </w:rPr>
            </w:pPr>
          </w:p>
        </w:tc>
        <w:tc>
          <w:tcPr>
            <w:tcW w:w="980" w:type="dxa"/>
            <w:vAlign w:val="bottom"/>
            <w:shd w:val="clear" w:color="auto" w:fill="CFF0FC"/>
          </w:tcPr>
          <w:p>
            <w:pPr>
              <w:jc w:val="right"/>
              <w:ind w:right="802"/>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(513 )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13,711</w:t>
            </w:r>
          </w:p>
        </w:tc>
        <w:tc>
          <w:tcPr>
            <w:tcW w:w="100" w:type="dxa"/>
            <w:vAlign w:val="bottom"/>
            <w:shd w:val="clear" w:color="auto" w:fill="CFF0FC"/>
          </w:tcPr>
          <w:p>
            <w:pPr>
              <w:spacing w:after="0"/>
              <w:rPr>
                <w:sz w:val="19"/>
                <w:szCs w:val="19"/>
                <w:color w:val="auto"/>
              </w:rPr>
            </w:pPr>
          </w:p>
        </w:tc>
      </w:tr>
      <w:tr>
        <w:trPr>
          <w:trHeight w:val="226"/>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6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 adjustments, net of tax</w:t>
            </w:r>
          </w:p>
        </w:tc>
        <w:tc>
          <w:tcPr>
            <w:tcW w:w="120" w:type="dxa"/>
            <w:vAlign w:val="bottom"/>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(190 )</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(48 )</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9"/>
                <w:szCs w:val="19"/>
                <w:color w:val="auto"/>
              </w:rPr>
            </w:pPr>
          </w:p>
        </w:tc>
      </w:tr>
      <w:tr>
        <w:trPr>
          <w:trHeight w:val="20"/>
        </w:trPr>
        <w:tc>
          <w:tcPr>
            <w:tcW w:w="688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880" w:type="dxa"/>
            <w:vAlign w:val="bottom"/>
          </w:tcPr>
          <w:p>
            <w:pPr>
              <w:ind w:left="380"/>
              <w:spacing w:after="0"/>
              <w:rPr>
                <w:sz w:val="20"/>
                <w:szCs w:val="20"/>
                <w:color w:val="auto"/>
              </w:rPr>
            </w:pPr>
            <w:r>
              <w:rPr>
                <w:rFonts w:ascii="Arial" w:cs="Arial" w:eastAsia="Arial" w:hAnsi="Arial"/>
                <w:sz w:val="16"/>
                <w:szCs w:val="16"/>
                <w:color w:val="auto"/>
              </w:rPr>
              <w:t>Comprehensive (loss) income</w:t>
            </w:r>
          </w:p>
        </w:tc>
        <w:tc>
          <w:tcPr>
            <w:tcW w:w="120" w:type="dxa"/>
            <w:vAlign w:val="bottom"/>
          </w:tcPr>
          <w:p>
            <w:pPr>
              <w:spacing w:after="0"/>
              <w:rPr>
                <w:sz w:val="18"/>
                <w:szCs w:val="18"/>
                <w:color w:val="auto"/>
              </w:rPr>
            </w:pP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(703 )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9,252</w:t>
            </w:r>
          </w:p>
        </w:tc>
        <w:tc>
          <w:tcPr>
            <w:tcW w:w="2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13,778</w:t>
            </w:r>
          </w:p>
        </w:tc>
        <w:tc>
          <w:tcPr>
            <w:tcW w:w="10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-170815</wp:posOffset>
            </wp:positionV>
            <wp:extent cx="7683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-170815</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PAYMENTUS HOLDINGS, INC.</w:t>
      </w:r>
    </w:p>
    <w:p>
      <w:pPr>
        <w:jc w:val="center"/>
        <w:spacing w:after="0" w:line="234" w:lineRule="auto"/>
        <w:rPr>
          <w:sz w:val="20"/>
          <w:szCs w:val="20"/>
          <w:color w:val="auto"/>
        </w:rPr>
      </w:pPr>
      <w:r>
        <w:rPr>
          <w:rFonts w:ascii="Arial" w:cs="Arial" w:eastAsia="Arial" w:hAnsi="Arial"/>
          <w:sz w:val="18"/>
          <w:szCs w:val="18"/>
          <w:color w:val="auto"/>
        </w:rPr>
        <w:t>CONSOLIDATED STATEMENTS OF STOCKHOLDERS’ EQUITY</w:t>
      </w:r>
    </w:p>
    <w:p>
      <w:pPr>
        <w:jc w:val="center"/>
        <w:spacing w:after="0"/>
        <w:rPr>
          <w:sz w:val="20"/>
          <w:szCs w:val="20"/>
          <w:color w:val="auto"/>
        </w:rPr>
      </w:pPr>
      <w:r>
        <w:rPr>
          <w:rFonts w:ascii="Arial" w:cs="Arial" w:eastAsia="Arial" w:hAnsi="Arial"/>
          <w:sz w:val="18"/>
          <w:szCs w:val="18"/>
          <w:color w:val="auto"/>
        </w:rPr>
        <w:t>(In thousands, except share amounts)</w:t>
      </w:r>
    </w:p>
    <w:tbl>
      <w:tblPr>
        <w:tblLayout w:type="fixed"/>
        <w:tblInd w:w="0" w:type="dxa"/>
        <w:tblCellMar>
          <w:top w:w="0" w:type="dxa"/>
          <w:left w:w="0" w:type="dxa"/>
          <w:bottom w:w="0" w:type="dxa"/>
          <w:right w:w="0" w:type="dxa"/>
        </w:tblCellMar>
      </w:tblPr>
      <w:tr>
        <w:trPr>
          <w:trHeight w:val="158"/>
        </w:trPr>
        <w:tc>
          <w:tcPr>
            <w:tcW w:w="3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Addition</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94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rPr>
              <w:t>Series A</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2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Pr>
          <w:p>
            <w:pPr>
              <w:spacing w:after="0"/>
              <w:rPr>
                <w:sz w:val="14"/>
                <w:szCs w:val="14"/>
                <w:color w:val="auto"/>
              </w:rPr>
            </w:pPr>
          </w:p>
        </w:tc>
        <w:tc>
          <w:tcPr>
            <w:tcW w:w="1580" w:type="dxa"/>
            <w:vAlign w:val="bottom"/>
            <w:gridSpan w:val="4"/>
            <w:vMerge w:val="restart"/>
          </w:tcPr>
          <w:p>
            <w:pPr>
              <w:jc w:val="right"/>
              <w:ind w:right="18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Treasur</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Stockholde</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126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5"/>
                <w:szCs w:val="15"/>
                <w:color w:val="auto"/>
              </w:rPr>
            </w:pPr>
          </w:p>
        </w:tc>
        <w:tc>
          <w:tcPr>
            <w:tcW w:w="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20"/>
                <w:szCs w:val="20"/>
                <w:color w:val="auto"/>
              </w:rPr>
            </w:pPr>
            <w:r>
              <w:rPr>
                <w:rFonts w:ascii="Arial" w:cs="Arial" w:eastAsia="Arial" w:hAnsi="Arial"/>
                <w:sz w:val="14"/>
                <w:szCs w:val="14"/>
                <w:b w:val="1"/>
                <w:bCs w:val="1"/>
                <w:color w:val="auto"/>
              </w:rPr>
              <w:t>rs’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Amou</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Amoun</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nt</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w:t>
            </w:r>
          </w:p>
        </w:tc>
        <w:tc>
          <w:tcPr>
            <w:tcW w:w="100" w:type="dxa"/>
            <w:vAlign w:val="bottom"/>
          </w:tcPr>
          <w:p>
            <w:pPr>
              <w:spacing w:after="0"/>
              <w:rPr>
                <w:sz w:val="16"/>
                <w:szCs w:val="16"/>
                <w:color w:val="auto"/>
              </w:rPr>
            </w:pPr>
          </w:p>
        </w:tc>
        <w:tc>
          <w:tcPr>
            <w:tcW w:w="6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5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103,479,2</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6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23,013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27,181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(579 )</w:t>
            </w: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41,336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Stock-based compensation</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1,994</w:t>
            </w:r>
          </w:p>
        </w:tc>
        <w:tc>
          <w:tcPr>
            <w:tcW w:w="1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Related party loan receivable</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13,711</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13,711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103,479,2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23,013</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ind w:left="1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3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29,175</w:t>
            </w:r>
          </w:p>
        </w:tc>
        <w:tc>
          <w:tcPr>
            <w:tcW w:w="14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(579 )</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55,047</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216</w:t>
            </w:r>
          </w:p>
        </w:tc>
        <w:tc>
          <w:tcPr>
            <w:tcW w:w="14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84,376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Class A common stock in connection with</w:t>
            </w: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initial public offering and private placement, net of</w:t>
            </w: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offering costs, underwriting discounts and</w:t>
            </w: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13,880,95</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272,63</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commissions</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ind w:left="160"/>
              <w:spacing w:after="0"/>
              <w:rPr>
                <w:sz w:val="20"/>
                <w:szCs w:val="20"/>
                <w:color w:val="auto"/>
              </w:rPr>
            </w:pPr>
            <w:r>
              <w:rPr>
                <w:rFonts w:ascii="Arial" w:cs="Arial" w:eastAsia="Arial" w:hAnsi="Arial"/>
                <w:sz w:val="14"/>
                <w:szCs w:val="14"/>
                <w:color w:val="auto"/>
                <w:w w:val="9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272,634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rPr>
                <w:sz w:val="20"/>
                <w:szCs w:val="20"/>
                <w:color w:val="auto"/>
              </w:rPr>
            </w:pPr>
            <w:r>
              <w:rPr>
                <w:rFonts w:ascii="Arial" w:cs="Arial" w:eastAsia="Arial" w:hAnsi="Arial"/>
                <w:sz w:val="14"/>
                <w:szCs w:val="14"/>
                <w:color w:val="auto"/>
              </w:rPr>
              <w:t>Conversion of common stock to Class B common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Pr>
          <w:p>
            <w:pPr>
              <w:ind w:left="20"/>
              <w:spacing w:after="0"/>
              <w:rPr>
                <w:sz w:val="20"/>
                <w:szCs w:val="20"/>
                <w:color w:val="auto"/>
              </w:rPr>
            </w:pPr>
            <w:r>
              <w:rPr>
                <w:rFonts w:ascii="Arial" w:cs="Arial" w:eastAsia="Arial" w:hAnsi="Arial"/>
                <w:sz w:val="14"/>
                <w:szCs w:val="14"/>
                <w:color w:val="auto"/>
              </w:rPr>
              <w:t>stock in connection with initial public offering</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(506 )</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Redemption of Series A preferred stock in connection</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(23,01</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with initial public offering</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3 )</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(23,013 )</w:t>
            </w:r>
          </w:p>
        </w:tc>
        <w:tc>
          <w:tcPr>
            <w:tcW w:w="1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(34,412 )</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(57,425 )</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4"/>
                <w:szCs w:val="14"/>
                <w:color w:val="auto"/>
              </w:rPr>
              <w:t>Issuance of warrant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Retirement of treasury stock in connection with initial</w:t>
            </w: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public offering</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(579 )</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4"/>
                <w:szCs w:val="14"/>
                <w:color w:val="auto"/>
              </w:rPr>
              <w:t>Issuance of Class A common stock for acquisitions</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2,655,252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68,229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Class A common stock for stock option</w:t>
            </w: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exercises</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ind w:left="160"/>
              <w:spacing w:after="0"/>
              <w:rPr>
                <w:sz w:val="20"/>
                <w:szCs w:val="20"/>
                <w:color w:val="auto"/>
              </w:rPr>
            </w:pPr>
            <w:r>
              <w:rPr>
                <w:rFonts w:ascii="Arial" w:cs="Arial" w:eastAsia="Arial" w:hAnsi="Arial"/>
                <w:sz w:val="14"/>
                <w:szCs w:val="14"/>
                <w:color w:val="auto"/>
                <w:w w:val="9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616,220</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rPr>
                <w:sz w:val="20"/>
                <w:szCs w:val="20"/>
                <w:color w:val="auto"/>
              </w:rPr>
            </w:pPr>
            <w:r>
              <w:rPr>
                <w:rFonts w:ascii="Arial" w:cs="Arial" w:eastAsia="Arial" w:hAnsi="Arial"/>
                <w:sz w:val="14"/>
                <w:szCs w:val="14"/>
                <w:color w:val="auto"/>
              </w:rPr>
              <w:t>Issuance of Class B common stock for stock option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Pr>
          <w:p>
            <w:pPr>
              <w:ind w:left="20"/>
              <w:spacing w:after="0"/>
              <w:rPr>
                <w:sz w:val="20"/>
                <w:szCs w:val="20"/>
                <w:color w:val="auto"/>
              </w:rPr>
            </w:pPr>
            <w:r>
              <w:rPr>
                <w:rFonts w:ascii="Arial" w:cs="Arial" w:eastAsia="Arial" w:hAnsi="Arial"/>
                <w:sz w:val="14"/>
                <w:szCs w:val="14"/>
                <w:color w:val="auto"/>
              </w:rPr>
              <w:t>exercises</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7,500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4"/>
                <w:szCs w:val="14"/>
                <w:color w:val="auto"/>
              </w:rPr>
              <w:t>Repayment of related party loan receivable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(48 )</w:t>
            </w: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December 31, 2021</w:t>
            </w: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120,639,1</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356,01</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6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29,935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386,132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20"/>
              <w:spacing w:after="0"/>
              <w:rPr>
                <w:sz w:val="20"/>
                <w:szCs w:val="20"/>
                <w:color w:val="auto"/>
              </w:rPr>
            </w:pPr>
            <w:r>
              <w:rPr>
                <w:rFonts w:ascii="Arial" w:cs="Arial" w:eastAsia="Arial" w:hAnsi="Arial"/>
                <w:sz w:val="14"/>
                <w:szCs w:val="14"/>
                <w:color w:val="auto"/>
              </w:rPr>
              <w:t>Issuance of warrant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3,478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 in estimate of warrants expected to vest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rPr>
                <w:sz w:val="20"/>
                <w:szCs w:val="20"/>
                <w:color w:val="auto"/>
              </w:rPr>
            </w:pPr>
            <w:r>
              <w:rPr>
                <w:rFonts w:ascii="Arial" w:cs="Arial" w:eastAsia="Arial" w:hAnsi="Arial"/>
                <w:sz w:val="14"/>
                <w:szCs w:val="14"/>
                <w:color w:val="auto"/>
              </w:rPr>
              <w:t>Issuance of Class A common stock for stock-based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Pr>
          <w:p>
            <w:pPr>
              <w:ind w:left="20"/>
              <w:spacing w:after="0"/>
              <w:rPr>
                <w:sz w:val="20"/>
                <w:szCs w:val="20"/>
                <w:color w:val="auto"/>
              </w:rPr>
            </w:pPr>
            <w:r>
              <w:rPr>
                <w:rFonts w:ascii="Arial" w:cs="Arial" w:eastAsia="Arial" w:hAnsi="Arial"/>
                <w:sz w:val="14"/>
                <w:szCs w:val="14"/>
                <w:color w:val="auto"/>
              </w:rPr>
              <w:t>awards</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2,602,012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1,490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(190 )</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(190 )</w:t>
            </w:r>
          </w:p>
        </w:tc>
        <w:tc>
          <w:tcPr>
            <w:tcW w:w="0" w:type="dxa"/>
            <w:vAlign w:val="bottom"/>
          </w:tcPr>
          <w:p>
            <w:pPr>
              <w:spacing w:after="0"/>
              <w:rPr>
                <w:sz w:val="1"/>
                <w:szCs w:val="1"/>
                <w:color w:val="auto"/>
              </w:rPr>
            </w:pPr>
          </w:p>
        </w:tc>
      </w:tr>
      <w:tr>
        <w:trPr>
          <w:trHeight w:val="202"/>
        </w:trPr>
        <w:tc>
          <w:tcPr>
            <w:tcW w:w="3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ind w:lef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(513 )</w:t>
            </w: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(513 )</w:t>
            </w:r>
          </w:p>
        </w:tc>
        <w:tc>
          <w:tcPr>
            <w:tcW w:w="0" w:type="dxa"/>
            <w:vAlign w:val="bottom"/>
          </w:tcPr>
          <w:p>
            <w:pPr>
              <w:spacing w:after="0"/>
              <w:rPr>
                <w:sz w:val="1"/>
                <w:szCs w:val="1"/>
                <w:color w:val="auto"/>
              </w:rPr>
            </w:pPr>
          </w:p>
        </w:tc>
      </w:tr>
      <w:tr>
        <w:trPr>
          <w:trHeight w:val="174"/>
        </w:trPr>
        <w:tc>
          <w:tcPr>
            <w:tcW w:w="360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Balances at December 31, 2022</w:t>
            </w: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123,241,1</w:t>
            </w:r>
          </w:p>
        </w:tc>
        <w:tc>
          <w:tcPr>
            <w:tcW w:w="16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367,76</w:t>
            </w:r>
          </w:p>
        </w:tc>
        <w:tc>
          <w:tcPr>
            <w:tcW w:w="1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ind w:left="16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73</w:t>
            </w:r>
          </w:p>
        </w:tc>
        <w:tc>
          <w:tcPr>
            <w:tcW w:w="3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29,422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(22 )</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397,179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-4588510</wp:posOffset>
            </wp:positionV>
            <wp:extent cx="4460875"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460875" cy="162560"/>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-4023995</wp:posOffset>
            </wp:positionV>
            <wp:extent cx="76835" cy="257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-4023995</wp:posOffset>
            </wp:positionV>
            <wp:extent cx="76835" cy="257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-4023995</wp:posOffset>
            </wp:positionV>
            <wp:extent cx="76835" cy="2571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-4023995</wp:posOffset>
            </wp:positionV>
            <wp:extent cx="68580" cy="2571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-4023995</wp:posOffset>
            </wp:positionV>
            <wp:extent cx="68580" cy="2571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-4023995</wp:posOffset>
            </wp:positionV>
            <wp:extent cx="68580" cy="257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-4023995</wp:posOffset>
            </wp:positionV>
            <wp:extent cx="68580" cy="2571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-4023995</wp:posOffset>
            </wp:positionV>
            <wp:extent cx="68580" cy="257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-4023995</wp:posOffset>
            </wp:positionV>
            <wp:extent cx="68580" cy="2571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-1181100</wp:posOffset>
            </wp:positionV>
            <wp:extent cx="4460875"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460875" cy="162560"/>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-256540</wp:posOffset>
            </wp:positionV>
            <wp:extent cx="76835" cy="393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393700"/>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-256540</wp:posOffset>
            </wp:positionV>
            <wp:extent cx="76835" cy="393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39370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-256540</wp:posOffset>
            </wp:positionV>
            <wp:extent cx="76835" cy="393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393700"/>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-256540</wp:posOffset>
            </wp:positionV>
            <wp:extent cx="68580" cy="393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393700"/>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-256540</wp:posOffset>
            </wp:positionV>
            <wp:extent cx="68580" cy="393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39370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-256540</wp:posOffset>
            </wp:positionV>
            <wp:extent cx="68580" cy="393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39370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-256540</wp:posOffset>
            </wp:positionV>
            <wp:extent cx="68580" cy="393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39370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-256540</wp:posOffset>
            </wp:positionV>
            <wp:extent cx="68580" cy="393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3937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393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393700"/>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PAYMENTUS HOLDINGS, INC.</w:t>
      </w:r>
    </w:p>
    <w:p>
      <w:pPr>
        <w:jc w:val="center"/>
        <w:spacing w:after="0" w:line="234" w:lineRule="auto"/>
        <w:rPr>
          <w:sz w:val="20"/>
          <w:szCs w:val="20"/>
          <w:color w:val="auto"/>
        </w:rPr>
      </w:pPr>
      <w:r>
        <w:rPr>
          <w:rFonts w:ascii="Arial" w:cs="Arial" w:eastAsia="Arial" w:hAnsi="Arial"/>
          <w:sz w:val="18"/>
          <w:szCs w:val="18"/>
          <w:color w:val="auto"/>
        </w:rPr>
        <w:t>CONSOLIDATED STATEMENTS OF CASH FLOWS</w:t>
      </w:r>
    </w:p>
    <w:p>
      <w:pPr>
        <w:jc w:val="center"/>
        <w:spacing w:after="0"/>
        <w:rPr>
          <w:sz w:val="20"/>
          <w:szCs w:val="20"/>
          <w:color w:val="auto"/>
        </w:rPr>
      </w:pPr>
      <w:r>
        <w:rPr>
          <w:rFonts w:ascii="Arial" w:cs="Arial" w:eastAsia="Arial" w:hAnsi="Arial"/>
          <w:sz w:val="18"/>
          <w:szCs w:val="18"/>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6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280" w:type="dxa"/>
            <w:vAlign w:val="bottom"/>
            <w:gridSpan w:val="2"/>
          </w:tcPr>
          <w:p>
            <w:pPr>
              <w:jc w:val="right"/>
              <w:ind w:right="108"/>
              <w:spacing w:after="0"/>
              <w:rPr>
                <w:sz w:val="20"/>
                <w:szCs w:val="20"/>
                <w:color w:val="auto"/>
              </w:rPr>
            </w:pPr>
            <w:r>
              <w:rPr>
                <w:rFonts w:ascii="Arial" w:cs="Arial" w:eastAsia="Arial" w:hAnsi="Arial"/>
                <w:sz w:val="15"/>
                <w:szCs w:val="15"/>
                <w:color w:val="auto"/>
              </w:rPr>
              <w:t>(513 )</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9,300</w:t>
            </w:r>
          </w:p>
        </w:tc>
        <w:tc>
          <w:tcPr>
            <w:tcW w:w="26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13,711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660" w:type="dxa"/>
            <w:vAlign w:val="bottom"/>
            <w:shd w:val="clear" w:color="auto" w:fill="CFF0FC"/>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activities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24,063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13,295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8,069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Deferred income taxes</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5"/>
                <w:szCs w:val="15"/>
                <w:color w:val="auto"/>
              </w:rPr>
              <w:t>(2,981 )</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(660 )</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Stock-based compensation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6,736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3,136</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Non-cash lease expense</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2,135</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2,497</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Amortization of contract asset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2,058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669</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Provision for credit losses</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268</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Change in operating assets and liabilities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and other receivables</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5"/>
                <w:szCs w:val="15"/>
                <w:color w:val="auto"/>
              </w:rPr>
              <w:t>(24,287 )</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(14,736 )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(8,689 )</w:t>
            </w:r>
          </w:p>
        </w:tc>
        <w:tc>
          <w:tcPr>
            <w:tcW w:w="0" w:type="dxa"/>
            <w:vAlign w:val="bottom"/>
          </w:tcPr>
          <w:p>
            <w:pPr>
              <w:spacing w:after="0"/>
              <w:rPr>
                <w:sz w:val="1"/>
                <w:szCs w:val="1"/>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5"/>
                <w:szCs w:val="15"/>
                <w:color w:val="auto"/>
              </w:rPr>
              <w:t>Prepaid expenses and other current and long-term assets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1,211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1,346</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4,766</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7,380</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14,636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5"/>
                <w:szCs w:val="15"/>
                <w:color w:val="auto"/>
              </w:rPr>
              <w:t>Accrued liabilities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3,400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(44 )</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5"/>
                <w:szCs w:val="15"/>
                <w:color w:val="auto"/>
              </w:rPr>
              <w:t>Operating lease liabilities</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5"/>
                <w:szCs w:val="15"/>
                <w:color w:val="auto"/>
              </w:rPr>
              <w:t>(1,832 )</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(2,443 )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(2,641 )</w:t>
            </w:r>
          </w:p>
        </w:tc>
        <w:tc>
          <w:tcPr>
            <w:tcW w:w="0" w:type="dxa"/>
            <w:vAlign w:val="bottom"/>
          </w:tcPr>
          <w:p>
            <w:pPr>
              <w:spacing w:after="0"/>
              <w:rPr>
                <w:sz w:val="1"/>
                <w:szCs w:val="1"/>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5"/>
                <w:szCs w:val="15"/>
                <w:color w:val="auto"/>
              </w:rPr>
              <w:t>Contract liabilities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3,299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474</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5"/>
                <w:szCs w:val="15"/>
                <w:color w:val="auto"/>
              </w:rPr>
              <w:t>Income taxes receivable, net of payable</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1,544</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(827 )</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60" w:type="dxa"/>
            <w:vAlign w:val="bottom"/>
            <w:tcBorders>
              <w:top w:val="single" w:sz="8" w:color="CFF0FC"/>
            </w:tcBorders>
          </w:tcPr>
          <w:p>
            <w:pPr>
              <w:ind w:left="38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19,867</w:t>
            </w:r>
          </w:p>
        </w:tc>
        <w:tc>
          <w:tcPr>
            <w:tcW w:w="24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19,493</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35,620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6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Business combinations, net of cash and restricted cash acquired</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5"/>
                <w:szCs w:val="15"/>
                <w:color w:val="auto"/>
              </w:rPr>
              <w:t>(3,260 )</w:t>
            </w:r>
          </w:p>
        </w:tc>
        <w:tc>
          <w:tcPr>
            <w:tcW w:w="30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(57,400 )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(290 )</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Other intangible assets acquired</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5"/>
                <w:szCs w:val="15"/>
                <w:color w:val="auto"/>
              </w:rPr>
              <w:t>(280 )</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(130 )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Purchases of property and equipment</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5"/>
                <w:szCs w:val="15"/>
                <w:color w:val="auto"/>
              </w:rPr>
              <w:t>(1,257 )</w:t>
            </w:r>
          </w:p>
        </w:tc>
        <w:tc>
          <w:tcPr>
            <w:tcW w:w="30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(979 )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(458 )</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Capitalized internal-use software development costs</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5"/>
                <w:szCs w:val="15"/>
                <w:color w:val="auto"/>
              </w:rPr>
              <w:t>(29,763 )</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(19,300 )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(14,389 )</w:t>
            </w:r>
          </w:p>
        </w:tc>
        <w:tc>
          <w:tcPr>
            <w:tcW w:w="0" w:type="dxa"/>
            <w:vAlign w:val="bottom"/>
          </w:tcPr>
          <w:p>
            <w:pPr>
              <w:spacing w:after="0"/>
              <w:rPr>
                <w:sz w:val="1"/>
                <w:szCs w:val="1"/>
                <w:color w:val="auto"/>
              </w:rPr>
            </w:pPr>
          </w:p>
        </w:tc>
      </w:tr>
      <w:tr>
        <w:trPr>
          <w:trHeight w:val="20"/>
        </w:trPr>
        <w:tc>
          <w:tcPr>
            <w:tcW w:w="6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60" w:type="dxa"/>
            <w:vAlign w:val="bottom"/>
          </w:tcPr>
          <w:p>
            <w:pPr>
              <w:ind w:left="380"/>
              <w:spacing w:after="0"/>
              <w:rPr>
                <w:sz w:val="20"/>
                <w:szCs w:val="20"/>
                <w:color w:val="auto"/>
              </w:rPr>
            </w:pPr>
            <w:r>
              <w:rPr>
                <w:rFonts w:ascii="Arial" w:cs="Arial" w:eastAsia="Arial" w:hAnsi="Arial"/>
                <w:sz w:val="15"/>
                <w:szCs w:val="15"/>
                <w:color w:val="auto"/>
              </w:rPr>
              <w:t>Net cash used in investing activities</w:t>
            </w:r>
          </w:p>
        </w:tc>
        <w:tc>
          <w:tcPr>
            <w:tcW w:w="300" w:type="dxa"/>
            <w:vAlign w:val="bottom"/>
          </w:tcPr>
          <w:p>
            <w:pPr>
              <w:spacing w:after="0"/>
              <w:rPr>
                <w:sz w:val="15"/>
                <w:szCs w:val="15"/>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5"/>
                <w:szCs w:val="15"/>
                <w:color w:val="auto"/>
              </w:rPr>
              <w:t>(34,560 )</w:t>
            </w:r>
          </w:p>
        </w:tc>
        <w:tc>
          <w:tcPr>
            <w:tcW w:w="3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(77,809 )</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(15,137 )</w:t>
            </w:r>
          </w:p>
        </w:tc>
        <w:tc>
          <w:tcPr>
            <w:tcW w:w="0" w:type="dxa"/>
            <w:vAlign w:val="bottom"/>
          </w:tcPr>
          <w:p>
            <w:pPr>
              <w:spacing w:after="0"/>
              <w:rPr>
                <w:sz w:val="1"/>
                <w:szCs w:val="1"/>
                <w:color w:val="auto"/>
              </w:rPr>
            </w:pPr>
          </w:p>
        </w:tc>
      </w:tr>
      <w:tr>
        <w:trPr>
          <w:trHeight w:val="182"/>
        </w:trPr>
        <w:tc>
          <w:tcPr>
            <w:tcW w:w="666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Proceeds from initial public offering, net of underwriter's discounts and commissions</w:t>
            </w:r>
          </w:p>
        </w:tc>
        <w:tc>
          <w:tcPr>
            <w:tcW w:w="300" w:type="dxa"/>
            <w:vAlign w:val="bottom"/>
          </w:tcPr>
          <w:p>
            <w:pPr>
              <w:spacing w:after="0"/>
              <w:rPr>
                <w:sz w:val="16"/>
                <w:szCs w:val="16"/>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224,595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private placement</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8"/>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50,000</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Redemption of Series A preferred stock</w:t>
            </w:r>
          </w:p>
        </w:tc>
        <w:tc>
          <w:tcPr>
            <w:tcW w:w="300" w:type="dxa"/>
            <w:vAlign w:val="bottom"/>
          </w:tcPr>
          <w:p>
            <w:pPr>
              <w:spacing w:after="0"/>
              <w:rPr>
                <w:sz w:val="16"/>
                <w:szCs w:val="16"/>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(23,013 )</w:t>
            </w: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 of dividends on Series A preferred stock</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8"/>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(34,412 )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Proceeds from repayment of related party loan</w:t>
            </w:r>
          </w:p>
        </w:tc>
        <w:tc>
          <w:tcPr>
            <w:tcW w:w="300" w:type="dxa"/>
            <w:vAlign w:val="bottom"/>
          </w:tcPr>
          <w:p>
            <w:pPr>
              <w:spacing w:after="0"/>
              <w:rPr>
                <w:sz w:val="16"/>
                <w:szCs w:val="16"/>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exercise of stock-based awards</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1,490</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315</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Financial institution funds in-transit</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5"/>
                <w:szCs w:val="15"/>
                <w:color w:val="auto"/>
              </w:rPr>
              <w:t>(33,443 )</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1,984</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of deferred offering costs</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8"/>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(1,961 )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Payments on other financing obligations</w:t>
            </w:r>
          </w:p>
        </w:tc>
        <w:tc>
          <w:tcPr>
            <w:tcW w:w="300" w:type="dxa"/>
            <w:vAlign w:val="bottom"/>
          </w:tcPr>
          <w:p>
            <w:pPr>
              <w:spacing w:after="0"/>
              <w:rPr>
                <w:sz w:val="16"/>
                <w:szCs w:val="16"/>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5"/>
                <w:szCs w:val="15"/>
                <w:color w:val="auto"/>
              </w:rPr>
              <w:t>(5,062 )</w:t>
            </w:r>
          </w:p>
        </w:tc>
        <w:tc>
          <w:tcPr>
            <w:tcW w:w="30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(4,562 )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(1,035 )</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on finance leases</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5"/>
                <w:szCs w:val="15"/>
                <w:color w:val="auto"/>
              </w:rPr>
              <w:t>(268 )</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(272 )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(323 )</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380"/>
              <w:spacing w:after="0"/>
              <w:rPr>
                <w:sz w:val="20"/>
                <w:szCs w:val="20"/>
                <w:color w:val="auto"/>
              </w:rPr>
            </w:pPr>
            <w:r>
              <w:rPr>
                <w:rFonts w:ascii="Arial" w:cs="Arial" w:eastAsia="Arial" w:hAnsi="Arial"/>
                <w:sz w:val="15"/>
                <w:szCs w:val="15"/>
                <w:color w:val="auto"/>
              </w:rPr>
              <w:t>Net cash (used in) provided by financing activities</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5"/>
                <w:szCs w:val="15"/>
                <w:color w:val="auto"/>
              </w:rPr>
              <w:t>(37,283 )</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213,487</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(1,358 )</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60" w:type="dxa"/>
            <w:vAlign w:val="bottom"/>
            <w:shd w:val="clear" w:color="auto" w:fill="CFF0FC"/>
          </w:tcPr>
          <w:p>
            <w:pPr>
              <w:ind w:left="20"/>
              <w:spacing w:after="0"/>
              <w:rPr>
                <w:sz w:val="20"/>
                <w:szCs w:val="20"/>
                <w:color w:val="auto"/>
              </w:rPr>
            </w:pPr>
            <w:r>
              <w:rPr>
                <w:rFonts w:ascii="Arial" w:cs="Arial" w:eastAsia="Arial" w:hAnsi="Arial"/>
                <w:sz w:val="15"/>
                <w:szCs w:val="15"/>
                <w:color w:val="auto"/>
              </w:rPr>
              <w:t>Foreign currency effect on cash, cash equivalents and restricted cash</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5"/>
                <w:szCs w:val="15"/>
                <w:color w:val="auto"/>
              </w:rPr>
              <w:t>(168 )</w:t>
            </w:r>
          </w:p>
        </w:tc>
        <w:tc>
          <w:tcPr>
            <w:tcW w:w="3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(8 )</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60" w:type="dxa"/>
            <w:vAlign w:val="bottom"/>
          </w:tcPr>
          <w:p>
            <w:pPr>
              <w:ind w:left="380"/>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300" w:type="dxa"/>
            <w:vAlign w:val="bottom"/>
          </w:tcPr>
          <w:p>
            <w:pPr>
              <w:spacing w:after="0"/>
              <w:rPr>
                <w:sz w:val="15"/>
                <w:szCs w:val="15"/>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5"/>
                <w:szCs w:val="15"/>
                <w:color w:val="auto"/>
              </w:rPr>
              <w:t>(52,144 )</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155,163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19,239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cash equivalents and restricted cash</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Beginning of period</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201,829</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46,666</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End of period</w:t>
            </w:r>
          </w:p>
        </w:tc>
        <w:tc>
          <w:tcPr>
            <w:tcW w:w="30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149,685</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201,829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46,666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paid for income taxes, net of refunds</w:t>
            </w: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672</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2,487</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
              <w:spacing w:after="0"/>
              <w:rPr>
                <w:sz w:val="20"/>
                <w:szCs w:val="20"/>
                <w:color w:val="auto"/>
              </w:rPr>
            </w:pPr>
            <w:r>
              <w:rPr>
                <w:rFonts w:ascii="Arial" w:cs="Arial" w:eastAsia="Arial" w:hAnsi="Arial"/>
                <w:sz w:val="15"/>
                <w:szCs w:val="15"/>
                <w:b w:val="1"/>
                <w:bCs w:val="1"/>
                <w:color w:val="auto"/>
              </w:rPr>
              <w:t>Non-cash investing activities: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Fair value of Class A common stock issued for acquisitions</w:t>
            </w: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280" w:type="dxa"/>
            <w:vAlign w:val="bottom"/>
            <w:gridSpan w:val="2"/>
            <w:shd w:val="clear" w:color="auto" w:fill="CFF0FC"/>
          </w:tcPr>
          <w:p>
            <w:pPr>
              <w:jc w:val="right"/>
              <w:ind w:right="188"/>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66,229</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Property and equipment purchases in accounts payable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268</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Business acquisition liability in accrued liabilities and finance leases and other finance</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obligations, net of current portion</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813</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60" w:type="dxa"/>
            <w:vAlign w:val="bottom"/>
          </w:tcPr>
          <w:p>
            <w:pPr>
              <w:ind w:left="20"/>
              <w:spacing w:after="0"/>
              <w:rPr>
                <w:sz w:val="20"/>
                <w:szCs w:val="20"/>
                <w:color w:val="auto"/>
              </w:rPr>
            </w:pPr>
            <w:r>
              <w:rPr>
                <w:rFonts w:ascii="Arial" w:cs="Arial" w:eastAsia="Arial" w:hAnsi="Arial"/>
                <w:sz w:val="15"/>
                <w:szCs w:val="15"/>
                <w:b w:val="1"/>
                <w:bCs w:val="1"/>
                <w:color w:val="auto"/>
              </w:rPr>
              <w:t>Non-cash financing activities: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Prepaid insurance funded through short-term borrowings</w:t>
            </w: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4,625</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5,756</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5"/>
                <w:szCs w:val="15"/>
                <w:color w:val="auto"/>
              </w:rPr>
              <w:t>Issuance of warrant and change in estimate of warrants expected to vest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3,524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4,802</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Property and equipment acquired through finance lease liabilities</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8"/>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60" w:type="dxa"/>
            <w:vAlign w:val="bottom"/>
          </w:tcPr>
          <w:p>
            <w:pPr>
              <w:ind w:left="200"/>
              <w:spacing w:after="0"/>
              <w:rPr>
                <w:sz w:val="20"/>
                <w:szCs w:val="20"/>
                <w:color w:val="auto"/>
              </w:rPr>
            </w:pPr>
            <w:r>
              <w:rPr>
                <w:rFonts w:ascii="Arial" w:cs="Arial" w:eastAsia="Arial" w:hAnsi="Arial"/>
                <w:sz w:val="15"/>
                <w:szCs w:val="15"/>
                <w:color w:val="auto"/>
              </w:rPr>
              <w:t>Intangibles acquired through other financing obligations</w:t>
            </w:r>
          </w:p>
        </w:tc>
        <w:tc>
          <w:tcPr>
            <w:tcW w:w="300" w:type="dxa"/>
            <w:vAlign w:val="bottom"/>
          </w:tcPr>
          <w:p>
            <w:pPr>
              <w:spacing w:after="0"/>
              <w:rPr>
                <w:sz w:val="16"/>
                <w:szCs w:val="16"/>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-4395470</wp:posOffset>
            </wp:positionV>
            <wp:extent cx="6858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-4395470</wp:posOffset>
            </wp:positionV>
            <wp:extent cx="6858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-4395470</wp:posOffset>
            </wp:positionV>
            <wp:extent cx="6858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-3658870</wp:posOffset>
            </wp:positionV>
            <wp:extent cx="6858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-3658870</wp:posOffset>
            </wp:positionV>
            <wp:extent cx="6858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-3658870</wp:posOffset>
            </wp:positionV>
            <wp:extent cx="6858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-2216150</wp:posOffset>
            </wp:positionV>
            <wp:extent cx="2089150"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89150" cy="16256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-1946275</wp:posOffset>
            </wp:positionV>
            <wp:extent cx="68580" cy="1282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-1946275</wp:posOffset>
            </wp:positionV>
            <wp:extent cx="68580" cy="1282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-1946275</wp:posOffset>
            </wp:positionV>
            <wp:extent cx="68580" cy="1282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-1449705</wp:posOffset>
            </wp:positionV>
            <wp:extent cx="206375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63750" cy="14541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PAYMENTUS HOLDINGS, INC.</w:t>
      </w:r>
    </w:p>
    <w:p>
      <w:pPr>
        <w:jc w:val="center"/>
        <w:spacing w:after="0" w:line="234" w:lineRule="auto"/>
        <w:rPr>
          <w:sz w:val="20"/>
          <w:szCs w:val="20"/>
          <w:color w:val="auto"/>
        </w:rPr>
      </w:pPr>
      <w:r>
        <w:rPr>
          <w:rFonts w:ascii="Arial" w:cs="Arial" w:eastAsia="Arial" w:hAnsi="Arial"/>
          <w:sz w:val="18"/>
          <w:szCs w:val="18"/>
          <w:color w:val="auto"/>
        </w:rPr>
        <w:t>CONSOLIDATED STATEMENTS OF CASH FLOWS (continued)</w:t>
      </w: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6700" w:type="dxa"/>
            <w:vAlign w:val="bottom"/>
            <w:shd w:val="clear" w:color="auto" w:fill="CFF0FC"/>
          </w:tcPr>
          <w:p>
            <w:pPr>
              <w:ind w:left="60"/>
              <w:spacing w:after="0" w:line="154" w:lineRule="exact"/>
              <w:rPr>
                <w:sz w:val="20"/>
                <w:szCs w:val="20"/>
                <w:color w:val="auto"/>
              </w:rPr>
            </w:pPr>
            <w:r>
              <w:rPr>
                <w:rFonts w:ascii="Arial" w:cs="Arial" w:eastAsia="Arial" w:hAnsi="Arial"/>
                <w:sz w:val="15"/>
                <w:szCs w:val="15"/>
                <w:b w:val="1"/>
                <w:bCs w:val="1"/>
                <w:color w:val="auto"/>
              </w:rPr>
              <w:t>The below table reconciles cash, cash equivalents, and restricted cash in the</w:t>
            </w: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0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b w:val="1"/>
                <w:bCs w:val="1"/>
                <w:color w:val="auto"/>
              </w:rPr>
              <w:t>consolidated balance sheets to the total of the same amounts shown in the consolidated</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7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statements of cash flows: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240"/>
              <w:spacing w:after="0"/>
              <w:rPr>
                <w:sz w:val="20"/>
                <w:szCs w:val="20"/>
                <w:color w:val="auto"/>
              </w:rPr>
            </w:pPr>
            <w:r>
              <w:rPr>
                <w:rFonts w:ascii="Arial" w:cs="Arial" w:eastAsia="Arial" w:hAnsi="Arial"/>
                <w:sz w:val="15"/>
                <w:szCs w:val="15"/>
                <w:color w:val="auto"/>
              </w:rPr>
              <w:t>Cash and cash equivalents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147,334</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168,386</w:t>
            </w:r>
          </w:p>
        </w:tc>
        <w:tc>
          <w:tcPr>
            <w:tcW w:w="26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46,666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Restricted cash</w:t>
            </w: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2,351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240"/>
              <w:spacing w:after="0"/>
              <w:rPr>
                <w:sz w:val="20"/>
                <w:szCs w:val="20"/>
                <w:color w:val="auto"/>
              </w:rPr>
            </w:pPr>
            <w:r>
              <w:rPr>
                <w:rFonts w:ascii="Arial" w:cs="Arial" w:eastAsia="Arial" w:hAnsi="Arial"/>
                <w:sz w:val="15"/>
                <w:szCs w:val="15"/>
                <w:color w:val="auto"/>
              </w:rPr>
              <w:t>Restricted funds held for financial institutions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33,443</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60"/>
              <w:spacing w:after="0" w:line="166" w:lineRule="exact"/>
              <w:rPr>
                <w:sz w:val="20"/>
                <w:szCs w:val="20"/>
                <w:color w:val="auto"/>
              </w:rPr>
            </w:pPr>
            <w:r>
              <w:rPr>
                <w:rFonts w:ascii="Arial" w:cs="Arial" w:eastAsia="Arial" w:hAnsi="Arial"/>
                <w:sz w:val="15"/>
                <w:szCs w:val="15"/>
                <w:color w:val="auto"/>
              </w:rPr>
              <w:t>Total cash, cash equivalents and restricted cash as shown in the consolidated statements of</w:t>
            </w:r>
          </w:p>
        </w:tc>
        <w:tc>
          <w:tcPr>
            <w:tcW w:w="300" w:type="dxa"/>
            <w:vAlign w:val="bottom"/>
            <w:vMerge w:val="restart"/>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149,685</w:t>
            </w:r>
          </w:p>
        </w:tc>
        <w:tc>
          <w:tcPr>
            <w:tcW w:w="260" w:type="dxa"/>
            <w:vAlign w:val="bottom"/>
            <w:vMerge w:val="restart"/>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201,829</w:t>
            </w:r>
          </w:p>
        </w:tc>
        <w:tc>
          <w:tcPr>
            <w:tcW w:w="260" w:type="dxa"/>
            <w:vAlign w:val="bottom"/>
            <w:shd w:val="clear" w:color="auto" w:fill="CFF0FC"/>
          </w:tcPr>
          <w:p>
            <w:pPr>
              <w:spacing w:after="0"/>
              <w:rPr>
                <w:sz w:val="14"/>
                <w:szCs w:val="14"/>
                <w:color w:val="auto"/>
              </w:rPr>
            </w:pPr>
          </w:p>
        </w:tc>
        <w:tc>
          <w:tcPr>
            <w:tcW w:w="300" w:type="dxa"/>
            <w:vAlign w:val="bottom"/>
            <w:vMerge w:val="restart"/>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46,666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700" w:type="dxa"/>
            <w:vAlign w:val="bottom"/>
            <w:tcBorders>
              <w:bottom w:val="single" w:sz="8" w:color="CFF0FC"/>
            </w:tcBorders>
            <w:shd w:val="clear" w:color="auto" w:fill="CFF0FC"/>
          </w:tcPr>
          <w:p>
            <w:pPr>
              <w:ind w:left="20"/>
              <w:spacing w:after="0" w:line="118" w:lineRule="exact"/>
              <w:rPr>
                <w:sz w:val="20"/>
                <w:szCs w:val="20"/>
                <w:color w:val="auto"/>
              </w:rPr>
            </w:pPr>
            <w:r>
              <w:rPr>
                <w:rFonts w:ascii="Arial" w:cs="Arial" w:eastAsia="Arial" w:hAnsi="Arial"/>
                <w:sz w:val="13"/>
                <w:szCs w:val="13"/>
                <w:color w:val="auto"/>
              </w:rPr>
              <w:t>cash flows</w:t>
            </w:r>
          </w:p>
        </w:tc>
        <w:tc>
          <w:tcPr>
            <w:tcW w:w="300" w:type="dxa"/>
            <w:vAlign w:val="bottom"/>
            <w:tcBorders>
              <w:bottom w:val="single" w:sz="8" w:color="auto"/>
            </w:tcBorders>
            <w:vMerge w:val="continue"/>
            <w:shd w:val="clear" w:color="auto" w:fill="CFF0FC"/>
          </w:tcPr>
          <w:p>
            <w:pPr>
              <w:spacing w:after="0"/>
              <w:rPr>
                <w:sz w:val="15"/>
                <w:szCs w:val="15"/>
                <w:color w:val="auto"/>
              </w:rPr>
            </w:pPr>
          </w:p>
        </w:tc>
        <w:tc>
          <w:tcPr>
            <w:tcW w:w="100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vMerge w:val="continue"/>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116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vMerge w:val="continue"/>
            <w:shd w:val="clear" w:color="auto" w:fill="CFF0FC"/>
          </w:tcPr>
          <w:p>
            <w:pPr>
              <w:spacing w:after="0"/>
              <w:rPr>
                <w:sz w:val="15"/>
                <w:szCs w:val="15"/>
                <w:color w:val="auto"/>
              </w:rPr>
            </w:pPr>
          </w:p>
        </w:tc>
        <w:tc>
          <w:tcPr>
            <w:tcW w:w="104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8"/>
          <w:szCs w:val="18"/>
          <w:color w:val="auto"/>
        </w:rPr>
        <w:t>PAYMENTUS HOLDINGS, INC.</w:t>
      </w: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25" w:lineRule="exact"/>
        <w:rPr>
          <w:sz w:val="20"/>
          <w:szCs w:val="20"/>
          <w:color w:val="auto"/>
        </w:rPr>
      </w:pPr>
    </w:p>
    <w:p>
      <w:pPr>
        <w:ind w:right="100" w:firstLine="494"/>
        <w:spacing w:after="0" w:line="236" w:lineRule="auto"/>
        <w:rPr>
          <w:sz w:val="20"/>
          <w:szCs w:val="20"/>
          <w:color w:val="auto"/>
        </w:rPr>
      </w:pPr>
      <w:r>
        <w:rPr>
          <w:rFonts w:ascii="Arial" w:cs="Arial" w:eastAsia="Arial" w:hAnsi="Arial"/>
          <w:sz w:val="18"/>
          <w:szCs w:val="18"/>
          <w:color w:val="auto"/>
        </w:rPr>
        <w:t>Paymentus Holdings, Inc. and its wholly owned subsidiaries (“Paymentus” or “the Company”) provides electronic bill presentment and payment services, enterprise customer communication and self-service revenue management to billers and financial institutions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Richmond Hill, Ontario (Canada), and Delhi, Bangalore and Gurugram (India). In September 2022, the Company's headquarters were moved from Redmond, Washington to Charlotte, North Carolina. Paymentus continues to evaluate reestablishing its headquarters in or around the Seattle, Washington area in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Private Placement</w:t>
      </w:r>
    </w:p>
    <w:p>
      <w:pPr>
        <w:spacing w:after="0" w:line="125"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In May 2021, the Company completed its initial public offering (“IPO”), in which the Company issued and sold 11,500,000 shares of its Class A common stock at $21.00 per share, including 1,500,000 shares issued upon the exercise of the underwriters’ option to purchase additional shares. The Company received net proceeds of $224.6 million after deducting underwriting discounts and commissions of $16.9 million. The Company incurred direct offering expenses of $2.0 million.</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IPO:</w:t>
      </w:r>
    </w:p>
    <w:p>
      <w:pPr>
        <w:spacing w:after="0" w:line="103" w:lineRule="exact"/>
        <w:rPr>
          <w:sz w:val="20"/>
          <w:szCs w:val="20"/>
          <w:color w:val="auto"/>
        </w:rPr>
      </w:pPr>
    </w:p>
    <w:p>
      <w:pPr>
        <w:ind w:left="1020" w:right="460" w:hanging="504"/>
        <w:spacing w:after="0" w:line="245"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103,479,239 shares of the Company’s outstanding common stock automatically converted into an equivalent number of shares of Class B common stock on a one-to-one basis; and</w:t>
      </w:r>
    </w:p>
    <w:p>
      <w:pPr>
        <w:spacing w:after="0" w:line="89" w:lineRule="exact"/>
        <w:rPr>
          <w:rFonts w:ascii="Arial" w:cs="Arial" w:eastAsia="Arial" w:hAnsi="Arial"/>
          <w:sz w:val="18"/>
          <w:szCs w:val="18"/>
          <w:color w:val="auto"/>
        </w:rPr>
      </w:pPr>
    </w:p>
    <w:p>
      <w:pPr>
        <w:ind w:left="1020" w:hanging="504"/>
        <w:spacing w:after="0" w:line="238"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entities affiliated with Accel-KKR purchased 2,380,950 shares of the Company’s Class A common stock at $21.00 per share in a concurrent private placement that closed immediately subsequent to the closing of the IPO. The Company received aggregate proceeds of $50.0 million in this concurrent private placement and did not pay underwriting discounts or commissions with respect to the shares of Class A common stock that were sold in the private placement.</w:t>
      </w:r>
    </w:p>
    <w:p>
      <w:pPr>
        <w:spacing w:after="0" w:line="181" w:lineRule="exact"/>
        <w:rPr>
          <w:rFonts w:ascii="Arial" w:cs="Arial" w:eastAsia="Arial" w:hAnsi="Arial"/>
          <w:sz w:val="18"/>
          <w:szCs w:val="18"/>
          <w:color w:val="auto"/>
        </w:rPr>
      </w:pPr>
    </w:p>
    <w:p>
      <w:pPr>
        <w:ind w:left="400" w:hanging="392"/>
        <w:spacing w:after="0"/>
        <w:tabs>
          <w:tab w:leader="none" w:pos="4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5" w:lineRule="exact"/>
        <w:rPr>
          <w:sz w:val="20"/>
          <w:szCs w:val="20"/>
          <w:color w:val="auto"/>
        </w:rPr>
      </w:pPr>
    </w:p>
    <w:p>
      <w:pPr>
        <w:ind w:right="120" w:firstLine="494"/>
        <w:spacing w:after="0" w:line="245" w:lineRule="auto"/>
        <w:rPr>
          <w:sz w:val="20"/>
          <w:szCs w:val="20"/>
          <w:color w:val="auto"/>
        </w:rPr>
      </w:pPr>
      <w:r>
        <w:rPr>
          <w:rFonts w:ascii="Arial" w:cs="Arial" w:eastAsia="Arial" w:hAnsi="Arial"/>
          <w:sz w:val="18"/>
          <w:szCs w:val="18"/>
          <w:color w:val="auto"/>
        </w:rPr>
        <w:t>The accompanying consolidated financial statements and related notes have been prepared in accordance with accounting principles generally accepted in the United States (“GAAP”).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25" w:lineRule="exact"/>
        <w:rPr>
          <w:sz w:val="20"/>
          <w:szCs w:val="20"/>
          <w:color w:val="auto"/>
        </w:rPr>
      </w:pPr>
    </w:p>
    <w:p>
      <w:pPr>
        <w:ind w:right="240" w:firstLine="494"/>
        <w:spacing w:after="0" w:line="237" w:lineRule="auto"/>
        <w:rPr>
          <w:sz w:val="20"/>
          <w:szCs w:val="20"/>
          <w:color w:val="auto"/>
        </w:rPr>
      </w:pPr>
      <w:r>
        <w:rPr>
          <w:rFonts w:ascii="Arial" w:cs="Arial" w:eastAsia="Arial" w:hAnsi="Arial"/>
          <w:sz w:val="18"/>
          <w:szCs w:val="18"/>
          <w:color w:val="auto"/>
        </w:rPr>
        <w:t>On May 10, 2021, the Company effected a 5-for-1 forward stock split of its common stock. In connection with the forward stock split, each issued and outstanding share of common stock, automatically and without action on the part of the holders, became five shares of common stock. The par value per share of common stock was not adjusted. All share, per share and related information presented in the consolidated financial statements and accompanying notes have been retroactively adjusted, where applicable, to reflect the impact of the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25" w:lineRule="exact"/>
        <w:rPr>
          <w:sz w:val="20"/>
          <w:szCs w:val="20"/>
          <w:color w:val="auto"/>
        </w:rPr>
      </w:pPr>
    </w:p>
    <w:p>
      <w:pPr>
        <w:ind w:right="540" w:firstLine="494"/>
        <w:spacing w:after="0" w:line="245"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accounts and balances have been eliminated upon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25" w:lineRule="exact"/>
        <w:rPr>
          <w:sz w:val="20"/>
          <w:szCs w:val="20"/>
          <w:color w:val="auto"/>
        </w:rPr>
      </w:pPr>
    </w:p>
    <w:p>
      <w:pPr>
        <w:ind w:right="120" w:firstLine="494"/>
        <w:spacing w:after="0" w:line="238"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in deciding how to make operating decisions, allocate resources and assess performance. The Company has three operating segments based on geography. The United States segment represents the vast majority of the Company’s consolidated net sales and gross profit. The</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0" w:right="379" w:bottom="1440" w:gutter="0" w:footer="0" w:header="0"/>
        </w:sectPr>
      </w:pPr>
    </w:p>
    <w:bookmarkStart w:id="77" w:name="page78"/>
    <w:bookmarkEnd w:id="77"/>
    <w:p>
      <w:pPr>
        <w:ind w:right="20"/>
        <w:spacing w:after="0" w:line="237" w:lineRule="auto"/>
        <w:rPr>
          <w:sz w:val="20"/>
          <w:szCs w:val="20"/>
          <w:color w:val="auto"/>
        </w:rPr>
      </w:pPr>
      <w:r>
        <w:rPr>
          <w:rFonts w:ascii="Arial" w:cs="Arial" w:eastAsia="Arial" w:hAnsi="Arial"/>
          <w:sz w:val="18"/>
          <w:szCs w:val="18"/>
          <w:color w:val="auto"/>
        </w:rPr>
        <w:t>additional two operating segments, Canada and India, do not meet the quantitative thresholds for separate reporting, either individually or in the aggregate. None of the operating segments qualified for aggregation. The Company’s CODM is its chief executive officer. The CODM evaluates the performance of the Company’s operating segments based on revenue and gross profit. The Company does not analyze discrete segment balance sheet information related to long-term assets. All other financial information is presented on a consolidated basis. For information regarding the Company’s long-lived assets and revenue by geographic area, see Note 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5" w:lineRule="exact"/>
        <w:rPr>
          <w:sz w:val="20"/>
          <w:szCs w:val="20"/>
          <w:color w:val="auto"/>
        </w:rPr>
      </w:pPr>
    </w:p>
    <w:p>
      <w:pPr>
        <w:ind w:right="180" w:firstLine="494"/>
        <w:spacing w:after="0" w:line="236"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Such estimates include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25" w:lineRule="exact"/>
        <w:rPr>
          <w:sz w:val="20"/>
          <w:szCs w:val="20"/>
          <w:color w:val="auto"/>
        </w:rPr>
      </w:pPr>
    </w:p>
    <w:p>
      <w:pPr>
        <w:ind w:right="20" w:firstLine="494"/>
        <w:spacing w:after="0" w:line="236" w:lineRule="auto"/>
        <w:rPr>
          <w:sz w:val="20"/>
          <w:szCs w:val="20"/>
          <w:color w:val="auto"/>
        </w:rPr>
      </w:pPr>
      <w:r>
        <w:rPr>
          <w:rFonts w:ascii="Arial" w:cs="Arial" w:eastAsia="Arial" w:hAnsi="Arial"/>
          <w:sz w:val="18"/>
          <w:szCs w:val="18"/>
          <w:color w:val="auto"/>
        </w:rPr>
        <w:t>The reporting currency of the Company is the United States Dollar. The Company’s foreign subsidiaries use the local currency of their respective countries as their functional currency. Assets and liabilities are translated using the exchange rates at the balance sheet date. Revenue and expenses are translated at average exchange rates during the period. Equity transactions are translated using historical exchange rates. The effects of foreign currency translation adjustments are recorded in accumulated other comprehensive income (loss) or (“AOCI”) as a component of stockholders' equity, and related periodic movements are summarized as a line item in the consolidated statements of comprehensive (loss) income. Gains and losses from the remeasurement of foreign currency transactions into the functional currency are recognized as foreign exchange gain (loss) in the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The Company generates revenue primarily from payment transaction fees processed through the Company’s platform. The fees are generated as a percentage of transaction value or a specified fee per transaction. For biller transactions the actual fees are dependent on payment type, payment channel or industry vertical. The payment transaction fees are received directly (i) from billers, who absorb the cost, or from customers in the form of a convenience-type fee, or (ii) from financial institutions. Transaction fees are collected for each completed transaction processed through the platform. The Company also earns other revenue, which primarily consists of maintenance revenue and subscription revenue. Other revenue represented approximately 1.3%, 1.2% and 1.4% of total revenue for the years ended December 31, 2022, 2021 and 2020,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121" w:lineRule="exact"/>
        <w:rPr>
          <w:sz w:val="20"/>
          <w:szCs w:val="20"/>
          <w:color w:val="auto"/>
        </w:rPr>
      </w:pPr>
    </w:p>
    <w:p>
      <w:pPr>
        <w:ind w:right="180" w:firstLine="494"/>
        <w:spacing w:after="0" w:line="237" w:lineRule="auto"/>
        <w:rPr>
          <w:sz w:val="20"/>
          <w:szCs w:val="20"/>
          <w:color w:val="auto"/>
        </w:rPr>
      </w:pPr>
      <w:r>
        <w:rPr>
          <w:rFonts w:ascii="Arial" w:cs="Arial" w:eastAsia="Arial" w:hAnsi="Arial"/>
          <w:sz w:val="18"/>
          <w:szCs w:val="18"/>
          <w:color w:val="auto"/>
        </w:rPr>
        <w:t>Contract assets include unbilled amounts typically resulting from arrangements whereby complete satisfaction of a performance obligation and the right to payment are conditioned on completing additional tasks or services. In addition, the Company has recorded contract assets in connection with warrant agreements with an affiliate of a customer. Following the guidance in ASC 606, the Company accounts for consideration payable in the form of warrants to a customer as a reduction of the transaction price and therefore, of revenue. The Company has estimated the transaction price related to the revenue for this customer inclusive of the estimated value of the warrants earned and expected to be earned over the term of the contract.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21"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Contract liabilities relate to fees billed in advance of services provided. The terms of the contract normally require the customer to pay a fixed monthly fee for hosting and maintenance, plus a nonrefundable up-front fee for set-up, integration services, and data conversion at contract inception. The non-refundable up-front fees are typically billed in advance of services provided and are recorded as contract liability in the consolidated balance sheets. These fees are amortized ratably over the term of the agreement and recognized as revenue. The fixed monthly fee is for a promised service of hosting and maintenance. These services are provided over the same period and have the same pattern of transfer to the customer as the payment processing services. They are both stand-ready obligations satisfied ratably over the contractual period, and assessed as a single performance obligation. Therefore, they are recognized in the same manner as the variable consideration.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62" w:right="45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Assets Recognized From the Costs to Obtain a Contract With a Customer</w:t>
      </w:r>
    </w:p>
    <w:p>
      <w:pPr>
        <w:spacing w:after="0" w:line="121" w:lineRule="exact"/>
        <w:rPr>
          <w:sz w:val="20"/>
          <w:szCs w:val="20"/>
          <w:color w:val="auto"/>
        </w:rPr>
      </w:pPr>
    </w:p>
    <w:p>
      <w:pPr>
        <w:ind w:right="60" w:firstLine="494"/>
        <w:spacing w:after="0" w:line="236" w:lineRule="auto"/>
        <w:rPr>
          <w:sz w:val="20"/>
          <w:szCs w:val="20"/>
          <w:color w:val="auto"/>
        </w:rPr>
      </w:pPr>
      <w:r>
        <w:rPr>
          <w:rFonts w:ascii="Arial" w:cs="Arial" w:eastAsia="Arial" w:hAnsi="Arial"/>
          <w:sz w:val="18"/>
          <w:szCs w:val="18"/>
          <w:color w:val="auto"/>
        </w:rPr>
        <w:t>The Company capitalizes certain costs to obtain contracts with customers, including employee sales commissions, when the commission is tied to new sales and is therefore considered an incremental cost of obtaining a customer. At contract inception, the Company capitalizes commission costs that the Company expects to recover and that would not have been incurred if the contract had not been obtained. Capitalized costs to obtain contracts of $0.6 million are included in prepaid expenses and other current and long-term assets in the consolidated balance sheets. Some of the Company’s sales compensation paid to the sales force is earned based on the margins earned from the contract over the contract term and is contingent on continued employment with the Company by the salesperson. Sales commissions tied to key operating metrics other than new sales, are not considered incremental costs of obtaining a customer and are expensed in the same period as they are earned, rather than being capitalized. The Company records commission expense within sales and marketing expense in the consolidated statements of operations.</w:t>
      </w:r>
    </w:p>
    <w:p>
      <w:pPr>
        <w:spacing w:after="0" w:line="96" w:lineRule="exact"/>
        <w:rPr>
          <w:sz w:val="20"/>
          <w:szCs w:val="20"/>
          <w:color w:val="auto"/>
        </w:rPr>
      </w:pPr>
    </w:p>
    <w:p>
      <w:pPr>
        <w:ind w:right="20" w:firstLine="544"/>
        <w:spacing w:after="0" w:line="237" w:lineRule="auto"/>
        <w:rPr>
          <w:sz w:val="20"/>
          <w:szCs w:val="20"/>
          <w:color w:val="auto"/>
        </w:rPr>
      </w:pPr>
      <w:r>
        <w:rPr>
          <w:rFonts w:ascii="Arial" w:cs="Arial" w:eastAsia="Arial" w:hAnsi="Arial"/>
          <w:sz w:val="18"/>
          <w:szCs w:val="18"/>
          <w:color w:val="auto"/>
        </w:rPr>
        <w:t>Amortization of capitalized commissions to obtain customer contracts is included in sales and marketing expense in the consolidated statements of operations. The Company utilizes a straight-line method as it best depicts the pattern of transfer of the goods or services to the customer. The Company amortizes these assets over the expected period of benefit, which is typically three to five years. The Company evaluates contract costs for impairment by comparing, on a pooled basis, the expected future net cash flows from underlying customer relationships to the carrying amount of the capitalized contract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5"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Cost of revenue consists primarily of interchange and assessment fees, processing fees and bank settlement fees paid to third-party payment processors and financial institutions, and personnel-related costs associated with the Company’s customer support teams, including salaries, benefits, and bonuses. Cost of revenue also includes an allocation of hosting and datacenter costs for the Company’s infrastructure and platform environment, telecommunication expenses used by sales and customer support teams, a portion of amortization of capitalized internal-use software development costs, and a portion of amortization of intangible assets acquired through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25" w:lineRule="exact"/>
        <w:rPr>
          <w:sz w:val="20"/>
          <w:szCs w:val="20"/>
          <w:color w:val="auto"/>
        </w:rPr>
      </w:pPr>
    </w:p>
    <w:p>
      <w:pPr>
        <w:jc w:val="both"/>
        <w:ind w:right="20" w:firstLine="494"/>
        <w:spacing w:after="0"/>
        <w:rPr>
          <w:sz w:val="20"/>
          <w:szCs w:val="20"/>
          <w:color w:val="auto"/>
        </w:rPr>
      </w:pPr>
      <w:r>
        <w:rPr>
          <w:rFonts w:ascii="Arial" w:cs="Arial" w:eastAsia="Arial" w:hAnsi="Arial"/>
          <w:sz w:val="18"/>
          <w:szCs w:val="18"/>
          <w:color w:val="auto"/>
        </w:rPr>
        <w:t>Research and development costs are expensed as incurred, unless they qualify as internal-use software development costs. Research and development expenses consist primarily of employee-related expenses associated with the Company’s research and development staff, including salaries, benefits, stock-based compensation and bonuses.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25" w:lineRule="exact"/>
        <w:rPr>
          <w:sz w:val="20"/>
          <w:szCs w:val="20"/>
          <w:color w:val="auto"/>
        </w:rPr>
      </w:pPr>
    </w:p>
    <w:p>
      <w:pPr>
        <w:ind w:right="640" w:firstLine="494"/>
        <w:spacing w:after="0"/>
        <w:rPr>
          <w:sz w:val="20"/>
          <w:szCs w:val="20"/>
          <w:color w:val="auto"/>
        </w:rPr>
      </w:pPr>
      <w:r>
        <w:rPr>
          <w:rFonts w:ascii="Arial" w:cs="Arial" w:eastAsia="Arial" w:hAnsi="Arial"/>
          <w:sz w:val="18"/>
          <w:szCs w:val="18"/>
          <w:color w:val="auto"/>
        </w:rPr>
        <w:t>Advertising costs are expensed as incurred and are included in sales and marketing expenses in the consolidated statement of operations. These costs were $2.0 million, $1.5 million and $0.5 million for the years ended December 31, 2022,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23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Company is self-insured for a significant portion of its employee medical exposures. Liabilities for self-insured exposures are accrued at the present value of amounts expected to be paid based on historical claims experience and actuarial data for forecasted settlements of claims filed and for incurred but not yet reported claims. Accruals for self-insured exposures are included in current and noncurrent liabilities based on the expected periods of payment.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Excess liability insurance has been purchased to limit the amount of self-insured risk on claims.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5" w:lineRule="exact"/>
        <w:rPr>
          <w:sz w:val="20"/>
          <w:szCs w:val="20"/>
          <w:color w:val="auto"/>
        </w:rPr>
      </w:pPr>
    </w:p>
    <w:p>
      <w:pPr>
        <w:ind w:right="280" w:firstLine="494"/>
        <w:spacing w:after="0"/>
        <w:rPr>
          <w:sz w:val="20"/>
          <w:szCs w:val="20"/>
          <w:color w:val="auto"/>
        </w:rPr>
      </w:pPr>
      <w:r>
        <w:rPr>
          <w:rFonts w:ascii="Arial" w:cs="Arial" w:eastAsia="Arial" w:hAnsi="Arial"/>
          <w:sz w:val="18"/>
          <w:szCs w:val="18"/>
          <w:color w:val="auto"/>
        </w:rPr>
        <w:t>The Company is subject to income taxes in the United States and numerous foreign jurisdictions. Significant judgment is required in determining its provision for income taxes and deferred tax assets and liabilities, including evaluating uncertainties in the application of accounting principles and complex tax laws.</w:t>
      </w:r>
    </w:p>
    <w:p>
      <w:pPr>
        <w:spacing w:after="0" w:line="94"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The Company records a provision for income taxes for the anticipated tax consequences of the reported results of operations using the asset and liability method. Under this method, the Company recognizes deferred tax assets and liabilities for the expected future tax consequences of temporary differences between the carrying amounts for financial reporting purposes and the tax bases of assets and liabilities, as well as for loss and tax credit carryforwards. The deferred assets and liabilities are measured using the statutorily enacted tax rates anticipated to be in effect when those tax assets and liabilities are expected to be realized or settled. The effect on deferred tax assets and liabilities of a change in tax rates is recognized in the period that includes the enactment date.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4" w:right="359" w:bottom="1440" w:gutter="0" w:footer="0" w:header="0"/>
        </w:sectPr>
      </w:pPr>
    </w:p>
    <w:bookmarkStart w:id="79" w:name="page80"/>
    <w:bookmarkEnd w:id="79"/>
    <w:p>
      <w:pPr>
        <w:ind w:right="40" w:firstLine="494"/>
        <w:spacing w:after="0"/>
        <w:rPr>
          <w:sz w:val="20"/>
          <w:szCs w:val="20"/>
          <w:color w:val="auto"/>
        </w:rPr>
      </w:pPr>
      <w:r>
        <w:rPr>
          <w:rFonts w:ascii="Arial" w:cs="Arial" w:eastAsia="Arial" w:hAnsi="Arial"/>
          <w:sz w:val="18"/>
          <w:szCs w:val="18"/>
          <w:color w:val="auto"/>
        </w:rPr>
        <w:t>A valuation allowance is established if, based upon the available evidence, it is more likely than not that some or all of the deferred tax assets will not be realized. The Company considers all available evidence, both positive and negative, including historical levels of income, expectations and risks associated with estimates of future taxable income in assessing the need for a valuation allowance.</w:t>
      </w:r>
    </w:p>
    <w:p>
      <w:pPr>
        <w:spacing w:after="0" w:line="94"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The Company’s tax positions are subject to income tax audits by multiple tax jurisdictions throughout the world. The Company recognizes the tax benefit of an uncertain tax position only if it is more likely than not the position will be sustainable upon examination by the taxing authority, including resolution of any related appeals or litigation processes. This evaluation is based on all available evidence and assumes that the tax authorities have full knowledge of all relevant information concerning the tax position. The tax benefit recognized is measured as the largest amount of benefit which is more likely than not (greater than 50% likely) to be realized upon ultimate settlement with the taxing authority. The Company recognizes interest accrued and penalties related to unrecognized tax benefits in income tax expense. The Company makes adjustments to these reserves in accordance with the income tax guidance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 and could have a material impact on the Company’s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The Company measures and recognizes stock-based compensation expense for all stock-based awards, including grants of restricted stock units ("RSUs") and options to purchase stocks granted to employees, outside directors and consultants based on the estimated fair value of the awards on the grant date of the award. The Company estimates the grant date fair value for options using the Black-Scholes option pricing model. The determination of the grant-date fair value using an option-pricing model is affected by the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an RSU is measured using the market price of the Company's Class A common stock on the date of grant. Compensation cost is recognized on a straight-line basis over the employee requisite service period, which is the stated vesting period of the award, provided that total compensation cost recognized at least equals the pro rata value of the awards that have vested. Forfeitures are accounted for in the period in which they occur. All compensation expense is recorded in operating expenses in the consolidated statements of operations based on the recipient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5" w:lineRule="exact"/>
        <w:rPr>
          <w:sz w:val="20"/>
          <w:szCs w:val="20"/>
          <w:color w:val="auto"/>
        </w:rPr>
      </w:pPr>
    </w:p>
    <w:p>
      <w:pPr>
        <w:ind w:right="200" w:firstLine="494"/>
        <w:spacing w:after="0" w:line="245" w:lineRule="auto"/>
        <w:rPr>
          <w:sz w:val="20"/>
          <w:szCs w:val="20"/>
          <w:color w:val="auto"/>
        </w:rPr>
      </w:pPr>
      <w:r>
        <w:rPr>
          <w:rFonts w:ascii="Arial" w:cs="Arial" w:eastAsia="Arial" w:hAnsi="Arial"/>
          <w:sz w:val="18"/>
          <w:szCs w:val="18"/>
          <w:color w:val="auto"/>
        </w:rPr>
        <w:t>The Company considers all highly liquid investments with original or remaining maturities of three months or less when purchased to be cash equivalents, which are composed of primarily bank deposits and government issued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25"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Restricted cash and cash equivalents consist of deposits required by certain counterparties to merchant counterparty processing agreements and required reserves under certain health insurance policies. Deposit balances are required through the term of the agreement and for six months following the termination of the merchant counterparty processing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25"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$353.9 million and $47.4 million as of December 31, 2022 and December 31, 2021, respectively. Part of the increase in custodial accounts at December 31, 2022 was due to the shift of funds from Restricted Funds to the Custodial accounts, which is discussed in the below paragraph. Other increases were related to the timing of when funds were received and subsequently transferred out.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Funds Held for Financial Institutions and Financial Institution Funds In-Transit</w:t>
      </w:r>
    </w:p>
    <w:p>
      <w:pPr>
        <w:spacing w:after="0" w:line="1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2" w:right="379" w:bottom="1440" w:gutter="0" w:footer="0" w:header="0"/>
        </w:sectPr>
      </w:pPr>
    </w:p>
    <w:bookmarkStart w:id="80" w:name="page81"/>
    <w:bookmarkEnd w:id="80"/>
    <w:p>
      <w:pPr>
        <w:ind w:firstLine="494"/>
        <w:spacing w:after="0" w:line="236" w:lineRule="auto"/>
        <w:rPr>
          <w:sz w:val="20"/>
          <w:szCs w:val="20"/>
          <w:color w:val="auto"/>
        </w:rPr>
      </w:pPr>
      <w:r>
        <w:rPr>
          <w:rFonts w:ascii="Arial" w:cs="Arial" w:eastAsia="Arial" w:hAnsi="Arial"/>
          <w:sz w:val="18"/>
          <w:szCs w:val="18"/>
          <w:color w:val="auto"/>
        </w:rPr>
        <w:t>Restricted funds held for financial institutions and the corresponding liability of financial institution funds in-transit represent the timing differences arising between the amounts the Company's sponsor bank receives from the sending financial institutions and the amounts disbursed to the recipient financial institutions. The restricted funds held for financial institutions account is a transaction account maintained at the Company’s sponsor bank for clearing payments from financial institutions (as defined by the U.S. Treasury’s Financial Crimes Enforcement Network) to other financial institutions. Restricted funds held for financial institutions represent restricted cash that, based upon the Company's intent, are restricted solely for satisfying the corresponding obligations to send funds to the various financial institutions. During the fourth quarter 2022, the Company entered into an agreement with a financial institution whereby the financial institution would take over the legal ownership of these funds and operate as the custodial service provider. Once these funds were moved to custodial accounts, the Company no longer had legal ownership or control over these funds, as such the Company no longer has Restricted Funds held for Financial Institutions and Financial Institution Funds In-Transit on the consolidated balance sheet as of December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5"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to the extent of the amounts recorded in the consolidated balance sheets. No customer accounted for more than 10% of revenue for either of the years ended December 31, 2022, 2021 and 2020. One customer accounted for more than 10% of accounts receivable for both December 31, 2022 and 2021, and no customer accounted for more than 10% of accounts receivable as of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5" w:lineRule="exact"/>
        <w:rPr>
          <w:sz w:val="20"/>
          <w:szCs w:val="20"/>
          <w:color w:val="auto"/>
        </w:rPr>
      </w:pPr>
    </w:p>
    <w:p>
      <w:pPr>
        <w:ind w:right="20" w:firstLine="494"/>
        <w:spacing w:after="0" w:line="257" w:lineRule="auto"/>
        <w:rPr>
          <w:sz w:val="20"/>
          <w:szCs w:val="20"/>
          <w:color w:val="auto"/>
        </w:rPr>
      </w:pPr>
      <w:r>
        <w:rPr>
          <w:rFonts w:ascii="Arial" w:cs="Arial" w:eastAsia="Arial" w:hAnsi="Arial"/>
          <w:sz w:val="17"/>
          <w:szCs w:val="17"/>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80" w:lineRule="exact"/>
        <w:rPr>
          <w:sz w:val="20"/>
          <w:szCs w:val="20"/>
          <w:color w:val="auto"/>
        </w:rPr>
      </w:pPr>
    </w:p>
    <w:p>
      <w:pPr>
        <w:ind w:left="1020" w:right="240" w:hanging="504"/>
        <w:spacing w:after="0" w:line="245"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1 inputs - unadjusted quoted prices in active markets for identical assets or liabilities accessible to the reporting entity at the measurement date;</w:t>
      </w:r>
    </w:p>
    <w:p>
      <w:pPr>
        <w:spacing w:after="0" w:line="89" w:lineRule="exact"/>
        <w:rPr>
          <w:rFonts w:ascii="Arial" w:cs="Arial" w:eastAsia="Arial" w:hAnsi="Arial"/>
          <w:sz w:val="18"/>
          <w:szCs w:val="18"/>
          <w:color w:val="auto"/>
        </w:rPr>
      </w:pPr>
    </w:p>
    <w:p>
      <w:pPr>
        <w:ind w:left="1020" w:right="140" w:hanging="504"/>
        <w:spacing w:after="0" w:line="245"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 inputs - other than quoted prices included in Level 1 inputs that are observable for the asset or liability, either directly or indirectly, for substantially the full term of the asset or liability; and</w:t>
      </w:r>
    </w:p>
    <w:p>
      <w:pPr>
        <w:spacing w:after="0" w:line="89" w:lineRule="exact"/>
        <w:rPr>
          <w:rFonts w:ascii="Arial" w:cs="Arial" w:eastAsia="Arial" w:hAnsi="Arial"/>
          <w:sz w:val="18"/>
          <w:szCs w:val="18"/>
          <w:color w:val="auto"/>
        </w:rPr>
      </w:pPr>
    </w:p>
    <w:p>
      <w:pPr>
        <w:ind w:left="1020" w:right="18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 inputs -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94" w:lineRule="exact"/>
        <w:rPr>
          <w:sz w:val="20"/>
          <w:szCs w:val="20"/>
          <w:color w:val="auto"/>
        </w:rPr>
      </w:pPr>
    </w:p>
    <w:p>
      <w:pPr>
        <w:ind w:right="260" w:firstLine="494"/>
        <w:spacing w:after="0" w:line="245" w:lineRule="auto"/>
        <w:rPr>
          <w:sz w:val="20"/>
          <w:szCs w:val="20"/>
          <w:color w:val="auto"/>
        </w:rPr>
      </w:pPr>
      <w:r>
        <w:rPr>
          <w:rFonts w:ascii="Arial" w:cs="Arial" w:eastAsia="Arial" w:hAnsi="Arial"/>
          <w:sz w:val="18"/>
          <w:szCs w:val="18"/>
          <w:color w:val="auto"/>
        </w:rPr>
        <w:t>The carrying amounts reflected in the consolidated balance sheets for accounts receivable, and accounts payable approximate their respective fair values due to the short maturities of those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Other Receivables and Allowance for Credit Losses</w:t>
      </w:r>
    </w:p>
    <w:p>
      <w:pPr>
        <w:spacing w:after="0" w:line="125" w:lineRule="exact"/>
        <w:rPr>
          <w:sz w:val="20"/>
          <w:szCs w:val="20"/>
          <w:color w:val="auto"/>
        </w:rPr>
      </w:pPr>
    </w:p>
    <w:p>
      <w:pPr>
        <w:ind w:right="100" w:firstLine="494"/>
        <w:spacing w:after="0" w:line="236" w:lineRule="auto"/>
        <w:rPr>
          <w:sz w:val="20"/>
          <w:szCs w:val="20"/>
          <w:color w:val="auto"/>
        </w:rPr>
      </w:pPr>
      <w:r>
        <w:rPr>
          <w:rFonts w:ascii="Arial" w:cs="Arial" w:eastAsia="Arial" w:hAnsi="Arial"/>
          <w:sz w:val="18"/>
          <w:szCs w:val="18"/>
          <w:color w:val="auto"/>
        </w:rPr>
        <w:t>Accounts receivable are recorded at invoiced amounts and do not bear interest. The Company will evaluate its accounts receivable portfolio to determine if an allowance for credit losses is necessary. The development of the allowance for credit losses is based on an expected loss model that considers reasonable and supportable forecasts of future conditions and a review of past due amounts, historical write-off and recovery experience. Past due balances over 90 days and over a specified amount are reviewed individually for collectability and all other balances are reviewed as a portfolio. Account balances are charged off against the allowance after all means of collection have been exhausted and the potential for recovery is considered remote. The Company does not have any off-balance sheet exposure related to its customers. Other receivables included $3.0 million and $2.5 million in rebates related to interchange fees for the years ended December 31, 2022 and 2021, respectively.</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the allowance for credit losses were as follows (in thousands):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2"/>
        </w:trPr>
        <w:tc>
          <w:tcPr>
            <w:tcW w:w="9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Allowance for Credit</w:t>
            </w:r>
          </w:p>
        </w:tc>
      </w:tr>
      <w:tr>
        <w:trPr>
          <w:trHeight w:val="189"/>
        </w:trPr>
        <w:tc>
          <w:tcPr>
            <w:tcW w:w="9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Losses</w:t>
            </w:r>
          </w:p>
        </w:tc>
      </w:tr>
      <w:tr>
        <w:trPr>
          <w:trHeight w:val="223"/>
        </w:trPr>
        <w:tc>
          <w:tcPr>
            <w:tcW w:w="9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8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(104 )</w:t>
            </w:r>
          </w:p>
        </w:tc>
      </w:tr>
      <w:tr>
        <w:trPr>
          <w:trHeight w:val="229"/>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92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r>
      <w:tr>
        <w:trPr>
          <w:trHeight w:val="263"/>
        </w:trPr>
        <w:tc>
          <w:tcPr>
            <w:tcW w:w="9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928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(20 )</w:t>
            </w:r>
          </w:p>
        </w:tc>
      </w:tr>
      <w:tr>
        <w:trPr>
          <w:trHeight w:val="229"/>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92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r>
      <w:tr>
        <w:trPr>
          <w:trHeight w:val="263"/>
        </w:trPr>
        <w:tc>
          <w:tcPr>
            <w:tcW w:w="9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5"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Deferred offering costs, which consist of direct incremental legal and accounting fees, relating to the Company’s IPO, were initially capitalized and included in prepaid expenses and other current assets on the consolidated balance sheets. Upon consummation of the IPO in May 2021, the Company reclassified $2.0 million of deferred offering costs to additional paid-in capital offsetting the IPO proceeds.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03"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The Company capitalizes qualifying internal-use software development costs related to its platform</w:t>
      </w:r>
      <w:r>
        <w:rPr>
          <w:rFonts w:ascii="Arial" w:cs="Arial" w:eastAsia="Arial" w:hAnsi="Arial"/>
          <w:sz w:val="18"/>
          <w:szCs w:val="18"/>
          <w:b w:val="1"/>
          <w:bCs w:val="1"/>
          <w:color w:val="auto"/>
        </w:rPr>
        <w:t>.</w:t>
      </w:r>
      <w:r>
        <w:rPr>
          <w:rFonts w:ascii="Arial" w:cs="Arial" w:eastAsia="Arial" w:hAnsi="Arial"/>
          <w:sz w:val="18"/>
          <w:szCs w:val="18"/>
          <w:color w:val="auto"/>
        </w:rPr>
        <w:t xml:space="preserve"> The costs consist of personnel costs (including related benefits) that are incurred during the application development stage, as well as implementation costs incurred to fulfill our contracts with customers as they (1) relate directly to the contract, (2) are expected to generate resources that will be used to satisfy the performance obligation under the contract, and (3) are expected to be recovered through revenues generated under the contract.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 During the years ended December 31, 2022, 2021 and 2020 the Company capitalized $29.8 million, $19.3 million and $14.4 million in software development costs, respectively.</w:t>
      </w:r>
    </w:p>
    <w:p>
      <w:pPr>
        <w:spacing w:after="0" w:line="95"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Capitalized costs are amortized over the estimated useful life of the software, which management estimated to be a range of three to five years, and are recorded on a straight-line basis, which represents the manner in which the expected benefit will be derived. Amortization expense is recorded in cost of revenue and operating expenses in the consolidated statement of operations aligned with the internal organizations that are the primary beneficiaries of such assets. During the years ended December 31, 2022, 2021 and 2020, the Company recorded $8.8 million, $4.9 million and $3.5 million of amortization expense in cost of revenue, and $5.9 million, $4.5 million and $3.0 million of amortization expense in operating expenses,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5" w:lineRule="exact"/>
        <w:rPr>
          <w:sz w:val="20"/>
          <w:szCs w:val="20"/>
          <w:color w:val="auto"/>
        </w:rPr>
      </w:pPr>
    </w:p>
    <w:p>
      <w:pPr>
        <w:ind w:right="420" w:firstLine="494"/>
        <w:spacing w:after="0" w:line="245" w:lineRule="auto"/>
        <w:rPr>
          <w:sz w:val="20"/>
          <w:szCs w:val="20"/>
          <w:color w:val="auto"/>
        </w:rPr>
      </w:pPr>
      <w:r>
        <w:rPr>
          <w:rFonts w:ascii="Arial" w:cs="Arial" w:eastAsia="Arial" w:hAnsi="Arial"/>
          <w:sz w:val="18"/>
          <w:szCs w:val="18"/>
          <w:color w:val="auto"/>
        </w:rPr>
        <w:t>Property and equipment, net is stated at cost less accumulated depreciation and amortization. Depreciation is computed using the straight-line method over the estimated useful life of the related asset as follows:</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Computer equipment.................................................................. 3 years</w:t>
      </w:r>
    </w:p>
    <w:p>
      <w:pPr>
        <w:spacing w:after="0" w:line="10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Furniture and fixtures ................................................................. 5 years</w:t>
      </w:r>
    </w:p>
    <w:p>
      <w:pPr>
        <w:spacing w:after="0" w:line="103" w:lineRule="exact"/>
        <w:rPr>
          <w:sz w:val="20"/>
          <w:szCs w:val="20"/>
          <w:color w:val="auto"/>
        </w:rPr>
      </w:pPr>
    </w:p>
    <w:p>
      <w:pPr>
        <w:jc w:val="both"/>
        <w:ind w:right="20" w:firstLine="494"/>
        <w:spacing w:after="0" w:line="238" w:lineRule="auto"/>
        <w:rPr>
          <w:sz w:val="20"/>
          <w:szCs w:val="20"/>
          <w:color w:val="auto"/>
        </w:rPr>
      </w:pPr>
      <w:r>
        <w:rPr>
          <w:rFonts w:ascii="Arial" w:cs="Arial" w:eastAsia="Arial" w:hAnsi="Arial"/>
          <w:sz w:val="18"/>
          <w:szCs w:val="18"/>
          <w:color w:val="auto"/>
        </w:rPr>
        <w:t>Leasehold improvements are amortized over the shorter of estimated useful life or the remaining lease term. Expenses that improve an asset or extend its remaining useful life are capitalized. Upon retirement or sale, the cost of assets disposed of, and the related accumulated depreciation, is removed from the accounts and any resulting gain or loss is reflected in other income (loss) in the consolidated statements of operations. Costs of maintenance or repairs that do not extend the lives of the respective assets are expensed as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25"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The purchase price of an acquisition is allocated to the tangible and intangible assets and liabilities assumed based on their estimated fair values at the acquisition dates. The excess of total consideration over the fair values of the assets acquired and the liabilities assumed is recorded as goodwill.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82" w:name="page83"/>
    <w:bookmarkEnd w:id="82"/>
    <w:p>
      <w:pPr>
        <w:ind w:right="760"/>
        <w:spacing w:after="0" w:line="245" w:lineRule="auto"/>
        <w:rPr>
          <w:sz w:val="20"/>
          <w:szCs w:val="20"/>
          <w:color w:val="auto"/>
        </w:rPr>
      </w:pPr>
      <w:r>
        <w:rPr>
          <w:rFonts w:ascii="Arial" w:cs="Arial" w:eastAsia="Arial" w:hAnsi="Arial"/>
          <w:sz w:val="18"/>
          <w:szCs w:val="18"/>
          <w:color w:val="auto"/>
        </w:rPr>
        <w:t>of assets acquired or liabilities assumed, whichever comes first, any subsequent adjustments would be recorded in the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(Including Goodwill and Intangible Assets)</w:t>
      </w:r>
    </w:p>
    <w:p>
      <w:pPr>
        <w:spacing w:after="0" w:line="125" w:lineRule="exact"/>
        <w:rPr>
          <w:sz w:val="20"/>
          <w:szCs w:val="20"/>
          <w:color w:val="auto"/>
        </w:rPr>
      </w:pPr>
    </w:p>
    <w:p>
      <w:pPr>
        <w:ind w:right="180" w:firstLine="494"/>
        <w:spacing w:after="0" w:line="236" w:lineRule="auto"/>
        <w:rPr>
          <w:sz w:val="20"/>
          <w:szCs w:val="20"/>
          <w:color w:val="auto"/>
        </w:rPr>
      </w:pPr>
      <w:r>
        <w:rPr>
          <w:rFonts w:ascii="Arial" w:cs="Arial" w:eastAsia="Arial" w:hAnsi="Arial"/>
          <w:sz w:val="18"/>
          <w:szCs w:val="18"/>
          <w:color w:val="auto"/>
        </w:rPr>
        <w:t>Long-lived assets with finite lives include property and equipment, capitalized internal-use software development costs, and acquired intangible assets. The Company evaluates long-lived assets, including intangible assets and capitalized internal-use software development costs,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in the amount by which the carrying amount of the assets exceeds the fair value of the asset or asset group.</w:t>
      </w:r>
    </w:p>
    <w:p>
      <w:pPr>
        <w:spacing w:after="0" w:line="99"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Goodwill is not amortized but rather tested at the reporting unit level for impairment at least annually in the fourth quarter, or more frequently if events or changes in circumstances indicate that goodwill may be impaired. The Company has three reporting units.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See Note 6 for more information regarding the carrying value of goodwill by reporting unit.</w:t>
      </w:r>
    </w:p>
    <w:p>
      <w:pPr>
        <w:spacing w:after="0" w:line="97" w:lineRule="exact"/>
        <w:rPr>
          <w:sz w:val="20"/>
          <w:szCs w:val="20"/>
          <w:color w:val="auto"/>
        </w:rPr>
      </w:pPr>
    </w:p>
    <w:p>
      <w:pPr>
        <w:ind w:right="40" w:firstLine="494"/>
        <w:spacing w:after="0" w:line="245" w:lineRule="auto"/>
        <w:rPr>
          <w:sz w:val="20"/>
          <w:szCs w:val="20"/>
          <w:color w:val="auto"/>
        </w:rPr>
      </w:pPr>
      <w:r>
        <w:rPr>
          <w:rFonts w:ascii="Arial" w:cs="Arial" w:eastAsia="Arial" w:hAnsi="Arial"/>
          <w:sz w:val="18"/>
          <w:szCs w:val="18"/>
          <w:color w:val="auto"/>
        </w:rPr>
        <w:t>When reviewing goodwill for impairment, the Company performs a qualitative assessment which considers the following circumstances as well as others:</w:t>
      </w:r>
    </w:p>
    <w:p>
      <w:pPr>
        <w:spacing w:after="0" w:line="90" w:lineRule="exact"/>
        <w:rPr>
          <w:sz w:val="20"/>
          <w:szCs w:val="20"/>
          <w:color w:val="auto"/>
        </w:rPr>
      </w:pPr>
    </w:p>
    <w:p>
      <w:pPr>
        <w:ind w:left="1020" w:right="100" w:hanging="504"/>
        <w:spacing w:after="0" w:line="245"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general macroeconomic conditions such as a deterioration in general economic conditions; limitations on accessing capital; or other developments in equity and credit markets;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industry and market conditions such as a deterioration in the environment in which the</w:t>
      </w:r>
    </w:p>
    <w:p>
      <w:pPr>
        <w:spacing w:after="0" w:line="8" w:lineRule="exact"/>
        <w:rPr>
          <w:rFonts w:ascii="Arial" w:cs="Arial" w:eastAsia="Arial" w:hAnsi="Arial"/>
          <w:sz w:val="18"/>
          <w:szCs w:val="18"/>
          <w:color w:val="auto"/>
        </w:rPr>
      </w:pPr>
    </w:p>
    <w:p>
      <w:pPr>
        <w:jc w:val="both"/>
        <w:ind w:left="1020" w:right="80"/>
        <w:spacing w:after="0" w:line="274" w:lineRule="auto"/>
        <w:rPr>
          <w:rFonts w:ascii="Arial" w:cs="Arial" w:eastAsia="Arial" w:hAnsi="Arial"/>
          <w:sz w:val="18"/>
          <w:szCs w:val="18"/>
          <w:color w:val="auto"/>
        </w:rPr>
      </w:pPr>
      <w:r>
        <w:rPr>
          <w:rFonts w:ascii="Arial" w:cs="Arial" w:eastAsia="Arial" w:hAnsi="Arial"/>
          <w:sz w:val="17"/>
          <w:szCs w:val="17"/>
          <w:color w:val="auto"/>
        </w:rPr>
        <w:t>Company operates; an increased competitive environment; a decline in market-dependent multiples or metrics (in both absolute terms and relative to peers); a change in the market for an entity’s products or services; or a regulatory or political development;</w:t>
      </w:r>
    </w:p>
    <w:p>
      <w:pPr>
        <w:spacing w:after="0" w:line="66"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cost factors that have a negative effect on earnings and cash flows;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Decline in overall financial performance (for both actual and expected performance).</w:t>
      </w:r>
    </w:p>
    <w:p>
      <w:pPr>
        <w:spacing w:after="0" w:line="117" w:lineRule="exact"/>
        <w:rPr>
          <w:sz w:val="20"/>
          <w:szCs w:val="20"/>
          <w:color w:val="auto"/>
        </w:rPr>
      </w:pPr>
    </w:p>
    <w:p>
      <w:pPr>
        <w:ind w:right="140" w:firstLine="494"/>
        <w:spacing w:after="0" w:line="245" w:lineRule="auto"/>
        <w:rPr>
          <w:sz w:val="20"/>
          <w:szCs w:val="20"/>
          <w:color w:val="auto"/>
        </w:rPr>
      </w:pPr>
      <w:r>
        <w:rPr>
          <w:rFonts w:ascii="Arial" w:cs="Arial" w:eastAsia="Arial" w:hAnsi="Arial"/>
          <w:sz w:val="18"/>
          <w:szCs w:val="18"/>
          <w:color w:val="auto"/>
        </w:rPr>
        <w:t>The Company completed its annual goodwill impairment test as of November 30, 2022 using a qualitative assessment. The Company did not recognize any impairment of goodwill during the years ended December 31, 2022 or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25" w:lineRule="exact"/>
        <w:rPr>
          <w:sz w:val="20"/>
          <w:szCs w:val="20"/>
          <w:color w:val="auto"/>
        </w:rPr>
      </w:pPr>
    </w:p>
    <w:p>
      <w:pPr>
        <w:jc w:val="both"/>
        <w:ind w:right="40" w:firstLine="494"/>
        <w:spacing w:after="0" w:line="261" w:lineRule="auto"/>
        <w:rPr>
          <w:sz w:val="20"/>
          <w:szCs w:val="20"/>
          <w:color w:val="auto"/>
        </w:rPr>
      </w:pPr>
      <w:r>
        <w:rPr>
          <w:rFonts w:ascii="Arial" w:cs="Arial" w:eastAsia="Arial" w:hAnsi="Arial"/>
          <w:sz w:val="17"/>
          <w:szCs w:val="17"/>
          <w:color w:val="auto"/>
        </w:rPr>
        <w:t>The Company classifies leases as either operating or financing at inception and as necessary at modification. Leased assets represent the Company’s right to use an underlying asset for the lease term and lease liabilities represent its obligation to make lease payments arising from the lease. The Company does not obtain and control its right to use the identified asset until the lease commencement date.</w:t>
      </w:r>
    </w:p>
    <w:p>
      <w:pPr>
        <w:spacing w:after="0" w:line="77"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Although it may have a right and an obligation to exchange lease payments for a leased asset from the date of inception, the Company is unlikely to have an obligation to make lease payments before the asset is made available for use; therefore, lease classification, recognition, and measurement are determined at the lease commencement date.</w:t>
      </w:r>
    </w:p>
    <w:p>
      <w:pPr>
        <w:spacing w:after="0" w:line="94"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The Company made accounting policy elections, including a short-term lease exception policy, permitting the Company to not apply the recognition requirements of this standard to short-term leases (i.e., leases with expected terms of 12 months or less), and an accounting policy to account for lease and certain non-lease components as a single component for certain classes of assets other than computer equipment leases. For computer equipment leases, the Company has agreements with lease and non-lease components, which are accounted for separately. For these agreements, lease payments are allocated between the lease and non-lease components based on the relative stand-alone price of these components.</w:t>
      </w:r>
    </w:p>
    <w:p>
      <w:pPr>
        <w:spacing w:after="0" w:line="95"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The Company has leases for office facilities, computer equipment, and data centers. The Company’s leases have remaining initial lease terms of less than one year to approximately five years, some of which include options to extend the leases for up to 4 years, and some of which include options to terminate the leases.</w:t>
      </w:r>
    </w:p>
    <w:p>
      <w:pPr>
        <w:spacing w:after="0" w:line="94" w:lineRule="exact"/>
        <w:rPr>
          <w:sz w:val="20"/>
          <w:szCs w:val="20"/>
          <w:color w:val="auto"/>
        </w:rPr>
      </w:pPr>
    </w:p>
    <w:p>
      <w:pPr>
        <w:ind w:right="220" w:firstLine="494"/>
        <w:spacing w:after="0" w:line="245" w:lineRule="auto"/>
        <w:rPr>
          <w:sz w:val="20"/>
          <w:szCs w:val="20"/>
          <w:color w:val="auto"/>
        </w:rPr>
      </w:pPr>
      <w:r>
        <w:rPr>
          <w:rFonts w:ascii="Arial" w:cs="Arial" w:eastAsia="Arial" w:hAnsi="Arial"/>
          <w:sz w:val="18"/>
          <w:szCs w:val="18"/>
          <w:color w:val="auto"/>
        </w:rPr>
        <w:t>Operating leases are included in operating lease ROU assets, and operating lease liabilities on the Company’s consolidated balance sheets. Operating lease ROU assets and liabilities are recognized at the lease commencement date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83" w:name="page84"/>
    <w:bookmarkEnd w:id="83"/>
    <w:p>
      <w:pPr>
        <w:ind w:right="60"/>
        <w:spacing w:after="0" w:line="236" w:lineRule="auto"/>
        <w:rPr>
          <w:sz w:val="20"/>
          <w:szCs w:val="20"/>
          <w:color w:val="auto"/>
        </w:rPr>
      </w:pPr>
      <w:r>
        <w:rPr>
          <w:rFonts w:ascii="Arial" w:cs="Arial" w:eastAsia="Arial" w:hAnsi="Arial"/>
          <w:sz w:val="18"/>
          <w:szCs w:val="18"/>
          <w:color w:val="auto"/>
        </w:rPr>
        <w:t>based on the present value of lease payments over the lease term. As the Company’s leases do not provide an implicit rate, the Company uses the incremental borrowing rate based on the information available at the commencement date in determining the present value of lease payments. The incremental borrowing rate is the rate of interest that the Company would have to pay to borrow an amount equal to the lease payments on a collateralized basis over a similar term and in a similar economic environment. The operating lease ROU asset also includes any initial direct costs, lease payments made prior to lease commencement, and lease incentives received. The Company’s lease terms are the noncancelable period including any rent-free periods provided by the lessor and may include options to extend or terminate the lease when it is reasonably certain that it will exercise that option. At lease inception, and upon modification or remeasurement, the Company estimates the lease term based on its assessment of extension and termination options that are reasonably certain to be exercised. Lease cost for lease payments is recognized on a straight-line basis over the lease term.</w:t>
      </w:r>
    </w:p>
    <w:p>
      <w:pPr>
        <w:spacing w:after="0" w:line="96"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Leased property under finance leases are included in property and equipment, net. Finance lease liabilities are included within accrued liabilities, and finance lease and other finance obligations, net of current portion on the Company’s consolidated balance sheets. Property and equipment under finance leases is generally amortized over the lease term and is included in general and administrative expenses. The interest on the finance lease liabilities is included in interest income, net.</w:t>
      </w:r>
    </w:p>
    <w:p>
      <w:pPr>
        <w:spacing w:after="0" w:line="96"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Judgment is required when determining whether any of the Company’s data center contracts contain a lease. The Company concluded a lease exists when the asset is specifically identifiable, substantially all the economic benefit of the asset is obtained, and the right to direct the use of the asset exists during the term of the 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25" w:lineRule="exact"/>
        <w:rPr>
          <w:sz w:val="20"/>
          <w:szCs w:val="20"/>
          <w:color w:val="auto"/>
        </w:rPr>
      </w:pPr>
    </w:p>
    <w:p>
      <w:pPr>
        <w:ind w:right="300" w:firstLine="494"/>
        <w:spacing w:after="0"/>
        <w:rPr>
          <w:sz w:val="20"/>
          <w:szCs w:val="20"/>
          <w:color w:val="auto"/>
        </w:rPr>
      </w:pPr>
      <w:r>
        <w:rPr>
          <w:rFonts w:ascii="Arial" w:cs="Arial" w:eastAsia="Arial" w:hAnsi="Arial"/>
          <w:sz w:val="18"/>
          <w:szCs w:val="18"/>
          <w:color w:val="auto"/>
        </w:rPr>
        <w:t>The Company accounts for treasury stock acquisitions using the cost method. The Company accounts for the retirement of treasury stock by deducting its par value from common stock or Series A preferred stock and reflecting any excess of cost over par value as a deduction from additional paid-in capital in the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w:t>
      </w:r>
    </w:p>
    <w:p>
      <w:pPr>
        <w:jc w:val="center"/>
        <w:ind w:right="160"/>
        <w:spacing w:after="0"/>
        <w:rPr>
          <w:sz w:val="20"/>
          <w:szCs w:val="20"/>
          <w:color w:val="auto"/>
        </w:rPr>
      </w:pPr>
      <w:r>
        <w:rPr>
          <w:rFonts w:ascii="Arial" w:cs="Arial" w:eastAsia="Arial" w:hAnsi="Arial"/>
          <w:sz w:val="17"/>
          <w:szCs w:val="17"/>
          <w:color w:val="auto"/>
        </w:rPr>
        <w:t>Jumpstart Our Business Startups Act of 2012 either (1) within the same periods as those otherwise applicable to public business entities, or</w:t>
      </w:r>
    </w:p>
    <w:p>
      <w:pPr>
        <w:spacing w:after="0" w:line="7" w:lineRule="exact"/>
        <w:rPr>
          <w:sz w:val="20"/>
          <w:szCs w:val="20"/>
          <w:color w:val="auto"/>
        </w:rPr>
      </w:pPr>
    </w:p>
    <w:p>
      <w:pPr>
        <w:ind w:right="140" w:firstLine="8"/>
        <w:spacing w:after="0"/>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25"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eliminating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some exceptions to the general approach in ASC 740, Income Taxes in order to reduce cost and complexity of its application. The guidance is effective for financial statements issued for fiscal years beginning after December 15, 2020, and interim periods within those fiscal years, with early adoption permitted. The Company elected to early adopt this standard on January 1, 2021. Adoption of this standard did not have a material impact on its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07"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 ("ASU 2021-08")</w:t>
      </w:r>
      <w:r>
        <w:rPr>
          <w:rFonts w:ascii="Arial" w:cs="Arial" w:eastAsia="Arial" w:hAnsi="Arial"/>
          <w:sz w:val="18"/>
          <w:szCs w:val="18"/>
          <w:color w:val="auto"/>
        </w:rPr>
        <w:t>. ASU 2021-08 will require companies to apply the definition of a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under ASU 2014-09</w:t>
      </w:r>
      <w:r>
        <w:rPr>
          <w:rFonts w:ascii="Arial" w:cs="Arial" w:eastAsia="Arial" w:hAnsi="Arial"/>
          <w:sz w:val="18"/>
          <w:szCs w:val="18"/>
          <w:i w:val="1"/>
          <w:iCs w:val="1"/>
          <w:color w:val="auto"/>
        </w:rPr>
        <w:t>, Revenue from contracts with customers (“Topic 606”)</w:t>
      </w:r>
      <w:r>
        <w:rPr>
          <w:rFonts w:ascii="Arial" w:cs="Arial" w:eastAsia="Arial" w:hAnsi="Arial"/>
          <w:sz w:val="18"/>
          <w:szCs w:val="18"/>
          <w:color w:val="auto"/>
        </w:rPr>
        <w:t xml:space="preserve"> to recognize and measure contract assets and contract liabilities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2021-08 will result in the acquirer recording acquired contract assets and liabilities on the same basis that would have been recorded by the acquiree before the acquisition under ASU Topic 606. ASU 2021-08 is effective for fiscal years beginning after December 15, 2022, with early adoption permitted. The Company is currently evaluating the impact of this ASU on its consolidated financial statements but does not believe it will have a material impact.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84" w:name="page85"/>
    <w:bookmarkEnd w:id="84"/>
    <w:p>
      <w:pPr>
        <w:ind w:left="400" w:hanging="392"/>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Revenue, Performance Obligations and Contract Balances</w:t>
      </w:r>
    </w:p>
    <w:p>
      <w:pPr>
        <w:spacing w:after="0" w:line="233"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Pursuant to ASC 606, the Company evaluates the services promised in contracts with customers at contract inception, and identifies a performance obligation for each promise to transfer a service that is distinct. For the payment transaction services, the promise to the customer is that the Company stands ready to process payment transactions the customer requests on a daily basis over the contract term. Since the timing and quantity of transactions to be processed by Paymentus is not determinable, the Company views payment services to comprise an obligation to stand ready to process as many transactions as the customer requests. Under a stand-ready obligation, the evaluation of the nature of a performance obligation is focused on each time increment rather than the underlying activities. Therefore, the Company views payment services to comprise a series of distinct days of service that are substantially the same and have the same pattern of transfer to the customer. Accordingly, the promise to stand ready is accounted for as a single-series performance obligation.</w:t>
      </w:r>
    </w:p>
    <w:p>
      <w:pPr>
        <w:spacing w:after="0" w:line="98"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ASC 606 requires that the Company determines for each customer arrangement whether revenue should be recognized at a point in time or over time. Substantially all of the Company’s revenues are recognized over time. The majority of the payment transaction services are priced as a percentage of transaction value or a specified fee per transaction. Given the nature of the promise based on unknown quantities or outcomes of services to be performed over the contract term, the total consideration is determined to be variable consideration. The variable consideration for the Company’s payment service is usage-based and, therefore, it specifically relates to the Company’s efforts to satisfy its payment services obligation. The variability is satisfied each day the service is provided to the customer. The Company directly assigns variable fees to the distinct day of service to which it relates, by considering the services performed each day. Therefore, Paymentus measures revenue for its payment service on a daily basis based on the services that are performed on that day and recognizes revenue once the transaction is complete.</w:t>
      </w:r>
    </w:p>
    <w:p>
      <w:pPr>
        <w:spacing w:after="0" w:line="96" w:lineRule="exact"/>
        <w:rPr>
          <w:sz w:val="20"/>
          <w:szCs w:val="20"/>
          <w:color w:val="auto"/>
        </w:rPr>
      </w:pPr>
    </w:p>
    <w:p>
      <w:pPr>
        <w:ind w:right="120" w:firstLine="494"/>
        <w:spacing w:after="0" w:line="236" w:lineRule="auto"/>
        <w:rPr>
          <w:sz w:val="20"/>
          <w:szCs w:val="20"/>
          <w:color w:val="auto"/>
        </w:rPr>
      </w:pPr>
      <w:r>
        <w:rPr>
          <w:rFonts w:ascii="Arial" w:cs="Arial" w:eastAsia="Arial" w:hAnsi="Arial"/>
          <w:sz w:val="18"/>
          <w:szCs w:val="18"/>
          <w:color w:val="auto"/>
        </w:rPr>
        <w:t>The initial term of customer contracts is typically between three to five years. Termination provisions vary by customer, however the majority of customers may not terminate their contract early without penalty. Some of the contracts include tiered pricing, based primarily on volume. The fee charged per transaction is adjusted up or down if the volume processed for a specified period is different from prior period defined volumes. The Company has concluded that this volume-based pricing approach does not constitute a future material right since the discount is within a range typically offered to a class of customers with similar volume. In addition, some contracts include prescribed annual or monthly minimums, penalties for early termination, and service level agreements that may affect contractual fees if specific service levels are not achieved. The Company has determined that these processing services represent a stand-ready obligation comprising a series of distinct days of services that are substantially the same and have the same pattern of transfer to the customer.</w:t>
      </w:r>
    </w:p>
    <w:p>
      <w:pPr>
        <w:spacing w:after="0" w:line="98"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The Company also has partner agreements, some of which contain guaranteed revenue or transaction minimum commitments and revenue sharing arrangements. Because of these minimum commitments, the Company has to evaluate the agreements to determine the fixed and variable consideration and the amount of revenue to be recognized. For the minimum commitments, the Company records the fixed consideration ratably over the commitment period and the variable consideration to the extent that the Company believes that the variable consideration is not constrained. The revenue recorded for these arrangements is net of any revenue sharing with the customer, which is typically determined based on a calculation of revenue less certain fees incurred by the Company, as defined in the agreement.</w:t>
      </w:r>
    </w:p>
    <w:p>
      <w:pPr>
        <w:spacing w:after="0" w:line="95" w:lineRule="exact"/>
        <w:rPr>
          <w:sz w:val="20"/>
          <w:szCs w:val="20"/>
          <w:color w:val="auto"/>
        </w:rPr>
      </w:pPr>
    </w:p>
    <w:p>
      <w:pPr>
        <w:ind w:right="20" w:firstLine="494"/>
        <w:spacing w:after="0" w:line="235" w:lineRule="auto"/>
        <w:rPr>
          <w:sz w:val="20"/>
          <w:szCs w:val="20"/>
          <w:color w:val="auto"/>
        </w:rPr>
      </w:pPr>
      <w:r>
        <w:rPr>
          <w:rFonts w:ascii="Arial" w:cs="Arial" w:eastAsia="Arial" w:hAnsi="Arial"/>
          <w:sz w:val="18"/>
          <w:szCs w:val="18"/>
          <w:color w:val="auto"/>
        </w:rPr>
        <w:t>The Company recognizes fees charged to customers primarily on a gross basis as transaction revenue when the Company is the principal in respect of completing a payment transaction. In order to provide payment services, the Company routes and clears each transaction through the applicable payment network. The Company obtains authorization for the transaction and requests funds settlement from the card issuing financial institution through the payment network. When third parties are involved in the transfer of goods or services to customers, the Company considers the nature of each specific promised good or service and applies judgment to determine whether the Company controls the good or service before it is transferred to the customer or whether the Company is acting as an agent of the third party. To determine whether or not the Company controls the good or service before it is transferred to the customer, the Company assesses indicators including whether the Company or the third party is primarily responsible for fulfillment and which party has discretion in determining pricing for the good or service, as well as other considerations. Based on an assessment of these indicators, the Company has concluded that the Company bears primary responsibility for the fulfillment of the payment service with the majority of the customers, contracts directly with customers, controls the product specifications, and defines the value proposal from the Company’s services. The Company therefore bears full margin risk when completing a payment transaction, and on that basis, controls those services prior to being transferred to the customer. The interchange fees charged by the card issuing financial institutions and the fees charged by the payment networks are recognized as transaction expense within cost of revenue in the consolidated statements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5" w:name="page86"/>
    <w:bookmarkEnd w:id="85"/>
    <w:p>
      <w:pPr>
        <w:ind w:firstLine="494"/>
        <w:spacing w:after="0" w:line="237" w:lineRule="auto"/>
        <w:rPr>
          <w:sz w:val="20"/>
          <w:szCs w:val="20"/>
          <w:color w:val="auto"/>
        </w:rPr>
      </w:pPr>
      <w:r>
        <w:rPr>
          <w:rFonts w:ascii="Arial" w:cs="Arial" w:eastAsia="Arial" w:hAnsi="Arial"/>
          <w:sz w:val="18"/>
          <w:szCs w:val="18"/>
          <w:color w:val="auto"/>
        </w:rPr>
        <w:t>ASC 606 requires disclosure of the aggregate amount of the transaction price allocated to unsatisfied performance obligations. As permitted by ASC 606, the Company has elected to exclude from this disclosure any contracts with an original duration of one year or less and any variable consideration that meets specified criteria. As described above,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disaggregation of revenue from contracts with customers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250"/>
        </w:trPr>
        <w:tc>
          <w:tcPr>
            <w:tcW w:w="65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1"/>
                <w:szCs w:val="21"/>
                <w:color w:val="auto"/>
              </w:rPr>
            </w:pPr>
          </w:p>
        </w:tc>
      </w:tr>
      <w:tr>
        <w:trPr>
          <w:trHeight w:val="22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transaction processing 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490,377</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390,703</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297,494</w:t>
            </w:r>
          </w:p>
        </w:tc>
        <w:tc>
          <w:tcPr>
            <w:tcW w:w="240" w:type="dxa"/>
            <w:vAlign w:val="bottom"/>
            <w:shd w:val="clear" w:color="auto" w:fill="CFF0FC"/>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6,624</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240" w:type="dxa"/>
            <w:vAlign w:val="bottom"/>
          </w:tcPr>
          <w:p>
            <w:pPr>
              <w:spacing w:after="0"/>
              <w:rPr>
                <w:sz w:val="19"/>
                <w:szCs w:val="19"/>
                <w:color w:val="auto"/>
              </w:rPr>
            </w:pPr>
          </w:p>
        </w:tc>
      </w:tr>
      <w:tr>
        <w:trPr>
          <w:trHeight w:val="263"/>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497,001</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395,524</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301,767</w:t>
            </w:r>
          </w:p>
        </w:tc>
        <w:tc>
          <w:tcPr>
            <w:tcW w:w="2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-24765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-7620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25" w:lineRule="exact"/>
        <w:rPr>
          <w:sz w:val="20"/>
          <w:szCs w:val="20"/>
          <w:color w:val="auto"/>
        </w:rPr>
      </w:pPr>
    </w:p>
    <w:p>
      <w:pPr>
        <w:ind w:left="60" w:right="2240" w:firstLine="444"/>
        <w:spacing w:after="0" w:line="238" w:lineRule="auto"/>
        <w:rPr>
          <w:sz w:val="20"/>
          <w:szCs w:val="20"/>
          <w:color w:val="auto"/>
        </w:rPr>
      </w:pPr>
      <w:r>
        <w:rPr>
          <w:rFonts w:ascii="Arial" w:cs="Arial" w:eastAsia="Arial" w:hAnsi="Arial"/>
          <w:sz w:val="18"/>
          <w:szCs w:val="18"/>
          <w:color w:val="auto"/>
        </w:rPr>
        <w:t>ASU Topic 606 requires disclosure of the aggregate amount of the transaction price allocated to unsatisfied performance obligations. The purpose of this disclosure is to provide additional information about the amounts and expected timing of revenue to be recognized from the remaining performance obligations in our existing contracts.</w:t>
      </w:r>
    </w:p>
    <w:p>
      <w:pPr>
        <w:spacing w:after="0" w:line="96" w:lineRule="exact"/>
        <w:rPr>
          <w:sz w:val="20"/>
          <w:szCs w:val="20"/>
          <w:color w:val="auto"/>
        </w:rPr>
      </w:pPr>
    </w:p>
    <w:p>
      <w:pPr>
        <w:ind w:right="340" w:firstLine="494"/>
        <w:spacing w:after="0"/>
        <w:rPr>
          <w:sz w:val="20"/>
          <w:szCs w:val="20"/>
          <w:color w:val="auto"/>
        </w:rPr>
      </w:pPr>
      <w:r>
        <w:rPr>
          <w:rFonts w:ascii="Arial" w:cs="Arial" w:eastAsia="Arial" w:hAnsi="Arial"/>
          <w:sz w:val="18"/>
          <w:szCs w:val="18"/>
          <w:color w:val="auto"/>
        </w:rPr>
        <w:t>As of December 31, 2022, the aggregate amount of transaction price allocated to performance obligations that are unsatisfied or partially unsatisfied was $7.2 million, which the Company expects to recognize over 75% within the next two years. The timing of revenue recognition within the next year is largely dependent upon the go-live dates of the Company's contracts.</w:t>
      </w:r>
    </w:p>
    <w:p>
      <w:pPr>
        <w:spacing w:after="0" w:line="94"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As of December 31, 2022, the Company has contractual rights under its commercial agreements to receive approximately $58.2 million of fixed consideration related to the future minimum revenue or transaction guarantees through 2026.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00" w:lineRule="exact"/>
        <w:rPr>
          <w:sz w:val="20"/>
          <w:szCs w:val="20"/>
          <w:color w:val="auto"/>
        </w:rPr>
      </w:pPr>
    </w:p>
    <w:p>
      <w:pPr>
        <w:spacing w:after="0" w:line="330"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The contract asset balance at December 31, 2022 was $9.7 million of which $2.7 million was included in prepaid expenses and other current assets and $7.0 million was included in other long-term assets in the consolidated balance sheets. The contract asset balance at December 31, 2021 was $5.6 million of which $1.7 million was included in prepaid expenses and other current assets and $3.9 million was included in other long-term assets in the consolidated balance sheets. The increase in the contract asset balance was primarily related to the addition of new warrants, see Note 10 for details. During the year ended December 31, 2022 and 2021, the Company reduced revenue and the related contract assets by $2.1 million and $0.9 million, respectively.</w:t>
      </w:r>
    </w:p>
    <w:p>
      <w:pPr>
        <w:spacing w:after="0" w:line="95"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The Company recorded $7.2 million and $3.9 million of contract liabilities in the consolidated balance sheets as of December 31, 2022 and December 31, 2021, respectively. Of the $3.9 million contract liabilities included as of December 31, 2021, $2.8 million was related to acquisitions made during the year ended December 31, 2021. The change in the contract liabilities is primarily the result of timing differences between payment from the customer and the Company’s satisfaction of each performance obligation. The revenue recognized that was included in the contract liabilities balance at the beginning of each of the years ended December 31, 2022 and 2021 was $1.0 million and $0.6 million, respectively.</w:t>
      </w:r>
    </w:p>
    <w:p>
      <w:pPr>
        <w:spacing w:after="0" w:line="181"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PayVeris, LLC</w:t>
      </w:r>
    </w:p>
    <w:p>
      <w:pPr>
        <w:spacing w:after="0" w:line="125" w:lineRule="exact"/>
        <w:rPr>
          <w:sz w:val="20"/>
          <w:szCs w:val="20"/>
          <w:color w:val="auto"/>
        </w:rPr>
      </w:pPr>
    </w:p>
    <w:p>
      <w:pPr>
        <w:ind w:right="220" w:firstLine="494"/>
        <w:spacing w:after="0" w:line="238" w:lineRule="auto"/>
        <w:rPr>
          <w:sz w:val="20"/>
          <w:szCs w:val="20"/>
          <w:color w:val="auto"/>
        </w:rPr>
      </w:pPr>
      <w:r>
        <w:rPr>
          <w:rFonts w:ascii="Arial" w:cs="Arial" w:eastAsia="Arial" w:hAnsi="Arial"/>
          <w:sz w:val="18"/>
          <w:szCs w:val="18"/>
          <w:color w:val="auto"/>
        </w:rPr>
        <w:t>On September 1, 2021, the Company completed its acquisition of PayVeris, LLC ("Payveris") by acquiring all outstanding equity interests for a total purchase price of approximately $145.5 million, comprised of $85.1 million in cash and 2,364,270 shares of the Company's Class A common stock with a fair value of approximately $60.4 million. Payveris is a payment processing company for financial institutions. The acquisition was expected to increase the addressable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86" w:name="page87"/>
    <w:bookmarkEnd w:id="86"/>
    <w:p>
      <w:pPr>
        <w:ind w:right="680"/>
        <w:spacing w:after="0" w:line="245" w:lineRule="auto"/>
        <w:rPr>
          <w:sz w:val="20"/>
          <w:szCs w:val="20"/>
          <w:color w:val="auto"/>
        </w:rPr>
      </w:pPr>
      <w:r>
        <w:rPr>
          <w:rFonts w:ascii="Arial" w:cs="Arial" w:eastAsia="Arial" w:hAnsi="Arial"/>
          <w:sz w:val="18"/>
          <w:szCs w:val="18"/>
          <w:color w:val="auto"/>
        </w:rPr>
        <w:t>market opportunity for the Company's existing solutions while also enhancing Payveris’ platform with real-time capabilities, enhanced electronic bill presentment and additional payment options for banks, credit unions and financial institutions of all sizes.</w:t>
      </w:r>
    </w:p>
    <w:p>
      <w:pPr>
        <w:spacing w:after="0" w:line="90" w:lineRule="exact"/>
        <w:rPr>
          <w:sz w:val="20"/>
          <w:szCs w:val="20"/>
          <w:color w:val="auto"/>
        </w:rPr>
      </w:pPr>
    </w:p>
    <w:p>
      <w:pPr>
        <w:ind w:right="140" w:firstLine="494"/>
        <w:spacing w:after="0" w:line="261"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7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includes software acquired</w:t>
            </w:r>
          </w:p>
        </w:tc>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38,498</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108,950</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Restricted funds held for financial institutions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31,459</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institution funds in-transit</w:t>
            </w:r>
          </w:p>
        </w:tc>
        <w:tc>
          <w:tcPr>
            <w:tcW w:w="7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(31,459 )</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(194 )</w:t>
            </w: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7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(265 )</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7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(2,805 )</w:t>
            </w:r>
          </w:p>
        </w:tc>
      </w:tr>
      <w:tr>
        <w:trPr>
          <w:trHeight w:val="263"/>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145,524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40" w:firstLine="494"/>
        <w:spacing w:after="0" w:line="261" w:lineRule="auto"/>
        <w:rPr>
          <w:sz w:val="20"/>
          <w:szCs w:val="20"/>
          <w:color w:val="auto"/>
        </w:rPr>
      </w:pPr>
      <w:r>
        <w:rPr>
          <w:rFonts w:ascii="Arial" w:cs="Arial" w:eastAsia="Arial" w:hAnsi="Arial"/>
          <w:sz w:val="17"/>
          <w:szCs w:val="17"/>
          <w:color w:val="auto"/>
        </w:rPr>
        <w:t>The finalization of the purchase price allocation did not result in any changes to the preliminary estimate. The Company recorded a measurement period adjustment of $8.5 million during the fourth quarter of 2021 to decrease trademarks and increase goodwill related to the refinement of inputs of the acquisition valuation. There were no measurement period adjustments during the year ended December 31, 2022.</w:t>
      </w:r>
    </w:p>
    <w:p>
      <w:pPr>
        <w:spacing w:after="0" w:line="77" w:lineRule="exact"/>
        <w:rPr>
          <w:sz w:val="20"/>
          <w:szCs w:val="20"/>
          <w:color w:val="auto"/>
        </w:rPr>
      </w:pPr>
    </w:p>
    <w:p>
      <w:pPr>
        <w:ind w:right="600" w:firstLine="494"/>
        <w:spacing w:after="0" w:line="245" w:lineRule="auto"/>
        <w:rPr>
          <w:sz w:val="20"/>
          <w:szCs w:val="20"/>
          <w:color w:val="auto"/>
        </w:rPr>
      </w:pPr>
      <w:r>
        <w:rPr>
          <w:rFonts w:ascii="Arial" w:cs="Arial" w:eastAsia="Arial" w:hAnsi="Arial"/>
          <w:sz w:val="18"/>
          <w:szCs w:val="18"/>
          <w:color w:val="auto"/>
        </w:rPr>
        <w:t>The goodwill recognized was primarily attributed to increased synergies that are expected to be achieved from the integration of Payveris and the assembled workforce. The goodwill is deductible for income tax purposes.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values and estimated useful lives of the acquired intangible assets by category were as follows (in thousands, except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r>
      <w:tr>
        <w:trPr>
          <w:trHeight w:val="189"/>
        </w:trPr>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8040" w:type="dxa"/>
            <w:vAlign w:val="bottom"/>
            <w:shd w:val="clear" w:color="auto" w:fill="CFF0FC"/>
          </w:tcPr>
          <w:p>
            <w:pPr>
              <w:ind w:left="8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26,154</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r>
      <w:tr>
        <w:trPr>
          <w:trHeight w:val="229"/>
        </w:trPr>
        <w:tc>
          <w:tcPr>
            <w:tcW w:w="8040" w:type="dxa"/>
            <w:vAlign w:val="bottom"/>
          </w:tcPr>
          <w:p>
            <w:pPr>
              <w:ind w:left="60"/>
              <w:spacing w:after="0"/>
              <w:rPr>
                <w:sz w:val="20"/>
                <w:szCs w:val="20"/>
                <w:color w:val="auto"/>
              </w:rPr>
            </w:pPr>
            <w:r>
              <w:rPr>
                <w:rFonts w:ascii="Arial" w:cs="Arial" w:eastAsia="Arial" w:hAnsi="Arial"/>
                <w:sz w:val="18"/>
                <w:szCs w:val="18"/>
                <w:color w:val="auto"/>
              </w:rPr>
              <w:t>Trademarks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29"/>
        </w:trPr>
        <w:tc>
          <w:tcPr>
            <w:tcW w:w="80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Developed Technology</w:t>
            </w: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8,102</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40" w:type="dxa"/>
            <w:vAlign w:val="bottom"/>
          </w:tcPr>
          <w:p>
            <w:pPr>
              <w:ind w:left="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38,249</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6178550</wp:posOffset>
            </wp:positionH>
            <wp:positionV relativeFrom="paragraph">
              <wp:posOffset>-179070</wp:posOffset>
            </wp:positionV>
            <wp:extent cx="68580" cy="17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Finovera, Inc.</w:t>
      </w:r>
    </w:p>
    <w:p>
      <w:pPr>
        <w:spacing w:after="0" w:line="125" w:lineRule="exact"/>
        <w:rPr>
          <w:sz w:val="20"/>
          <w:szCs w:val="20"/>
          <w:color w:val="auto"/>
        </w:rPr>
      </w:pPr>
    </w:p>
    <w:p>
      <w:pPr>
        <w:ind w:right="160" w:firstLine="494"/>
        <w:spacing w:after="0" w:line="236" w:lineRule="auto"/>
        <w:rPr>
          <w:sz w:val="20"/>
          <w:szCs w:val="20"/>
          <w:color w:val="auto"/>
        </w:rPr>
      </w:pPr>
      <w:r>
        <w:rPr>
          <w:rFonts w:ascii="Arial" w:cs="Arial" w:eastAsia="Arial" w:hAnsi="Arial"/>
          <w:sz w:val="18"/>
          <w:szCs w:val="18"/>
          <w:color w:val="auto"/>
        </w:rPr>
        <w:t>On September 2, 2021, the Company completed its acquisition of Finovera by acquiring all outstanding shares for a total purchase price of approximately $12.9 million, net of cash acquired, comprised of $5.0 million in cash of which $0.8 million is being held back by the Company for a period of twenty-four months following the transaction closing date and is recorded in finance leases and other finance obligations, net of current portion in the consolidated balance sheets, and 293,506 shares of the Company's Class A common stock with a fair value of approximately $7.9 million. Finovera was a bill aggregation technology provider for financial institutions. The acquisition of Finovera was expected to increase the addressable market opportunity for the Company's biller and financial institution solutions by, among other things, increasing the availability of certain bill data. Effective March 31, 2022, Finovera was merged with and into Payveris, with Payveris as the surviving company.</w:t>
      </w:r>
    </w:p>
    <w:p>
      <w:pPr>
        <w:spacing w:after="0" w:line="98" w:lineRule="exact"/>
        <w:rPr>
          <w:sz w:val="20"/>
          <w:szCs w:val="20"/>
          <w:color w:val="auto"/>
        </w:rPr>
      </w:pPr>
    </w:p>
    <w:p>
      <w:pPr>
        <w:ind w:right="140" w:firstLine="494"/>
        <w:spacing w:after="0" w:line="261"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(85 )</w:t>
            </w: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7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(72 )</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7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(588 )</w:t>
            </w:r>
          </w:p>
        </w:tc>
      </w:tr>
      <w:tr>
        <w:trPr>
          <w:trHeight w:val="263"/>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80" w:firstLine="494"/>
        <w:spacing w:after="0" w:line="245" w:lineRule="auto"/>
        <w:rPr>
          <w:sz w:val="20"/>
          <w:szCs w:val="20"/>
          <w:color w:val="auto"/>
        </w:rPr>
      </w:pPr>
      <w:r>
        <w:rPr>
          <w:rFonts w:ascii="Arial" w:cs="Arial" w:eastAsia="Arial" w:hAnsi="Arial"/>
          <w:sz w:val="18"/>
          <w:szCs w:val="18"/>
          <w:color w:val="auto"/>
        </w:rPr>
        <w:t>The finalization of the purchase price allocation did not result in any changes to the preliminary estimate. There were no measurement period adjustments during the year ended December 31, 2022.</w:t>
      </w:r>
    </w:p>
    <w:p>
      <w:pPr>
        <w:spacing w:after="0" w:line="90" w:lineRule="exact"/>
        <w:rPr>
          <w:sz w:val="20"/>
          <w:szCs w:val="20"/>
          <w:color w:val="auto"/>
        </w:rPr>
      </w:pPr>
    </w:p>
    <w:p>
      <w:pPr>
        <w:ind w:right="600" w:firstLine="494"/>
        <w:spacing w:after="0" w:line="245" w:lineRule="auto"/>
        <w:rPr>
          <w:sz w:val="20"/>
          <w:szCs w:val="20"/>
          <w:color w:val="auto"/>
        </w:rPr>
      </w:pPr>
      <w:r>
        <w:rPr>
          <w:rFonts w:ascii="Arial" w:cs="Arial" w:eastAsia="Arial" w:hAnsi="Arial"/>
          <w:sz w:val="18"/>
          <w:szCs w:val="18"/>
          <w:color w:val="auto"/>
        </w:rPr>
        <w:t>The goodwill recognized was primarily attributed to increased synergies that are expected to be achieved from the integration of Finovera's business operations and the assembled workforce. The goodwill is not deductible for income tax purposes.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values and estimated useful lives of the acquired intangible assets by category were as follows (in thousands, except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r>
      <w:tr>
        <w:trPr>
          <w:trHeight w:val="189"/>
        </w:trPr>
        <w:tc>
          <w:tcPr>
            <w:tcW w:w="804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8040" w:type="dxa"/>
            <w:vAlign w:val="bottom"/>
            <w:shd w:val="clear" w:color="auto" w:fill="CFF0FC"/>
          </w:tcPr>
          <w:p>
            <w:pPr>
              <w:ind w:left="80"/>
              <w:spacing w:after="0"/>
              <w:rPr>
                <w:sz w:val="20"/>
                <w:szCs w:val="20"/>
                <w:color w:val="auto"/>
              </w:rPr>
            </w:pPr>
            <w:r>
              <w:rPr>
                <w:rFonts w:ascii="Arial" w:cs="Arial" w:eastAsia="Arial" w:hAnsi="Arial"/>
                <w:sz w:val="18"/>
                <w:szCs w:val="18"/>
                <w:color w:val="auto"/>
              </w:rPr>
              <w:t>Developed Technology</w:t>
            </w:r>
          </w:p>
        </w:tc>
        <w:tc>
          <w:tcPr>
            <w:tcW w:w="1200" w:type="dxa"/>
            <w:vAlign w:val="bottom"/>
            <w:shd w:val="clear" w:color="auto" w:fill="CFF0FC"/>
          </w:tcPr>
          <w:p>
            <w:pPr>
              <w:jc w:val="right"/>
              <w:ind w:right="10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5,155</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29"/>
        </w:trPr>
        <w:tc>
          <w:tcPr>
            <w:tcW w:w="8040" w:type="dxa"/>
            <w:vAlign w:val="bottom"/>
          </w:tcPr>
          <w:p>
            <w:pPr>
              <w:ind w:left="8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63"/>
        </w:trPr>
        <w:tc>
          <w:tcPr>
            <w:tcW w:w="80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FF0FC"/>
          </w:tcPr>
          <w:p>
            <w:pPr>
              <w:jc w:val="right"/>
              <w:ind w:right="10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Financial, Inc.</w:t>
      </w:r>
    </w:p>
    <w:p>
      <w:pPr>
        <w:spacing w:after="0" w:line="125"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On December 19, 2022, the Company completed its acquisition of PROFIT Financial, Inc. ("PROFIT") by acquiring all outstanding shares of PROFIT for a total purchase price of approximately $4.3 million, net of cash acquired, comprised of $3.3 million cash of which $0.1 million is included as a short term payable at December 31, 2022 and $0.6 million is being held back by the Company for a period of twelve to twenty-four months following the transaction close date and is recorded in finance leases and other finance obligations, net of current portion in the consolidated balance sheets. PROFIT is a financial and accounting software company with offerings to small business. The acquisition of PROFIT is expected to increase the Company's market opportunities for the Company's existing solutions while enhancing the PROFIT platform.</w:t>
      </w:r>
    </w:p>
    <w:p>
      <w:pPr>
        <w:spacing w:after="0" w:line="99" w:lineRule="exact"/>
        <w:rPr>
          <w:sz w:val="20"/>
          <w:szCs w:val="20"/>
          <w:color w:val="auto"/>
        </w:rPr>
      </w:pPr>
    </w:p>
    <w:p>
      <w:pPr>
        <w:ind w:right="140" w:firstLine="494"/>
        <w:spacing w:after="0" w:line="261"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00" w:type="dxa"/>
            <w:vAlign w:val="bottom"/>
          </w:tcPr>
          <w:p>
            <w:pPr>
              <w:ind w:left="20"/>
              <w:spacing w:after="0"/>
              <w:rPr>
                <w:sz w:val="20"/>
                <w:szCs w:val="20"/>
                <w:color w:val="auto"/>
              </w:rPr>
            </w:pPr>
            <w:r>
              <w:rPr>
                <w:rFonts w:ascii="Arial" w:cs="Arial" w:eastAsia="Arial" w:hAnsi="Arial"/>
                <w:sz w:val="18"/>
                <w:szCs w:val="18"/>
                <w:color w:val="auto"/>
              </w:rPr>
              <w:t>Cash</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8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taxes</w:t>
            </w:r>
          </w:p>
        </w:tc>
        <w:tc>
          <w:tcPr>
            <w:tcW w:w="8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(382 )</w:t>
            </w:r>
          </w:p>
        </w:tc>
      </w:tr>
      <w:tr>
        <w:trPr>
          <w:trHeight w:val="223"/>
        </w:trPr>
        <w:tc>
          <w:tcPr>
            <w:tcW w:w="9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4,261</w:t>
            </w:r>
          </w:p>
        </w:tc>
        <w:tc>
          <w:tcPr>
            <w:tcW w:w="100" w:type="dxa"/>
            <w:vAlign w:val="bottom"/>
            <w:tcBorders>
              <w:top w:val="single" w:sz="8" w:color="CFF0FC"/>
            </w:tcBorders>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87" w:lineRule="exact"/>
        <w:rPr>
          <w:sz w:val="20"/>
          <w:szCs w:val="20"/>
          <w:color w:val="auto"/>
        </w:rPr>
      </w:pPr>
    </w:p>
    <w:p>
      <w:pPr>
        <w:ind w:right="160" w:firstLine="494"/>
        <w:spacing w:after="0"/>
        <w:rPr>
          <w:sz w:val="20"/>
          <w:szCs w:val="20"/>
          <w:color w:val="auto"/>
        </w:rPr>
      </w:pPr>
      <w:r>
        <w:rPr>
          <w:rFonts w:ascii="Arial" w:cs="Arial" w:eastAsia="Arial" w:hAnsi="Arial"/>
          <w:sz w:val="18"/>
          <w:szCs w:val="18"/>
          <w:color w:val="auto"/>
        </w:rPr>
        <w:t>The purchase price allocation is preliminary. The Company continues to collect information with regard to its estimates and assumptions, including potential liabilities. The Company will record adjustments to the fair value of net assets acquired and goodwill within 12 months of the measurement period.</w:t>
      </w:r>
    </w:p>
    <w:p>
      <w:pPr>
        <w:spacing w:after="0" w:line="94" w:lineRule="exact"/>
        <w:rPr>
          <w:sz w:val="20"/>
          <w:szCs w:val="20"/>
          <w:color w:val="auto"/>
        </w:rPr>
      </w:pPr>
    </w:p>
    <w:p>
      <w:pPr>
        <w:ind w:right="600" w:firstLine="494"/>
        <w:spacing w:after="0" w:line="245" w:lineRule="auto"/>
        <w:rPr>
          <w:sz w:val="20"/>
          <w:szCs w:val="20"/>
          <w:color w:val="auto"/>
        </w:rPr>
      </w:pPr>
      <w:r>
        <w:rPr>
          <w:rFonts w:ascii="Arial" w:cs="Arial" w:eastAsia="Arial" w:hAnsi="Arial"/>
          <w:sz w:val="18"/>
          <w:szCs w:val="18"/>
          <w:color w:val="auto"/>
        </w:rPr>
        <w:t>The goodwill recognized was primarily attributed to increased synergies that are expected to be achieved from the integration of PROFIT and the assembled workforce. The goodwill is not deductible for income tax purposes.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values and estimated useful lives of the acquired intangible assets by category were as follows (in thousands, except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80"/>
              <w:spacing w:after="0"/>
              <w:rPr>
                <w:sz w:val="20"/>
                <w:szCs w:val="20"/>
                <w:color w:val="auto"/>
              </w:rPr>
            </w:pPr>
            <w:r>
              <w:rPr>
                <w:rFonts w:ascii="Arial" w:cs="Arial" w:eastAsia="Arial" w:hAnsi="Arial"/>
                <w:sz w:val="18"/>
                <w:szCs w:val="18"/>
                <w:color w:val="auto"/>
              </w:rPr>
              <w:t>Brand</w:t>
            </w:r>
          </w:p>
        </w:tc>
        <w:tc>
          <w:tcPr>
            <w:tcW w:w="5540" w:type="dxa"/>
            <w:vAlign w:val="bottom"/>
            <w:gridSpan w:val="2"/>
          </w:tcPr>
          <w:p>
            <w:pPr>
              <w:jc w:val="right"/>
              <w:ind w:right="102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Developed Technology</w:t>
            </w:r>
          </w:p>
        </w:tc>
        <w:tc>
          <w:tcPr>
            <w:tcW w:w="43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60"/>
              <w:spacing w:after="0"/>
              <w:rPr>
                <w:sz w:val="20"/>
                <w:szCs w:val="20"/>
                <w:color w:val="auto"/>
              </w:rPr>
            </w:pPr>
            <w:r>
              <w:rPr>
                <w:rFonts w:ascii="Arial" w:cs="Arial" w:eastAsia="Arial" w:hAnsi="Arial"/>
                <w:sz w:val="18"/>
                <w:szCs w:val="18"/>
                <w:color w:val="auto"/>
              </w:rPr>
              <w:t>Total</w:t>
            </w:r>
          </w:p>
        </w:tc>
        <w:tc>
          <w:tcPr>
            <w:tcW w:w="5540" w:type="dxa"/>
            <w:vAlign w:val="bottom"/>
            <w:gridSpan w:val="2"/>
          </w:tcPr>
          <w:p>
            <w:pPr>
              <w:jc w:val="right"/>
              <w:ind w:right="102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1,873</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340" w:type="dxa"/>
            <w:vAlign w:val="bottom"/>
            <w:vMerge w:val="restart"/>
          </w:tcPr>
          <w:p>
            <w:pPr>
              <w:jc w:val="right"/>
              <w:ind w:right="2230"/>
              <w:spacing w:after="0"/>
              <w:rPr>
                <w:sz w:val="20"/>
                <w:szCs w:val="20"/>
                <w:color w:val="auto"/>
              </w:rPr>
            </w:pPr>
            <w:r>
              <w:rPr>
                <w:rFonts w:ascii="Arial" w:cs="Arial" w:eastAsia="Arial" w:hAnsi="Arial"/>
                <w:sz w:val="18"/>
                <w:szCs w:val="18"/>
                <w:color w:val="auto"/>
              </w:rPr>
              <w:t>87</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70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0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6178550</wp:posOffset>
            </wp:positionH>
            <wp:positionV relativeFrom="paragraph">
              <wp:posOffset>-589915</wp:posOffset>
            </wp:positionV>
            <wp:extent cx="76835"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8" w:name="page89"/>
    <w:bookmarkEnd w:id="88"/>
    <w:p>
      <w:pPr>
        <w:ind w:right="900" w:firstLine="494"/>
        <w:spacing w:after="0" w:line="245" w:lineRule="auto"/>
        <w:rPr>
          <w:sz w:val="20"/>
          <w:szCs w:val="20"/>
          <w:color w:val="auto"/>
        </w:rPr>
      </w:pPr>
      <w:r>
        <w:rPr>
          <w:rFonts w:ascii="Arial" w:cs="Arial" w:eastAsia="Arial" w:hAnsi="Arial"/>
          <w:sz w:val="18"/>
          <w:szCs w:val="18"/>
          <w:color w:val="auto"/>
        </w:rPr>
        <w:t>Costs incurred for the PROFIT acquisition were not material. Costs incurred for the Payveris and Finovera acquisitions were approximately $1.7 million for the year ended December 31, 2021.</w:t>
      </w:r>
    </w:p>
    <w:p>
      <w:pPr>
        <w:spacing w:after="0" w:line="90" w:lineRule="exact"/>
        <w:rPr>
          <w:sz w:val="20"/>
          <w:szCs w:val="20"/>
          <w:color w:val="auto"/>
        </w:rPr>
      </w:pPr>
    </w:p>
    <w:p>
      <w:pPr>
        <w:jc w:val="both"/>
        <w:ind w:right="140" w:firstLine="494"/>
        <w:spacing w:after="0" w:line="237" w:lineRule="auto"/>
        <w:rPr>
          <w:sz w:val="20"/>
          <w:szCs w:val="20"/>
          <w:color w:val="auto"/>
        </w:rPr>
      </w:pPr>
      <w:r>
        <w:rPr>
          <w:rFonts w:ascii="Arial" w:cs="Arial" w:eastAsia="Arial" w:hAnsi="Arial"/>
          <w:sz w:val="18"/>
          <w:szCs w:val="18"/>
          <w:color w:val="auto"/>
        </w:rPr>
        <w:t>The revenue and expenses of the acquired businesses have been included in the Company's consolidated financial results since the acquisition date. Revenues and expenses related to these acquisitions and pro forma results of operations have not been presented for the years ended December 31, 2022 and 2021 because the effects of these acquisitions were not material to the Company's overall operations. All acquisition related costs were expensed as incurred and have been recorded in general and administrative expenses in the consolidated statements of operations.</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tab/>
        <w:t>Property and Equipment, Net</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7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r>
      <w:tr>
        <w:trPr>
          <w:trHeight w:val="22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w:t>
            </w:r>
          </w:p>
        </w:tc>
        <w:tc>
          <w:tcPr>
            <w:tcW w:w="260" w:type="dxa"/>
            <w:vAlign w:val="bottom"/>
            <w:shd w:val="clear" w:color="auto" w:fill="CFF0FC"/>
          </w:tcPr>
          <w:p>
            <w:pPr>
              <w:spacing w:after="0"/>
              <w:rPr>
                <w:sz w:val="19"/>
                <w:szCs w:val="19"/>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1,456</w:t>
            </w:r>
          </w:p>
        </w:tc>
        <w:tc>
          <w:tcPr>
            <w:tcW w:w="260" w:type="dxa"/>
            <w:vAlign w:val="bottom"/>
          </w:tcPr>
          <w:p>
            <w:pPr>
              <w:spacing w:after="0"/>
              <w:rPr>
                <w:sz w:val="19"/>
                <w:szCs w:val="19"/>
                <w:color w:val="auto"/>
              </w:rPr>
            </w:pPr>
          </w:p>
        </w:tc>
      </w:tr>
      <w:tr>
        <w:trPr>
          <w:trHeight w:val="229"/>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60" w:type="dxa"/>
            <w:vAlign w:val="bottom"/>
            <w:tcBorders>
              <w:bottom w:val="single" w:sz="8" w:color="CFF0FC"/>
            </w:tcBorders>
            <w:shd w:val="clear" w:color="auto" w:fill="CFF0FC"/>
          </w:tcPr>
          <w:p>
            <w:pPr>
              <w:spacing w:after="0"/>
              <w:rPr>
                <w:sz w:val="19"/>
                <w:szCs w:val="19"/>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7,567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6,835</w:t>
            </w:r>
          </w:p>
        </w:tc>
        <w:tc>
          <w:tcPr>
            <w:tcW w:w="260" w:type="dxa"/>
            <w:vAlign w:val="bottom"/>
          </w:tcPr>
          <w:p>
            <w:pPr>
              <w:spacing w:after="0"/>
              <w:rPr>
                <w:sz w:val="19"/>
                <w:szCs w:val="19"/>
                <w:color w:val="auto"/>
              </w:rPr>
            </w:pPr>
          </w:p>
        </w:tc>
      </w:tr>
      <w:tr>
        <w:trPr>
          <w:trHeight w:val="22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(5,744 )</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(4,791 )</w:t>
            </w:r>
          </w:p>
        </w:tc>
      </w:tr>
      <w:tr>
        <w:trPr>
          <w:trHeight w:val="223"/>
        </w:trPr>
        <w:tc>
          <w:tcPr>
            <w:tcW w:w="758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260" w:type="dxa"/>
            <w:vAlign w:val="bottom"/>
            <w:tcBorders>
              <w:top w:val="single" w:sz="8" w:color="CFF0FC"/>
            </w:tcBorders>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-478790</wp:posOffset>
            </wp:positionV>
            <wp:extent cx="6858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-478790</wp:posOffset>
            </wp:positionV>
            <wp:extent cx="6858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-179070</wp:posOffset>
            </wp:positionV>
            <wp:extent cx="6858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-179070</wp:posOffset>
            </wp:positionV>
            <wp:extent cx="6858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95" w:lineRule="exact"/>
        <w:rPr>
          <w:sz w:val="20"/>
          <w:szCs w:val="20"/>
          <w:color w:val="auto"/>
        </w:rPr>
      </w:pPr>
    </w:p>
    <w:p>
      <w:pPr>
        <w:ind w:right="440" w:firstLine="494"/>
        <w:spacing w:after="0" w:line="245" w:lineRule="auto"/>
        <w:rPr>
          <w:sz w:val="20"/>
          <w:szCs w:val="20"/>
          <w:color w:val="auto"/>
        </w:rPr>
      </w:pPr>
      <w:r>
        <w:rPr>
          <w:rFonts w:ascii="Arial" w:cs="Arial" w:eastAsia="Arial" w:hAnsi="Arial"/>
          <w:sz w:val="18"/>
          <w:szCs w:val="18"/>
          <w:color w:val="auto"/>
        </w:rPr>
        <w:t>Depreciation and amortization expense recorded for property and equipment was $1.2 million, $1.1 million and $1.0 million for the years ended December 31, 2022, 2021 and 2020, respectively.</w:t>
      </w:r>
    </w:p>
    <w:p>
      <w:pPr>
        <w:spacing w:after="0" w:line="176"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the carrying amount of goodwill by reporting unit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354"/>
              <w:spacing w:after="0"/>
              <w:rPr>
                <w:sz w:val="20"/>
                <w:szCs w:val="20"/>
                <w:color w:val="auto"/>
              </w:rPr>
            </w:pPr>
            <w:r>
              <w:rPr>
                <w:rFonts w:ascii="Arial" w:cs="Arial" w:eastAsia="Arial" w:hAnsi="Arial"/>
                <w:sz w:val="14"/>
                <w:szCs w:val="14"/>
                <w:b w:val="1"/>
                <w:bCs w:val="1"/>
                <w:color w:val="auto"/>
              </w:rPr>
              <w:t>United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States</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12,303</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13,205</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20" w:type="dxa"/>
            <w:vAlign w:val="bottom"/>
            <w:shd w:val="clear" w:color="auto" w:fill="CFF0FC"/>
          </w:tcPr>
          <w:p>
            <w:pPr>
              <w:ind w:left="20"/>
              <w:spacing w:after="0" w:line="210" w:lineRule="exact"/>
              <w:rPr>
                <w:sz w:val="20"/>
                <w:szCs w:val="20"/>
                <w:color w:val="auto"/>
              </w:rPr>
            </w:pPr>
            <w:r>
              <w:rPr>
                <w:rFonts w:ascii="Arial" w:cs="Arial" w:eastAsia="Arial" w:hAnsi="Arial"/>
                <w:sz w:val="18"/>
                <w:szCs w:val="18"/>
                <w:color w:val="auto"/>
              </w:rPr>
              <w:t>Goodwill acquired</w:t>
            </w:r>
            <w:r>
              <w:rPr>
                <w:rFonts w:ascii="Arial" w:cs="Arial" w:eastAsia="Arial" w:hAnsi="Arial"/>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116,216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116,216</w:t>
            </w:r>
          </w:p>
        </w:tc>
        <w:tc>
          <w:tcPr>
            <w:tcW w:w="100" w:type="dxa"/>
            <w:vAlign w:val="bottom"/>
            <w:shd w:val="clear" w:color="auto" w:fill="CFF0FC"/>
          </w:tcPr>
          <w:p>
            <w:pPr>
              <w:spacing w:after="0"/>
              <w:rPr>
                <w:sz w:val="18"/>
                <w:szCs w:val="18"/>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128,519</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129,413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6620" w:type="dxa"/>
            <w:vAlign w:val="bottom"/>
          </w:tcPr>
          <w:p>
            <w:pPr>
              <w:ind w:left="20"/>
              <w:spacing w:after="0" w:line="210" w:lineRule="exact"/>
              <w:rPr>
                <w:sz w:val="20"/>
                <w:szCs w:val="20"/>
                <w:color w:val="auto"/>
              </w:rPr>
            </w:pPr>
            <w:r>
              <w:rPr>
                <w:rFonts w:ascii="Arial" w:cs="Arial" w:eastAsia="Arial" w:hAnsi="Arial"/>
                <w:sz w:val="18"/>
                <w:szCs w:val="18"/>
                <w:color w:val="auto"/>
              </w:rPr>
              <w:t>Goodwill acquired</w:t>
            </w:r>
            <w:r>
              <w:rPr>
                <w:rFonts w:ascii="Arial" w:cs="Arial" w:eastAsia="Arial" w:hAnsi="Arial"/>
                <w:sz w:val="24"/>
                <w:szCs w:val="24"/>
                <w:color w:val="auto"/>
                <w:vertAlign w:val="superscript"/>
              </w:rPr>
              <w:t>(1)</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8"/>
                <w:szCs w:val="18"/>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(71 )</w:t>
            </w:r>
          </w:p>
        </w:tc>
      </w:tr>
      <w:tr>
        <w:trPr>
          <w:trHeight w:val="223"/>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December 31, 2022</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131,028</w:t>
            </w: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131,851</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-470535</wp:posOffset>
            </wp:positionV>
            <wp:extent cx="2080895"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080895" cy="17145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-153670</wp:posOffset>
            </wp:positionV>
            <wp:extent cx="2936875"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36875" cy="179705"/>
                    </a:xfrm>
                    <a:prstGeom prst="rect">
                      <a:avLst/>
                    </a:prstGeom>
                    <a:noFill/>
                  </pic:spPr>
                </pic:pic>
              </a:graphicData>
            </a:graphic>
          </wp:anchor>
        </w:drawing>
      </w:r>
    </w:p>
    <w:p>
      <w:pPr>
        <w:spacing w:after="0" w:line="25" w:lineRule="exact"/>
        <w:rPr>
          <w:sz w:val="20"/>
          <w:szCs w:val="20"/>
          <w:color w:val="auto"/>
        </w:rPr>
      </w:pPr>
    </w:p>
    <w:p>
      <w:pPr>
        <w:ind w:right="200" w:firstLine="8"/>
        <w:spacing w:after="0" w:line="257" w:lineRule="auto"/>
        <w:tabs>
          <w:tab w:leader="none" w:pos="2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goodwill acquired in the year ended December 31, 2022 is related to the PROFIT acquisition and the goodwill acquired in year ended December 31, 2021 is related to the Payveris and Finovera acquisitions. See Note 4.</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3"/>
                <w:szCs w:val="13"/>
                <w:color w:val="auto"/>
              </w:rPr>
            </w:pPr>
          </w:p>
        </w:tc>
      </w:tr>
      <w:tr>
        <w:trPr>
          <w:trHeight w:val="162"/>
        </w:trPr>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r>
      <w:tr>
        <w:trPr>
          <w:trHeight w:val="162"/>
        </w:trPr>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r>
      <w:tr>
        <w:trPr>
          <w:trHeight w:val="189"/>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(11,965 )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10,666</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License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(2,503 )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(11,695 )</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Software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(661 )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2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(1,531 )</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0"/>
        </w:trPr>
        <w:tc>
          <w:tcPr>
            <w:tcW w:w="60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64,372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(28,355 )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36,017</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6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3"/>
                <w:szCs w:val="13"/>
                <w:color w:val="auto"/>
              </w:rPr>
            </w:pPr>
          </w:p>
        </w:tc>
      </w:tr>
      <w:tr>
        <w:trPr>
          <w:trHeight w:val="162"/>
        </w:trPr>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r>
      <w:tr>
        <w:trPr>
          <w:trHeight w:val="162"/>
        </w:trPr>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r>
      <w:tr>
        <w:trPr>
          <w:trHeight w:val="189"/>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(8,655 )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License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(2,652 )</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(8,021 )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25,809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Software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(456 )</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r>
      <w:tr>
        <w:trPr>
          <w:trHeight w:val="22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(533 )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0"/>
        </w:trPr>
        <w:tc>
          <w:tcPr>
            <w:tcW w:w="60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62,405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(20,317 )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42,088</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-1797685</wp:posOffset>
            </wp:positionV>
            <wp:extent cx="76835" cy="1797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-1797685</wp:posOffset>
            </wp:positionV>
            <wp:extent cx="76835"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-1797685</wp:posOffset>
            </wp:positionV>
            <wp:extent cx="68580"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49" w:lineRule="exact"/>
        <w:rPr>
          <w:sz w:val="20"/>
          <w:szCs w:val="20"/>
          <w:color w:val="auto"/>
        </w:rPr>
      </w:pPr>
    </w:p>
    <w:p>
      <w:pPr>
        <w:ind w:right="40" w:firstLine="494"/>
        <w:spacing w:after="0" w:line="245" w:lineRule="auto"/>
        <w:rPr>
          <w:sz w:val="20"/>
          <w:szCs w:val="20"/>
          <w:color w:val="auto"/>
        </w:rPr>
      </w:pPr>
      <w:r>
        <w:rPr>
          <w:rFonts w:ascii="Arial" w:cs="Arial" w:eastAsia="Arial" w:hAnsi="Arial"/>
          <w:sz w:val="18"/>
          <w:szCs w:val="18"/>
          <w:color w:val="auto"/>
        </w:rPr>
        <w:t>Amortization expense of intangible assets was $8.3 million, $2.9 million and $0.6 million for the years ended December 31, 2022, 2021 and 2020 respectively.</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future amortization expense is expected to be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2023</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8,546</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8,249</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2025</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6,756</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2027</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9"/>
                <w:szCs w:val="19"/>
                <w:color w:val="auto"/>
              </w:rPr>
            </w:pPr>
          </w:p>
        </w:tc>
      </w:tr>
      <w:tr>
        <w:trPr>
          <w:trHeight w:val="229"/>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40" w:type="dxa"/>
            <w:vAlign w:val="bottom"/>
          </w:tcPr>
          <w:p>
            <w:pPr>
              <w:ind w:left="20"/>
              <w:spacing w:after="0"/>
              <w:rPr>
                <w:sz w:val="20"/>
                <w:szCs w:val="20"/>
                <w:color w:val="auto"/>
              </w:rPr>
            </w:pPr>
            <w:r>
              <w:rPr>
                <w:rFonts w:ascii="Arial" w:cs="Arial" w:eastAsia="Arial" w:hAnsi="Arial"/>
                <w:sz w:val="18"/>
                <w:szCs w:val="18"/>
                <w:color w:val="auto"/>
              </w:rPr>
              <w:t>Total future amortization expense</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36,017</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08"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33" w:lineRule="exact"/>
        <w:rPr>
          <w:sz w:val="20"/>
          <w:szCs w:val="20"/>
          <w:color w:val="auto"/>
        </w:rPr>
      </w:pPr>
    </w:p>
    <w:p>
      <w:pPr>
        <w:ind w:right="220" w:firstLine="499"/>
        <w:spacing w:after="0" w:line="238" w:lineRule="auto"/>
        <w:rPr>
          <w:sz w:val="20"/>
          <w:szCs w:val="20"/>
          <w:color w:val="auto"/>
        </w:rPr>
      </w:pPr>
      <w:r>
        <w:rPr>
          <w:rFonts w:ascii="Arial" w:cs="Arial" w:eastAsia="Arial" w:hAnsi="Arial"/>
          <w:sz w:val="18"/>
          <w:szCs w:val="18"/>
          <w:color w:val="auto"/>
        </w:rPr>
        <w:t>The Company enters into operating and finance leases, primarily related to rental of office space, equipment and data centers. Both operating and finance leases have remaining lease terms which range from less than one year to five years, and often include one or more renewal or termination options. These options are not included in the determination of the lease term at commencement unless it is reasonably certain that the Company will exercise the option.</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8"/>
                <w:szCs w:val="18"/>
                <w:color w:val="auto"/>
              </w:rPr>
            </w:pPr>
          </w:p>
        </w:tc>
      </w:tr>
      <w:tr>
        <w:trPr>
          <w:trHeight w:val="223"/>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408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106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expense</w:t>
            </w:r>
          </w:p>
        </w:tc>
        <w:tc>
          <w:tcPr>
            <w:tcW w:w="3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ind w:left="140"/>
              <w:spacing w:after="0"/>
              <w:rPr>
                <w:sz w:val="20"/>
                <w:szCs w:val="20"/>
                <w:color w:val="auto"/>
              </w:rPr>
            </w:pPr>
            <w:r>
              <w:rPr>
                <w:rFonts w:ascii="Arial" w:cs="Arial" w:eastAsia="Arial" w:hAnsi="Arial"/>
                <w:sz w:val="18"/>
                <w:szCs w:val="18"/>
                <w:color w:val="auto"/>
              </w:rPr>
              <w:t>Interest on finance lease liabilities</w:t>
            </w:r>
          </w:p>
        </w:tc>
        <w:tc>
          <w:tcPr>
            <w:tcW w:w="30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23"/>
        </w:trPr>
        <w:tc>
          <w:tcPr>
            <w:tcW w:w="4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finance lease cost</w:t>
            </w:r>
          </w:p>
        </w:tc>
        <w:tc>
          <w:tcPr>
            <w:tcW w:w="3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0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3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r>
      <w:tr>
        <w:trPr>
          <w:trHeight w:val="263"/>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408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3,708</w:t>
            </w:r>
          </w:p>
        </w:tc>
        <w:tc>
          <w:tcPr>
            <w:tcW w:w="106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FF0FC"/>
          </w:tcPr>
          <w:p>
            <w:pPr>
              <w:spacing w:after="0"/>
              <w:rPr>
                <w:sz w:val="22"/>
                <w:szCs w:val="22"/>
                <w:color w:val="auto"/>
              </w:rPr>
            </w:pPr>
          </w:p>
        </w:tc>
      </w:tr>
      <w:tr>
        <w:trPr>
          <w:trHeight w:val="520"/>
        </w:trPr>
        <w:tc>
          <w:tcPr>
            <w:tcW w:w="4180" w:type="dxa"/>
            <w:vAlign w:val="bottom"/>
            <w:tcBorders>
              <w:top w:val="single" w:sz="8" w:color="CFF0FC"/>
            </w:tcBorders>
          </w:tcPr>
          <w:p>
            <w:pPr>
              <w:spacing w:after="0"/>
              <w:rPr>
                <w:sz w:val="24"/>
                <w:szCs w:val="24"/>
                <w:color w:val="auto"/>
              </w:rPr>
            </w:pPr>
          </w:p>
        </w:tc>
        <w:tc>
          <w:tcPr>
            <w:tcW w:w="3000" w:type="dxa"/>
            <w:vAlign w:val="bottom"/>
            <w:tcBorders>
              <w:top w:val="single" w:sz="8" w:color="CFF0FC"/>
            </w:tcBorders>
          </w:tcPr>
          <w:p>
            <w:pPr>
              <w:jc w:val="right"/>
              <w:ind w:right="1370"/>
              <w:spacing w:after="0"/>
              <w:rPr>
                <w:sz w:val="20"/>
                <w:szCs w:val="20"/>
                <w:color w:val="auto"/>
              </w:rPr>
            </w:pPr>
            <w:r>
              <w:rPr>
                <w:rFonts w:ascii="Arial" w:cs="Arial" w:eastAsia="Arial" w:hAnsi="Arial"/>
                <w:sz w:val="18"/>
                <w:szCs w:val="18"/>
                <w:color w:val="auto"/>
              </w:rPr>
              <w:t>89</w:t>
            </w:r>
          </w:p>
        </w:tc>
        <w:tc>
          <w:tcPr>
            <w:tcW w:w="10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88"/>
        </w:trPr>
        <w:tc>
          <w:tcPr>
            <w:tcW w:w="4180" w:type="dxa"/>
            <w:vAlign w:val="bottom"/>
            <w:tcBorders>
              <w:bottom w:val="single" w:sz="8" w:color="9A9A9A"/>
            </w:tcBorders>
          </w:tcPr>
          <w:p>
            <w:pPr>
              <w:spacing w:after="0"/>
              <w:rPr>
                <w:sz w:val="7"/>
                <w:szCs w:val="7"/>
                <w:color w:val="auto"/>
              </w:rPr>
            </w:pPr>
          </w:p>
        </w:tc>
        <w:tc>
          <w:tcPr>
            <w:tcW w:w="30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-436245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-419100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0" w:name="page91"/>
    <w:bookmarkEnd w:id="90"/>
    <w:p>
      <w:pPr>
        <w:ind w:left="500"/>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left="596"/>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7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2,103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1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cash flows for finance leases</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Financing cash flows for finance leases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of operating lease obligations</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3,938</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obtained in exchange of finance lease obligations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1"/>
        </w:trPr>
        <w:tc>
          <w:tcPr>
            <w:tcW w:w="9280" w:type="dxa"/>
            <w:vAlign w:val="bottom"/>
            <w:gridSpan w:val="6"/>
          </w:tcPr>
          <w:p>
            <w:pPr>
              <w:ind w:left="500"/>
              <w:spacing w:after="0"/>
              <w:rPr>
                <w:sz w:val="20"/>
                <w:szCs w:val="20"/>
                <w:color w:val="auto"/>
              </w:rPr>
            </w:pPr>
            <w:r>
              <w:rPr>
                <w:rFonts w:ascii="Arial" w:cs="Arial" w:eastAsia="Arial" w:hAnsi="Arial"/>
                <w:sz w:val="18"/>
                <w:szCs w:val="18"/>
                <w:color w:val="auto"/>
              </w:rPr>
              <w:t>Weighted-average remaining lease term and discount rate for the Company’s leases were as follows:</w:t>
            </w: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5"/>
        </w:trPr>
        <w:tc>
          <w:tcPr>
            <w:tcW w:w="7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4"/>
          </w:tcPr>
          <w:p>
            <w:pPr>
              <w:jc w:val="center"/>
              <w:ind w:left="536"/>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4"/>
        </w:trPr>
        <w:tc>
          <w:tcPr>
            <w:tcW w:w="7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4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1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Finance leases</w:t>
            </w:r>
          </w:p>
        </w:tc>
        <w:tc>
          <w:tcPr>
            <w:tcW w:w="4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420" w:type="dxa"/>
            <w:vAlign w:val="bottom"/>
          </w:tcPr>
          <w:p>
            <w:pPr>
              <w:spacing w:after="0"/>
              <w:rPr>
                <w:sz w:val="19"/>
                <w:szCs w:val="19"/>
                <w:color w:val="auto"/>
              </w:rPr>
            </w:pP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3.24 %</w:t>
            </w:r>
          </w:p>
        </w:tc>
        <w:tc>
          <w:tcPr>
            <w:tcW w:w="7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2.82 %</w:t>
            </w:r>
          </w:p>
        </w:tc>
      </w:tr>
      <w:tr>
        <w:trPr>
          <w:trHeight w:val="229"/>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420" w:type="dxa"/>
            <w:vAlign w:val="bottom"/>
          </w:tcPr>
          <w:p>
            <w:pPr>
              <w:spacing w:after="0"/>
              <w:rPr>
                <w:sz w:val="19"/>
                <w:szCs w:val="19"/>
                <w:color w:val="auto"/>
              </w:rPr>
            </w:pP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3.24 %</w:t>
            </w:r>
          </w:p>
        </w:tc>
        <w:tc>
          <w:tcPr>
            <w:tcW w:w="7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5" w:lineRule="exact"/>
        <w:rPr>
          <w:sz w:val="20"/>
          <w:szCs w:val="20"/>
          <w:color w:val="auto"/>
        </w:rPr>
      </w:pPr>
    </w:p>
    <w:p>
      <w:pPr>
        <w:ind w:right="220" w:firstLine="494"/>
        <w:spacing w:after="0" w:line="245" w:lineRule="auto"/>
        <w:rPr>
          <w:sz w:val="20"/>
          <w:szCs w:val="20"/>
          <w:color w:val="auto"/>
        </w:rPr>
      </w:pPr>
      <w:r>
        <w:rPr>
          <w:rFonts w:ascii="Arial" w:cs="Arial" w:eastAsia="Arial" w:hAnsi="Arial"/>
          <w:sz w:val="18"/>
          <w:szCs w:val="18"/>
          <w:color w:val="auto"/>
        </w:rPr>
        <w:t>The total remaining lease payments under non-cancelable operating and finance leases as of December 31, 2022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1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314"/>
              <w:spacing w:after="0"/>
              <w:rPr>
                <w:sz w:val="20"/>
                <w:szCs w:val="20"/>
                <w:color w:val="auto"/>
              </w:rPr>
            </w:pPr>
            <w:r>
              <w:rPr>
                <w:rFonts w:ascii="Arial" w:cs="Arial" w:eastAsia="Arial" w:hAnsi="Arial"/>
                <w:sz w:val="14"/>
                <w:szCs w:val="14"/>
                <w:b w:val="1"/>
                <w:bCs w:val="1"/>
                <w:color w:val="auto"/>
                <w:w w:val="99"/>
              </w:rPr>
              <w:t>Finance Leases</w:t>
            </w:r>
          </w:p>
        </w:tc>
        <w:tc>
          <w:tcPr>
            <w:tcW w:w="100" w:type="dxa"/>
            <w:vAlign w:val="bottom"/>
          </w:tcPr>
          <w:p>
            <w:pPr>
              <w:spacing w:after="0"/>
              <w:rPr>
                <w:sz w:val="16"/>
                <w:szCs w:val="16"/>
                <w:color w:val="auto"/>
              </w:rPr>
            </w:pPr>
          </w:p>
        </w:tc>
      </w:tr>
      <w:tr>
        <w:trPr>
          <w:trHeight w:val="22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3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 including interest</w:t>
            </w:r>
          </w:p>
        </w:tc>
        <w:tc>
          <w:tcPr>
            <w:tcW w:w="54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11,070</w:t>
            </w: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(1,008 )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63"/>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540" w:type="dxa"/>
            <w:vAlign w:val="bottom"/>
            <w:tcBorders>
              <w:top w:val="single" w:sz="8" w:color="auto"/>
              <w:bottom w:val="single" w:sz="8" w:color="auto"/>
            </w:tcBorders>
            <w:shd w:val="clear" w:color="auto" w:fill="CFF0FC"/>
          </w:tcPr>
          <w:p>
            <w:pPr>
              <w:jc w:val="right"/>
              <w:ind w:right="334"/>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10,062</w:t>
            </w:r>
          </w:p>
        </w:tc>
        <w:tc>
          <w:tcPr>
            <w:tcW w:w="3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763"/>
        </w:trPr>
        <w:tc>
          <w:tcPr>
            <w:tcW w:w="7140" w:type="dxa"/>
            <w:vAlign w:val="bottom"/>
          </w:tcPr>
          <w:p>
            <w:pPr>
              <w:spacing w:after="0"/>
              <w:rPr>
                <w:sz w:val="20"/>
                <w:szCs w:val="20"/>
                <w:color w:val="auto"/>
              </w:rPr>
            </w:pPr>
            <w:r>
              <w:rPr>
                <w:rFonts w:ascii="Arial" w:cs="Arial" w:eastAsia="Arial" w:hAnsi="Arial"/>
                <w:sz w:val="18"/>
                <w:szCs w:val="18"/>
                <w:b w:val="1"/>
                <w:bCs w:val="1"/>
                <w:color w:val="auto"/>
              </w:rPr>
              <w:t>8.   Accrued Liabilities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140" w:type="dxa"/>
            <w:vAlign w:val="bottom"/>
          </w:tcPr>
          <w:p>
            <w:pPr>
              <w:ind w:left="500"/>
              <w:spacing w:after="0"/>
              <w:rPr>
                <w:sz w:val="20"/>
                <w:szCs w:val="20"/>
                <w:color w:val="auto"/>
              </w:rPr>
            </w:pPr>
            <w:r>
              <w:rPr>
                <w:rFonts w:ascii="Arial" w:cs="Arial" w:eastAsia="Arial" w:hAnsi="Arial"/>
                <w:sz w:val="18"/>
                <w:szCs w:val="18"/>
                <w:color w:val="auto"/>
              </w:rPr>
              <w:t>Accrued liabilities consisted of the following (in thousands):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r>
      <w:tr>
        <w:trPr>
          <w:trHeight w:val="209"/>
        </w:trPr>
        <w:tc>
          <w:tcPr>
            <w:tcW w:w="7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employee-related expenses</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9,214</w:t>
            </w:r>
          </w:p>
        </w:tc>
        <w:tc>
          <w:tcPr>
            <w:tcW w:w="4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8,093</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Finance leases and other financing obligations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19"/>
                <w:szCs w:val="19"/>
                <w:color w:val="auto"/>
              </w:rPr>
            </w:pPr>
          </w:p>
        </w:tc>
      </w:tr>
      <w:tr>
        <w:trPr>
          <w:trHeight w:val="229"/>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liabilities</w:t>
            </w:r>
          </w:p>
        </w:tc>
        <w:tc>
          <w:tcPr>
            <w:tcW w:w="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4,782</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15,809</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12,491</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-1754505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-1737360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95" w:lineRule="exact"/>
        <w:rPr>
          <w:sz w:val="20"/>
          <w:szCs w:val="20"/>
          <w:color w:val="auto"/>
        </w:rPr>
      </w:pPr>
    </w:p>
    <w:p>
      <w:pPr>
        <w:ind w:right="480" w:firstLine="499"/>
        <w:spacing w:after="0" w:line="245" w:lineRule="auto"/>
        <w:rPr>
          <w:sz w:val="20"/>
          <w:szCs w:val="20"/>
          <w:color w:val="auto"/>
        </w:rPr>
      </w:pPr>
      <w:r>
        <w:rPr>
          <w:rFonts w:ascii="Arial" w:cs="Arial" w:eastAsia="Arial" w:hAnsi="Arial"/>
          <w:sz w:val="18"/>
          <w:szCs w:val="18"/>
          <w:color w:val="auto"/>
        </w:rPr>
        <w:t>Finance leases and other financing obligations includes the current portion of finance leases related to the acquisition of computer equipment and short-term insurance premium financing arrangements.</w:t>
      </w:r>
    </w:p>
    <w:p>
      <w:pPr>
        <w:spacing w:after="0" w:line="176"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25" w:lineRule="exact"/>
        <w:rPr>
          <w:sz w:val="20"/>
          <w:szCs w:val="20"/>
          <w:color w:val="auto"/>
        </w:rPr>
      </w:pPr>
    </w:p>
    <w:p>
      <w:pPr>
        <w:ind w:right="500" w:firstLine="494"/>
        <w:spacing w:after="0" w:line="245" w:lineRule="auto"/>
        <w:rPr>
          <w:sz w:val="20"/>
          <w:szCs w:val="20"/>
          <w:color w:val="auto"/>
        </w:rPr>
      </w:pPr>
      <w:r>
        <w:rPr>
          <w:rFonts w:ascii="Arial" w:cs="Arial" w:eastAsia="Arial" w:hAnsi="Arial"/>
          <w:sz w:val="18"/>
          <w:szCs w:val="18"/>
          <w:color w:val="auto"/>
        </w:rPr>
        <w:t>The Company has entered into certain non-cancellable agreements for software and marketing services that specify all significant terms, including fixed or minimum services to be used, pricing provisions and the approximate timing of the</w:t>
      </w:r>
    </w:p>
    <w:p>
      <w:pPr>
        <w:spacing w:after="0" w:line="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transaction. Obligations under contracts that are cancellable or with remaining terms of 12 months or less are not included.</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minimum payments under other non-cancellable agreements as of December 31, 2022 were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40" w:type="dxa"/>
            <w:vAlign w:val="bottom"/>
            <w:shd w:val="clear" w:color="auto" w:fill="CFF0FC"/>
          </w:tcPr>
          <w:p>
            <w:pPr>
              <w:jc w:val="right"/>
              <w:ind w:right="6895"/>
              <w:spacing w:after="0"/>
              <w:rPr>
                <w:sz w:val="20"/>
                <w:szCs w:val="20"/>
                <w:color w:val="auto"/>
              </w:rPr>
            </w:pPr>
            <w:r>
              <w:rPr>
                <w:rFonts w:ascii="Arial" w:cs="Arial" w:eastAsia="Arial" w:hAnsi="Arial"/>
                <w:sz w:val="14"/>
                <w:szCs w:val="14"/>
                <w:b w:val="1"/>
                <w:bCs w:val="1"/>
                <w:color w:val="auto"/>
              </w:rPr>
              <w:t>Year Ending December 31,</w:t>
            </w:r>
          </w:p>
        </w:tc>
        <w:tc>
          <w:tcPr>
            <w:tcW w:w="9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840" w:type="dxa"/>
            <w:vAlign w:val="bottom"/>
          </w:tcPr>
          <w:p>
            <w:pPr>
              <w:jc w:val="right"/>
              <w:ind w:right="8335"/>
              <w:spacing w:after="0"/>
              <w:rPr>
                <w:sz w:val="20"/>
                <w:szCs w:val="20"/>
                <w:color w:val="auto"/>
              </w:rPr>
            </w:pPr>
            <w:r>
              <w:rPr>
                <w:rFonts w:ascii="Arial" w:cs="Arial" w:eastAsia="Arial" w:hAnsi="Arial"/>
                <w:sz w:val="18"/>
                <w:szCs w:val="18"/>
                <w:color w:val="auto"/>
                <w:w w:val="99"/>
              </w:rPr>
              <w:t>2023</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19"/>
                <w:szCs w:val="19"/>
                <w:color w:val="auto"/>
              </w:rPr>
            </w:pPr>
          </w:p>
        </w:tc>
      </w:tr>
      <w:tr>
        <w:trPr>
          <w:trHeight w:val="229"/>
        </w:trPr>
        <w:tc>
          <w:tcPr>
            <w:tcW w:w="8840" w:type="dxa"/>
            <w:vAlign w:val="bottom"/>
            <w:shd w:val="clear" w:color="auto" w:fill="CFF0FC"/>
          </w:tcPr>
          <w:p>
            <w:pPr>
              <w:jc w:val="right"/>
              <w:ind w:right="8335"/>
              <w:spacing w:after="0"/>
              <w:rPr>
                <w:sz w:val="20"/>
                <w:szCs w:val="20"/>
                <w:color w:val="auto"/>
              </w:rPr>
            </w:pPr>
            <w:r>
              <w:rPr>
                <w:rFonts w:ascii="Arial" w:cs="Arial" w:eastAsia="Arial" w:hAnsi="Arial"/>
                <w:sz w:val="18"/>
                <w:szCs w:val="18"/>
                <w:color w:val="auto"/>
                <w:w w:val="99"/>
              </w:rPr>
              <w:t>2024</w:t>
            </w:r>
          </w:p>
        </w:tc>
        <w:tc>
          <w:tcPr>
            <w:tcW w:w="9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w:t>
            </w:r>
          </w:p>
        </w:tc>
        <w:tc>
          <w:tcPr>
            <w:tcW w:w="100" w:type="dxa"/>
            <w:vAlign w:val="bottom"/>
            <w:shd w:val="clear" w:color="auto" w:fill="CFF0FC"/>
          </w:tcPr>
          <w:p>
            <w:pPr>
              <w:spacing w:after="0"/>
              <w:rPr>
                <w:sz w:val="19"/>
                <w:szCs w:val="19"/>
                <w:color w:val="auto"/>
              </w:rPr>
            </w:pPr>
          </w:p>
        </w:tc>
      </w:tr>
      <w:tr>
        <w:trPr>
          <w:trHeight w:val="229"/>
        </w:trPr>
        <w:tc>
          <w:tcPr>
            <w:tcW w:w="8840" w:type="dxa"/>
            <w:vAlign w:val="bottom"/>
          </w:tcPr>
          <w:p>
            <w:pPr>
              <w:jc w:val="right"/>
              <w:ind w:right="8335"/>
              <w:spacing w:after="0"/>
              <w:rPr>
                <w:sz w:val="20"/>
                <w:szCs w:val="20"/>
                <w:color w:val="auto"/>
              </w:rPr>
            </w:pPr>
            <w:r>
              <w:rPr>
                <w:rFonts w:ascii="Arial" w:cs="Arial" w:eastAsia="Arial" w:hAnsi="Arial"/>
                <w:sz w:val="18"/>
                <w:szCs w:val="18"/>
                <w:color w:val="auto"/>
                <w:w w:val="99"/>
              </w:rPr>
              <w:t>2025</w:t>
            </w:r>
          </w:p>
        </w:tc>
        <w:tc>
          <w:tcPr>
            <w:tcW w:w="9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r>
      <w:tr>
        <w:trPr>
          <w:trHeight w:val="223"/>
        </w:trPr>
        <w:tc>
          <w:tcPr>
            <w:tcW w:w="884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25" w:lineRule="exact"/>
        <w:rPr>
          <w:sz w:val="20"/>
          <w:szCs w:val="20"/>
          <w:color w:val="auto"/>
        </w:rPr>
      </w:pPr>
    </w:p>
    <w:p>
      <w:pPr>
        <w:ind w:right="300" w:firstLine="494"/>
        <w:spacing w:after="0"/>
        <w:rPr>
          <w:sz w:val="20"/>
          <w:szCs w:val="20"/>
          <w:color w:val="auto"/>
        </w:rPr>
      </w:pPr>
      <w:r>
        <w:rPr>
          <w:rFonts w:ascii="Arial" w:cs="Arial" w:eastAsia="Arial" w:hAnsi="Arial"/>
          <w:sz w:val="18"/>
          <w:szCs w:val="18"/>
          <w:color w:val="auto"/>
        </w:rPr>
        <w:t>The Company sponsors a 401(k) defined contribution plan covering all eligible U.S. employees. Contributions to the 401(k) plan are discretionary. The Company made $0.9 million of matching contributions to the 401(k) plan for the year ended December 31, 2022. The Company did not make any matching contributions to the 401(k) plan for the years ended December 31, 2021 and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25" w:lineRule="exact"/>
        <w:rPr>
          <w:sz w:val="20"/>
          <w:szCs w:val="20"/>
          <w:color w:val="auto"/>
        </w:rPr>
      </w:pPr>
    </w:p>
    <w:p>
      <w:pPr>
        <w:ind w:right="60" w:firstLine="494"/>
        <w:spacing w:after="0" w:line="237" w:lineRule="auto"/>
        <w:rPr>
          <w:sz w:val="20"/>
          <w:szCs w:val="20"/>
          <w:color w:val="auto"/>
        </w:rPr>
      </w:pPr>
      <w:r>
        <w:rPr>
          <w:rFonts w:ascii="Arial" w:cs="Arial" w:eastAsia="Arial" w:hAnsi="Arial"/>
          <w:sz w:val="18"/>
          <w:szCs w:val="18"/>
          <w:color w:val="auto"/>
        </w:rPr>
        <w:t>The Company is involved from time to time in various claims and legal actions arising in the ordinary course of business. For certain pending matters, accruals have not been established because such matters have not progressed sufficiently through discovery, and/or development of important factual information and legal information is insufficient to enable the Company to estimate a range of possible loss, if any. While it is not feasible to predict or determine the ultimate outcome of these matters, the Company believes that none of its current legal proceedings will have a material adverse effect on its financial position, results of operations, or cash flows as of and for the years ended December 31, 2022, 2021 and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5" w:lineRule="exact"/>
        <w:rPr>
          <w:sz w:val="20"/>
          <w:szCs w:val="20"/>
          <w:color w:val="auto"/>
        </w:rPr>
      </w:pPr>
    </w:p>
    <w:p>
      <w:pPr>
        <w:ind w:right="140" w:firstLine="494"/>
        <w:spacing w:after="0" w:line="236" w:lineRule="auto"/>
        <w:rPr>
          <w:sz w:val="20"/>
          <w:szCs w:val="20"/>
          <w:color w:val="auto"/>
        </w:rPr>
      </w:pPr>
      <w:r>
        <w:rPr>
          <w:rFonts w:ascii="Arial" w:cs="Arial" w:eastAsia="Arial" w:hAnsi="Arial"/>
          <w:sz w:val="18"/>
          <w:szCs w:val="18"/>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5" w:lineRule="exact"/>
        <w:rPr>
          <w:sz w:val="20"/>
          <w:szCs w:val="20"/>
          <w:color w:val="auto"/>
        </w:rPr>
      </w:pPr>
    </w:p>
    <w:p>
      <w:pPr>
        <w:jc w:val="both"/>
        <w:ind w:right="240" w:firstLine="494"/>
        <w:spacing w:after="0"/>
        <w:rPr>
          <w:sz w:val="20"/>
          <w:szCs w:val="20"/>
          <w:color w:val="auto"/>
        </w:rPr>
      </w:pPr>
      <w:r>
        <w:rPr>
          <w:rFonts w:ascii="Arial" w:cs="Arial" w:eastAsia="Arial" w:hAnsi="Arial"/>
          <w:sz w:val="18"/>
          <w:szCs w:val="18"/>
          <w:color w:val="auto"/>
        </w:rPr>
        <w:t>In connection with the IPO, the Company’s amended and restated certificate of incorporation became effective, which authorized the issuance of 5,000,000 shares of undesignated preferred stock with a par value of $0.0001 per share with rights and preferences, including voting rights, designated from time to time by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25" w:lineRule="exact"/>
        <w:rPr>
          <w:sz w:val="20"/>
          <w:szCs w:val="20"/>
          <w:color w:val="auto"/>
        </w:rPr>
      </w:pPr>
    </w:p>
    <w:p>
      <w:pPr>
        <w:ind w:right="40" w:firstLine="374"/>
        <w:spacing w:after="0" w:line="236" w:lineRule="auto"/>
        <w:rPr>
          <w:sz w:val="20"/>
          <w:szCs w:val="20"/>
          <w:color w:val="auto"/>
        </w:rPr>
      </w:pPr>
      <w:r>
        <w:rPr>
          <w:rFonts w:ascii="Arial" w:cs="Arial" w:eastAsia="Arial" w:hAnsi="Arial"/>
          <w:sz w:val="18"/>
          <w:szCs w:val="18"/>
          <w:color w:val="auto"/>
        </w:rPr>
        <w:t>The Company has two classes of common stock: Class A common stock and Class B common stock. In connection with the IPO, the Company’s amended and restated certificate of incorporation became effective, which authorized the issuance of 883,950,000 shares of Class A common stock and 111,050,000 shares of Class B common stock. The shares of Class A common stock and Class B common stock are identical, except with respect to voting and conversion. Each share of Class A common stock is entitled to one vote. Each share of Class B common stock is entitled to ten votes. Class A and Class B common stock have a par value of $0.0001 per share, and are referred to as common stock throughout the notes to the consolidated financial statements, unless otherwise noted. Holders of common stock are entitled to receive any dividends as may be declared from time to time by the board of directors.</w:t>
      </w:r>
    </w:p>
    <w:p>
      <w:pPr>
        <w:spacing w:after="0" w:line="99" w:lineRule="exact"/>
        <w:rPr>
          <w:sz w:val="20"/>
          <w:szCs w:val="20"/>
          <w:color w:val="auto"/>
        </w:rPr>
      </w:pPr>
    </w:p>
    <w:p>
      <w:pPr>
        <w:ind w:right="360" w:firstLine="374"/>
        <w:spacing w:after="0"/>
        <w:rPr>
          <w:sz w:val="20"/>
          <w:szCs w:val="20"/>
          <w:color w:val="auto"/>
        </w:rPr>
      </w:pPr>
      <w:r>
        <w:rPr>
          <w:rFonts w:ascii="Arial" w:cs="Arial" w:eastAsia="Arial" w:hAnsi="Arial"/>
          <w:sz w:val="18"/>
          <w:szCs w:val="18"/>
          <w:color w:val="auto"/>
        </w:rPr>
        <w:t>Shares of Class B common stock may be converted to Class A common stock at any time at the option of the stockholder. Shares of Class B common stock automatically convert to Class A common stock upon the following: (i) sale or transfer of such share of Class B common stock; (ii) the death of the Class B common stockholder (or nine months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92" w:name="page93"/>
    <w:bookmarkEnd w:id="92"/>
    <w:p>
      <w:pPr>
        <w:spacing w:after="0" w:line="238" w:lineRule="auto"/>
        <w:rPr>
          <w:sz w:val="20"/>
          <w:szCs w:val="20"/>
          <w:color w:val="auto"/>
        </w:rPr>
      </w:pPr>
      <w:r>
        <w:rPr>
          <w:rFonts w:ascii="Arial" w:cs="Arial" w:eastAsia="Arial" w:hAnsi="Arial"/>
          <w:sz w:val="18"/>
          <w:szCs w:val="18"/>
          <w:color w:val="auto"/>
        </w:rPr>
        <w:t>after the date of death if the stockholder is one of the Company’s founders); and (iii) on the first trading day on or after the date on which the outstanding shares of Class B common stock represent less than 10% of the then outstanding Class A and Class B common stock. Following the conversion of all outstanding shares of Class B common stock into Class A common stock, no further shares of Class B common stock will be issued.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125"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Upon completion of the IPO, the Company used approximately $57.4 million of the net proceeds to redeem all of the issued and outstanding shares of Series A preferred stock (including accrued dividends of $34.4 million). As of December 31, 2022 and 2021, there were no shares of Series A preferred stock issued and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w:t>
      </w:r>
    </w:p>
    <w:p>
      <w:pPr>
        <w:spacing w:after="0" w:line="125" w:lineRule="exact"/>
        <w:rPr>
          <w:sz w:val="20"/>
          <w:szCs w:val="20"/>
          <w:color w:val="auto"/>
        </w:rPr>
      </w:pPr>
    </w:p>
    <w:p>
      <w:pPr>
        <w:ind w:right="40" w:firstLine="449"/>
        <w:spacing w:after="0" w:line="236" w:lineRule="auto"/>
        <w:rPr>
          <w:sz w:val="20"/>
          <w:szCs w:val="20"/>
          <w:color w:val="auto"/>
        </w:rPr>
      </w:pPr>
      <w:r>
        <w:rPr>
          <w:rFonts w:ascii="Arial" w:cs="Arial" w:eastAsia="Arial" w:hAnsi="Arial"/>
          <w:sz w:val="18"/>
          <w:szCs w:val="18"/>
          <w:color w:val="auto"/>
        </w:rPr>
        <w:t xml:space="preserve">On May 13, 2021, the Company entered into a warrant agreement with JPMC Strategic Investments I Corporation (“JPMC”), an affiliate of J.P. Morgan Securities LLC, an underwriter in our 2021 IPO, pursuant to which the Company agreed to issue a warrant to JPMC for up to 509,370 shares of Class A common stock upon completion of the IPO at an exercise price of $18.38 per share. Upon completion of the IPO, 382,027 of the warrant shares had vested and are therefore, exercisable. The vesting of the remaining 127,343 shares of Class A common stock underlying the warrant will be subject to the achievement of certain commercial milestones through December 31, 2025 pursuant to a related commercial agreement with JPMorgan Chase Bank, National Association (“JPM Chase”), an affiliate of JPMC. As discussed below, this commercial agreement was amended in August 2022, and the achievement of certain commercial milestones was extended through December 31, 2026 and minimum revenue commitments were set for each of the calendar years through 2026. Consistent with classification guidance in ASU Topic 606, the Company accounts for the consideration payable in the form of warrants to a customer as a reduction of the transaction price and, therefore, of revenue as the revenue is earned. The warrant fair value was determined using the Black-Scholes pricing model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188" w:lineRule="exact"/>
        <w:rPr>
          <w:sz w:val="20"/>
          <w:szCs w:val="20"/>
          <w:color w:val="auto"/>
        </w:rPr>
      </w:pPr>
    </w:p>
    <w:p>
      <w:pPr>
        <w:ind w:right="40" w:firstLine="400"/>
        <w:spacing w:after="0" w:line="237" w:lineRule="auto"/>
        <w:rPr>
          <w:sz w:val="20"/>
          <w:szCs w:val="20"/>
          <w:color w:val="auto"/>
        </w:rPr>
      </w:pPr>
      <w:r>
        <w:rPr>
          <w:rFonts w:ascii="Arial" w:cs="Arial" w:eastAsia="Arial" w:hAnsi="Arial"/>
          <w:sz w:val="18"/>
          <w:szCs w:val="18"/>
          <w:color w:val="auto"/>
        </w:rPr>
        <w:t>During 2021, the Company updated the May 2021 warrant value recognized based on the expectation that the probability of achievement of certain milestones would be achieved. The increase was recorded using the fair value determined at the time of grant multiplied by the estimated number of remaining warrants expected to vest. This increase was recorded as additional paid-in capital and as a contract asset included in prepaid expenses and other current assets and other long-term assets in the consolidated balance sheets. The increase made to the May 2021 warrant valuation in 2022 was not material.</w:t>
      </w:r>
    </w:p>
    <w:p>
      <w:pPr>
        <w:spacing w:after="0" w:line="192" w:lineRule="exact"/>
        <w:rPr>
          <w:sz w:val="20"/>
          <w:szCs w:val="20"/>
          <w:color w:val="auto"/>
        </w:rPr>
      </w:pPr>
    </w:p>
    <w:p>
      <w:pPr>
        <w:ind w:right="40" w:firstLine="400"/>
        <w:spacing w:after="0" w:line="237" w:lineRule="auto"/>
        <w:rPr>
          <w:sz w:val="20"/>
          <w:szCs w:val="20"/>
          <w:color w:val="auto"/>
        </w:rPr>
      </w:pPr>
      <w:r>
        <w:rPr>
          <w:rFonts w:ascii="Arial" w:cs="Arial" w:eastAsia="Arial" w:hAnsi="Arial"/>
          <w:sz w:val="18"/>
          <w:szCs w:val="18"/>
          <w:color w:val="auto"/>
        </w:rPr>
        <w:t>On August 29, 2022, the Company entered into a warrant agreement with JPMC, in connection with an amendment to the Company's existing commercial agreement with JPM Chase discussed above, pursuant to which the Company issued a warrant to JPMC for up to 684,510 shares of Class A common stock at an exercise price of $10.10 per share. Upon signing of the warrant agreement, 171,128 of the warrant shares had vested and are therefore, exercisable. The vesting of the remaining 513,382 shares of Class A common stock underlying the warrant will be subject to the achievement of certain commercial milestones through December 31, 2026 pursuant to the commercial agreement, as amended.</w:t>
      </w:r>
    </w:p>
    <w:p>
      <w:pPr>
        <w:spacing w:after="0" w:line="189" w:lineRule="exact"/>
        <w:rPr>
          <w:sz w:val="20"/>
          <w:szCs w:val="20"/>
          <w:color w:val="auto"/>
        </w:rPr>
      </w:pPr>
    </w:p>
    <w:p>
      <w:pPr>
        <w:ind w:right="920" w:firstLine="350"/>
        <w:spacing w:after="0" w:line="245" w:lineRule="auto"/>
        <w:rPr>
          <w:sz w:val="20"/>
          <w:szCs w:val="20"/>
          <w:color w:val="auto"/>
        </w:rPr>
      </w:pPr>
      <w:r>
        <w:rPr>
          <w:rFonts w:ascii="Arial" w:cs="Arial" w:eastAsia="Arial" w:hAnsi="Arial"/>
          <w:sz w:val="18"/>
          <w:szCs w:val="18"/>
          <w:color w:val="auto"/>
        </w:rPr>
        <w:t>As of December 31, 2022, an aggregate of 588,172 warrants had vested and were exercisable under the outstanding warrant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33"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In May 2021, the Company’s board of directors adopted, and its stockholders approved, the 2021 Equity Incentive Plan (the “2021 Plan”), which became effective in connection with the IPO. The 2021 Plan provides for the grant of 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2022 and 2023, pursuant to the Evergreen Addition, approximately 4.8 million and 4.9</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93" w:name="page94"/>
    <w:bookmarkEnd w:id="93"/>
    <w:p>
      <w:pPr>
        <w:ind w:right="500" w:firstLine="50"/>
        <w:spacing w:after="0" w:line="245" w:lineRule="auto"/>
        <w:rPr>
          <w:sz w:val="20"/>
          <w:szCs w:val="20"/>
          <w:color w:val="auto"/>
        </w:rPr>
      </w:pPr>
      <w:r>
        <w:rPr>
          <w:rFonts w:ascii="Arial" w:cs="Arial" w:eastAsia="Arial" w:hAnsi="Arial"/>
          <w:sz w:val="18"/>
          <w:szCs w:val="18"/>
          <w:color w:val="auto"/>
        </w:rPr>
        <w:t>million shares of Class A common stock were added to the 2021 Plan issuance reserve. At December 31, 2022, there were 14.1 million remaining shares available for the Company to grant under the 2021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5" w:lineRule="exact"/>
        <w:rPr>
          <w:sz w:val="20"/>
          <w:szCs w:val="20"/>
          <w:color w:val="auto"/>
        </w:rPr>
      </w:pPr>
    </w:p>
    <w:p>
      <w:pPr>
        <w:ind w:right="60" w:firstLine="494"/>
        <w:spacing w:after="0" w:line="245" w:lineRule="auto"/>
        <w:rPr>
          <w:sz w:val="20"/>
          <w:szCs w:val="20"/>
          <w:color w:val="auto"/>
        </w:rPr>
      </w:pPr>
      <w:r>
        <w:rPr>
          <w:rFonts w:ascii="Arial" w:cs="Arial" w:eastAsia="Arial" w:hAnsi="Arial"/>
          <w:sz w:val="18"/>
          <w:szCs w:val="18"/>
          <w:color w:val="auto"/>
        </w:rPr>
        <w:t>A summary of the Company’s option activity during the year ended December 31, 2022 was as follows (in thousands, except share and per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Aggregate</w:t>
            </w:r>
          </w:p>
        </w:tc>
        <w:tc>
          <w:tcPr>
            <w:tcW w:w="100" w:type="dxa"/>
            <w:vAlign w:val="bottom"/>
          </w:tcPr>
          <w:p>
            <w:pPr>
              <w:spacing w:after="0"/>
              <w:rPr>
                <w:sz w:val="19"/>
                <w:szCs w:val="19"/>
                <w:color w:val="auto"/>
              </w:rPr>
            </w:pPr>
          </w:p>
        </w:tc>
      </w:tr>
      <w:tr>
        <w:trPr>
          <w:trHeight w:val="202"/>
        </w:trPr>
        <w:tc>
          <w:tcPr>
            <w:tcW w:w="5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Exercise</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380" w:type="dxa"/>
            <w:vAlign w:val="bottom"/>
          </w:tcPr>
          <w:p>
            <w:pPr>
              <w:spacing w:after="0"/>
              <w:rPr>
                <w:sz w:val="19"/>
                <w:szCs w:val="19"/>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9"/>
                <w:szCs w:val="19"/>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Price</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Contractual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Intrinsic</w:t>
            </w:r>
          </w:p>
        </w:tc>
        <w:tc>
          <w:tcPr>
            <w:tcW w:w="100" w:type="dxa"/>
            <w:vAlign w:val="bottom"/>
          </w:tcPr>
          <w:p>
            <w:pPr>
              <w:spacing w:after="0"/>
              <w:rPr>
                <w:sz w:val="19"/>
                <w:szCs w:val="19"/>
                <w:color w:val="auto"/>
              </w:rPr>
            </w:pPr>
          </w:p>
        </w:tc>
      </w:tr>
      <w:tr>
        <w:trPr>
          <w:trHeight w:val="239"/>
        </w:trPr>
        <w:tc>
          <w:tcPr>
            <w:tcW w:w="5380" w:type="dxa"/>
            <w:vAlign w:val="bottom"/>
          </w:tcPr>
          <w:p>
            <w:pPr>
              <w:spacing w:after="0"/>
              <w:rPr>
                <w:sz w:val="20"/>
                <w:szCs w:val="20"/>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per Share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Life </w:t>
            </w:r>
            <w:r>
              <w:rPr>
                <w:rFonts w:ascii="Arial" w:cs="Arial" w:eastAsia="Arial" w:hAnsi="Arial"/>
                <w:sz w:val="18"/>
                <w:szCs w:val="18"/>
                <w:b w:val="1"/>
                <w:bCs w:val="1"/>
                <w:i w:val="1"/>
                <w:iCs w:val="1"/>
                <w:color w:val="auto"/>
                <w:w w:val="99"/>
              </w:rPr>
              <w:t>(years)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5"/>
              </w:rPr>
              <w:t>Value</w:t>
            </w:r>
          </w:p>
        </w:tc>
        <w:tc>
          <w:tcPr>
            <w:tcW w:w="100" w:type="dxa"/>
            <w:vAlign w:val="bottom"/>
          </w:tcPr>
          <w:p>
            <w:pPr>
              <w:spacing w:after="0"/>
              <w:rPr>
                <w:sz w:val="20"/>
                <w:szCs w:val="20"/>
                <w:color w:val="auto"/>
              </w:rPr>
            </w:pPr>
          </w:p>
        </w:tc>
      </w:tr>
      <w:tr>
        <w:trPr>
          <w:trHeight w:val="22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6,849,910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205,010</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280"/>
              <w:spacing w:after="0"/>
              <w:rPr>
                <w:sz w:val="20"/>
                <w:szCs w:val="20"/>
                <w:color w:val="auto"/>
              </w:rPr>
            </w:pPr>
            <w:r>
              <w:rPr>
                <w:rFonts w:ascii="Arial" w:cs="Arial" w:eastAsia="Arial" w:hAnsi="Arial"/>
                <w:sz w:val="18"/>
                <w:szCs w:val="18"/>
                <w:color w:val="auto"/>
              </w:rPr>
              <w:t>Options granted</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Options exercised</w:t>
            </w: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(2,480,516 )</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280"/>
              <w:spacing w:after="0"/>
              <w:rPr>
                <w:sz w:val="20"/>
                <w:szCs w:val="20"/>
                <w:color w:val="auto"/>
              </w:rPr>
            </w:pPr>
            <w:r>
              <w:rPr>
                <w:rFonts w:ascii="Arial" w:cs="Arial" w:eastAsia="Arial" w:hAnsi="Arial"/>
                <w:sz w:val="18"/>
                <w:szCs w:val="18"/>
                <w:color w:val="auto"/>
              </w:rPr>
              <w:t>Options forfeited</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(213,754 )</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4,155,640</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color w:val="auto"/>
              </w:rPr>
              <w:t>Exercisable at December 31, 2022</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3,280,611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-196215</wp:posOffset>
            </wp:positionV>
            <wp:extent cx="76835" cy="1968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196850"/>
                    </a:xfrm>
                    <a:prstGeom prst="rect">
                      <a:avLst/>
                    </a:prstGeom>
                    <a:noFill/>
                  </pic:spPr>
                </pic:pic>
              </a:graphicData>
            </a:graphic>
          </wp:anchor>
        </w:drawing>
      </w:r>
    </w:p>
    <w:p>
      <w:pPr>
        <w:spacing w:after="0" w:line="195" w:lineRule="exact"/>
        <w:rPr>
          <w:sz w:val="20"/>
          <w:szCs w:val="20"/>
          <w:color w:val="auto"/>
        </w:rPr>
      </w:pPr>
    </w:p>
    <w:p>
      <w:pPr>
        <w:ind w:right="300" w:firstLine="499"/>
        <w:spacing w:after="0" w:line="238" w:lineRule="auto"/>
        <w:rPr>
          <w:sz w:val="20"/>
          <w:szCs w:val="20"/>
          <w:color w:val="auto"/>
        </w:rPr>
      </w:pPr>
      <w:r>
        <w:rPr>
          <w:rFonts w:ascii="Arial" w:cs="Arial" w:eastAsia="Arial" w:hAnsi="Arial"/>
          <w:sz w:val="18"/>
          <w:szCs w:val="18"/>
          <w:color w:val="auto"/>
        </w:rPr>
        <w:t>There were no options granted during the year ended December 31, 2022. The weighted average grant date fair value of options granted during the years ended December 31, 2021 and 2020, was $3.38 and $3.71, respectively. Aggregate intrinsic value represents the difference between the exercise price of the options and the fair value of the Company’s common stock. The aggregate intrinsic value of options exercised for the year ended December 31, 2022 and 2021 was $38.5 million and $17.8 million, respectively.</w:t>
      </w:r>
    </w:p>
    <w:p>
      <w:pPr>
        <w:spacing w:after="0" w:line="96" w:lineRule="exact"/>
        <w:rPr>
          <w:sz w:val="20"/>
          <w:szCs w:val="20"/>
          <w:color w:val="auto"/>
        </w:rPr>
      </w:pPr>
    </w:p>
    <w:p>
      <w:pPr>
        <w:ind w:right="140" w:firstLine="494"/>
        <w:spacing w:after="0" w:line="245" w:lineRule="auto"/>
        <w:rPr>
          <w:sz w:val="20"/>
          <w:szCs w:val="20"/>
          <w:color w:val="auto"/>
        </w:rPr>
      </w:pPr>
      <w:r>
        <w:rPr>
          <w:rFonts w:ascii="Arial" w:cs="Arial" w:eastAsia="Arial" w:hAnsi="Arial"/>
          <w:sz w:val="18"/>
          <w:szCs w:val="18"/>
          <w:color w:val="auto"/>
        </w:rPr>
        <w:t>The fair value of options granted during the years ended December 31, 2021 and 2020 was estimated using the Black-Scholes option-pricing model with the following weighted-average assumptions: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40" w:type="dxa"/>
            <w:vAlign w:val="bottom"/>
          </w:tcPr>
          <w:p>
            <w:pPr>
              <w:spacing w:after="0"/>
              <w:rPr>
                <w:sz w:val="19"/>
                <w:szCs w:val="19"/>
                <w:color w:val="auto"/>
              </w:rPr>
            </w:pPr>
          </w:p>
        </w:tc>
        <w:tc>
          <w:tcPr>
            <w:tcW w:w="4960" w:type="dxa"/>
            <w:vAlign w:val="bottom"/>
            <w:gridSpan w:val="5"/>
          </w:tcPr>
          <w:p>
            <w:pPr>
              <w:jc w:val="right"/>
              <w:ind w:right="1460"/>
              <w:spacing w:after="0"/>
              <w:rPr>
                <w:sz w:val="20"/>
                <w:szCs w:val="20"/>
                <w:color w:val="auto"/>
              </w:rPr>
            </w:pPr>
            <w:r>
              <w:rPr>
                <w:rFonts w:ascii="Arial" w:cs="Arial" w:eastAsia="Arial" w:hAnsi="Arial"/>
                <w:sz w:val="18"/>
                <w:szCs w:val="18"/>
                <w:b w:val="1"/>
                <w:bCs w:val="1"/>
                <w:color w:val="auto"/>
              </w:rPr>
              <w:t>Year Ended December 31,</w:t>
            </w:r>
          </w:p>
        </w:tc>
      </w:tr>
      <w:tr>
        <w:trPr>
          <w:trHeight w:val="239"/>
        </w:trPr>
        <w:tc>
          <w:tcPr>
            <w:tcW w:w="6340" w:type="dxa"/>
            <w:vAlign w:val="bottom"/>
          </w:tcPr>
          <w:p>
            <w:pPr>
              <w:spacing w:after="0"/>
              <w:rPr>
                <w:sz w:val="20"/>
                <w:szCs w:val="20"/>
                <w:color w:val="auto"/>
              </w:rPr>
            </w:pPr>
          </w:p>
        </w:tc>
        <w:tc>
          <w:tcPr>
            <w:tcW w:w="22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22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2"/>
        </w:trPr>
        <w:tc>
          <w:tcPr>
            <w:tcW w:w="63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120"/>
              <w:spacing w:after="0"/>
              <w:rPr>
                <w:sz w:val="20"/>
                <w:szCs w:val="20"/>
                <w:color w:val="auto"/>
              </w:rPr>
            </w:pPr>
            <w:r>
              <w:rPr>
                <w:rFonts w:ascii="Arial" w:cs="Arial" w:eastAsia="Arial" w:hAnsi="Arial"/>
                <w:sz w:val="18"/>
                <w:szCs w:val="18"/>
                <w:color w:val="auto"/>
              </w:rPr>
              <w:t>0.0 %</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260" w:type="dxa"/>
            <w:vAlign w:val="bottom"/>
          </w:tcPr>
          <w:p>
            <w:pPr>
              <w:jc w:val="right"/>
              <w:spacing w:after="0"/>
              <w:rPr>
                <w:sz w:val="20"/>
                <w:szCs w:val="20"/>
                <w:color w:val="auto"/>
              </w:rPr>
            </w:pPr>
            <w:r>
              <w:rPr>
                <w:rFonts w:ascii="Arial" w:cs="Arial" w:eastAsia="Arial" w:hAnsi="Arial"/>
                <w:sz w:val="18"/>
                <w:szCs w:val="18"/>
                <w:color w:val="auto"/>
              </w:rPr>
              <w:t>0.3 % - 0.8%</w:t>
            </w:r>
          </w:p>
        </w:tc>
        <w:tc>
          <w:tcPr>
            <w:tcW w:w="3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0.3 % - 0.4%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560" w:type="dxa"/>
            <w:vAlign w:val="bottom"/>
            <w:gridSpan w:val="2"/>
          </w:tcPr>
          <w:p>
            <w:pPr>
              <w:jc w:val="right"/>
              <w:ind w:right="120"/>
              <w:spacing w:after="0"/>
              <w:rPr>
                <w:sz w:val="20"/>
                <w:szCs w:val="20"/>
                <w:color w:val="auto"/>
              </w:rPr>
            </w:pPr>
            <w:r>
              <w:rPr>
                <w:rFonts w:ascii="Arial" w:cs="Arial" w:eastAsia="Arial" w:hAnsi="Arial"/>
                <w:sz w:val="18"/>
                <w:szCs w:val="18"/>
                <w:color w:val="auto"/>
              </w:rPr>
              <w:t>38.0 %</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50.0 %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7132320" cy="145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97" w:lineRule="exact"/>
        <w:rPr>
          <w:sz w:val="20"/>
          <w:szCs w:val="20"/>
          <w:color w:val="auto"/>
        </w:rPr>
      </w:pPr>
    </w:p>
    <w:p>
      <w:pPr>
        <w:ind w:right="260" w:firstLine="494"/>
        <w:spacing w:after="0"/>
        <w:rPr>
          <w:sz w:val="20"/>
          <w:szCs w:val="20"/>
          <w:color w:val="auto"/>
        </w:rPr>
      </w:pPr>
      <w:r>
        <w:rPr>
          <w:rFonts w:ascii="Arial" w:cs="Arial" w:eastAsia="Arial" w:hAnsi="Arial"/>
          <w:sz w:val="18"/>
          <w:szCs w:val="18"/>
          <w:color w:val="auto"/>
        </w:rPr>
        <w:t>The determination of the fair value of stock options on the date of grant using a Black-Scholes option-pricing model is affected by the fair value of the Company’s common stock, as well as assumptions regarding a number of variables that are complex, subjective and generally require significant judgment to determine. The valuation assumptions were determined as follows: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Expected Term</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expected life of options granted to employees was determined by using management’s best estimation of exercise activity.</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Risk-Free Interest Rate</w:t>
      </w:r>
    </w:p>
    <w:p>
      <w:pPr>
        <w:spacing w:after="0" w:line="121" w:lineRule="exact"/>
        <w:rPr>
          <w:sz w:val="20"/>
          <w:szCs w:val="20"/>
          <w:color w:val="auto"/>
        </w:rPr>
      </w:pPr>
    </w:p>
    <w:p>
      <w:pPr>
        <w:ind w:right="80" w:firstLine="494"/>
        <w:spacing w:after="0" w:line="245" w:lineRule="auto"/>
        <w:rPr>
          <w:sz w:val="20"/>
          <w:szCs w:val="20"/>
          <w:color w:val="auto"/>
        </w:rPr>
      </w:pPr>
      <w:r>
        <w:rPr>
          <w:rFonts w:ascii="Arial" w:cs="Arial" w:eastAsia="Arial" w:hAnsi="Arial"/>
          <w:sz w:val="18"/>
          <w:szCs w:val="18"/>
          <w:color w:val="auto"/>
        </w:rPr>
        <w:t>The Company utilizes a risk-free interest rate in the option valuation model based on U.S. Treasury zero-coupon issues, with remaining terms similar to the expected term of the options.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Expected Volatility</w:t>
      </w:r>
    </w:p>
    <w:p>
      <w:pPr>
        <w:spacing w:after="0" w:line="121" w:lineRule="exact"/>
        <w:rPr>
          <w:sz w:val="20"/>
          <w:szCs w:val="20"/>
          <w:color w:val="auto"/>
        </w:rPr>
      </w:pPr>
    </w:p>
    <w:p>
      <w:pPr>
        <w:ind w:right="240" w:firstLine="494"/>
        <w:spacing w:after="0" w:line="274" w:lineRule="auto"/>
        <w:rPr>
          <w:sz w:val="20"/>
          <w:szCs w:val="20"/>
          <w:color w:val="auto"/>
        </w:rPr>
      </w:pPr>
      <w:r>
        <w:rPr>
          <w:rFonts w:ascii="Arial" w:cs="Arial" w:eastAsia="Arial" w:hAnsi="Arial"/>
          <w:sz w:val="17"/>
          <w:szCs w:val="17"/>
          <w:color w:val="auto"/>
        </w:rPr>
        <w:t>As the Company does not have an extensive trading history for its common stock, the expected volatility is based on the historical volatility of the Company’s publicly traded industry peers utilizing a period of time consistent with the Company’s estimate of expected term.</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Expected Dividend Yield</w:t>
      </w:r>
    </w:p>
    <w:p>
      <w:pPr>
        <w:spacing w:after="0" w:line="121" w:lineRule="exact"/>
        <w:rPr>
          <w:sz w:val="20"/>
          <w:szCs w:val="20"/>
          <w:color w:val="auto"/>
        </w:rPr>
      </w:pPr>
    </w:p>
    <w:p>
      <w:pPr>
        <w:ind w:right="140" w:firstLine="494"/>
        <w:spacing w:after="0" w:line="245"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Fair Value of Underlying Common Stock</w:t>
      </w:r>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70" w:right="279" w:bottom="1440" w:gutter="0" w:footer="0" w:header="0"/>
        </w:sectPr>
      </w:pPr>
    </w:p>
    <w:bookmarkStart w:id="94" w:name="page95"/>
    <w:bookmarkEnd w:id="94"/>
    <w:p>
      <w:pPr>
        <w:ind w:right="40" w:firstLine="494"/>
        <w:spacing w:after="0" w:line="236" w:lineRule="auto"/>
        <w:rPr>
          <w:sz w:val="20"/>
          <w:szCs w:val="20"/>
          <w:color w:val="auto"/>
        </w:rPr>
      </w:pPr>
      <w:r>
        <w:rPr>
          <w:rFonts w:ascii="Arial" w:cs="Arial" w:eastAsia="Arial" w:hAnsi="Arial"/>
          <w:sz w:val="18"/>
          <w:szCs w:val="18"/>
          <w:color w:val="auto"/>
        </w:rPr>
        <w:t xml:space="preserve">Prior to the initial public offering, the fair value of the shares of common stock underlying stock options was estimated by the Company. The Company prepared the valuations with the assistance of a third-party valuation firm, utilizing approaches and methodologies consistent with the American Institute of Certified Public Accountants Practice Aid, </w:t>
      </w:r>
      <w:r>
        <w:rPr>
          <w:rFonts w:ascii="Arial" w:cs="Arial" w:eastAsia="Arial" w:hAnsi="Arial"/>
          <w:sz w:val="18"/>
          <w:szCs w:val="18"/>
          <w:i w:val="1"/>
          <w:iCs w:val="1"/>
          <w:color w:val="auto"/>
        </w:rPr>
        <w:t>Valuation of Privately-Held-Company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and information provided by management, including historical and projected financial information, prospects and risks,</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performance, various corporate documents, capitalization, and economic and financial market conditions. Management, with its third-party valuation firm, also utilized other economic, industry, and market information obtained from other resources considered reliable. After the initial public offering, the Company used the publicly quoted price as reported on the New York Stock Exchange as the fair value of its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August 2021, the Company began issuing RSUs to certain employees and nonemployees under the 2021 Plan. A summary of the</w:t>
      </w:r>
    </w:p>
    <w:p>
      <w:pPr>
        <w:spacing w:after="0"/>
        <w:rPr>
          <w:sz w:val="20"/>
          <w:szCs w:val="20"/>
          <w:color w:val="auto"/>
        </w:rPr>
      </w:pPr>
      <w:r>
        <w:rPr>
          <w:rFonts w:ascii="Arial" w:cs="Arial" w:eastAsia="Arial" w:hAnsi="Arial"/>
          <w:sz w:val="18"/>
          <w:szCs w:val="18"/>
          <w:color w:val="auto"/>
        </w:rPr>
        <w:t>Company’s RSU activity during the year ended December 31, 2022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center"/>
              <w:ind w:right="290"/>
              <w:spacing w:after="0"/>
              <w:rPr>
                <w:sz w:val="20"/>
                <w:szCs w:val="20"/>
                <w:color w:val="auto"/>
              </w:rPr>
            </w:pPr>
            <w:r>
              <w:rPr>
                <w:rFonts w:ascii="Arial" w:cs="Arial" w:eastAsia="Arial" w:hAnsi="Arial"/>
                <w:sz w:val="18"/>
                <w:szCs w:val="18"/>
                <w:b w:val="1"/>
                <w:bCs w:val="1"/>
                <w:color w:val="auto"/>
                <w:w w:val="98"/>
              </w:rPr>
              <w:t>Weighted-</w:t>
            </w:r>
          </w:p>
        </w:tc>
        <w:tc>
          <w:tcPr>
            <w:tcW w:w="340" w:type="dxa"/>
            <w:vAlign w:val="bottom"/>
          </w:tcPr>
          <w:p>
            <w:pPr>
              <w:spacing w:after="0"/>
              <w:rPr>
                <w:sz w:val="19"/>
                <w:szCs w:val="19"/>
                <w:color w:val="auto"/>
              </w:rPr>
            </w:pPr>
          </w:p>
        </w:tc>
      </w:tr>
      <w:tr>
        <w:trPr>
          <w:trHeight w:val="229"/>
        </w:trPr>
        <w:tc>
          <w:tcPr>
            <w:tcW w:w="6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center"/>
              <w:ind w:right="290"/>
              <w:spacing w:after="0"/>
              <w:rPr>
                <w:sz w:val="20"/>
                <w:szCs w:val="20"/>
                <w:color w:val="auto"/>
              </w:rPr>
            </w:pPr>
            <w:r>
              <w:rPr>
                <w:rFonts w:ascii="Arial" w:cs="Arial" w:eastAsia="Arial" w:hAnsi="Arial"/>
                <w:sz w:val="18"/>
                <w:szCs w:val="18"/>
                <w:b w:val="1"/>
                <w:bCs w:val="1"/>
                <w:color w:val="auto"/>
                <w:w w:val="98"/>
              </w:rPr>
              <w:t>Average</w:t>
            </w:r>
          </w:p>
        </w:tc>
        <w:tc>
          <w:tcPr>
            <w:tcW w:w="340" w:type="dxa"/>
            <w:vAlign w:val="bottom"/>
          </w:tcPr>
          <w:p>
            <w:pPr>
              <w:spacing w:after="0"/>
              <w:rPr>
                <w:sz w:val="19"/>
                <w:szCs w:val="19"/>
                <w:color w:val="auto"/>
              </w:rPr>
            </w:pPr>
          </w:p>
        </w:tc>
      </w:tr>
      <w:tr>
        <w:trPr>
          <w:trHeight w:val="229"/>
        </w:trPr>
        <w:tc>
          <w:tcPr>
            <w:tcW w:w="6180" w:type="dxa"/>
            <w:vAlign w:val="bottom"/>
          </w:tcPr>
          <w:p>
            <w:pPr>
              <w:spacing w:after="0"/>
              <w:rPr>
                <w:sz w:val="19"/>
                <w:szCs w:val="19"/>
                <w:color w:val="auto"/>
              </w:rPr>
            </w:pPr>
          </w:p>
        </w:tc>
        <w:tc>
          <w:tcPr>
            <w:tcW w:w="25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Number of</w:t>
            </w:r>
          </w:p>
        </w:tc>
        <w:tc>
          <w:tcPr>
            <w:tcW w:w="380" w:type="dxa"/>
            <w:vAlign w:val="bottom"/>
          </w:tcPr>
          <w:p>
            <w:pPr>
              <w:spacing w:after="0"/>
              <w:rPr>
                <w:sz w:val="19"/>
                <w:szCs w:val="19"/>
                <w:color w:val="auto"/>
              </w:rPr>
            </w:pP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Grant Date</w:t>
            </w:r>
          </w:p>
        </w:tc>
        <w:tc>
          <w:tcPr>
            <w:tcW w:w="340" w:type="dxa"/>
            <w:vAlign w:val="bottom"/>
          </w:tcPr>
          <w:p>
            <w:pPr>
              <w:spacing w:after="0"/>
              <w:rPr>
                <w:sz w:val="19"/>
                <w:szCs w:val="19"/>
                <w:color w:val="auto"/>
              </w:rPr>
            </w:pPr>
          </w:p>
        </w:tc>
      </w:tr>
      <w:tr>
        <w:trPr>
          <w:trHeight w:val="239"/>
        </w:trPr>
        <w:tc>
          <w:tcPr>
            <w:tcW w:w="6180" w:type="dxa"/>
            <w:vAlign w:val="bottom"/>
          </w:tcPr>
          <w:p>
            <w:pPr>
              <w:spacing w:after="0"/>
              <w:rPr>
                <w:sz w:val="20"/>
                <w:szCs w:val="20"/>
                <w:color w:val="auto"/>
              </w:rPr>
            </w:pPr>
          </w:p>
        </w:tc>
        <w:tc>
          <w:tcPr>
            <w:tcW w:w="25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RSU's Outstanding</w:t>
            </w:r>
          </w:p>
        </w:tc>
        <w:tc>
          <w:tcPr>
            <w:tcW w:w="380" w:type="dxa"/>
            <w:vAlign w:val="bottom"/>
          </w:tcPr>
          <w:p>
            <w:pPr>
              <w:spacing w:after="0"/>
              <w:rPr>
                <w:sz w:val="20"/>
                <w:szCs w:val="20"/>
                <w:color w:val="auto"/>
              </w:rPr>
            </w:pPr>
          </w:p>
        </w:tc>
        <w:tc>
          <w:tcPr>
            <w:tcW w:w="180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Fair Value</w:t>
            </w:r>
          </w:p>
        </w:tc>
        <w:tc>
          <w:tcPr>
            <w:tcW w:w="340" w:type="dxa"/>
            <w:vAlign w:val="bottom"/>
          </w:tcPr>
          <w:p>
            <w:pPr>
              <w:spacing w:after="0"/>
              <w:rPr>
                <w:sz w:val="20"/>
                <w:szCs w:val="20"/>
                <w:color w:val="auto"/>
              </w:rPr>
            </w:pPr>
          </w:p>
        </w:tc>
      </w:tr>
      <w:tr>
        <w:trPr>
          <w:trHeight w:val="223"/>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Awarded and unvested at December 31, 2021</w:t>
            </w: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513,547</w:t>
            </w:r>
          </w:p>
        </w:tc>
        <w:tc>
          <w:tcPr>
            <w:tcW w:w="34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340" w:type="dxa"/>
            <w:vAlign w:val="bottom"/>
            <w:shd w:val="clear" w:color="auto" w:fill="CFF0FC"/>
          </w:tcPr>
          <w:p>
            <w:pPr>
              <w:spacing w:after="0"/>
              <w:rPr>
                <w:sz w:val="19"/>
                <w:szCs w:val="19"/>
                <w:color w:val="auto"/>
              </w:rPr>
            </w:pPr>
          </w:p>
        </w:tc>
      </w:tr>
      <w:tr>
        <w:trPr>
          <w:trHeight w:val="229"/>
        </w:trPr>
        <w:tc>
          <w:tcPr>
            <w:tcW w:w="6180" w:type="dxa"/>
            <w:vAlign w:val="bottom"/>
          </w:tcPr>
          <w:p>
            <w:pPr>
              <w:ind w:left="280"/>
              <w:spacing w:after="0"/>
              <w:rPr>
                <w:sz w:val="20"/>
                <w:szCs w:val="20"/>
                <w:color w:val="auto"/>
              </w:rPr>
            </w:pPr>
            <w:r>
              <w:rPr>
                <w:rFonts w:ascii="Arial" w:cs="Arial" w:eastAsia="Arial" w:hAnsi="Arial"/>
                <w:sz w:val="18"/>
                <w:szCs w:val="18"/>
                <w:color w:val="auto"/>
              </w:rPr>
              <w:t>Awards granted</w:t>
            </w:r>
          </w:p>
        </w:tc>
        <w:tc>
          <w:tcPr>
            <w:tcW w:w="2200" w:type="dxa"/>
            <w:vAlign w:val="bottom"/>
          </w:tcPr>
          <w:p>
            <w:pPr>
              <w:jc w:val="right"/>
              <w:spacing w:after="0"/>
              <w:rPr>
                <w:sz w:val="20"/>
                <w:szCs w:val="20"/>
                <w:color w:val="auto"/>
              </w:rPr>
            </w:pPr>
            <w:r>
              <w:rPr>
                <w:rFonts w:ascii="Arial" w:cs="Arial" w:eastAsia="Arial" w:hAnsi="Arial"/>
                <w:sz w:val="18"/>
                <w:szCs w:val="18"/>
                <w:color w:val="auto"/>
              </w:rPr>
              <w:t>1,163,428</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15.28</w:t>
            </w:r>
          </w:p>
        </w:tc>
        <w:tc>
          <w:tcPr>
            <w:tcW w:w="340" w:type="dxa"/>
            <w:vAlign w:val="bottom"/>
          </w:tcPr>
          <w:p>
            <w:pPr>
              <w:spacing w:after="0"/>
              <w:rPr>
                <w:sz w:val="19"/>
                <w:szCs w:val="19"/>
                <w:color w:val="auto"/>
              </w:rPr>
            </w:pPr>
          </w:p>
        </w:tc>
      </w:tr>
      <w:tr>
        <w:trPr>
          <w:trHeight w:val="229"/>
        </w:trPr>
        <w:tc>
          <w:tcPr>
            <w:tcW w:w="6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Awards vested</w:t>
            </w:r>
          </w:p>
        </w:tc>
        <w:tc>
          <w:tcPr>
            <w:tcW w:w="2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(121,496 )</w:t>
            </w:r>
          </w:p>
        </w:tc>
        <w:tc>
          <w:tcPr>
            <w:tcW w:w="3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w:t>
            </w:r>
          </w:p>
        </w:tc>
        <w:tc>
          <w:tcPr>
            <w:tcW w:w="340" w:type="dxa"/>
            <w:vAlign w:val="bottom"/>
            <w:shd w:val="clear" w:color="auto" w:fill="CFF0FC"/>
          </w:tcPr>
          <w:p>
            <w:pPr>
              <w:spacing w:after="0"/>
              <w:rPr>
                <w:sz w:val="19"/>
                <w:szCs w:val="19"/>
                <w:color w:val="auto"/>
              </w:rPr>
            </w:pPr>
          </w:p>
        </w:tc>
      </w:tr>
      <w:tr>
        <w:trPr>
          <w:trHeight w:val="229"/>
        </w:trPr>
        <w:tc>
          <w:tcPr>
            <w:tcW w:w="6180" w:type="dxa"/>
            <w:vAlign w:val="bottom"/>
          </w:tcPr>
          <w:p>
            <w:pPr>
              <w:ind w:left="280"/>
              <w:spacing w:after="0"/>
              <w:rPr>
                <w:sz w:val="20"/>
                <w:szCs w:val="20"/>
                <w:color w:val="auto"/>
              </w:rPr>
            </w:pPr>
            <w:r>
              <w:rPr>
                <w:rFonts w:ascii="Arial" w:cs="Arial" w:eastAsia="Arial" w:hAnsi="Arial"/>
                <w:sz w:val="18"/>
                <w:szCs w:val="18"/>
                <w:color w:val="auto"/>
              </w:rPr>
              <w:t>Awards forfeited</w:t>
            </w:r>
          </w:p>
        </w:tc>
        <w:tc>
          <w:tcPr>
            <w:tcW w:w="2540" w:type="dxa"/>
            <w:vAlign w:val="bottom"/>
            <w:gridSpan w:val="2"/>
          </w:tcPr>
          <w:p>
            <w:pPr>
              <w:jc w:val="right"/>
              <w:ind w:right="260"/>
              <w:spacing w:after="0"/>
              <w:rPr>
                <w:sz w:val="20"/>
                <w:szCs w:val="20"/>
                <w:color w:val="auto"/>
              </w:rPr>
            </w:pPr>
            <w:r>
              <w:rPr>
                <w:rFonts w:ascii="Arial" w:cs="Arial" w:eastAsia="Arial" w:hAnsi="Arial"/>
                <w:sz w:val="18"/>
                <w:szCs w:val="18"/>
                <w:color w:val="auto"/>
              </w:rPr>
              <w:t>(193,059 )</w:t>
            </w: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17.48</w:t>
            </w:r>
          </w:p>
        </w:tc>
        <w:tc>
          <w:tcPr>
            <w:tcW w:w="340" w:type="dxa"/>
            <w:vAlign w:val="bottom"/>
          </w:tcPr>
          <w:p>
            <w:pPr>
              <w:spacing w:after="0"/>
              <w:rPr>
                <w:sz w:val="19"/>
                <w:szCs w:val="19"/>
                <w:color w:val="auto"/>
              </w:rPr>
            </w:pPr>
          </w:p>
        </w:tc>
      </w:tr>
      <w:tr>
        <w:trPr>
          <w:trHeight w:val="263"/>
        </w:trPr>
        <w:tc>
          <w:tcPr>
            <w:tcW w:w="6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Awarded and unvested at December 31, 2022</w:t>
            </w:r>
          </w:p>
        </w:tc>
        <w:tc>
          <w:tcPr>
            <w:tcW w:w="2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1,362,420</w:t>
            </w:r>
          </w:p>
        </w:tc>
        <w:tc>
          <w:tcPr>
            <w:tcW w:w="3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3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ind w:right="140" w:firstLine="494"/>
        <w:spacing w:after="0" w:line="261" w:lineRule="auto"/>
        <w:rPr>
          <w:sz w:val="20"/>
          <w:szCs w:val="20"/>
          <w:color w:val="auto"/>
        </w:rPr>
      </w:pPr>
      <w:r>
        <w:rPr>
          <w:rFonts w:ascii="Arial" w:cs="Arial" w:eastAsia="Arial" w:hAnsi="Arial"/>
          <w:sz w:val="17"/>
          <w:szCs w:val="17"/>
          <w:color w:val="auto"/>
        </w:rPr>
        <w:t>The fair value of RSU grants is determined based upon the market closing price of the Company's Class A common stock on the date of grant. RSUs vest over the requisite service period, which ranges between four and five years from the date of grant, subject to continued employment for employees and provision of services for nonemployees. No RSUs vested during the year ended December 31, 2021.</w:t>
      </w:r>
    </w:p>
    <w:p>
      <w:pPr>
        <w:spacing w:after="0" w:line="77" w:lineRule="exact"/>
        <w:rPr>
          <w:sz w:val="20"/>
          <w:szCs w:val="20"/>
          <w:color w:val="auto"/>
        </w:rPr>
      </w:pPr>
    </w:p>
    <w:p>
      <w:pPr>
        <w:ind w:right="2100" w:firstLine="494"/>
        <w:spacing w:after="0" w:line="245" w:lineRule="auto"/>
        <w:rPr>
          <w:sz w:val="20"/>
          <w:szCs w:val="20"/>
          <w:color w:val="auto"/>
        </w:rPr>
      </w:pPr>
      <w:r>
        <w:rPr>
          <w:rFonts w:ascii="Arial" w:cs="Arial" w:eastAsia="Arial" w:hAnsi="Arial"/>
          <w:sz w:val="18"/>
          <w:szCs w:val="18"/>
          <w:color w:val="auto"/>
        </w:rPr>
        <w:t>Stock-based compensation expense included in the consolidated statements of operations was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20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1,736</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29"/>
        </w:trPr>
        <w:tc>
          <w:tcPr>
            <w:tcW w:w="52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3,353</w:t>
            </w:r>
          </w:p>
        </w:tc>
        <w:tc>
          <w:tcPr>
            <w:tcW w:w="3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2,339</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6,736</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-179070</wp:posOffset>
            </wp:positionV>
            <wp:extent cx="76835" cy="179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-179070</wp:posOffset>
            </wp:positionV>
            <wp:extent cx="68580" cy="1797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95" w:lineRule="exact"/>
        <w:rPr>
          <w:sz w:val="20"/>
          <w:szCs w:val="20"/>
          <w:color w:val="auto"/>
        </w:rPr>
      </w:pPr>
    </w:p>
    <w:p>
      <w:pPr>
        <w:ind w:right="500" w:firstLine="494"/>
        <w:spacing w:after="0" w:line="274" w:lineRule="auto"/>
        <w:rPr>
          <w:sz w:val="20"/>
          <w:szCs w:val="20"/>
          <w:color w:val="auto"/>
        </w:rPr>
      </w:pPr>
      <w:r>
        <w:rPr>
          <w:rFonts w:ascii="Arial" w:cs="Arial" w:eastAsia="Arial" w:hAnsi="Arial"/>
          <w:sz w:val="17"/>
          <w:szCs w:val="17"/>
          <w:color w:val="auto"/>
        </w:rPr>
        <w:t>At December 31, 2022, there was $2.3 million of total unrecognized compensation cost related to unvested stock options granted under the 2012 Equity Incentive Plan, which is expected to be recognized over a remaining weighted-average period of 1.4 years.</w:t>
      </w:r>
    </w:p>
    <w:p>
      <w:pPr>
        <w:spacing w:after="0" w:line="66" w:lineRule="exact"/>
        <w:rPr>
          <w:sz w:val="20"/>
          <w:szCs w:val="20"/>
          <w:color w:val="auto"/>
        </w:rPr>
      </w:pPr>
    </w:p>
    <w:p>
      <w:pPr>
        <w:ind w:right="160" w:firstLine="494"/>
        <w:spacing w:after="0" w:line="245" w:lineRule="auto"/>
        <w:rPr>
          <w:sz w:val="20"/>
          <w:szCs w:val="20"/>
          <w:color w:val="auto"/>
        </w:rPr>
      </w:pPr>
      <w:r>
        <w:rPr>
          <w:rFonts w:ascii="Arial" w:cs="Arial" w:eastAsia="Arial" w:hAnsi="Arial"/>
          <w:sz w:val="18"/>
          <w:szCs w:val="18"/>
          <w:color w:val="auto"/>
        </w:rPr>
        <w:t>At December 31, 2022, there was $22.2 million of total unrecognized compensation cost related to unvested RSUs granted under the 2021 Plan, which is expected to be recognized over a remaining weighted-average period of 3.5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income before income taxes were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23"/>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(4,579 )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16,548</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19"/>
                <w:szCs w:val="19"/>
                <w:color w:val="auto"/>
              </w:rPr>
            </w:pPr>
          </w:p>
        </w:tc>
      </w:tr>
      <w:tr>
        <w:trPr>
          <w:trHeight w:val="243"/>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(1,308 )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10,366</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18,364</w:t>
            </w:r>
          </w:p>
        </w:tc>
        <w:tc>
          <w:tcPr>
            <w:tcW w:w="100" w:type="dxa"/>
            <w:vAlign w:val="bottom"/>
            <w:shd w:val="clear" w:color="auto" w:fill="CFF0FC"/>
          </w:tcPr>
          <w:p>
            <w:pPr>
              <w:spacing w:after="0"/>
              <w:rPr>
                <w:sz w:val="21"/>
                <w:szCs w:val="21"/>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-24765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provision for income taxes consisted of the following (in thousands):</w:t>
      </w:r>
    </w:p>
    <w:p>
      <w:pPr>
        <w:spacing w:after="0" w:line="1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23"/>
        </w:trPr>
        <w:tc>
          <w:tcPr>
            <w:tcW w:w="6660" w:type="dxa"/>
            <w:vAlign w:val="bottom"/>
            <w:shd w:val="clear" w:color="auto" w:fill="CFF0FC"/>
          </w:tcPr>
          <w:p>
            <w:pPr>
              <w:ind w:left="8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Domestic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915</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19"/>
                <w:szCs w:val="19"/>
                <w:color w:val="auto"/>
              </w:rPr>
            </w:pPr>
          </w:p>
        </w:tc>
      </w:tr>
      <w:tr>
        <w:trPr>
          <w:trHeight w:val="229"/>
        </w:trPr>
        <w:tc>
          <w:tcPr>
            <w:tcW w:w="6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60" w:type="dxa"/>
            <w:vAlign w:val="bottom"/>
          </w:tcPr>
          <w:p>
            <w:pPr>
              <w:jc w:val="center"/>
              <w:ind w:right="5630"/>
              <w:spacing w:after="0"/>
              <w:rPr>
                <w:sz w:val="20"/>
                <w:szCs w:val="20"/>
                <w:color w:val="auto"/>
              </w:rPr>
            </w:pPr>
            <w:r>
              <w:rPr>
                <w:rFonts w:ascii="Arial" w:cs="Arial" w:eastAsia="Arial" w:hAnsi="Arial"/>
                <w:sz w:val="18"/>
                <w:szCs w:val="18"/>
                <w:color w:val="auto"/>
                <w:w w:val="94"/>
              </w:rPr>
              <w:t>Total</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19"/>
                <w:szCs w:val="19"/>
                <w:color w:val="auto"/>
              </w:rPr>
            </w:pPr>
          </w:p>
        </w:tc>
      </w:tr>
      <w:tr>
        <w:trPr>
          <w:trHeight w:val="223"/>
        </w:trPr>
        <w:tc>
          <w:tcPr>
            <w:tcW w:w="6660" w:type="dxa"/>
            <w:vAlign w:val="bottom"/>
            <w:shd w:val="clear" w:color="auto" w:fill="CFF0FC"/>
          </w:tcPr>
          <w:p>
            <w:pPr>
              <w:jc w:val="center"/>
              <w:ind w:right="5670"/>
              <w:spacing w:after="0"/>
              <w:rPr>
                <w:sz w:val="20"/>
                <w:szCs w:val="20"/>
                <w:color w:val="auto"/>
              </w:rPr>
            </w:pPr>
            <w:r>
              <w:rPr>
                <w:rFonts w:ascii="Arial" w:cs="Arial" w:eastAsia="Arial" w:hAnsi="Arial"/>
                <w:sz w:val="18"/>
                <w:szCs w:val="18"/>
                <w:color w:val="auto"/>
                <w:w w:val="98"/>
              </w:rPr>
              <w:t>Deferred:</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Domestic</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(3,020 )</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(765 )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r>
      <w:tr>
        <w:trPr>
          <w:trHeight w:val="229"/>
        </w:trPr>
        <w:tc>
          <w:tcPr>
            <w:tcW w:w="6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60" w:type="dxa"/>
            <w:vAlign w:val="bottom"/>
          </w:tcPr>
          <w:p>
            <w:pPr>
              <w:jc w:val="center"/>
              <w:ind w:right="5630"/>
              <w:spacing w:after="0"/>
              <w:rPr>
                <w:sz w:val="20"/>
                <w:szCs w:val="20"/>
                <w:color w:val="auto"/>
              </w:rPr>
            </w:pPr>
            <w:r>
              <w:rPr>
                <w:rFonts w:ascii="Arial" w:cs="Arial" w:eastAsia="Arial" w:hAnsi="Arial"/>
                <w:sz w:val="18"/>
                <w:szCs w:val="18"/>
                <w:color w:val="auto"/>
                <w:w w:val="94"/>
              </w:rPr>
              <w:t>Total</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(2,973 )</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(660 )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(795 )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4,653</w:t>
            </w:r>
          </w:p>
        </w:tc>
        <w:tc>
          <w:tcPr>
            <w:tcW w:w="100" w:type="dxa"/>
            <w:vAlign w:val="bottom"/>
            <w:shd w:val="clear" w:color="auto" w:fill="CFF0FC"/>
          </w:tcPr>
          <w:p>
            <w:pPr>
              <w:spacing w:after="0"/>
              <w:rPr>
                <w:sz w:val="21"/>
                <w:szCs w:val="21"/>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-932815</wp:posOffset>
            </wp:positionV>
            <wp:extent cx="76835" cy="162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-932815</wp:posOffset>
            </wp:positionV>
            <wp:extent cx="68580" cy="162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162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-333375</wp:posOffset>
            </wp:positionV>
            <wp:extent cx="76835" cy="162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-333375</wp:posOffset>
            </wp:positionV>
            <wp:extent cx="68580" cy="162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-24765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-7620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340" w:firstLine="374"/>
        <w:spacing w:after="0" w:line="245" w:lineRule="auto"/>
        <w:rPr>
          <w:sz w:val="20"/>
          <w:szCs w:val="20"/>
          <w:color w:val="auto"/>
        </w:rPr>
      </w:pPr>
      <w:r>
        <w:rPr>
          <w:rFonts w:ascii="Arial" w:cs="Arial" w:eastAsia="Arial" w:hAnsi="Arial"/>
          <w:sz w:val="18"/>
          <w:szCs w:val="18"/>
          <w:color w:val="auto"/>
        </w:rPr>
        <w:t>The effective income tax rate differs from the federal statutory income tax rate applied to the income before provision for income taxes due to the following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209"/>
        </w:trPr>
        <w:tc>
          <w:tcPr>
            <w:tcW w:w="6620" w:type="dxa"/>
            <w:vAlign w:val="bottom"/>
          </w:tcPr>
          <w:p>
            <w:pPr>
              <w:spacing w:after="0"/>
              <w:rPr>
                <w:sz w:val="18"/>
                <w:szCs w:val="18"/>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8"/>
                <w:szCs w:val="18"/>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Federal statutory rate</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21.0 %</w:t>
            </w:r>
          </w:p>
        </w:tc>
        <w:tc>
          <w:tcPr>
            <w:tcW w:w="2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21.0 %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(40.0 )%</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4.8 %</w:t>
            </w:r>
          </w:p>
        </w:tc>
        <w:tc>
          <w:tcPr>
            <w:tcW w:w="2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4.3 %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Non-deductible executive compensation</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(32.4 )%</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14.3 %</w:t>
            </w:r>
          </w:p>
        </w:tc>
        <w:tc>
          <w:tcPr>
            <w:tcW w:w="2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Non-deductible IPO expenses</w:t>
            </w:r>
          </w:p>
        </w:tc>
        <w:tc>
          <w:tcPr>
            <w:tcW w:w="170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4.5 %</w:t>
            </w:r>
          </w:p>
        </w:tc>
        <w:tc>
          <w:tcPr>
            <w:tcW w:w="2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Other permanent differences</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(8.3 )%</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0.6 %</w:t>
            </w: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Excess tax benefit on stock-based compensation</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675.6 %</w:t>
            </w:r>
          </w:p>
        </w:tc>
        <w:tc>
          <w:tcPr>
            <w:tcW w:w="120" w:type="dxa"/>
            <w:vAlign w:val="bottom"/>
          </w:tcPr>
          <w:p>
            <w:pPr>
              <w:spacing w:after="0"/>
              <w:rPr>
                <w:sz w:val="19"/>
                <w:szCs w:val="19"/>
                <w:color w:val="auto"/>
              </w:rPr>
            </w:pP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(41.6 )%</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Difference in prior year tax filings from provision</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(22.6 )%</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4.3 %</w:t>
            </w:r>
          </w:p>
        </w:tc>
        <w:tc>
          <w:tcPr>
            <w:tcW w:w="2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Foreign tax rate differences</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2.5 %</w:t>
            </w:r>
          </w:p>
        </w:tc>
        <w:tc>
          <w:tcPr>
            <w:tcW w:w="2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(542.8 )%</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19"/>
                <w:szCs w:val="19"/>
                <w:color w:val="auto"/>
              </w:rPr>
            </w:pP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0.2 %</w:t>
            </w:r>
          </w:p>
        </w:tc>
      </w:tr>
      <w:tr>
        <w:trPr>
          <w:trHeight w:val="20"/>
        </w:trPr>
        <w:tc>
          <w:tcPr>
            <w:tcW w:w="6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662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60.8 %</w:t>
            </w: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10.4 %</w:t>
            </w:r>
          </w:p>
        </w:tc>
        <w:tc>
          <w:tcPr>
            <w:tcW w:w="2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25.3 %</w:t>
            </w:r>
          </w:p>
        </w:tc>
      </w:tr>
      <w:tr>
        <w:trPr>
          <w:trHeight w:val="20"/>
        </w:trPr>
        <w:tc>
          <w:tcPr>
            <w:tcW w:w="66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-1634490</wp:posOffset>
            </wp:positionV>
            <wp:extent cx="7132320" cy="145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-1343660</wp:posOffset>
            </wp:positionV>
            <wp:extent cx="7132320" cy="145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454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5" w:lineRule="exact"/>
        <w:rPr>
          <w:sz w:val="20"/>
          <w:szCs w:val="20"/>
          <w:color w:val="auto"/>
        </w:rPr>
      </w:pPr>
    </w:p>
    <w:p>
      <w:pPr>
        <w:ind w:right="340" w:firstLine="374"/>
        <w:spacing w:after="0"/>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at December 31, 2022 and 2021 were as follows (in thousands):</w:t>
      </w:r>
    </w:p>
    <w:p>
      <w:pPr>
        <w:spacing w:after="0" w:line="9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83"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Stock-based compensation and other accruals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2,806</w:t>
            </w:r>
          </w:p>
        </w:tc>
        <w:tc>
          <w:tcPr>
            <w:tcW w:w="26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9"/>
                <w:szCs w:val="19"/>
                <w:color w:val="auto"/>
              </w:rPr>
            </w:pPr>
          </w:p>
        </w:tc>
      </w:tr>
      <w:tr>
        <w:trPr>
          <w:trHeight w:val="229"/>
        </w:trPr>
        <w:tc>
          <w:tcPr>
            <w:tcW w:w="8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Federal and state net operating losses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100" w:type="dxa"/>
            <w:vAlign w:val="bottom"/>
            <w:shd w:val="clear" w:color="auto" w:fill="CFF0FC"/>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Foreign tax credit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r>
      <w:tr>
        <w:trPr>
          <w:trHeight w:val="229"/>
        </w:trPr>
        <w:tc>
          <w:tcPr>
            <w:tcW w:w="8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FF0FC"/>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r>
      <w:tr>
        <w:trPr>
          <w:trHeight w:val="229"/>
        </w:trPr>
        <w:tc>
          <w:tcPr>
            <w:tcW w:w="8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Capitalized research and development costs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8240" w:type="dxa"/>
            <w:vAlign w:val="bottom"/>
          </w:tcPr>
          <w:p>
            <w:pPr>
              <w:ind w:left="140"/>
              <w:spacing w:after="0"/>
              <w:rPr>
                <w:sz w:val="20"/>
                <w:szCs w:val="20"/>
                <w:color w:val="auto"/>
              </w:rPr>
            </w:pPr>
            <w:r>
              <w:rPr>
                <w:rFonts w:ascii="Arial" w:cs="Arial" w:eastAsia="Arial" w:hAnsi="Arial"/>
                <w:sz w:val="18"/>
                <w:szCs w:val="18"/>
                <w:color w:val="auto"/>
              </w:rPr>
              <w:t>Intangible assets (including capitalized internal-use software development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240" w:type="dxa"/>
            <w:vAlign w:val="bottom"/>
          </w:tcPr>
          <w:p>
            <w:pPr>
              <w:ind w:left="140"/>
              <w:spacing w:after="0"/>
              <w:rPr>
                <w:sz w:val="20"/>
                <w:szCs w:val="20"/>
                <w:color w:val="auto"/>
              </w:rPr>
            </w:pPr>
            <w:r>
              <w:rPr>
                <w:rFonts w:ascii="Arial" w:cs="Arial" w:eastAsia="Arial" w:hAnsi="Arial"/>
                <w:sz w:val="18"/>
                <w:szCs w:val="18"/>
                <w:color w:val="auto"/>
              </w:rPr>
              <w:t>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deferred tax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14,747</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tcPr>
          <w:p>
            <w:pPr>
              <w:spacing w:after="0"/>
              <w:rPr>
                <w:sz w:val="19"/>
                <w:szCs w:val="19"/>
                <w:color w:val="auto"/>
              </w:rPr>
            </w:pPr>
          </w:p>
        </w:tc>
      </w:tr>
      <w:tr>
        <w:trPr>
          <w:trHeight w:val="229"/>
        </w:trPr>
        <w:tc>
          <w:tcPr>
            <w:tcW w:w="8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(7,804 )</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(744 )</w:t>
            </w:r>
          </w:p>
        </w:tc>
      </w:tr>
      <w:tr>
        <w:trPr>
          <w:trHeight w:val="223"/>
        </w:trPr>
        <w:tc>
          <w:tcPr>
            <w:tcW w:w="8240" w:type="dxa"/>
            <w:vAlign w:val="bottom"/>
            <w:tcBorders>
              <w:top w:val="single" w:sz="8" w:color="CFF0FC"/>
            </w:tcBorders>
          </w:tcPr>
          <w:p>
            <w:pPr>
              <w:ind w:left="40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6,943</w:t>
            </w:r>
          </w:p>
        </w:tc>
        <w:tc>
          <w:tcPr>
            <w:tcW w:w="26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Borders>
              <w:top w:val="single" w:sz="8" w:color="CFF0FC"/>
            </w:tcBorders>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8240" w:type="dxa"/>
            <w:vAlign w:val="bottom"/>
          </w:tcPr>
          <w:p>
            <w:pPr>
              <w:ind w:left="140"/>
              <w:spacing w:after="0"/>
              <w:rPr>
                <w:sz w:val="20"/>
                <w:szCs w:val="20"/>
                <w:color w:val="auto"/>
              </w:rPr>
            </w:pPr>
            <w:r>
              <w:rPr>
                <w:rFonts w:ascii="Arial" w:cs="Arial" w:eastAsia="Arial" w:hAnsi="Arial"/>
                <w:sz w:val="18"/>
                <w:szCs w:val="18"/>
                <w:color w:val="auto"/>
              </w:rPr>
              <w:t>Intangible assets (including capitalized internal-use software development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240" w:type="dxa"/>
            <w:vAlign w:val="bottom"/>
          </w:tcPr>
          <w:p>
            <w:pPr>
              <w:ind w:left="140"/>
              <w:spacing w:after="0"/>
              <w:rPr>
                <w:sz w:val="20"/>
                <w:szCs w:val="20"/>
                <w:color w:val="auto"/>
              </w:rPr>
            </w:pPr>
            <w:r>
              <w:rPr>
                <w:rFonts w:ascii="Arial" w:cs="Arial" w:eastAsia="Arial" w:hAnsi="Arial"/>
                <w:sz w:val="18"/>
                <w:szCs w:val="18"/>
                <w:color w:val="auto"/>
              </w:rPr>
              <w:t>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(9,031 )</w:t>
            </w:r>
          </w:p>
        </w:tc>
      </w:tr>
      <w:tr>
        <w:trPr>
          <w:trHeight w:val="229"/>
        </w:trPr>
        <w:tc>
          <w:tcPr>
            <w:tcW w:w="8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(3,478 )</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(119 )</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(98 )</w:t>
            </w:r>
          </w:p>
        </w:tc>
      </w:tr>
      <w:tr>
        <w:trPr>
          <w:trHeight w:val="229"/>
        </w:trPr>
        <w:tc>
          <w:tcPr>
            <w:tcW w:w="8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(3,817 )</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(3,602 )</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Foregone foreign tax credit</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(93 )</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(130 )</w:t>
            </w:r>
          </w:p>
        </w:tc>
      </w:tr>
      <w:tr>
        <w:trPr>
          <w:trHeight w:val="20"/>
        </w:trPr>
        <w:tc>
          <w:tcPr>
            <w:tcW w:w="8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(7,507 )</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(12,861 )</w:t>
            </w:r>
          </w:p>
        </w:tc>
      </w:tr>
      <w:tr>
        <w:trPr>
          <w:trHeight w:val="20"/>
        </w:trPr>
        <w:tc>
          <w:tcPr>
            <w:tcW w:w="8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8240" w:type="dxa"/>
            <w:vAlign w:val="bottom"/>
          </w:tcPr>
          <w:p>
            <w:pPr>
              <w:ind w:left="400"/>
              <w:spacing w:after="0"/>
              <w:rPr>
                <w:sz w:val="20"/>
                <w:szCs w:val="20"/>
                <w:color w:val="auto"/>
              </w:rPr>
            </w:pPr>
            <w:r>
              <w:rPr>
                <w:rFonts w:ascii="Arial" w:cs="Arial" w:eastAsia="Arial" w:hAnsi="Arial"/>
                <w:sz w:val="18"/>
                <w:szCs w:val="18"/>
                <w:color w:val="auto"/>
              </w:rPr>
              <w:t>Net deferred tax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(564 )</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(3,155 )</w:t>
            </w:r>
          </w:p>
        </w:tc>
      </w:tr>
      <w:tr>
        <w:trPr>
          <w:trHeight w:val="20"/>
        </w:trPr>
        <w:tc>
          <w:tcPr>
            <w:tcW w:w="8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Reported as: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tax asset (non-current)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Deferred tax liability (non-current)</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(680 )</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(3,318 )</w:t>
            </w:r>
          </w:p>
        </w:tc>
      </w:tr>
      <w:tr>
        <w:trPr>
          <w:trHeight w:val="20"/>
        </w:trPr>
        <w:tc>
          <w:tcPr>
            <w:tcW w:w="8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82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Net deferred tax liabilities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(564 )</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(3,155 )</w:t>
            </w:r>
          </w:p>
        </w:tc>
      </w:tr>
      <w:tr>
        <w:trPr>
          <w:trHeight w:val="20"/>
        </w:trPr>
        <w:tc>
          <w:tcPr>
            <w:tcW w:w="8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-2576830</wp:posOffset>
            </wp:positionV>
            <wp:extent cx="6858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-2576830</wp:posOffset>
            </wp:positionV>
            <wp:extent cx="6858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-2277110</wp:posOffset>
            </wp:positionV>
            <wp:extent cx="68580" cy="1797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-2277110</wp:posOffset>
            </wp:positionV>
            <wp:extent cx="68580" cy="179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-941070</wp:posOffset>
            </wp:positionV>
            <wp:extent cx="68580" cy="179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20" w:firstLine="374"/>
        <w:spacing w:after="0" w:line="236" w:lineRule="auto"/>
        <w:rPr>
          <w:sz w:val="20"/>
          <w:szCs w:val="20"/>
          <w:color w:val="auto"/>
        </w:rPr>
      </w:pPr>
      <w:r>
        <w:rPr>
          <w:rFonts w:ascii="Arial" w:cs="Arial" w:eastAsia="Arial" w:hAnsi="Arial"/>
          <w:sz w:val="18"/>
          <w:szCs w:val="18"/>
          <w:color w:val="auto"/>
        </w:rPr>
        <w:t>The Company had a valuation allowance of $7.8 million and $0.7 million as of December 31, 2022 and 2021, respectively. During 2022, given the cumulative history of losses (after adjusting for permanent differences mainly related to excess tax benefits on stock-based compensation), the Company recorded an increase of $7.1 million to the valuation allowance. This increase represented a full valuation allowance against its net U.S. deferred tax assets as it determined it was more likely than not the Company will not be able to utilize these deferred tax assets. Even though the Company is expecting to report U.S. taxable income for the year ended December 31, 2022, due to the new requirements to capitalize research and development, given the cumulative history of losses it is not more likely than not that the Company will be able to utilize the resulting deferred tax assets in the future. In prior years, the valuation allowance was only recorded against certain acquired state net operating losses and certain excess foreign tax credits.</w:t>
      </w:r>
    </w:p>
    <w:p>
      <w:pPr>
        <w:spacing w:after="0" w:line="98" w:lineRule="exact"/>
        <w:rPr>
          <w:sz w:val="20"/>
          <w:szCs w:val="20"/>
          <w:color w:val="auto"/>
        </w:rPr>
      </w:pPr>
    </w:p>
    <w:p>
      <w:pPr>
        <w:ind w:right="20" w:firstLine="374"/>
        <w:spacing w:after="0" w:line="237" w:lineRule="auto"/>
        <w:rPr>
          <w:sz w:val="20"/>
          <w:szCs w:val="20"/>
          <w:color w:val="auto"/>
        </w:rPr>
      </w:pPr>
      <w:r>
        <w:rPr>
          <w:rFonts w:ascii="Arial" w:cs="Arial" w:eastAsia="Arial" w:hAnsi="Arial"/>
          <w:sz w:val="18"/>
          <w:szCs w:val="18"/>
          <w:color w:val="auto"/>
        </w:rPr>
        <w:t>As of December 31, 2022, the Company had $0.9 million of federal and $4.4 million of state net operating loss carryforwards available to offset future taxable income. State net operating losses, if not utilized, will begin to expire in 2031. A portion of these losses were acquired in the acquisition of Finovera, and therefore are subject to change of control provisions, which limit the amount of acquired tax attributes that can be utilized in a given tax year. The Company does not expect the change of control limitations to significantly impact our ability to utilize these attributes. Furthermore, the Company had an immaterial amount of non-refundable federal investment tax credits as of December 31, 2022 and 2021 in Canada, which are available to reduce future Canadian taxes and, if unused, begin to expire in 2035.</w:t>
      </w:r>
    </w:p>
    <w:p>
      <w:pPr>
        <w:spacing w:after="0" w:line="95" w:lineRule="exact"/>
        <w:rPr>
          <w:sz w:val="20"/>
          <w:szCs w:val="20"/>
          <w:color w:val="auto"/>
        </w:rPr>
      </w:pPr>
    </w:p>
    <w:p>
      <w:pPr>
        <w:ind w:right="60" w:firstLine="374"/>
        <w:spacing w:after="0" w:line="245" w:lineRule="auto"/>
        <w:rPr>
          <w:sz w:val="20"/>
          <w:szCs w:val="20"/>
          <w:color w:val="auto"/>
        </w:rPr>
      </w:pPr>
      <w:r>
        <w:rPr>
          <w:rFonts w:ascii="Arial" w:cs="Arial" w:eastAsia="Arial" w:hAnsi="Arial"/>
          <w:sz w:val="18"/>
          <w:szCs w:val="18"/>
          <w:color w:val="auto"/>
        </w:rPr>
        <w:t>As of December 31, 2022 and 2021, the total amount of unrecognized tax benefits that, if recognized, would impact the effective tax rate was not material.</w:t>
      </w:r>
    </w:p>
    <w:p>
      <w:pPr>
        <w:spacing w:after="0" w:line="90" w:lineRule="exact"/>
        <w:rPr>
          <w:sz w:val="20"/>
          <w:szCs w:val="20"/>
          <w:color w:val="auto"/>
        </w:rPr>
      </w:pPr>
    </w:p>
    <w:p>
      <w:pPr>
        <w:ind w:right="180" w:firstLine="374"/>
        <w:spacing w:after="0" w:line="237" w:lineRule="auto"/>
        <w:rPr>
          <w:sz w:val="20"/>
          <w:szCs w:val="20"/>
          <w:color w:val="auto"/>
        </w:rPr>
      </w:pPr>
      <w:r>
        <w:rPr>
          <w:rFonts w:ascii="Arial" w:cs="Arial" w:eastAsia="Arial" w:hAnsi="Arial"/>
          <w:sz w:val="18"/>
          <w:szCs w:val="18"/>
          <w:color w:val="auto"/>
        </w:rPr>
        <w:t>Interest and penalties related to income tax matters are classified as a component of income tax expense and were immaterial for the years ended December 31, 2022, 2021 and 2020. Although it is reasonably possible that certain unrecognized tax benefits may increase or decrease within the next 12 months due to tax examination changes, settlement activities, or the impact on recognition and measurement considerations related to the results of published tax cases or other similar activities, the Company does not anticipate any significant changes to unrecognized tax benefits over the next 12 months.</w:t>
      </w:r>
    </w:p>
    <w:p>
      <w:pPr>
        <w:spacing w:after="0" w:line="97" w:lineRule="exact"/>
        <w:rPr>
          <w:sz w:val="20"/>
          <w:szCs w:val="20"/>
          <w:color w:val="auto"/>
        </w:rPr>
      </w:pPr>
    </w:p>
    <w:p>
      <w:pPr>
        <w:ind w:right="40" w:firstLine="374"/>
        <w:spacing w:after="0"/>
        <w:rPr>
          <w:sz w:val="20"/>
          <w:szCs w:val="20"/>
          <w:color w:val="auto"/>
        </w:rPr>
      </w:pPr>
      <w:r>
        <w:rPr>
          <w:rFonts w:ascii="Arial" w:cs="Arial" w:eastAsia="Arial" w:hAnsi="Arial"/>
          <w:sz w:val="18"/>
          <w:szCs w:val="18"/>
          <w:color w:val="auto"/>
        </w:rPr>
        <w:t>The Company files income tax returns in the U.S. federal jurisdiction, various state jurisdictions, and in various international jurisdictions. The Company’s tax filings remain subject to audits by applicable tax authorities for a certain length of time following the tax year to which those filings relate. Tax years 2019 and forward generally remain open for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examination for federal and state tax purposes. Tax years 2018 and forward generally remain open for examination for foreign tax purposes.</w:t>
      </w:r>
    </w:p>
    <w:p>
      <w:pPr>
        <w:spacing w:after="0" w:line="103" w:lineRule="exact"/>
        <w:rPr>
          <w:sz w:val="20"/>
          <w:szCs w:val="20"/>
          <w:color w:val="auto"/>
        </w:rPr>
      </w:pPr>
    </w:p>
    <w:p>
      <w:pPr>
        <w:ind w:right="300" w:firstLine="374"/>
        <w:spacing w:after="0"/>
        <w:rPr>
          <w:sz w:val="20"/>
          <w:szCs w:val="20"/>
          <w:color w:val="auto"/>
        </w:rPr>
      </w:pPr>
      <w:r>
        <w:rPr>
          <w:rFonts w:ascii="Arial" w:cs="Arial" w:eastAsia="Arial" w:hAnsi="Arial"/>
          <w:sz w:val="18"/>
          <w:szCs w:val="18"/>
          <w:color w:val="auto"/>
        </w:rPr>
        <w:t>The Company has not recorded foreign withholding taxes or deferred income tax liabilities related to undistributed earnings of foreign operations of approximately $6.9 million and $4.8 million as of December 31, 2022 and 2021, respectively, since such earnings are considered permanently invested.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Income Per Share Attributable to Common Stock</w:t>
      </w:r>
    </w:p>
    <w:p>
      <w:pPr>
        <w:spacing w:after="0" w:line="233" w:lineRule="exact"/>
        <w:rPr>
          <w:sz w:val="20"/>
          <w:szCs w:val="20"/>
          <w:color w:val="auto"/>
        </w:rPr>
      </w:pPr>
    </w:p>
    <w:p>
      <w:pPr>
        <w:jc w:val="both"/>
        <w:ind w:right="420" w:firstLine="494"/>
        <w:spacing w:after="0"/>
        <w:rPr>
          <w:sz w:val="20"/>
          <w:szCs w:val="20"/>
          <w:color w:val="auto"/>
        </w:rPr>
      </w:pPr>
      <w:r>
        <w:rPr>
          <w:rFonts w:ascii="Arial" w:cs="Arial" w:eastAsia="Arial" w:hAnsi="Arial"/>
          <w:sz w:val="18"/>
          <w:szCs w:val="18"/>
          <w:color w:val="auto"/>
        </w:rPr>
        <w:t>Basic net (loss) income per share attributable to common stockholders is computed by deducting the undeclared dividends on the Series A preferred stock from net income to arrive at net income attributable to common stock and dividing the net income attributable to common stockholders by the weighted-average number of shares of common stock outstanding during the period.</w:t>
      </w:r>
    </w:p>
    <w:p>
      <w:pPr>
        <w:spacing w:after="0" w:line="94" w:lineRule="exact"/>
        <w:rPr>
          <w:sz w:val="20"/>
          <w:szCs w:val="20"/>
          <w:color w:val="auto"/>
        </w:rPr>
      </w:pPr>
    </w:p>
    <w:p>
      <w:pPr>
        <w:ind w:right="220" w:firstLine="494"/>
        <w:spacing w:after="0" w:line="238" w:lineRule="auto"/>
        <w:rPr>
          <w:sz w:val="20"/>
          <w:szCs w:val="20"/>
          <w:color w:val="auto"/>
        </w:rPr>
      </w:pPr>
      <w:r>
        <w:rPr>
          <w:rFonts w:ascii="Arial" w:cs="Arial" w:eastAsia="Arial" w:hAnsi="Arial"/>
          <w:sz w:val="18"/>
          <w:szCs w:val="18"/>
          <w:color w:val="auto"/>
        </w:rPr>
        <w:t>Diluted net (loss) income per share attributable to common stock is computed by giving effect to all potentially dilutive common stock equivalents to the extent they are dilutive. The dilutive effect of outstanding options, RSUs and warrants is reflected in diluted net (loss) income per share attributable to common stock by application of the treasury stock method. The calculation of diluted net (loss) income per share attributable to common stock excludes all anti-dilutive common shares.</w:t>
      </w:r>
    </w:p>
    <w:p>
      <w:pPr>
        <w:spacing w:after="0" w:line="96" w:lineRule="exact"/>
        <w:rPr>
          <w:sz w:val="20"/>
          <w:szCs w:val="20"/>
          <w:color w:val="auto"/>
        </w:rPr>
      </w:pPr>
    </w:p>
    <w:p>
      <w:pPr>
        <w:ind w:right="120" w:firstLine="494"/>
        <w:spacing w:after="0" w:line="238"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spacing w:after="0" w:line="96" w:lineRule="exact"/>
        <w:rPr>
          <w:sz w:val="20"/>
          <w:szCs w:val="20"/>
          <w:color w:val="auto"/>
        </w:rPr>
      </w:pPr>
    </w:p>
    <w:p>
      <w:pPr>
        <w:ind w:right="700" w:firstLine="494"/>
        <w:spacing w:after="0" w:line="245" w:lineRule="auto"/>
        <w:rPr>
          <w:sz w:val="20"/>
          <w:szCs w:val="20"/>
          <w:color w:val="auto"/>
        </w:rPr>
      </w:pPr>
      <w:r>
        <w:rPr>
          <w:rFonts w:ascii="Arial" w:cs="Arial" w:eastAsia="Arial" w:hAnsi="Arial"/>
          <w:sz w:val="18"/>
          <w:szCs w:val="18"/>
          <w:color w:val="auto"/>
        </w:rPr>
        <w:t>The following table sets forth the computation of basic and diluted net (loss) income per share attributable to common stock (in thousands except share and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209"/>
        </w:trPr>
        <w:tc>
          <w:tcPr>
            <w:tcW w:w="6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Net (loss)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(513 )</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9,300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13,711</w:t>
            </w:r>
          </w:p>
        </w:tc>
        <w:tc>
          <w:tcPr>
            <w:tcW w:w="22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Undeclared dividends on Series A preferred stock</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(2,258 )</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(5,186 )</w:t>
            </w:r>
          </w:p>
        </w:tc>
      </w:tr>
      <w:tr>
        <w:trPr>
          <w:trHeight w:val="20"/>
        </w:trPr>
        <w:tc>
          <w:tcPr>
            <w:tcW w:w="66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23"/>
        </w:trPr>
        <w:tc>
          <w:tcPr>
            <w:tcW w:w="6660" w:type="dxa"/>
            <w:vAlign w:val="bottom"/>
          </w:tcPr>
          <w:p>
            <w:pPr>
              <w:ind w:left="280"/>
              <w:spacing w:after="0"/>
              <w:rPr>
                <w:sz w:val="20"/>
                <w:szCs w:val="20"/>
                <w:color w:val="auto"/>
              </w:rPr>
            </w:pPr>
            <w:r>
              <w:rPr>
                <w:rFonts w:ascii="Arial" w:cs="Arial" w:eastAsia="Arial" w:hAnsi="Arial"/>
                <w:sz w:val="18"/>
                <w:szCs w:val="18"/>
                <w:color w:val="auto"/>
              </w:rPr>
              <w:t>Net (loss) income attributable to common stock</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(513 )</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7,042</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8,525</w:t>
            </w:r>
          </w:p>
        </w:tc>
        <w:tc>
          <w:tcPr>
            <w:tcW w:w="22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Weighted-average shares of common stock - basic</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122,099,437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112,763,261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103,479,239</w:t>
            </w:r>
          </w:p>
        </w:tc>
        <w:tc>
          <w:tcPr>
            <w:tcW w:w="22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Dilutive effect of stock options to purchase common stock</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6,009,890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2,728,644</w:t>
            </w:r>
          </w:p>
        </w:tc>
        <w:tc>
          <w:tcPr>
            <w:tcW w:w="22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Dilutive effect of RSUs</w:t>
            </w: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Dilutive effect of warrants</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Weighted-average shares of common stock - diluted</w:t>
            </w: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122,099,437</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118,821,925</w:t>
            </w: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106,207,883</w:t>
            </w:r>
          </w:p>
        </w:tc>
        <w:tc>
          <w:tcPr>
            <w:tcW w:w="220" w:type="dxa"/>
            <w:vAlign w:val="bottom"/>
            <w:tcBorders>
              <w:top w:val="single" w:sz="8" w:color="CFF0FC"/>
            </w:tcBorders>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per share attributable to common stock</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-1523365</wp:posOffset>
            </wp:positionV>
            <wp:extent cx="76835" cy="1797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-1523365</wp:posOffset>
            </wp:positionV>
            <wp:extent cx="68580" cy="179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-1523365</wp:posOffset>
            </wp:positionV>
            <wp:extent cx="68580" cy="179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-615950</wp:posOffset>
            </wp:positionV>
            <wp:extent cx="76835" cy="1797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-615950</wp:posOffset>
            </wp:positionV>
            <wp:extent cx="68580" cy="1797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-615950</wp:posOffset>
            </wp:positionV>
            <wp:extent cx="68580" cy="179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95" w:lineRule="exact"/>
        <w:rPr>
          <w:sz w:val="20"/>
          <w:szCs w:val="20"/>
          <w:color w:val="auto"/>
        </w:rPr>
      </w:pPr>
    </w:p>
    <w:p>
      <w:pPr>
        <w:ind w:right="800" w:firstLine="494"/>
        <w:spacing w:after="0" w:line="245" w:lineRule="auto"/>
        <w:rPr>
          <w:sz w:val="20"/>
          <w:szCs w:val="20"/>
          <w:color w:val="auto"/>
        </w:rPr>
      </w:pPr>
      <w:r>
        <w:rPr>
          <w:rFonts w:ascii="Arial" w:cs="Arial" w:eastAsia="Arial" w:hAnsi="Arial"/>
          <w:sz w:val="18"/>
          <w:szCs w:val="18"/>
          <w:color w:val="auto"/>
        </w:rPr>
        <w:t>The following table summarized the securities that were excluded from the computation of diluted net (loss) income per share attributable to common stock as their inclusion would have been antidilutive for the year ended December 31, 2022:</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4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5,335,115</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RSUs</w:t>
            </w:r>
          </w:p>
        </w:tc>
        <w:tc>
          <w:tcPr>
            <w:tcW w:w="4440" w:type="dxa"/>
            <w:vAlign w:val="bottom"/>
          </w:tcPr>
          <w:p>
            <w:pPr>
              <w:jc w:val="right"/>
              <w:ind w:right="30"/>
              <w:spacing w:after="0"/>
              <w:rPr>
                <w:sz w:val="20"/>
                <w:szCs w:val="20"/>
                <w:color w:val="auto"/>
              </w:rPr>
            </w:pPr>
            <w:r>
              <w:rPr>
                <w:rFonts w:ascii="Arial" w:cs="Arial" w:eastAsia="Arial" w:hAnsi="Arial"/>
                <w:sz w:val="18"/>
                <w:szCs w:val="18"/>
                <w:color w:val="auto"/>
              </w:rPr>
              <w:t>996,256</w:t>
            </w:r>
          </w:p>
        </w:tc>
      </w:tr>
      <w:tr>
        <w:trPr>
          <w:trHeight w:val="22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4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456,602</w:t>
            </w:r>
          </w:p>
        </w:tc>
      </w:tr>
    </w:tbl>
    <w:p>
      <w:pPr>
        <w:spacing w:after="0" w:line="215"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For the years ended December 31, 2021 and 2020, the Company did not have any securities that were excluded from the computation of diluted net income per share attributable to common stock calculations for the periods presented as all options, RSUs and warrants outstanding were considered to be dilutive.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14.  Geographic Information</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geographic area, based on the location of the Company’s users, was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8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23"/>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487,068</w:t>
            </w: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387,242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295,761</w:t>
            </w:r>
          </w:p>
        </w:tc>
        <w:tc>
          <w:tcPr>
            <w:tcW w:w="100" w:type="dxa"/>
            <w:vAlign w:val="bottom"/>
            <w:shd w:val="clear" w:color="auto" w:fill="CFF0FC"/>
          </w:tcPr>
          <w:p>
            <w:pPr>
              <w:spacing w:after="0"/>
              <w:rPr>
                <w:sz w:val="19"/>
                <w:szCs w:val="19"/>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19"/>
                <w:szCs w:val="19"/>
                <w:color w:val="auto"/>
              </w:rPr>
            </w:pPr>
          </w:p>
        </w:tc>
      </w:tr>
      <w:tr>
        <w:trPr>
          <w:trHeight w:val="263"/>
        </w:trPr>
        <w:tc>
          <w:tcPr>
            <w:tcW w:w="6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497,001</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395,524</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301,767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5121275</wp:posOffset>
            </wp:positionH>
            <wp:positionV relativeFrom="paragraph">
              <wp:posOffset>-628650</wp:posOffset>
            </wp:positionV>
            <wp:extent cx="2028825" cy="1708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028825" cy="17081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Long-lived assets, comprising property and equipment assets, by geographic area were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r>
      <w:tr>
        <w:trPr>
          <w:trHeight w:val="209"/>
        </w:trPr>
        <w:tc>
          <w:tcPr>
            <w:tcW w:w="7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20" w:type="dxa"/>
            <w:vAlign w:val="bottom"/>
            <w:shd w:val="clear" w:color="auto" w:fill="CFF0FC"/>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220" w:type="dxa"/>
            <w:vAlign w:val="bottom"/>
          </w:tcPr>
          <w:p>
            <w:pPr>
              <w:spacing w:after="0"/>
              <w:rPr>
                <w:sz w:val="19"/>
                <w:szCs w:val="19"/>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280" w:type="dxa"/>
            <w:vAlign w:val="bottom"/>
            <w:tcBorders>
              <w:bottom w:val="single" w:sz="8" w:color="CFF0FC"/>
            </w:tcBorders>
            <w:gridSpan w:val="2"/>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22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5853430</wp:posOffset>
            </wp:positionH>
            <wp:positionV relativeFrom="paragraph">
              <wp:posOffset>-24765</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-7620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33"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Transactions involving related parties cannot be presumed to be carried out on an arm’s length basis due to the absence of free market forces that naturally exist in business dealings between two or more unrelated entities. Related party transactions may not always be favorable to the Company’s business and may include terms, conditions and agreements that are not necessarily beneficial to or in the best interest of the Company.</w:t>
      </w:r>
    </w:p>
    <w:p>
      <w:pPr>
        <w:spacing w:after="0" w:line="96"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On September 6, 2011, the Company issued a loan to the Company’s Chief Executive Officer for $0.8 million at an interest rate of 2% per annum. The Company recorded the principal amount of $0.8 million as a reduction to additional paid-in capital in the consolidated statements of stockholders’ equity. The Chief Executive Officer and an entity affiliated with him pledged 805 shares of the Company's Series A preferred shares and 1,788,205 common shares as security for the loan. The loan principal and interest were due and payable on September 6, 2026. During the years ended December 31, 2021 and 2020, the Company recognized an immaterial amount of interest income relating to the loan. On March 16, 2021, the Company’s Chief Executive Officer paid in full the loan outstanding in the amount of $0.8 million, plus accrued interest of $0.2 million for a total payment of $1.0 million.</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wife of the Company’s Chief Executive Officer serves as a vice president for the Company. She received aggregate compensation,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inclusive of her base salary and bonus of $0.3 million for her employment with the Company for the year ended December 31, 2022, and</w:t>
      </w:r>
    </w:p>
    <w:p>
      <w:pPr>
        <w:spacing w:after="0" w:line="234" w:lineRule="auto"/>
        <w:rPr>
          <w:sz w:val="20"/>
          <w:szCs w:val="20"/>
          <w:color w:val="auto"/>
        </w:rPr>
      </w:pPr>
      <w:r>
        <w:rPr>
          <w:rFonts w:ascii="Arial" w:cs="Arial" w:eastAsia="Arial" w:hAnsi="Arial"/>
          <w:sz w:val="18"/>
          <w:szCs w:val="18"/>
          <w:color w:val="auto"/>
        </w:rPr>
        <w:t>$0.2 million for each of the years ended December 31, 2021 and 2020. In addition, the son of a member of the Company’s board of directors</w:t>
      </w:r>
    </w:p>
    <w:p>
      <w:pPr>
        <w:spacing w:after="0" w:line="235" w:lineRule="auto"/>
        <w:rPr>
          <w:sz w:val="20"/>
          <w:szCs w:val="20"/>
          <w:color w:val="auto"/>
        </w:rPr>
      </w:pPr>
      <w:r>
        <w:rPr>
          <w:rFonts w:ascii="Arial" w:cs="Arial" w:eastAsia="Arial" w:hAnsi="Arial"/>
          <w:sz w:val="18"/>
          <w:szCs w:val="18"/>
          <w:color w:val="auto"/>
        </w:rPr>
        <w:t>serves as a vice president of the Company and he received aggregate compensation, inclusive of his base salary and bonus, of $0.3 million</w:t>
      </w:r>
    </w:p>
    <w:p>
      <w:pPr>
        <w:spacing w:after="0"/>
        <w:rPr>
          <w:sz w:val="20"/>
          <w:szCs w:val="20"/>
          <w:color w:val="auto"/>
        </w:rPr>
      </w:pPr>
      <w:r>
        <w:rPr>
          <w:rFonts w:ascii="Arial" w:cs="Arial" w:eastAsia="Arial" w:hAnsi="Arial"/>
          <w:sz w:val="18"/>
          <w:szCs w:val="18"/>
          <w:color w:val="auto"/>
        </w:rPr>
        <w:t>for his employment with the Company for each of the years ended December 31, 2022, 2021 and 2020,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3009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300980" cy="8255"/>
                    </a:xfrm>
                    <a:prstGeom prst="rect">
                      <a:avLst/>
                    </a:prstGeom>
                    <a:noFill/>
                  </pic:spPr>
                </pic:pic>
              </a:graphicData>
            </a:graphic>
          </wp:anchor>
        </w:drawing>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8389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83896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5"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We maintain disclosure controls and procedures (as defined in Rule 13a-15(e) under the Securities Exchange Act of 1934, as amended, the Exchange Act)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Interim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95" w:lineRule="exact"/>
        <w:rPr>
          <w:sz w:val="20"/>
          <w:szCs w:val="20"/>
          <w:color w:val="auto"/>
        </w:rPr>
      </w:pPr>
    </w:p>
    <w:p>
      <w:pPr>
        <w:ind w:right="220" w:firstLine="494"/>
        <w:spacing w:after="0" w:line="248" w:lineRule="auto"/>
        <w:rPr>
          <w:sz w:val="20"/>
          <w:szCs w:val="20"/>
          <w:color w:val="auto"/>
        </w:rPr>
      </w:pPr>
      <w:r>
        <w:rPr>
          <w:rFonts w:ascii="Arial" w:cs="Arial" w:eastAsia="Arial" w:hAnsi="Arial"/>
          <w:sz w:val="17"/>
          <w:szCs w:val="17"/>
          <w:color w:val="auto"/>
        </w:rPr>
        <w:t>Our management, with the participation of our Chief Executive Officer and Interim Chief Financial Officer, evaluated, as of the end of the period covered by this Annual Report on Form 10-K, the effectiveness of our disclosure controls and procedures (as defined in Rules</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13a-15(e) under the Exchange Act). Based on that evaluation, and as a result of the material weaknesses in internal control over financial reporting described below, our Chief Executive Officer and Interim Chief Financial Officer concluded that, as of December 31, 2022,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Annual Report on Form 10-K fairly state, in all material respects, our financial position, results of operations and cash flows for the periods presented in conformity with GAAP.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25"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its financial statements.</w:t>
      </w:r>
    </w:p>
    <w:p>
      <w:pPr>
        <w:spacing w:after="0" w:line="297" w:lineRule="exact"/>
        <w:rPr>
          <w:sz w:val="20"/>
          <w:szCs w:val="20"/>
          <w:color w:val="auto"/>
        </w:rPr>
      </w:pPr>
    </w:p>
    <w:p>
      <w:pPr>
        <w:ind w:right="20" w:firstLine="300"/>
        <w:spacing w:after="0" w:line="237" w:lineRule="auto"/>
        <w:rPr>
          <w:sz w:val="20"/>
          <w:szCs w:val="20"/>
          <w:color w:val="auto"/>
        </w:rPr>
      </w:pPr>
      <w:r>
        <w:rPr>
          <w:rFonts w:ascii="Arial" w:cs="Arial" w:eastAsia="Arial" w:hAnsi="Arial"/>
          <w:sz w:val="18"/>
          <w:szCs w:val="18"/>
          <w:color w:val="auto"/>
        </w:rPr>
        <w:t>Our management, including our Chief Executive Officer and Interim Chief Financial Officer conducted an assessment of the effectiveness of our internal control over financial reporting as of December 31, 2022. In making this assessment, the Chief Executive Officer and Interim Chief Financial Officer used the criteria set forth in Internal Control-Integrated Framework (2013) issued by the Committee of Sponsoring Organizations of the Treadway Commission, the COSO framework. Based upon this evaluation and as discussed herein, our Chief Executive Officer and Interim Chief Financial Officer concluded that, as of December 31, 2022, our internal control over financial reporting was not effective.</w:t>
      </w:r>
    </w:p>
    <w:p>
      <w:pPr>
        <w:spacing w:after="0" w:line="297" w:lineRule="exact"/>
        <w:rPr>
          <w:sz w:val="20"/>
          <w:szCs w:val="20"/>
          <w:color w:val="auto"/>
        </w:rPr>
      </w:pPr>
    </w:p>
    <w:p>
      <w:pPr>
        <w:ind w:right="200" w:firstLine="494"/>
        <w:spacing w:after="0"/>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the end of the period covered by this report, our material weaknesses are as follows:</w:t>
      </w:r>
    </w:p>
    <w:p>
      <w:pPr>
        <w:spacing w:after="0" w:line="94" w:lineRule="exact"/>
        <w:rPr>
          <w:sz w:val="20"/>
          <w:szCs w:val="20"/>
          <w:color w:val="auto"/>
        </w:rPr>
      </w:pPr>
    </w:p>
    <w:p>
      <w:pPr>
        <w:ind w:left="1020" w:right="80" w:hanging="504"/>
        <w:spacing w:after="0" w:line="254" w:lineRule="auto"/>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00" w:name="page101"/>
    <w:bookmarkEnd w:id="100"/>
    <w:p>
      <w:pPr>
        <w:ind w:left="1020" w:hanging="504"/>
        <w:spacing w:after="0" w:line="23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relevant to the preparation of our financial statements with respect to certain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spacing w:after="0" w:line="95" w:lineRule="exact"/>
        <w:rPr>
          <w:sz w:val="20"/>
          <w:szCs w:val="20"/>
          <w:color w:val="auto"/>
        </w:rPr>
      </w:pPr>
    </w:p>
    <w:p>
      <w:pPr>
        <w:ind w:right="100" w:firstLine="494"/>
        <w:spacing w:after="0" w:line="236" w:lineRule="auto"/>
        <w:rPr>
          <w:sz w:val="20"/>
          <w:szCs w:val="20"/>
          <w:color w:val="auto"/>
        </w:rPr>
      </w:pPr>
      <w:r>
        <w:rPr>
          <w:rFonts w:ascii="Arial" w:cs="Arial" w:eastAsia="Arial" w:hAnsi="Arial"/>
          <w:sz w:val="18"/>
          <w:szCs w:val="18"/>
          <w:color w:val="auto"/>
        </w:rPr>
        <w:t>These material weaknesses resulted in misstatements related to capitalized internal-use software development costs, accumulated other comprehensive income, cost of revenue, sales and marketing expenses, research and development expenses, general and administrative expenses, income tax expense, the disclosure of deferred compensation, the classification of revenue, sales and marketing expenses, research and development expenses and general and administrative expenses, the calculation of earnings per share and the disclosure of revenue by geography as of and for the year ended December 31, 2019, which resulted in the restatement of the 2019 consolidated financial statements and a classification adjustment that was recorded to revenue and sales and marketing expenses in the 2020 consolidated financial statements. Additionally, these material weaknesses could result in a misstatement of substantially all of our accounts or disclosures that would result in a material misstatement to the annual or interim consolidated financial statements that would not be prevented or detected.</w:t>
      </w:r>
    </w:p>
    <w:p>
      <w:pPr>
        <w:spacing w:after="0" w:line="96" w:lineRule="exact"/>
        <w:rPr>
          <w:sz w:val="20"/>
          <w:szCs w:val="20"/>
          <w:color w:val="auto"/>
        </w:rPr>
      </w:pPr>
    </w:p>
    <w:p>
      <w:pPr>
        <w:ind w:right="420" w:firstLine="494"/>
        <w:spacing w:after="0" w:line="245"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 transition period established by SEC rules for newly public companies.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220" w:lineRule="exact"/>
        <w:rPr>
          <w:sz w:val="20"/>
          <w:szCs w:val="20"/>
          <w:color w:val="auto"/>
        </w:rPr>
      </w:pPr>
    </w:p>
    <w:p>
      <w:pPr>
        <w:ind w:right="180" w:firstLine="350"/>
        <w:spacing w:after="0" w:line="245" w:lineRule="auto"/>
        <w:rPr>
          <w:sz w:val="20"/>
          <w:szCs w:val="20"/>
          <w:color w:val="auto"/>
        </w:rPr>
      </w:pPr>
      <w:r>
        <w:rPr>
          <w:rFonts w:ascii="Arial" w:cs="Arial" w:eastAsia="Arial" w:hAnsi="Arial"/>
          <w:sz w:val="18"/>
          <w:szCs w:val="18"/>
          <w:color w:val="auto"/>
        </w:rPr>
        <w:t>We believe we have made significant progress towards remediation of the material weaknesses described above. We have completed the following remediation measures:</w:t>
      </w:r>
    </w:p>
    <w:p>
      <w:pPr>
        <w:spacing w:after="0" w:line="90" w:lineRule="exact"/>
        <w:rPr>
          <w:sz w:val="20"/>
          <w:szCs w:val="20"/>
          <w:color w:val="auto"/>
        </w:rPr>
      </w:pPr>
    </w:p>
    <w:p>
      <w:pPr>
        <w:ind w:left="1020" w:right="140" w:hanging="504"/>
        <w:spacing w:after="0" w:line="245"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updated the design of our general ledger accounting system to allow for effective restricted access and segregation of duties to govern the preparation and review of journal entries;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implemented management review controls over journal entries and the identification and review of complex transactions;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secured the general ledger accounting system by implementing single sign-on (SSO).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 remediation measures are ongoing and include the following:</w:t>
      </w:r>
    </w:p>
    <w:p>
      <w:pPr>
        <w:spacing w:after="0" w:line="103" w:lineRule="exact"/>
        <w:rPr>
          <w:sz w:val="20"/>
          <w:szCs w:val="20"/>
          <w:color w:val="auto"/>
        </w:rPr>
      </w:pPr>
    </w:p>
    <w:p>
      <w:pPr>
        <w:ind w:left="1020" w:right="120" w:hanging="50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implementing additional change management and access controls for our relevant IT applications to further restrict privileged access and implementing controls to review activities, which may materially affect our financial statements, for those users who have privileged access; and</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continuing to hire additional personnel with public company experience for our accounting and finance function.</w:t>
      </w:r>
    </w:p>
    <w:p>
      <w:pPr>
        <w:spacing w:after="0" w:line="117"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While we believe these efforts will remediate the material weaknesses, these material weaknesses cannot be considered fully remediated until the applicable remedial controls operate for a sufficient period of time and management has concluded, through testing, that these controls are operating effectively.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5" w:lineRule="exact"/>
        <w:rPr>
          <w:sz w:val="20"/>
          <w:szCs w:val="20"/>
          <w:color w:val="auto"/>
        </w:rPr>
      </w:pPr>
    </w:p>
    <w:p>
      <w:pPr>
        <w:jc w:val="both"/>
        <w:ind w:right="40" w:firstLine="494"/>
        <w:spacing w:after="0"/>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December 31, 2022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25" w:lineRule="exact"/>
        <w:rPr>
          <w:sz w:val="20"/>
          <w:szCs w:val="20"/>
          <w:color w:val="auto"/>
        </w:rPr>
      </w:pPr>
    </w:p>
    <w:p>
      <w:pPr>
        <w:ind w:right="100" w:firstLine="494"/>
        <w:spacing w:after="0" w:line="236" w:lineRule="auto"/>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t>of the inherent limitations in a cost-effective control system, misstatements due to error or fraud may occur and not be detected.</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43891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9C. 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2043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204335" cy="8255"/>
                    </a:xfrm>
                    <a:prstGeom prst="rect">
                      <a:avLst/>
                    </a:prstGeom>
                    <a:noFill/>
                  </pic:spPr>
                </pic:pic>
              </a:graphicData>
            </a:graphic>
          </wp:anchor>
        </w:drawing>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462" w:right="143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2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expect to file a definitive proxy statement relating to our 2023 Annual Meeting of Stockholders with the SEC pursuant to Regulation 14A, not later than 120 days after the end of our most recent fiscal year. Accordingly, certain information required by Part III of this Annual Report on Form 10-K has been omitted under General Instruction G(3) to Form 10-K. Only the information from the definitive proxy statement that specifically addresses disclosure requirements of Items 10-14 below is incorporated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51980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519805" cy="8255"/>
                    </a:xfrm>
                    <a:prstGeom prst="rect">
                      <a:avLst/>
                    </a:prstGeom>
                    <a:noFill/>
                  </pic:spPr>
                </pic:pic>
              </a:graphicData>
            </a:graphic>
          </wp:anchor>
        </w:drawing>
      </w:r>
    </w:p>
    <w:p>
      <w:pPr>
        <w:spacing w:after="0" w:line="213"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The information required under this Item is incorporated herein by reference to the information set forth in our Proxy Statement for the 2023 Annual Meeting of Stockholders, or the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8135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Shareholder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8915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891530" cy="8255"/>
                    </a:xfrm>
                    <a:prstGeom prst="rect">
                      <a:avLst/>
                    </a:prstGeom>
                    <a:noFill/>
                  </pic:spPr>
                </pic:pic>
              </a:graphicData>
            </a:graphic>
          </wp:anchor>
        </w:drawing>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57835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578350" cy="8255"/>
                    </a:xfrm>
                    <a:prstGeom prst="rect">
                      <a:avLst/>
                    </a:prstGeom>
                    <a:noFill/>
                  </pic:spPr>
                </pic:pic>
              </a:graphicData>
            </a:graphic>
          </wp:anchor>
        </w:drawing>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6257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625725" cy="8255"/>
                    </a:xfrm>
                    <a:prstGeom prst="rect">
                      <a:avLst/>
                    </a:prstGeom>
                    <a:noFill/>
                  </pic:spPr>
                </pic:pic>
              </a:graphicData>
            </a:graphic>
          </wp:anchor>
        </w:drawing>
      </w:r>
    </w:p>
    <w:p>
      <w:pPr>
        <w:spacing w:after="0" w:line="213" w:lineRule="exact"/>
        <w:rPr>
          <w:sz w:val="20"/>
          <w:szCs w:val="20"/>
          <w:color w:val="auto"/>
        </w:rPr>
      </w:pPr>
    </w:p>
    <w:p>
      <w:pPr>
        <w:jc w:val="center"/>
        <w:ind w:right="100"/>
        <w:spacing w:after="0" w:line="370" w:lineRule="auto"/>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PART IV</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84734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47340" cy="8255"/>
                    </a:xfrm>
                    <a:prstGeom prst="rect">
                      <a:avLst/>
                    </a:prstGeom>
                    <a:noFill/>
                  </pic:spPr>
                </pic:pic>
              </a:graphicData>
            </a:graphic>
          </wp:anchor>
        </w:drawing>
      </w:r>
    </w:p>
    <w:p>
      <w:pPr>
        <w:spacing w:after="0" w:line="213"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03" w:lineRule="exact"/>
        <w:rPr>
          <w:rFonts w:ascii="Arial" w:cs="Arial" w:eastAsia="Arial" w:hAnsi="Arial"/>
          <w:sz w:val="18"/>
          <w:szCs w:val="18"/>
          <w:color w:val="auto"/>
        </w:rPr>
      </w:pPr>
    </w:p>
    <w:p>
      <w:pPr>
        <w:ind w:left="780" w:hanging="263"/>
        <w:spacing w:after="0"/>
        <w:tabs>
          <w:tab w:leader="none" w:pos="7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0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consolidated financial statements are included in Part II, Item 8, "Financial Statements and Supplementary Data."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 Index to Financial Statement Schedules:</w:t>
      </w:r>
    </w:p>
    <w:p>
      <w:pPr>
        <w:spacing w:after="0" w:line="103" w:lineRule="exact"/>
        <w:rPr>
          <w:sz w:val="20"/>
          <w:szCs w:val="20"/>
          <w:color w:val="auto"/>
        </w:rPr>
      </w:pPr>
    </w:p>
    <w:p>
      <w:pPr>
        <w:ind w:left="520" w:right="120" w:firstLine="509"/>
        <w:spacing w:after="0" w:line="245" w:lineRule="auto"/>
        <w:rPr>
          <w:sz w:val="20"/>
          <w:szCs w:val="20"/>
          <w:color w:val="auto"/>
        </w:rPr>
      </w:pPr>
      <w:r>
        <w:rPr>
          <w:rFonts w:ascii="Arial" w:cs="Arial" w:eastAsia="Arial" w:hAnsi="Arial"/>
          <w:sz w:val="18"/>
          <w:szCs w:val="18"/>
          <w:color w:val="auto"/>
        </w:rPr>
        <w:t>All schedules have been omitted because the required information is included in the consolidated financial statements or notes, thereto, or because it is not required.</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 Index to Exhibits</w:t>
      </w:r>
    </w:p>
    <w:p>
      <w:pPr>
        <w:spacing w:after="0" w:line="10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exhibits listed under Part (b)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Incorporated by Reference</w:t>
            </w:r>
          </w:p>
        </w:tc>
        <w:tc>
          <w:tcPr>
            <w:tcW w:w="1260" w:type="dxa"/>
            <w:vAlign w:val="bottom"/>
          </w:tcPr>
          <w:p>
            <w:pPr>
              <w:spacing w:after="0"/>
              <w:rPr>
                <w:sz w:val="18"/>
                <w:szCs w:val="18"/>
                <w:color w:val="auto"/>
              </w:rPr>
            </w:pPr>
          </w:p>
        </w:tc>
      </w:tr>
      <w:tr>
        <w:trPr>
          <w:trHeight w:val="184"/>
        </w:trPr>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189"/>
        </w:trPr>
        <w:tc>
          <w:tcPr>
            <w:tcW w:w="1080" w:type="dxa"/>
            <w:vAlign w:val="bottom"/>
          </w:tcPr>
          <w:p>
            <w:pPr>
              <w:jc w:val="right"/>
              <w:ind w:right="239"/>
              <w:spacing w:after="0"/>
              <w:rPr>
                <w:sz w:val="20"/>
                <w:szCs w:val="20"/>
                <w:color w:val="auto"/>
              </w:rPr>
            </w:pPr>
            <w:r>
              <w:rPr>
                <w:rFonts w:ascii="Arial" w:cs="Arial" w:eastAsia="Arial" w:hAnsi="Arial"/>
                <w:sz w:val="16"/>
                <w:szCs w:val="16"/>
                <w:b w:val="1"/>
                <w:bCs w:val="1"/>
                <w:color w:val="auto"/>
              </w:rPr>
              <w:t>Exhibit</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Furnished</w:t>
            </w:r>
          </w:p>
        </w:tc>
      </w:tr>
      <w:tr>
        <w:trPr>
          <w:trHeight w:val="217"/>
        </w:trPr>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Number</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13"/>
          </w:tcPr>
          <w:p>
            <w:pPr>
              <w:ind w:left="1340"/>
              <w:spacing w:after="0"/>
              <w:rPr>
                <w:sz w:val="20"/>
                <w:szCs w:val="20"/>
                <w:color w:val="auto"/>
              </w:rPr>
            </w:pPr>
            <w:r>
              <w:rPr>
                <w:rFonts w:ascii="Arial" w:cs="Arial" w:eastAsia="Arial" w:hAnsi="Arial"/>
                <w:sz w:val="16"/>
                <w:szCs w:val="16"/>
                <w:b w:val="1"/>
                <w:bCs w:val="1"/>
                <w:color w:val="auto"/>
              </w:rPr>
              <w:t>Description</w:t>
            </w:r>
          </w:p>
        </w:tc>
        <w:tc>
          <w:tcPr>
            <w:tcW w:w="960" w:type="dxa"/>
            <w:vAlign w:val="bottom"/>
            <w:tcBorders>
              <w:bottom w:val="single" w:sz="8" w:color="auto"/>
            </w:tcBorders>
          </w:tcPr>
          <w:p>
            <w:pPr>
              <w:jc w:val="center"/>
              <w:ind w:left="18"/>
              <w:spacing w:after="0"/>
              <w:rPr>
                <w:sz w:val="20"/>
                <w:szCs w:val="20"/>
                <w:color w:val="auto"/>
              </w:rPr>
            </w:pPr>
            <w:r>
              <w:rPr>
                <w:rFonts w:ascii="Arial" w:cs="Arial" w:eastAsia="Arial" w:hAnsi="Arial"/>
                <w:sz w:val="16"/>
                <w:szCs w:val="16"/>
                <w:b w:val="1"/>
                <w:bCs w:val="1"/>
                <w:color w:val="auto"/>
              </w:rPr>
              <w:t>Form</w:t>
            </w: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File No.</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Filing Date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172"/>
        </w:trPr>
        <w:tc>
          <w:tcPr>
            <w:tcW w:w="1080" w:type="dxa"/>
            <w:vAlign w:val="bottom"/>
          </w:tcPr>
          <w:p>
            <w:pPr>
              <w:jc w:val="center"/>
              <w:ind w:right="99"/>
              <w:spacing w:after="0" w:line="172" w:lineRule="exact"/>
              <w:rPr>
                <w:sz w:val="20"/>
                <w:szCs w:val="20"/>
                <w:color w:val="auto"/>
              </w:rPr>
            </w:pPr>
            <w:r>
              <w:rPr>
                <w:rFonts w:ascii="Arial" w:cs="Arial" w:eastAsia="Arial" w:hAnsi="Arial"/>
                <w:sz w:val="16"/>
                <w:szCs w:val="16"/>
                <w:color w:val="auto"/>
                <w:w w:val="98"/>
              </w:rPr>
              <w:t>3.1</w:t>
            </w:r>
          </w:p>
        </w:tc>
        <w:tc>
          <w:tcPr>
            <w:tcW w:w="3860" w:type="dxa"/>
            <w:vAlign w:val="bottom"/>
            <w:tcBorders>
              <w:bottom w:val="single" w:sz="8" w:color="0000FF"/>
            </w:tcBorders>
            <w:gridSpan w:val="10"/>
          </w:tcPr>
          <w:p>
            <w:pPr>
              <w:spacing w:after="0" w:line="172" w:lineRule="exact"/>
              <w:rPr>
                <w:rFonts w:ascii="Arial" w:cs="Arial" w:eastAsia="Arial" w:hAnsi="Arial"/>
                <w:sz w:val="16"/>
                <w:szCs w:val="16"/>
                <w:color w:val="0000FF"/>
              </w:rPr>
            </w:pPr>
            <w:hyperlink r:id="rId349">
              <w:r>
                <w:rPr>
                  <w:rFonts w:ascii="Arial" w:cs="Arial" w:eastAsia="Arial" w:hAnsi="Arial"/>
                  <w:sz w:val="16"/>
                  <w:szCs w:val="16"/>
                  <w:color w:val="0000FF"/>
                </w:rPr>
                <w:t>Amended and Restated Certificate of Incorporation of</w:t>
              </w:r>
            </w:hyperlink>
          </w:p>
        </w:tc>
        <w:tc>
          <w:tcPr>
            <w:tcW w:w="380" w:type="dxa"/>
            <w:vAlign w:val="bottom"/>
            <w:gridSpan w:val="5"/>
          </w:tcPr>
          <w:p>
            <w:pPr>
              <w:spacing w:after="0"/>
              <w:rPr>
                <w:sz w:val="14"/>
                <w:szCs w:val="14"/>
                <w:color w:val="auto"/>
              </w:rPr>
            </w:pPr>
          </w:p>
        </w:tc>
        <w:tc>
          <w:tcPr>
            <w:tcW w:w="960" w:type="dxa"/>
            <w:vAlign w:val="bottom"/>
          </w:tcPr>
          <w:p>
            <w:pPr>
              <w:jc w:val="center"/>
              <w:spacing w:after="0" w:line="172" w:lineRule="exact"/>
              <w:rPr>
                <w:sz w:val="20"/>
                <w:szCs w:val="20"/>
                <w:color w:val="auto"/>
              </w:rPr>
            </w:pPr>
            <w:r>
              <w:rPr>
                <w:rFonts w:ascii="Arial" w:cs="Arial" w:eastAsia="Arial" w:hAnsi="Arial"/>
                <w:sz w:val="16"/>
                <w:szCs w:val="16"/>
                <w:color w:val="auto"/>
              </w:rPr>
              <w:t>8-K</w:t>
            </w:r>
          </w:p>
        </w:tc>
        <w:tc>
          <w:tcPr>
            <w:tcW w:w="1340" w:type="dxa"/>
            <w:vAlign w:val="bottom"/>
          </w:tcPr>
          <w:p>
            <w:pPr>
              <w:jc w:val="center"/>
              <w:spacing w:after="0" w:line="172" w:lineRule="exact"/>
              <w:rPr>
                <w:sz w:val="20"/>
                <w:szCs w:val="20"/>
                <w:color w:val="auto"/>
              </w:rPr>
            </w:pPr>
            <w:r>
              <w:rPr>
                <w:rFonts w:ascii="Arial" w:cs="Arial" w:eastAsia="Arial" w:hAnsi="Arial"/>
                <w:sz w:val="16"/>
                <w:szCs w:val="16"/>
                <w:color w:val="auto"/>
              </w:rPr>
              <w:t>001-40429</w:t>
            </w:r>
          </w:p>
        </w:tc>
        <w:tc>
          <w:tcPr>
            <w:tcW w:w="820" w:type="dxa"/>
            <w:vAlign w:val="bottom"/>
          </w:tcPr>
          <w:p>
            <w:pPr>
              <w:jc w:val="center"/>
              <w:spacing w:after="0" w:line="172" w:lineRule="exact"/>
              <w:rPr>
                <w:sz w:val="20"/>
                <w:szCs w:val="20"/>
                <w:color w:val="auto"/>
              </w:rPr>
            </w:pPr>
            <w:r>
              <w:rPr>
                <w:rFonts w:ascii="Arial" w:cs="Arial" w:eastAsia="Arial" w:hAnsi="Arial"/>
                <w:sz w:val="16"/>
                <w:szCs w:val="16"/>
                <w:color w:val="auto"/>
                <w:w w:val="98"/>
              </w:rPr>
              <w:t>3.1</w:t>
            </w:r>
          </w:p>
        </w:tc>
        <w:tc>
          <w:tcPr>
            <w:tcW w:w="1540" w:type="dxa"/>
            <w:vAlign w:val="bottom"/>
          </w:tcPr>
          <w:p>
            <w:pPr>
              <w:jc w:val="center"/>
              <w:spacing w:after="0" w:line="172" w:lineRule="exact"/>
              <w:rPr>
                <w:sz w:val="20"/>
                <w:szCs w:val="20"/>
                <w:color w:val="auto"/>
              </w:rPr>
            </w:pPr>
            <w:r>
              <w:rPr>
                <w:rFonts w:ascii="Arial" w:cs="Arial" w:eastAsia="Arial" w:hAnsi="Arial"/>
                <w:sz w:val="16"/>
                <w:szCs w:val="16"/>
                <w:color w:val="auto"/>
              </w:rPr>
              <w:t>May 28, 2021</w:t>
            </w:r>
          </w:p>
        </w:tc>
        <w:tc>
          <w:tcPr>
            <w:tcW w:w="1260" w:type="dxa"/>
            <w:vAlign w:val="bottom"/>
          </w:tcPr>
          <w:p>
            <w:pPr>
              <w:spacing w:after="0"/>
              <w:rPr>
                <w:sz w:val="14"/>
                <w:szCs w:val="14"/>
                <w:color w:val="auto"/>
              </w:rPr>
            </w:pPr>
          </w:p>
        </w:tc>
      </w:tr>
      <w:tr>
        <w:trPr>
          <w:trHeight w:val="169"/>
        </w:trPr>
        <w:tc>
          <w:tcPr>
            <w:tcW w:w="1080" w:type="dxa"/>
            <w:vAlign w:val="bottom"/>
          </w:tcPr>
          <w:p>
            <w:pPr>
              <w:spacing w:after="0"/>
              <w:rPr>
                <w:sz w:val="14"/>
                <w:szCs w:val="14"/>
                <w:color w:val="auto"/>
              </w:rPr>
            </w:pPr>
          </w:p>
        </w:tc>
        <w:tc>
          <w:tcPr>
            <w:tcW w:w="4240" w:type="dxa"/>
            <w:vAlign w:val="bottom"/>
            <w:gridSpan w:val="15"/>
          </w:tcPr>
          <w:p>
            <w:pPr>
              <w:spacing w:after="0" w:line="169" w:lineRule="exact"/>
              <w:rPr>
                <w:rFonts w:ascii="Arial" w:cs="Arial" w:eastAsia="Arial" w:hAnsi="Arial"/>
                <w:sz w:val="16"/>
                <w:szCs w:val="16"/>
                <w:color w:val="0000FF"/>
              </w:rPr>
            </w:pPr>
            <w:hyperlink r:id="rId349">
              <w:r>
                <w:rPr>
                  <w:rFonts w:ascii="Arial" w:cs="Arial" w:eastAsia="Arial" w:hAnsi="Arial"/>
                  <w:sz w:val="16"/>
                  <w:szCs w:val="16"/>
                  <w:color w:val="0000FF"/>
                </w:rPr>
                <w:t>Paymentus Holdings, Inc.</w:t>
              </w:r>
            </w:hyperlink>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44"/>
        </w:trPr>
        <w:tc>
          <w:tcPr>
            <w:tcW w:w="1080" w:type="dxa"/>
            <w:vAlign w:val="bottom"/>
          </w:tcPr>
          <w:p>
            <w:pPr>
              <w:jc w:val="center"/>
              <w:ind w:right="99"/>
              <w:spacing w:after="0"/>
              <w:rPr>
                <w:sz w:val="20"/>
                <w:szCs w:val="20"/>
                <w:color w:val="auto"/>
              </w:rPr>
            </w:pPr>
            <w:r>
              <w:rPr>
                <w:rFonts w:ascii="Arial" w:cs="Arial" w:eastAsia="Arial" w:hAnsi="Arial"/>
                <w:sz w:val="16"/>
                <w:szCs w:val="16"/>
                <w:color w:val="auto"/>
                <w:w w:val="98"/>
              </w:rPr>
              <w:t>3.2</w:t>
            </w:r>
          </w:p>
        </w:tc>
        <w:tc>
          <w:tcPr>
            <w:tcW w:w="4060" w:type="dxa"/>
            <w:vAlign w:val="bottom"/>
            <w:tcBorders>
              <w:bottom w:val="single" w:sz="8" w:color="0000FF"/>
            </w:tcBorders>
            <w:gridSpan w:val="14"/>
          </w:tcPr>
          <w:p>
            <w:pPr>
              <w:spacing w:after="0"/>
              <w:rPr>
                <w:rFonts w:ascii="Arial" w:cs="Arial" w:eastAsia="Arial" w:hAnsi="Arial"/>
                <w:sz w:val="16"/>
                <w:szCs w:val="16"/>
                <w:color w:val="0000FF"/>
              </w:rPr>
            </w:pPr>
            <w:hyperlink r:id="rId350">
              <w:r>
                <w:rPr>
                  <w:rFonts w:ascii="Arial" w:cs="Arial" w:eastAsia="Arial" w:hAnsi="Arial"/>
                  <w:sz w:val="16"/>
                  <w:szCs w:val="16"/>
                  <w:color w:val="0000FF"/>
                </w:rPr>
                <w:t>Amended and Restated Bylaws of Paymentus Holdings,</w:t>
              </w:r>
            </w:hyperlink>
          </w:p>
        </w:tc>
        <w:tc>
          <w:tcPr>
            <w:tcW w:w="1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540" w:type="dxa"/>
            <w:vAlign w:val="bottom"/>
          </w:tcPr>
          <w:p>
            <w:pPr>
              <w:jc w:val="center"/>
              <w:spacing w:after="0"/>
              <w:rPr>
                <w:sz w:val="20"/>
                <w:szCs w:val="20"/>
                <w:color w:val="auto"/>
              </w:rPr>
            </w:pPr>
            <w:r>
              <w:rPr>
                <w:rFonts w:ascii="Arial" w:cs="Arial" w:eastAsia="Arial" w:hAnsi="Arial"/>
                <w:sz w:val="16"/>
                <w:szCs w:val="16"/>
                <w:color w:val="auto"/>
              </w:rPr>
              <w:t>November 14, 2022</w:t>
            </w:r>
          </w:p>
        </w:tc>
        <w:tc>
          <w:tcPr>
            <w:tcW w:w="1260" w:type="dxa"/>
            <w:vAlign w:val="bottom"/>
          </w:tcPr>
          <w:p>
            <w:pPr>
              <w:spacing w:after="0"/>
              <w:rPr>
                <w:sz w:val="24"/>
                <w:szCs w:val="24"/>
                <w:color w:val="auto"/>
              </w:rPr>
            </w:pPr>
          </w:p>
        </w:tc>
      </w:tr>
      <w:tr>
        <w:trPr>
          <w:trHeight w:val="169"/>
        </w:trPr>
        <w:tc>
          <w:tcPr>
            <w:tcW w:w="1080" w:type="dxa"/>
            <w:vAlign w:val="bottom"/>
          </w:tcPr>
          <w:p>
            <w:pPr>
              <w:spacing w:after="0"/>
              <w:rPr>
                <w:sz w:val="14"/>
                <w:szCs w:val="14"/>
                <w:color w:val="auto"/>
              </w:rPr>
            </w:pPr>
          </w:p>
        </w:tc>
        <w:tc>
          <w:tcPr>
            <w:tcW w:w="260" w:type="dxa"/>
            <w:vAlign w:val="bottom"/>
            <w:tcBorders>
              <w:bottom w:val="single" w:sz="8" w:color="0000FF"/>
            </w:tcBorders>
          </w:tcPr>
          <w:p>
            <w:pPr>
              <w:spacing w:after="0" w:line="169" w:lineRule="exact"/>
              <w:rPr>
                <w:rFonts w:ascii="Arial" w:cs="Arial" w:eastAsia="Arial" w:hAnsi="Arial"/>
                <w:sz w:val="16"/>
                <w:szCs w:val="16"/>
                <w:color w:val="0000FF"/>
                <w:w w:val="92"/>
              </w:rPr>
            </w:pPr>
            <w:hyperlink r:id="rId350">
              <w:r>
                <w:rPr>
                  <w:rFonts w:ascii="Arial" w:cs="Arial" w:eastAsia="Arial" w:hAnsi="Arial"/>
                  <w:sz w:val="16"/>
                  <w:szCs w:val="16"/>
                  <w:color w:val="0000FF"/>
                  <w:w w:val="92"/>
                </w:rPr>
                <w:t>Inc.</w:t>
              </w:r>
            </w:hyperlink>
          </w:p>
        </w:tc>
        <w:tc>
          <w:tcPr>
            <w:tcW w:w="20" w:type="dxa"/>
            <w:vAlign w:val="bottom"/>
            <w:tcBorders>
              <w:bottom w:val="single" w:sz="8" w:color="0000EE"/>
            </w:tcBorders>
          </w:tcPr>
          <w:p>
            <w:pPr>
              <w:spacing w:after="0"/>
              <w:rPr>
                <w:sz w:val="14"/>
                <w:szCs w:val="14"/>
                <w:color w:val="auto"/>
              </w:rPr>
            </w:pPr>
          </w:p>
        </w:tc>
        <w:tc>
          <w:tcPr>
            <w:tcW w:w="3960" w:type="dxa"/>
            <w:vAlign w:val="bottom"/>
            <w:gridSpan w:val="13"/>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4"/>
        </w:trPr>
        <w:tc>
          <w:tcPr>
            <w:tcW w:w="1080" w:type="dxa"/>
            <w:vAlign w:val="bottom"/>
          </w:tcPr>
          <w:p>
            <w:pPr>
              <w:jc w:val="center"/>
              <w:ind w:right="59"/>
              <w:spacing w:after="0"/>
              <w:rPr>
                <w:sz w:val="20"/>
                <w:szCs w:val="20"/>
                <w:color w:val="auto"/>
              </w:rPr>
            </w:pPr>
            <w:r>
              <w:rPr>
                <w:rFonts w:ascii="Arial" w:cs="Arial" w:eastAsia="Arial" w:hAnsi="Arial"/>
                <w:sz w:val="16"/>
                <w:szCs w:val="16"/>
                <w:color w:val="auto"/>
                <w:w w:val="98"/>
              </w:rPr>
              <w:t>4.1</w:t>
            </w:r>
          </w:p>
        </w:tc>
        <w:tc>
          <w:tcPr>
            <w:tcW w:w="3080" w:type="dxa"/>
            <w:vAlign w:val="bottom"/>
            <w:tcBorders>
              <w:bottom w:val="single" w:sz="8" w:color="0000FF"/>
            </w:tcBorders>
            <w:gridSpan w:val="7"/>
          </w:tcPr>
          <w:p>
            <w:pPr>
              <w:spacing w:after="0"/>
              <w:rPr>
                <w:rFonts w:ascii="Arial" w:cs="Arial" w:eastAsia="Arial" w:hAnsi="Arial"/>
                <w:sz w:val="16"/>
                <w:szCs w:val="16"/>
                <w:color w:val="0000FF"/>
              </w:rPr>
            </w:pPr>
            <w:hyperlink r:id="rId351">
              <w:r>
                <w:rPr>
                  <w:rFonts w:ascii="Arial" w:cs="Arial" w:eastAsia="Arial" w:hAnsi="Arial"/>
                  <w:sz w:val="16"/>
                  <w:szCs w:val="16"/>
                  <w:color w:val="0000FF"/>
                </w:rPr>
                <w:t>Form of Class A Common Stock Certificate</w:t>
              </w:r>
            </w:hyperlink>
          </w:p>
        </w:tc>
        <w:tc>
          <w:tcPr>
            <w:tcW w:w="20" w:type="dxa"/>
            <w:vAlign w:val="bottom"/>
            <w:tcBorders>
              <w:bottom w:val="single" w:sz="8" w:color="0000EE"/>
            </w:tcBorders>
          </w:tcPr>
          <w:p>
            <w:pPr>
              <w:spacing w:after="0"/>
              <w:rPr>
                <w:sz w:val="24"/>
                <w:szCs w:val="24"/>
                <w:color w:val="auto"/>
              </w:rPr>
            </w:pPr>
          </w:p>
        </w:tc>
        <w:tc>
          <w:tcPr>
            <w:tcW w:w="1140" w:type="dxa"/>
            <w:vAlign w:val="bottom"/>
            <w:gridSpan w:val="7"/>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rPr>
              <w:t>333- 255683</w:t>
            </w: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40" w:type="dxa"/>
            <w:vAlign w:val="bottom"/>
          </w:tcPr>
          <w:p>
            <w:pPr>
              <w:jc w:val="center"/>
              <w:spacing w:after="0"/>
              <w:rPr>
                <w:sz w:val="20"/>
                <w:szCs w:val="20"/>
                <w:color w:val="auto"/>
              </w:rPr>
            </w:pPr>
            <w:r>
              <w:rPr>
                <w:rFonts w:ascii="Arial" w:cs="Arial" w:eastAsia="Arial" w:hAnsi="Arial"/>
                <w:sz w:val="16"/>
                <w:szCs w:val="16"/>
                <w:color w:val="auto"/>
              </w:rPr>
              <w:t>May 13, 2021</w:t>
            </w:r>
          </w:p>
        </w:tc>
        <w:tc>
          <w:tcPr>
            <w:tcW w:w="1260" w:type="dxa"/>
            <w:vAlign w:val="bottom"/>
          </w:tcPr>
          <w:p>
            <w:pPr>
              <w:spacing w:after="0"/>
              <w:rPr>
                <w:sz w:val="24"/>
                <w:szCs w:val="24"/>
                <w:color w:val="auto"/>
              </w:rPr>
            </w:pPr>
          </w:p>
        </w:tc>
      </w:tr>
      <w:tr>
        <w:trPr>
          <w:trHeight w:val="344"/>
        </w:trPr>
        <w:tc>
          <w:tcPr>
            <w:tcW w:w="1080" w:type="dxa"/>
            <w:vAlign w:val="bottom"/>
          </w:tcPr>
          <w:p>
            <w:pPr>
              <w:jc w:val="center"/>
              <w:ind w:right="59"/>
              <w:spacing w:after="0"/>
              <w:rPr>
                <w:sz w:val="20"/>
                <w:szCs w:val="20"/>
                <w:color w:val="auto"/>
              </w:rPr>
            </w:pPr>
            <w:r>
              <w:rPr>
                <w:rFonts w:ascii="Arial" w:cs="Arial" w:eastAsia="Arial" w:hAnsi="Arial"/>
                <w:sz w:val="16"/>
                <w:szCs w:val="16"/>
                <w:color w:val="auto"/>
                <w:w w:val="98"/>
              </w:rPr>
              <w:t>4.2</w:t>
            </w:r>
          </w:p>
        </w:tc>
        <w:tc>
          <w:tcPr>
            <w:tcW w:w="3760" w:type="dxa"/>
            <w:vAlign w:val="bottom"/>
            <w:tcBorders>
              <w:bottom w:val="single" w:sz="8" w:color="0000FF"/>
            </w:tcBorders>
            <w:gridSpan w:val="9"/>
          </w:tcPr>
          <w:p>
            <w:pPr>
              <w:spacing w:after="0"/>
              <w:rPr>
                <w:rFonts w:ascii="Arial" w:cs="Arial" w:eastAsia="Arial" w:hAnsi="Arial"/>
                <w:sz w:val="16"/>
                <w:szCs w:val="16"/>
                <w:color w:val="0000FF"/>
              </w:rPr>
            </w:pPr>
            <w:hyperlink r:id="rId352">
              <w:r>
                <w:rPr>
                  <w:rFonts w:ascii="Arial" w:cs="Arial" w:eastAsia="Arial" w:hAnsi="Arial"/>
                  <w:sz w:val="16"/>
                  <w:szCs w:val="16"/>
                  <w:color w:val="0000FF"/>
                </w:rPr>
                <w:t>Registration Rights Agreement, dated as of May 24,</w:t>
              </w:r>
            </w:hyperlink>
          </w:p>
        </w:tc>
        <w:tc>
          <w:tcPr>
            <w:tcW w:w="480" w:type="dxa"/>
            <w:vAlign w:val="bottom"/>
            <w:gridSpan w:val="6"/>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40" w:type="dxa"/>
            <w:vAlign w:val="bottom"/>
          </w:tcPr>
          <w:p>
            <w:pPr>
              <w:jc w:val="center"/>
              <w:spacing w:after="0"/>
              <w:rPr>
                <w:sz w:val="20"/>
                <w:szCs w:val="20"/>
                <w:color w:val="auto"/>
              </w:rPr>
            </w:pPr>
            <w:r>
              <w:rPr>
                <w:rFonts w:ascii="Arial" w:cs="Arial" w:eastAsia="Arial" w:hAnsi="Arial"/>
                <w:sz w:val="16"/>
                <w:szCs w:val="16"/>
                <w:color w:val="auto"/>
              </w:rPr>
              <w:t>May 28, 2021</w:t>
            </w:r>
          </w:p>
        </w:tc>
        <w:tc>
          <w:tcPr>
            <w:tcW w:w="1260" w:type="dxa"/>
            <w:vAlign w:val="bottom"/>
          </w:tcPr>
          <w:p>
            <w:pPr>
              <w:spacing w:after="0"/>
              <w:rPr>
                <w:sz w:val="24"/>
                <w:szCs w:val="24"/>
                <w:color w:val="auto"/>
              </w:rPr>
            </w:pPr>
          </w:p>
        </w:tc>
      </w:tr>
      <w:tr>
        <w:trPr>
          <w:trHeight w:val="169"/>
        </w:trPr>
        <w:tc>
          <w:tcPr>
            <w:tcW w:w="1080" w:type="dxa"/>
            <w:vAlign w:val="bottom"/>
          </w:tcPr>
          <w:p>
            <w:pPr>
              <w:spacing w:after="0"/>
              <w:rPr>
                <w:sz w:val="14"/>
                <w:szCs w:val="14"/>
                <w:color w:val="auto"/>
              </w:rPr>
            </w:pPr>
          </w:p>
        </w:tc>
        <w:tc>
          <w:tcPr>
            <w:tcW w:w="398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352">
              <w:r>
                <w:rPr>
                  <w:rFonts w:ascii="Arial" w:cs="Arial" w:eastAsia="Arial" w:hAnsi="Arial"/>
                  <w:sz w:val="16"/>
                  <w:szCs w:val="16"/>
                  <w:color w:val="0000FF"/>
                </w:rPr>
                <w:t>2021, by and among Paymentus Holdings, Inc. and the</w:t>
              </w:r>
            </w:hyperlink>
          </w:p>
        </w:tc>
        <w:tc>
          <w:tcPr>
            <w:tcW w:w="260" w:type="dxa"/>
            <w:vAlign w:val="bottom"/>
            <w:gridSpan w:val="3"/>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1080" w:type="dxa"/>
            <w:vAlign w:val="bottom"/>
          </w:tcPr>
          <w:p>
            <w:pPr>
              <w:spacing w:after="0"/>
              <w:rPr>
                <w:sz w:val="14"/>
                <w:szCs w:val="14"/>
                <w:color w:val="auto"/>
              </w:rPr>
            </w:pPr>
          </w:p>
        </w:tc>
        <w:tc>
          <w:tcPr>
            <w:tcW w:w="1840" w:type="dxa"/>
            <w:vAlign w:val="bottom"/>
            <w:tcBorders>
              <w:bottom w:val="single" w:sz="8" w:color="0000EE"/>
            </w:tcBorders>
            <w:gridSpan w:val="4"/>
          </w:tcPr>
          <w:p>
            <w:pPr>
              <w:spacing w:after="0" w:line="169" w:lineRule="exact"/>
              <w:rPr>
                <w:rFonts w:ascii="Arial" w:cs="Arial" w:eastAsia="Arial" w:hAnsi="Arial"/>
                <w:sz w:val="16"/>
                <w:szCs w:val="16"/>
                <w:color w:val="0000FF"/>
              </w:rPr>
            </w:pPr>
            <w:hyperlink r:id="rId352">
              <w:r>
                <w:rPr>
                  <w:rFonts w:ascii="Arial" w:cs="Arial" w:eastAsia="Arial" w:hAnsi="Arial"/>
                  <w:sz w:val="16"/>
                  <w:szCs w:val="16"/>
                  <w:color w:val="0000FF"/>
                </w:rPr>
                <w:t>other signatories thereto</w:t>
              </w:r>
            </w:hyperlink>
          </w:p>
        </w:tc>
        <w:tc>
          <w:tcPr>
            <w:tcW w:w="2400" w:type="dxa"/>
            <w:vAlign w:val="bottom"/>
            <w:gridSpan w:val="11"/>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4"/>
        </w:trPr>
        <w:tc>
          <w:tcPr>
            <w:tcW w:w="1080" w:type="dxa"/>
            <w:vAlign w:val="bottom"/>
          </w:tcPr>
          <w:p>
            <w:pPr>
              <w:jc w:val="center"/>
              <w:ind w:right="59"/>
              <w:spacing w:after="0"/>
              <w:rPr>
                <w:sz w:val="20"/>
                <w:szCs w:val="20"/>
                <w:color w:val="auto"/>
              </w:rPr>
            </w:pPr>
            <w:r>
              <w:rPr>
                <w:rFonts w:ascii="Arial" w:cs="Arial" w:eastAsia="Arial" w:hAnsi="Arial"/>
                <w:sz w:val="16"/>
                <w:szCs w:val="16"/>
                <w:color w:val="auto"/>
                <w:w w:val="98"/>
              </w:rPr>
              <w:t>4.3</w:t>
            </w:r>
          </w:p>
        </w:tc>
        <w:tc>
          <w:tcPr>
            <w:tcW w:w="174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Description of Securities</w:t>
            </w:r>
          </w:p>
        </w:tc>
        <w:tc>
          <w:tcPr>
            <w:tcW w:w="2500" w:type="dxa"/>
            <w:vAlign w:val="bottom"/>
            <w:gridSpan w:val="12"/>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344"/>
        </w:trPr>
        <w:tc>
          <w:tcPr>
            <w:tcW w:w="1080" w:type="dxa"/>
            <w:vAlign w:val="bottom"/>
          </w:tcPr>
          <w:p>
            <w:pPr>
              <w:jc w:val="right"/>
              <w:ind w:right="359"/>
              <w:spacing w:after="0"/>
              <w:rPr>
                <w:sz w:val="20"/>
                <w:szCs w:val="20"/>
                <w:color w:val="auto"/>
              </w:rPr>
            </w:pPr>
            <w:r>
              <w:rPr>
                <w:rFonts w:ascii="Arial" w:cs="Arial" w:eastAsia="Arial" w:hAnsi="Arial"/>
                <w:sz w:val="16"/>
                <w:szCs w:val="16"/>
                <w:color w:val="auto"/>
              </w:rPr>
              <w:t>10.1</w:t>
            </w:r>
          </w:p>
        </w:tc>
        <w:tc>
          <w:tcPr>
            <w:tcW w:w="4240" w:type="dxa"/>
            <w:vAlign w:val="bottom"/>
            <w:gridSpan w:val="15"/>
          </w:tcPr>
          <w:p>
            <w:pPr>
              <w:spacing w:after="0"/>
              <w:rPr>
                <w:rFonts w:ascii="Arial" w:cs="Arial" w:eastAsia="Arial" w:hAnsi="Arial"/>
                <w:sz w:val="16"/>
                <w:szCs w:val="16"/>
                <w:color w:val="0000FF"/>
              </w:rPr>
            </w:pPr>
            <w:hyperlink r:id="rId353">
              <w:r>
                <w:rPr>
                  <w:rFonts w:ascii="Arial" w:cs="Arial" w:eastAsia="Arial" w:hAnsi="Arial"/>
                  <w:sz w:val="16"/>
                  <w:szCs w:val="16"/>
                  <w:color w:val="0000FF"/>
                </w:rPr>
                <w:t>Form of Director and Officer Indemnification Agreement</w:t>
              </w:r>
            </w:hyperlink>
          </w:p>
        </w:tc>
        <w:tc>
          <w:tcPr>
            <w:tcW w:w="96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rPr>
              <w:t>333- 255683</w:t>
            </w:r>
          </w:p>
        </w:tc>
        <w:tc>
          <w:tcPr>
            <w:tcW w:w="8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540" w:type="dxa"/>
            <w:vAlign w:val="bottom"/>
          </w:tcPr>
          <w:p>
            <w:pPr>
              <w:jc w:val="center"/>
              <w:spacing w:after="0"/>
              <w:rPr>
                <w:sz w:val="20"/>
                <w:szCs w:val="20"/>
                <w:color w:val="auto"/>
              </w:rPr>
            </w:pPr>
            <w:r>
              <w:rPr>
                <w:rFonts w:ascii="Arial" w:cs="Arial" w:eastAsia="Arial" w:hAnsi="Arial"/>
                <w:sz w:val="16"/>
                <w:szCs w:val="16"/>
                <w:color w:val="auto"/>
              </w:rPr>
              <w:t>May 13, 2021</w:t>
            </w:r>
          </w:p>
        </w:tc>
        <w:tc>
          <w:tcPr>
            <w:tcW w:w="126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27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44"/>
        </w:trPr>
        <w:tc>
          <w:tcPr>
            <w:tcW w:w="1080" w:type="dxa"/>
            <w:vAlign w:val="bottom"/>
          </w:tcPr>
          <w:p>
            <w:pPr>
              <w:jc w:val="right"/>
              <w:ind w:right="359"/>
              <w:spacing w:after="0"/>
              <w:rPr>
                <w:sz w:val="20"/>
                <w:szCs w:val="20"/>
                <w:color w:val="auto"/>
              </w:rPr>
            </w:pPr>
            <w:r>
              <w:rPr>
                <w:rFonts w:ascii="Arial" w:cs="Arial" w:eastAsia="Arial" w:hAnsi="Arial"/>
                <w:sz w:val="16"/>
                <w:szCs w:val="16"/>
                <w:color w:val="auto"/>
              </w:rPr>
              <w:t>10.2+</w:t>
            </w:r>
          </w:p>
        </w:tc>
        <w:tc>
          <w:tcPr>
            <w:tcW w:w="4040" w:type="dxa"/>
            <w:vAlign w:val="bottom"/>
            <w:tcBorders>
              <w:bottom w:val="single" w:sz="8" w:color="0000FF"/>
            </w:tcBorders>
            <w:gridSpan w:val="13"/>
          </w:tcPr>
          <w:p>
            <w:pPr>
              <w:spacing w:after="0"/>
              <w:rPr>
                <w:rFonts w:ascii="Arial" w:cs="Arial" w:eastAsia="Arial" w:hAnsi="Arial"/>
                <w:sz w:val="16"/>
                <w:szCs w:val="16"/>
                <w:color w:val="0000FF"/>
              </w:rPr>
            </w:pPr>
            <w:hyperlink r:id="rId354">
              <w:r>
                <w:rPr>
                  <w:rFonts w:ascii="Arial" w:cs="Arial" w:eastAsia="Arial" w:hAnsi="Arial"/>
                  <w:sz w:val="16"/>
                  <w:szCs w:val="16"/>
                  <w:color w:val="0000FF"/>
                </w:rPr>
                <w:t>2012 Equity Incentive Plan and related form agreements</w:t>
              </w:r>
            </w:hyperlink>
          </w:p>
        </w:tc>
        <w:tc>
          <w:tcPr>
            <w:tcW w:w="200" w:type="dxa"/>
            <w:vAlign w:val="bottom"/>
            <w:gridSpan w:val="2"/>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rPr>
              <w:t>333- 255683</w:t>
            </w:r>
          </w:p>
        </w:tc>
        <w:tc>
          <w:tcPr>
            <w:tcW w:w="82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40" w:type="dxa"/>
            <w:vAlign w:val="bottom"/>
          </w:tcPr>
          <w:p>
            <w:pPr>
              <w:jc w:val="center"/>
              <w:spacing w:after="0"/>
              <w:rPr>
                <w:sz w:val="20"/>
                <w:szCs w:val="20"/>
                <w:color w:val="auto"/>
              </w:rPr>
            </w:pPr>
            <w:r>
              <w:rPr>
                <w:rFonts w:ascii="Arial" w:cs="Arial" w:eastAsia="Arial" w:hAnsi="Arial"/>
                <w:sz w:val="16"/>
                <w:szCs w:val="16"/>
                <w:color w:val="auto"/>
              </w:rPr>
              <w:t>May 17, 2021</w:t>
            </w:r>
          </w:p>
        </w:tc>
        <w:tc>
          <w:tcPr>
            <w:tcW w:w="1260" w:type="dxa"/>
            <w:vAlign w:val="bottom"/>
          </w:tcPr>
          <w:p>
            <w:pPr>
              <w:spacing w:after="0"/>
              <w:rPr>
                <w:sz w:val="24"/>
                <w:szCs w:val="24"/>
                <w:color w:val="auto"/>
              </w:rPr>
            </w:pPr>
          </w:p>
        </w:tc>
      </w:tr>
      <w:tr>
        <w:trPr>
          <w:trHeight w:val="344"/>
        </w:trPr>
        <w:tc>
          <w:tcPr>
            <w:tcW w:w="1080" w:type="dxa"/>
            <w:vAlign w:val="bottom"/>
          </w:tcPr>
          <w:p>
            <w:pPr>
              <w:jc w:val="right"/>
              <w:ind w:right="359"/>
              <w:spacing w:after="0"/>
              <w:rPr>
                <w:sz w:val="20"/>
                <w:szCs w:val="20"/>
                <w:color w:val="auto"/>
              </w:rPr>
            </w:pPr>
            <w:r>
              <w:rPr>
                <w:rFonts w:ascii="Arial" w:cs="Arial" w:eastAsia="Arial" w:hAnsi="Arial"/>
                <w:sz w:val="16"/>
                <w:szCs w:val="16"/>
                <w:color w:val="auto"/>
              </w:rPr>
              <w:t>10.3+</w:t>
            </w:r>
          </w:p>
        </w:tc>
        <w:tc>
          <w:tcPr>
            <w:tcW w:w="4240" w:type="dxa"/>
            <w:vAlign w:val="bottom"/>
            <w:gridSpan w:val="15"/>
          </w:tcPr>
          <w:p>
            <w:pPr>
              <w:spacing w:after="0"/>
              <w:rPr>
                <w:rFonts w:ascii="Arial" w:cs="Arial" w:eastAsia="Arial" w:hAnsi="Arial"/>
                <w:sz w:val="16"/>
                <w:szCs w:val="16"/>
                <w:color w:val="0000FF"/>
              </w:rPr>
            </w:pPr>
            <w:hyperlink r:id="rId355">
              <w:r>
                <w:rPr>
                  <w:rFonts w:ascii="Arial" w:cs="Arial" w:eastAsia="Arial" w:hAnsi="Arial"/>
                  <w:sz w:val="16"/>
                  <w:szCs w:val="16"/>
                  <w:color w:val="0000FF"/>
                </w:rPr>
                <w:t>Executive Incentive Compensation Plan</w:t>
              </w:r>
            </w:hyperlink>
          </w:p>
        </w:tc>
        <w:tc>
          <w:tcPr>
            <w:tcW w:w="96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rPr>
              <w:t>333- 255683</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10.4</w:t>
            </w:r>
          </w:p>
        </w:tc>
        <w:tc>
          <w:tcPr>
            <w:tcW w:w="1540" w:type="dxa"/>
            <w:vAlign w:val="bottom"/>
          </w:tcPr>
          <w:p>
            <w:pPr>
              <w:jc w:val="center"/>
              <w:spacing w:after="0"/>
              <w:rPr>
                <w:sz w:val="20"/>
                <w:szCs w:val="20"/>
                <w:color w:val="auto"/>
              </w:rPr>
            </w:pPr>
            <w:r>
              <w:rPr>
                <w:rFonts w:ascii="Arial" w:cs="Arial" w:eastAsia="Arial" w:hAnsi="Arial"/>
                <w:sz w:val="16"/>
                <w:szCs w:val="16"/>
                <w:color w:val="auto"/>
              </w:rPr>
              <w:t>May 17, 2021</w:t>
            </w:r>
          </w:p>
        </w:tc>
        <w:tc>
          <w:tcPr>
            <w:tcW w:w="1260" w:type="dxa"/>
            <w:vAlign w:val="bottom"/>
          </w:tcPr>
          <w:p>
            <w:pPr>
              <w:spacing w:after="0"/>
              <w:rPr>
                <w:sz w:val="24"/>
                <w:szCs w:val="24"/>
                <w:color w:val="auto"/>
              </w:rPr>
            </w:pPr>
          </w:p>
        </w:tc>
      </w:tr>
      <w:tr>
        <w:trPr>
          <w:trHeight w:val="344"/>
        </w:trPr>
        <w:tc>
          <w:tcPr>
            <w:tcW w:w="1080" w:type="dxa"/>
            <w:vAlign w:val="bottom"/>
          </w:tcPr>
          <w:p>
            <w:pPr>
              <w:jc w:val="right"/>
              <w:ind w:right="359"/>
              <w:spacing w:after="0"/>
              <w:rPr>
                <w:sz w:val="20"/>
                <w:szCs w:val="20"/>
                <w:color w:val="auto"/>
              </w:rPr>
            </w:pPr>
            <w:r>
              <w:rPr>
                <w:rFonts w:ascii="Arial" w:cs="Arial" w:eastAsia="Arial" w:hAnsi="Arial"/>
                <w:sz w:val="16"/>
                <w:szCs w:val="16"/>
                <w:color w:val="auto"/>
              </w:rPr>
              <w:t>10.4+</w:t>
            </w:r>
          </w:p>
        </w:tc>
        <w:tc>
          <w:tcPr>
            <w:tcW w:w="2840" w:type="dxa"/>
            <w:vAlign w:val="bottom"/>
            <w:tcBorders>
              <w:top w:val="single" w:sz="8" w:color="0000FF"/>
            </w:tcBorders>
            <w:gridSpan w:val="6"/>
          </w:tcPr>
          <w:p>
            <w:pPr>
              <w:spacing w:after="0"/>
              <w:rPr>
                <w:rFonts w:ascii="Arial" w:cs="Arial" w:eastAsia="Arial" w:hAnsi="Arial"/>
                <w:sz w:val="16"/>
                <w:szCs w:val="16"/>
                <w:color w:val="0000FF"/>
              </w:rPr>
            </w:pPr>
            <w:hyperlink r:id="rId356">
              <w:r>
                <w:rPr>
                  <w:rFonts w:ascii="Arial" w:cs="Arial" w:eastAsia="Arial" w:hAnsi="Arial"/>
                  <w:sz w:val="16"/>
                  <w:szCs w:val="16"/>
                  <w:color w:val="0000FF"/>
                </w:rPr>
                <w:t>Outside Director Compensation Policy</w:t>
              </w:r>
            </w:hyperlink>
          </w:p>
        </w:tc>
        <w:tc>
          <w:tcPr>
            <w:tcW w:w="1400" w:type="dxa"/>
            <w:vAlign w:val="bottom"/>
            <w:gridSpan w:val="9"/>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2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40" w:type="dxa"/>
            <w:vAlign w:val="bottom"/>
          </w:tcPr>
          <w:p>
            <w:pPr>
              <w:jc w:val="center"/>
              <w:spacing w:after="0"/>
              <w:rPr>
                <w:sz w:val="20"/>
                <w:szCs w:val="20"/>
                <w:color w:val="auto"/>
              </w:rPr>
            </w:pPr>
            <w:r>
              <w:rPr>
                <w:rFonts w:ascii="Arial" w:cs="Arial" w:eastAsia="Arial" w:hAnsi="Arial"/>
                <w:sz w:val="16"/>
                <w:szCs w:val="16"/>
                <w:color w:val="auto"/>
              </w:rPr>
              <w:t>February 14, 2023</w:t>
            </w:r>
          </w:p>
        </w:tc>
        <w:tc>
          <w:tcPr>
            <w:tcW w:w="1260" w:type="dxa"/>
            <w:vAlign w:val="bottom"/>
          </w:tcPr>
          <w:p>
            <w:pPr>
              <w:spacing w:after="0"/>
              <w:rPr>
                <w:sz w:val="24"/>
                <w:szCs w:val="24"/>
                <w:color w:val="auto"/>
              </w:rPr>
            </w:pPr>
          </w:p>
        </w:tc>
      </w:tr>
      <w:tr>
        <w:trPr>
          <w:trHeight w:val="560"/>
        </w:trPr>
        <w:tc>
          <w:tcPr>
            <w:tcW w:w="108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418"/>
              <w:spacing w:after="0"/>
              <w:rPr>
                <w:sz w:val="20"/>
                <w:szCs w:val="20"/>
                <w:color w:val="auto"/>
              </w:rPr>
            </w:pPr>
            <w:r>
              <w:rPr>
                <w:rFonts w:ascii="Arial" w:cs="Arial" w:eastAsia="Arial" w:hAnsi="Arial"/>
                <w:sz w:val="18"/>
                <w:szCs w:val="18"/>
                <w:color w:val="auto"/>
              </w:rPr>
              <w:t>103</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1"/>
        </w:trPr>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4"/>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Incorporated by Reference</w:t>
            </w:r>
          </w:p>
        </w:tc>
        <w:tc>
          <w:tcPr>
            <w:tcW w:w="1220" w:type="dxa"/>
            <w:vAlign w:val="bottom"/>
            <w:tcBorders>
              <w:bottom w:val="single" w:sz="8" w:color="auto"/>
            </w:tcBorders>
          </w:tcPr>
          <w:p>
            <w:pPr>
              <w:spacing w:after="0"/>
              <w:rPr>
                <w:sz w:val="18"/>
                <w:szCs w:val="18"/>
                <w:color w:val="auto"/>
              </w:rPr>
            </w:pPr>
          </w:p>
        </w:tc>
        <w:tc>
          <w:tcPr>
            <w:tcW w:w="1260" w:type="dxa"/>
            <w:vAlign w:val="bottom"/>
          </w:tcPr>
          <w:p>
            <w:pPr>
              <w:spacing w:after="0"/>
              <w:rPr>
                <w:sz w:val="18"/>
                <w:szCs w:val="18"/>
                <w:color w:val="auto"/>
              </w:rPr>
            </w:pPr>
          </w:p>
        </w:tc>
      </w:tr>
      <w:tr>
        <w:trPr>
          <w:trHeight w:val="184"/>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189"/>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Furnished</w:t>
            </w:r>
          </w:p>
        </w:tc>
      </w:tr>
      <w:tr>
        <w:trPr>
          <w:trHeight w:val="217"/>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4260" w:type="dxa"/>
            <w:vAlign w:val="bottom"/>
            <w:tcBorders>
              <w:bottom w:val="single" w:sz="8" w:color="auto"/>
            </w:tcBorders>
          </w:tcPr>
          <w:p>
            <w:pPr>
              <w:ind w:left="1640"/>
              <w:spacing w:after="0"/>
              <w:rPr>
                <w:sz w:val="20"/>
                <w:szCs w:val="20"/>
                <w:color w:val="auto"/>
              </w:rPr>
            </w:pPr>
            <w:r>
              <w:rPr>
                <w:rFonts w:ascii="Arial" w:cs="Arial" w:eastAsia="Arial" w:hAnsi="Arial"/>
                <w:sz w:val="16"/>
                <w:szCs w:val="16"/>
                <w:b w:val="1"/>
                <w:bCs w:val="1"/>
                <w:color w:val="auto"/>
              </w:rPr>
              <w:t>Description</w:t>
            </w: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Form</w:t>
            </w: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File No.</w:t>
            </w: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w:t>
            </w: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Filing Date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r>
    </w:tbl>
    <w:p>
      <w:pPr>
        <w:spacing w:after="0" w:line="164" w:lineRule="exact"/>
        <w:rPr>
          <w:sz w:val="20"/>
          <w:szCs w:val="20"/>
          <w:color w:val="auto"/>
        </w:rPr>
      </w:pPr>
    </w:p>
    <w:p>
      <w:pPr>
        <w:sectPr>
          <w:pgSz w:w="11900" w:h="16838" w:orient="portrait"/>
          <w:cols w:equalWidth="0" w:num="1">
            <w:col w:w="11240"/>
          </w:cols>
          <w:pgMar w:left="320" w:top="351" w:right="339" w:bottom="1440" w:gutter="0" w:footer="0" w:header="0"/>
        </w:sectPr>
      </w:pPr>
    </w:p>
    <w:p>
      <w:pPr>
        <w:ind w:left="1180" w:right="240" w:hanging="903"/>
        <w:spacing w:after="0" w:line="259"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10.5+</w:t>
      </w:r>
      <w:r>
        <w:rPr>
          <w:sz w:val="20"/>
          <w:szCs w:val="20"/>
          <w:color w:val="auto"/>
        </w:rPr>
        <w:tab/>
      </w:r>
      <w:hyperlink r:id="rId359">
        <w:r>
          <w:rPr>
            <w:rFonts w:ascii="Arial" w:cs="Arial" w:eastAsia="Arial" w:hAnsi="Arial"/>
            <w:sz w:val="16"/>
            <w:szCs w:val="16"/>
            <w:u w:val="single" w:color="auto"/>
            <w:color w:val="0000FF"/>
          </w:rPr>
          <w:t>Confirmatory Employment Letter by and between the</w:t>
        </w:r>
      </w:hyperlink>
      <w:r>
        <w:rPr>
          <w:rFonts w:ascii="Arial" w:cs="Arial" w:eastAsia="Arial" w:hAnsi="Arial"/>
          <w:sz w:val="16"/>
          <w:szCs w:val="16"/>
          <w:u w:val="single" w:color="auto"/>
          <w:color w:val="0000FF"/>
        </w:rPr>
        <w:t xml:space="preserve"> </w:t>
      </w:r>
      <w:hyperlink r:id="rId359">
        <w:r>
          <w:rPr>
            <w:rFonts w:ascii="Arial" w:cs="Arial" w:eastAsia="Arial" w:hAnsi="Arial"/>
            <w:sz w:val="16"/>
            <w:szCs w:val="16"/>
            <w:u w:val="single" w:color="auto"/>
            <w:color w:val="0000FF"/>
          </w:rPr>
          <w:t>registrant and Dushyant Sharma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-149860</wp:posOffset>
            </wp:positionV>
            <wp:extent cx="243268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0">
                      <a:extLst>
                        <a:ext uri="{28A0092B-C50C-407E-A947-70E740481C1C}"/>
                      </a:extLst>
                    </a:blip>
                    <a:srcRect/>
                    <a:stretch>
                      <a:fillRect/>
                    </a:stretch>
                  </pic:blipFill>
                  <pic:spPr bwMode="auto">
                    <a:xfrm>
                      <a:off x="0" y="0"/>
                      <a:ext cx="2432685"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-29845</wp:posOffset>
            </wp:positionV>
            <wp:extent cx="14789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1">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spacing w:after="0" w:line="136" w:lineRule="exact"/>
        <w:rPr>
          <w:sz w:val="20"/>
          <w:szCs w:val="20"/>
          <w:color w:val="auto"/>
        </w:rPr>
      </w:pPr>
    </w:p>
    <w:p>
      <w:pPr>
        <w:ind w:left="1180" w:right="240" w:hanging="903"/>
        <w:spacing w:after="0" w:line="259"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10.6+</w:t>
      </w:r>
      <w:r>
        <w:rPr>
          <w:sz w:val="20"/>
          <w:szCs w:val="20"/>
          <w:color w:val="auto"/>
        </w:rPr>
        <w:tab/>
      </w:r>
      <w:hyperlink r:id="rId362">
        <w:r>
          <w:rPr>
            <w:rFonts w:ascii="Arial" w:cs="Arial" w:eastAsia="Arial" w:hAnsi="Arial"/>
            <w:sz w:val="16"/>
            <w:szCs w:val="16"/>
            <w:u w:val="single" w:color="auto"/>
            <w:color w:val="0000FF"/>
          </w:rPr>
          <w:t>Confirmatory Employment Letter by and between the</w:t>
        </w:r>
      </w:hyperlink>
      <w:r>
        <w:rPr>
          <w:rFonts w:ascii="Arial" w:cs="Arial" w:eastAsia="Arial" w:hAnsi="Arial"/>
          <w:sz w:val="16"/>
          <w:szCs w:val="16"/>
          <w:u w:val="single" w:color="auto"/>
          <w:color w:val="0000FF"/>
        </w:rPr>
        <w:t xml:space="preserve"> </w:t>
      </w:r>
      <w:hyperlink r:id="rId362">
        <w:r>
          <w:rPr>
            <w:rFonts w:ascii="Arial" w:cs="Arial" w:eastAsia="Arial" w:hAnsi="Arial"/>
            <w:sz w:val="16"/>
            <w:szCs w:val="16"/>
            <w:u w:val="single" w:color="auto"/>
            <w:color w:val="0000FF"/>
          </w:rPr>
          <w:t>registrant and Paul Seamon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-149860</wp:posOffset>
            </wp:positionV>
            <wp:extent cx="24326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2432685"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-29845</wp:posOffset>
            </wp:positionV>
            <wp:extent cx="127381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136" w:lineRule="exact"/>
        <w:rPr>
          <w:sz w:val="20"/>
          <w:szCs w:val="20"/>
          <w:color w:val="auto"/>
        </w:rPr>
      </w:pPr>
    </w:p>
    <w:p>
      <w:pPr>
        <w:ind w:left="1180" w:right="240" w:hanging="903"/>
        <w:spacing w:after="0" w:line="259"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10.7+</w:t>
      </w:r>
      <w:r>
        <w:rPr>
          <w:sz w:val="20"/>
          <w:szCs w:val="20"/>
          <w:color w:val="auto"/>
        </w:rPr>
        <w:tab/>
      </w:r>
      <w:hyperlink r:id="rId365">
        <w:r>
          <w:rPr>
            <w:rFonts w:ascii="Arial" w:cs="Arial" w:eastAsia="Arial" w:hAnsi="Arial"/>
            <w:sz w:val="16"/>
            <w:szCs w:val="16"/>
            <w:u w:val="single" w:color="auto"/>
            <w:color w:val="0000FF"/>
          </w:rPr>
          <w:t>Confirmatory Employment Letter by and between the</w:t>
        </w:r>
      </w:hyperlink>
      <w:r>
        <w:rPr>
          <w:rFonts w:ascii="Arial" w:cs="Arial" w:eastAsia="Arial" w:hAnsi="Arial"/>
          <w:sz w:val="16"/>
          <w:szCs w:val="16"/>
          <w:u w:val="single" w:color="auto"/>
          <w:color w:val="0000FF"/>
        </w:rPr>
        <w:t xml:space="preserve"> </w:t>
      </w:r>
      <w:hyperlink r:id="rId365">
        <w:r>
          <w:rPr>
            <w:rFonts w:ascii="Arial" w:cs="Arial" w:eastAsia="Arial" w:hAnsi="Arial"/>
            <w:sz w:val="16"/>
            <w:szCs w:val="16"/>
            <w:u w:val="single" w:color="auto"/>
            <w:color w:val="0000FF"/>
          </w:rPr>
          <w:t>registrant and Gerasimos (Jerry) Portocalis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-149860</wp:posOffset>
            </wp:positionV>
            <wp:extent cx="243268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2432685"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-29845</wp:posOffset>
            </wp:positionV>
            <wp:extent cx="19583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1958340" cy="8255"/>
                    </a:xfrm>
                    <a:prstGeom prst="rect">
                      <a:avLst/>
                    </a:prstGeom>
                    <a:noFill/>
                  </pic:spPr>
                </pic:pic>
              </a:graphicData>
            </a:graphic>
          </wp:anchor>
        </w:drawing>
      </w:r>
    </w:p>
    <w:p>
      <w:pPr>
        <w:spacing w:after="0" w:line="136" w:lineRule="exact"/>
        <w:rPr>
          <w:sz w:val="20"/>
          <w:szCs w:val="20"/>
          <w:color w:val="auto"/>
        </w:rPr>
      </w:pPr>
    </w:p>
    <w:p>
      <w:pPr>
        <w:ind w:left="1180" w:right="220" w:hanging="880"/>
        <w:spacing w:after="0" w:line="259"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10.8+</w:t>
      </w:r>
      <w:r>
        <w:rPr>
          <w:sz w:val="20"/>
          <w:szCs w:val="20"/>
          <w:color w:val="auto"/>
        </w:rPr>
        <w:tab/>
      </w:r>
      <w:hyperlink r:id="rId368">
        <w:r>
          <w:rPr>
            <w:rFonts w:ascii="Arial" w:cs="Arial" w:eastAsia="Arial" w:hAnsi="Arial"/>
            <w:sz w:val="16"/>
            <w:szCs w:val="16"/>
            <w:u w:val="single" w:color="auto"/>
            <w:color w:val="0000FF"/>
          </w:rPr>
          <w:t>Change in Control and Severance Agreement by and</w:t>
        </w:r>
      </w:hyperlink>
      <w:r>
        <w:rPr>
          <w:rFonts w:ascii="Arial" w:cs="Arial" w:eastAsia="Arial" w:hAnsi="Arial"/>
          <w:sz w:val="16"/>
          <w:szCs w:val="16"/>
          <w:u w:val="single" w:color="auto"/>
          <w:color w:val="0000FF"/>
        </w:rPr>
        <w:t xml:space="preserve"> </w:t>
      </w:r>
      <w:hyperlink r:id="rId368">
        <w:r>
          <w:rPr>
            <w:rFonts w:ascii="Arial" w:cs="Arial" w:eastAsia="Arial" w:hAnsi="Arial"/>
            <w:sz w:val="16"/>
            <w:szCs w:val="16"/>
            <w:u w:val="single" w:color="auto"/>
            <w:color w:val="0000FF"/>
          </w:rPr>
          <w:t>between the registrant and Dushyant Sharma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-149860</wp:posOffset>
            </wp:positionV>
            <wp:extent cx="244475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244475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-29845</wp:posOffset>
            </wp:positionV>
            <wp:extent cx="20675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2067560" cy="8255"/>
                    </a:xfrm>
                    <a:prstGeom prst="rect">
                      <a:avLst/>
                    </a:prstGeom>
                    <a:noFill/>
                  </pic:spPr>
                </pic:pic>
              </a:graphicData>
            </a:graphic>
          </wp:anchor>
        </w:drawing>
      </w:r>
    </w:p>
    <w:p>
      <w:pPr>
        <w:spacing w:after="0" w:line="136" w:lineRule="exact"/>
        <w:rPr>
          <w:sz w:val="20"/>
          <w:szCs w:val="20"/>
          <w:color w:val="auto"/>
        </w:rPr>
      </w:pPr>
    </w:p>
    <w:p>
      <w:pPr>
        <w:ind w:left="300"/>
        <w:spacing w:after="0"/>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10.9+</w:t>
      </w:r>
      <w:r>
        <w:rPr>
          <w:sz w:val="20"/>
          <w:szCs w:val="20"/>
          <w:color w:val="auto"/>
        </w:rPr>
        <w:tab/>
      </w:r>
      <w:hyperlink r:id="rId371">
        <w:r>
          <w:rPr>
            <w:rFonts w:ascii="Arial" w:cs="Arial" w:eastAsia="Arial" w:hAnsi="Arial"/>
            <w:sz w:val="16"/>
            <w:szCs w:val="16"/>
            <w:u w:val="single" w:color="auto"/>
            <w:color w:val="0000FF"/>
          </w:rPr>
          <w:t>Change in Control and Severance Agreement by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-14605</wp:posOffset>
            </wp:positionV>
            <wp:extent cx="244475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2444750" cy="8255"/>
                    </a:xfrm>
                    <a:prstGeom prst="rect">
                      <a:avLst/>
                    </a:prstGeom>
                    <a:noFill/>
                  </pic:spPr>
                </pic:pic>
              </a:graphicData>
            </a:graphic>
          </wp:anchor>
        </w:drawing>
      </w:r>
    </w:p>
    <w:p>
      <w:pPr>
        <w:jc w:val="center"/>
        <w:ind w:left="100"/>
        <w:spacing w:after="0"/>
        <w:rPr>
          <w:rFonts w:ascii="Arial" w:cs="Arial" w:eastAsia="Arial" w:hAnsi="Arial"/>
          <w:sz w:val="16"/>
          <w:szCs w:val="16"/>
          <w:u w:val="single" w:color="auto"/>
          <w:color w:val="0000FF"/>
        </w:rPr>
      </w:pPr>
      <w:hyperlink r:id="rId371">
        <w:r>
          <w:rPr>
            <w:rFonts w:ascii="Arial" w:cs="Arial" w:eastAsia="Arial" w:hAnsi="Arial"/>
            <w:sz w:val="16"/>
            <w:szCs w:val="16"/>
            <w:u w:val="single" w:color="auto"/>
            <w:color w:val="0000FF"/>
          </w:rPr>
          <w:t>between the registrant and Paul Seamon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-14605</wp:posOffset>
            </wp:positionV>
            <wp:extent cx="18618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1861820" cy="8255"/>
                    </a:xfrm>
                    <a:prstGeom prst="rect">
                      <a:avLst/>
                    </a:prstGeom>
                    <a:noFill/>
                  </pic:spPr>
                </pic:pic>
              </a:graphicData>
            </a:graphic>
          </wp:anchor>
        </w:drawing>
      </w:r>
    </w:p>
    <w:p>
      <w:pPr>
        <w:spacing w:after="0" w:line="160" w:lineRule="exact"/>
        <w:rPr>
          <w:sz w:val="20"/>
          <w:szCs w:val="20"/>
          <w:color w:val="auto"/>
        </w:rPr>
      </w:pPr>
    </w:p>
    <w:p>
      <w:pPr>
        <w:ind w:left="1180" w:hanging="925"/>
        <w:spacing w:after="0" w:line="259"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10.10+</w:t>
      </w:r>
      <w:r>
        <w:rPr>
          <w:sz w:val="20"/>
          <w:szCs w:val="20"/>
          <w:color w:val="auto"/>
        </w:rPr>
        <w:tab/>
      </w:r>
      <w:hyperlink r:id="rId374">
        <w:r>
          <w:rPr>
            <w:rFonts w:ascii="Arial" w:cs="Arial" w:eastAsia="Arial" w:hAnsi="Arial"/>
            <w:sz w:val="16"/>
            <w:szCs w:val="16"/>
            <w:u w:val="single" w:color="auto"/>
            <w:color w:val="0000FF"/>
          </w:rPr>
          <w:t>Change in Control and Severance Agreement by and</w:t>
        </w:r>
      </w:hyperlink>
      <w:r>
        <w:rPr>
          <w:rFonts w:ascii="Arial" w:cs="Arial" w:eastAsia="Arial" w:hAnsi="Arial"/>
          <w:sz w:val="16"/>
          <w:szCs w:val="16"/>
          <w:u w:val="single" w:color="auto"/>
          <w:color w:val="0000FF"/>
        </w:rPr>
        <w:t xml:space="preserve"> </w:t>
      </w:r>
      <w:hyperlink r:id="rId374">
        <w:r>
          <w:rPr>
            <w:rFonts w:ascii="Arial" w:cs="Arial" w:eastAsia="Arial" w:hAnsi="Arial"/>
            <w:sz w:val="16"/>
            <w:szCs w:val="16"/>
            <w:u w:val="single" w:color="auto"/>
            <w:color w:val="0000FF"/>
          </w:rPr>
          <w:t>between the registrant and Gerasimos (Jerry) Portocalis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-149860</wp:posOffset>
            </wp:positionV>
            <wp:extent cx="244475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5">
                      <a:extLst>
                        <a:ext uri="{28A0092B-C50C-407E-A947-70E740481C1C}"/>
                      </a:extLst>
                    </a:blip>
                    <a:srcRect/>
                    <a:stretch>
                      <a:fillRect/>
                    </a:stretch>
                  </pic:blipFill>
                  <pic:spPr bwMode="auto">
                    <a:xfrm>
                      <a:off x="0" y="0"/>
                      <a:ext cx="244475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-29845</wp:posOffset>
            </wp:positionV>
            <wp:extent cx="254698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6">
                      <a:extLst>
                        <a:ext uri="{28A0092B-C50C-407E-A947-70E740481C1C}"/>
                      </a:extLst>
                    </a:blip>
                    <a:srcRect/>
                    <a:stretch>
                      <a:fillRect/>
                    </a:stretch>
                  </pic:blipFill>
                  <pic:spPr bwMode="auto">
                    <a:xfrm>
                      <a:off x="0" y="0"/>
                      <a:ext cx="2546985" cy="8255"/>
                    </a:xfrm>
                    <a:prstGeom prst="rect">
                      <a:avLst/>
                    </a:prstGeom>
                    <a:noFill/>
                  </pic:spPr>
                </pic:pic>
              </a:graphicData>
            </a:graphic>
          </wp:anchor>
        </w:drawing>
      </w:r>
    </w:p>
    <w:p>
      <w:pPr>
        <w:spacing w:after="0" w:line="136" w:lineRule="exact"/>
        <w:rPr>
          <w:sz w:val="20"/>
          <w:szCs w:val="20"/>
          <w:color w:val="auto"/>
        </w:rPr>
      </w:pPr>
    </w:p>
    <w:p>
      <w:pPr>
        <w:ind w:left="1180" w:right="80" w:hanging="900"/>
        <w:spacing w:after="0" w:line="253"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10.11</w:t>
      </w:r>
      <w:r>
        <w:rPr>
          <w:sz w:val="20"/>
          <w:szCs w:val="20"/>
          <w:color w:val="auto"/>
        </w:rPr>
        <w:tab/>
      </w:r>
      <w:hyperlink r:id="rId377">
        <w:r>
          <w:rPr>
            <w:rFonts w:ascii="Arial" w:cs="Arial" w:eastAsia="Arial" w:hAnsi="Arial"/>
            <w:sz w:val="16"/>
            <w:szCs w:val="16"/>
            <w:u w:val="single" w:color="auto"/>
            <w:color w:val="0000FF"/>
          </w:rPr>
          <w:t>Stockholders Agreement, dated as of May 24, 2021, by</w:t>
        </w:r>
      </w:hyperlink>
      <w:r>
        <w:rPr>
          <w:rFonts w:ascii="Arial" w:cs="Arial" w:eastAsia="Arial" w:hAnsi="Arial"/>
          <w:sz w:val="16"/>
          <w:szCs w:val="16"/>
          <w:u w:val="single" w:color="auto"/>
          <w:color w:val="0000FF"/>
        </w:rPr>
        <w:t xml:space="preserve"> </w:t>
      </w:r>
      <w:hyperlink r:id="rId377">
        <w:r>
          <w:rPr>
            <w:rFonts w:ascii="Arial" w:cs="Arial" w:eastAsia="Arial" w:hAnsi="Arial"/>
            <w:sz w:val="16"/>
            <w:szCs w:val="16"/>
            <w:u w:val="single" w:color="auto"/>
            <w:color w:val="0000FF"/>
          </w:rPr>
          <w:t>and among Paymentus Holdings, Inc. and the other</w:t>
        </w:r>
      </w:hyperlink>
      <w:r>
        <w:rPr>
          <w:rFonts w:ascii="Arial" w:cs="Arial" w:eastAsia="Arial" w:hAnsi="Arial"/>
          <w:sz w:val="16"/>
          <w:szCs w:val="16"/>
          <w:u w:val="single" w:color="auto"/>
          <w:color w:val="0000FF"/>
        </w:rPr>
        <w:t xml:space="preserve"> </w:t>
      </w:r>
      <w:hyperlink r:id="rId377">
        <w:r>
          <w:rPr>
            <w:rFonts w:ascii="Arial" w:cs="Arial" w:eastAsia="Arial" w:hAnsi="Arial"/>
            <w:sz w:val="16"/>
            <w:szCs w:val="16"/>
            <w:u w:val="single" w:color="auto"/>
            <w:color w:val="0000FF"/>
          </w:rPr>
          <w:t>signatories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749935</wp:posOffset>
            </wp:positionH>
            <wp:positionV relativeFrom="paragraph">
              <wp:posOffset>-267335</wp:posOffset>
            </wp:positionV>
            <wp:extent cx="25355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2535555"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-147320</wp:posOffset>
            </wp:positionV>
            <wp:extent cx="23704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2370455"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-27305</wp:posOffset>
            </wp:positionV>
            <wp:extent cx="84518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845185" cy="825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94"/>
        </w:trPr>
        <w:tc>
          <w:tcPr>
            <w:tcW w:w="620" w:type="dxa"/>
            <w:vAlign w:val="bottom"/>
          </w:tcPr>
          <w:p>
            <w:pPr>
              <w:jc w:val="center"/>
              <w:ind w:right="119"/>
              <w:spacing w:after="0"/>
              <w:rPr>
                <w:sz w:val="20"/>
                <w:szCs w:val="20"/>
                <w:color w:val="auto"/>
              </w:rPr>
            </w:pPr>
            <w:r>
              <w:rPr>
                <w:rFonts w:ascii="Arial" w:cs="Arial" w:eastAsia="Arial" w:hAnsi="Arial"/>
                <w:sz w:val="16"/>
                <w:szCs w:val="16"/>
                <w:color w:val="auto"/>
              </w:rPr>
              <w:t>S-1/A</w:t>
            </w:r>
          </w:p>
        </w:tc>
        <w:tc>
          <w:tcPr>
            <w:tcW w:w="1300" w:type="dxa"/>
            <w:vAlign w:val="bottom"/>
          </w:tcPr>
          <w:p>
            <w:pPr>
              <w:jc w:val="center"/>
              <w:spacing w:after="0"/>
              <w:rPr>
                <w:sz w:val="20"/>
                <w:szCs w:val="20"/>
                <w:color w:val="auto"/>
              </w:rPr>
            </w:pPr>
            <w:r>
              <w:rPr>
                <w:rFonts w:ascii="Arial" w:cs="Arial" w:eastAsia="Arial" w:hAnsi="Arial"/>
                <w:sz w:val="16"/>
                <w:szCs w:val="16"/>
                <w:color w:val="auto"/>
              </w:rPr>
              <w:t>333- 255683</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rPr>
              <w:t>May 17, 2021</w:t>
            </w:r>
          </w:p>
        </w:tc>
      </w:tr>
      <w:tr>
        <w:trPr>
          <w:trHeight w:val="553"/>
        </w:trPr>
        <w:tc>
          <w:tcPr>
            <w:tcW w:w="620" w:type="dxa"/>
            <w:vAlign w:val="bottom"/>
          </w:tcPr>
          <w:p>
            <w:pPr>
              <w:jc w:val="center"/>
              <w:ind w:right="139"/>
              <w:spacing w:after="0"/>
              <w:rPr>
                <w:sz w:val="20"/>
                <w:szCs w:val="20"/>
                <w:color w:val="auto"/>
              </w:rPr>
            </w:pPr>
            <w:r>
              <w:rPr>
                <w:rFonts w:ascii="Arial" w:cs="Arial" w:eastAsia="Arial" w:hAnsi="Arial"/>
                <w:sz w:val="16"/>
                <w:szCs w:val="16"/>
                <w:color w:val="auto"/>
              </w:rPr>
              <w:t>10-Q</w:t>
            </w:r>
          </w:p>
        </w:tc>
        <w:tc>
          <w:tcPr>
            <w:tcW w:w="130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rPr>
              <w:t>November 10, 2022</w:t>
            </w:r>
          </w:p>
        </w:tc>
      </w:tr>
      <w:tr>
        <w:trPr>
          <w:trHeight w:val="553"/>
        </w:trPr>
        <w:tc>
          <w:tcPr>
            <w:tcW w:w="620" w:type="dxa"/>
            <w:vAlign w:val="bottom"/>
          </w:tcPr>
          <w:p>
            <w:pPr>
              <w:jc w:val="center"/>
              <w:ind w:right="159"/>
              <w:spacing w:after="0"/>
              <w:rPr>
                <w:sz w:val="20"/>
                <w:szCs w:val="20"/>
                <w:color w:val="auto"/>
              </w:rPr>
            </w:pPr>
            <w:r>
              <w:rPr>
                <w:rFonts w:ascii="Arial" w:cs="Arial" w:eastAsia="Arial" w:hAnsi="Arial"/>
                <w:sz w:val="16"/>
                <w:szCs w:val="16"/>
                <w:color w:val="auto"/>
              </w:rPr>
              <w:t>10-K</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001-40429</w:t>
            </w:r>
          </w:p>
        </w:tc>
        <w:tc>
          <w:tcPr>
            <w:tcW w:w="720" w:type="dxa"/>
            <w:vAlign w:val="bottom"/>
          </w:tcPr>
          <w:p>
            <w:pPr>
              <w:jc w:val="center"/>
              <w:spacing w:after="0"/>
              <w:rPr>
                <w:sz w:val="20"/>
                <w:szCs w:val="20"/>
                <w:color w:val="auto"/>
              </w:rPr>
            </w:pPr>
            <w:r>
              <w:rPr>
                <w:rFonts w:ascii="Arial" w:cs="Arial" w:eastAsia="Arial" w:hAnsi="Arial"/>
                <w:sz w:val="16"/>
                <w:szCs w:val="16"/>
                <w:color w:val="auto"/>
              </w:rPr>
              <w:t>10.9</w:t>
            </w:r>
          </w:p>
        </w:tc>
        <w:tc>
          <w:tcPr>
            <w:tcW w:w="1580" w:type="dxa"/>
            <w:vAlign w:val="bottom"/>
          </w:tcPr>
          <w:p>
            <w:pPr>
              <w:jc w:val="center"/>
              <w:ind w:left="39"/>
              <w:spacing w:after="0"/>
              <w:rPr>
                <w:sz w:val="20"/>
                <w:szCs w:val="20"/>
                <w:color w:val="auto"/>
              </w:rPr>
            </w:pPr>
            <w:r>
              <w:rPr>
                <w:rFonts w:ascii="Arial" w:cs="Arial" w:eastAsia="Arial" w:hAnsi="Arial"/>
                <w:sz w:val="16"/>
                <w:szCs w:val="16"/>
                <w:color w:val="auto"/>
                <w:w w:val="99"/>
              </w:rPr>
              <w:t>March 3, 2022</w:t>
            </w:r>
          </w:p>
        </w:tc>
      </w:tr>
      <w:tr>
        <w:trPr>
          <w:trHeight w:val="553"/>
        </w:trPr>
        <w:tc>
          <w:tcPr>
            <w:tcW w:w="620" w:type="dxa"/>
            <w:vAlign w:val="bottom"/>
          </w:tcPr>
          <w:p>
            <w:pPr>
              <w:jc w:val="center"/>
              <w:ind w:right="119"/>
              <w:spacing w:after="0"/>
              <w:rPr>
                <w:sz w:val="20"/>
                <w:szCs w:val="20"/>
                <w:color w:val="auto"/>
              </w:rPr>
            </w:pPr>
            <w:r>
              <w:rPr>
                <w:rFonts w:ascii="Arial" w:cs="Arial" w:eastAsia="Arial" w:hAnsi="Arial"/>
                <w:sz w:val="16"/>
                <w:szCs w:val="16"/>
                <w:color w:val="auto"/>
              </w:rPr>
              <w:t>S-1/A</w:t>
            </w:r>
          </w:p>
        </w:tc>
        <w:tc>
          <w:tcPr>
            <w:tcW w:w="1300" w:type="dxa"/>
            <w:vAlign w:val="bottom"/>
          </w:tcPr>
          <w:p>
            <w:pPr>
              <w:jc w:val="center"/>
              <w:spacing w:after="0"/>
              <w:rPr>
                <w:sz w:val="20"/>
                <w:szCs w:val="20"/>
                <w:color w:val="auto"/>
              </w:rPr>
            </w:pPr>
            <w:r>
              <w:rPr>
                <w:rFonts w:ascii="Arial" w:cs="Arial" w:eastAsia="Arial" w:hAnsi="Arial"/>
                <w:sz w:val="16"/>
                <w:szCs w:val="16"/>
                <w:color w:val="auto"/>
              </w:rPr>
              <w:t>333- 255683</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rPr>
              <w:t>May 17, 2021</w:t>
            </w:r>
          </w:p>
        </w:tc>
      </w:tr>
      <w:tr>
        <w:trPr>
          <w:trHeight w:val="553"/>
        </w:trPr>
        <w:tc>
          <w:tcPr>
            <w:tcW w:w="620" w:type="dxa"/>
            <w:vAlign w:val="bottom"/>
          </w:tcPr>
          <w:p>
            <w:pPr>
              <w:jc w:val="center"/>
              <w:ind w:right="119"/>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rPr>
              <w:t>February 14, 2023</w:t>
            </w:r>
          </w:p>
        </w:tc>
      </w:tr>
      <w:tr>
        <w:trPr>
          <w:trHeight w:val="553"/>
        </w:trPr>
        <w:tc>
          <w:tcPr>
            <w:tcW w:w="620" w:type="dxa"/>
            <w:vAlign w:val="bottom"/>
          </w:tcPr>
          <w:p>
            <w:pPr>
              <w:jc w:val="center"/>
              <w:ind w:right="119"/>
              <w:spacing w:after="0"/>
              <w:rPr>
                <w:sz w:val="20"/>
                <w:szCs w:val="20"/>
                <w:color w:val="auto"/>
              </w:rPr>
            </w:pPr>
            <w:r>
              <w:rPr>
                <w:rFonts w:ascii="Arial" w:cs="Arial" w:eastAsia="Arial" w:hAnsi="Arial"/>
                <w:sz w:val="16"/>
                <w:szCs w:val="16"/>
                <w:color w:val="auto"/>
              </w:rPr>
              <w:t>10-K</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001-40429</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10.13</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March 3, 2022</w:t>
            </w:r>
          </w:p>
        </w:tc>
      </w:tr>
      <w:tr>
        <w:trPr>
          <w:trHeight w:val="553"/>
        </w:trPr>
        <w:tc>
          <w:tcPr>
            <w:tcW w:w="620" w:type="dxa"/>
            <w:vAlign w:val="bottom"/>
          </w:tcPr>
          <w:p>
            <w:pPr>
              <w:jc w:val="center"/>
              <w:ind w:right="119"/>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rPr>
              <w:t>May 28, 2021</w:t>
            </w:r>
          </w:p>
        </w:tc>
      </w:tr>
    </w:tbl>
    <w:p>
      <w:pPr>
        <w:spacing w:after="0" w:line="523" w:lineRule="exact"/>
        <w:rPr>
          <w:rFonts w:ascii="Arial" w:cs="Arial" w:eastAsia="Arial" w:hAnsi="Arial"/>
          <w:sz w:val="16"/>
          <w:szCs w:val="16"/>
          <w:u w:val="single" w:color="auto"/>
          <w:color w:val="0000FF"/>
        </w:rPr>
      </w:pPr>
    </w:p>
    <w:p>
      <w:pPr>
        <w:sectPr>
          <w:pgSz w:w="11900" w:h="16838" w:orient="portrait"/>
          <w:cols w:equalWidth="0" w:num="2">
            <w:col w:w="5200" w:space="540"/>
            <w:col w:w="5500"/>
          </w:cols>
          <w:pgMar w:left="320" w:top="351" w:right="339" w:bottom="1440" w:gutter="0" w:footer="0" w:header="0"/>
          <w:type w:val="continuous"/>
        </w:sectPr>
      </w:pPr>
    </w:p>
    <w:tbl>
      <w:tblPr>
        <w:tblLayout w:type="fixed"/>
        <w:tblInd w:w="280" w:type="dxa"/>
        <w:tblCellMar>
          <w:top w:w="0" w:type="dxa"/>
          <w:left w:w="0" w:type="dxa"/>
          <w:bottom w:w="0" w:type="dxa"/>
          <w:right w:w="0" w:type="dxa"/>
        </w:tblCellMar>
      </w:tblPr>
      <w:tr>
        <w:trPr>
          <w:trHeight w:val="184"/>
        </w:trPr>
        <w:tc>
          <w:tcPr>
            <w:tcW w:w="900" w:type="dxa"/>
            <w:vAlign w:val="bottom"/>
          </w:tcPr>
          <w:p>
            <w:pPr>
              <w:jc w:val="center"/>
              <w:ind w:right="319"/>
              <w:spacing w:after="0"/>
              <w:rPr>
                <w:sz w:val="20"/>
                <w:szCs w:val="20"/>
                <w:color w:val="auto"/>
              </w:rPr>
            </w:pPr>
            <w:r>
              <w:rPr>
                <w:rFonts w:ascii="Arial" w:cs="Arial" w:eastAsia="Arial" w:hAnsi="Arial"/>
                <w:sz w:val="16"/>
                <w:szCs w:val="16"/>
                <w:color w:val="auto"/>
              </w:rPr>
              <w:t>10.12+</w:t>
            </w:r>
          </w:p>
        </w:tc>
        <w:tc>
          <w:tcPr>
            <w:tcW w:w="1940" w:type="dxa"/>
            <w:vAlign w:val="bottom"/>
            <w:tcBorders>
              <w:bottom w:val="single" w:sz="8" w:color="0000FF"/>
            </w:tcBorders>
            <w:gridSpan w:val="8"/>
          </w:tcPr>
          <w:p>
            <w:pPr>
              <w:spacing w:after="0"/>
              <w:rPr>
                <w:rFonts w:ascii="Arial" w:cs="Arial" w:eastAsia="Arial" w:hAnsi="Arial"/>
                <w:sz w:val="16"/>
                <w:szCs w:val="16"/>
                <w:color w:val="0000FF"/>
              </w:rPr>
            </w:pPr>
            <w:hyperlink r:id="rId381">
              <w:r>
                <w:rPr>
                  <w:rFonts w:ascii="Arial" w:cs="Arial" w:eastAsia="Arial" w:hAnsi="Arial"/>
                  <w:sz w:val="16"/>
                  <w:szCs w:val="16"/>
                  <w:color w:val="0000FF"/>
                </w:rPr>
                <w:t>2021 Equity Incentive Plan</w:t>
              </w:r>
            </w:hyperlink>
          </w:p>
        </w:tc>
        <w:tc>
          <w:tcPr>
            <w:tcW w:w="2180" w:type="dxa"/>
            <w:vAlign w:val="bottom"/>
            <w:gridSpan w:val="16"/>
          </w:tcPr>
          <w:p>
            <w:pPr>
              <w:spacing w:after="0"/>
              <w:rPr>
                <w:sz w:val="16"/>
                <w:szCs w:val="16"/>
                <w:color w:val="auto"/>
              </w:rPr>
            </w:pPr>
          </w:p>
        </w:tc>
        <w:tc>
          <w:tcPr>
            <w:tcW w:w="1080" w:type="dxa"/>
            <w:vAlign w:val="bottom"/>
          </w:tcPr>
          <w:p>
            <w:pPr>
              <w:jc w:val="center"/>
              <w:ind w:left="179"/>
              <w:spacing w:after="0"/>
              <w:rPr>
                <w:sz w:val="20"/>
                <w:szCs w:val="20"/>
                <w:color w:val="auto"/>
              </w:rPr>
            </w:pPr>
            <w:r>
              <w:rPr>
                <w:rFonts w:ascii="Arial" w:cs="Arial" w:eastAsia="Arial" w:hAnsi="Arial"/>
                <w:sz w:val="16"/>
                <w:szCs w:val="16"/>
                <w:color w:val="auto"/>
              </w:rPr>
              <w:t>10-K</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001-40429</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10.16</w:t>
            </w:r>
          </w:p>
        </w:tc>
        <w:tc>
          <w:tcPr>
            <w:tcW w:w="2220" w:type="dxa"/>
            <w:vAlign w:val="bottom"/>
          </w:tcPr>
          <w:p>
            <w:pPr>
              <w:jc w:val="center"/>
              <w:ind w:right="619"/>
              <w:spacing w:after="0"/>
              <w:rPr>
                <w:sz w:val="20"/>
                <w:szCs w:val="20"/>
                <w:color w:val="auto"/>
              </w:rPr>
            </w:pPr>
            <w:r>
              <w:rPr>
                <w:rFonts w:ascii="Arial" w:cs="Arial" w:eastAsia="Arial" w:hAnsi="Arial"/>
                <w:sz w:val="16"/>
                <w:szCs w:val="16"/>
                <w:color w:val="auto"/>
              </w:rPr>
              <w:t>March 3, 2022</w:t>
            </w:r>
          </w:p>
        </w:tc>
      </w:tr>
      <w:tr>
        <w:trPr>
          <w:trHeight w:val="344"/>
        </w:trPr>
        <w:tc>
          <w:tcPr>
            <w:tcW w:w="900" w:type="dxa"/>
            <w:vAlign w:val="bottom"/>
          </w:tcPr>
          <w:p>
            <w:pPr>
              <w:jc w:val="center"/>
              <w:ind w:right="319"/>
              <w:spacing w:after="0"/>
              <w:rPr>
                <w:sz w:val="20"/>
                <w:szCs w:val="20"/>
                <w:color w:val="auto"/>
              </w:rPr>
            </w:pPr>
            <w:r>
              <w:rPr>
                <w:rFonts w:ascii="Arial" w:cs="Arial" w:eastAsia="Arial" w:hAnsi="Arial"/>
                <w:sz w:val="16"/>
                <w:szCs w:val="16"/>
                <w:color w:val="auto"/>
              </w:rPr>
              <w:t>10.13+</w:t>
            </w:r>
          </w:p>
        </w:tc>
        <w:tc>
          <w:tcPr>
            <w:tcW w:w="4060" w:type="dxa"/>
            <w:vAlign w:val="bottom"/>
            <w:tcBorders>
              <w:bottom w:val="single" w:sz="8" w:color="0000FF"/>
            </w:tcBorders>
            <w:gridSpan w:val="23"/>
          </w:tcPr>
          <w:p>
            <w:pPr>
              <w:spacing w:after="0"/>
              <w:rPr>
                <w:rFonts w:ascii="Arial" w:cs="Arial" w:eastAsia="Arial" w:hAnsi="Arial"/>
                <w:sz w:val="16"/>
                <w:szCs w:val="16"/>
                <w:color w:val="0000FF"/>
              </w:rPr>
            </w:pPr>
            <w:hyperlink r:id="rId382">
              <w:r>
                <w:rPr>
                  <w:rFonts w:ascii="Arial" w:cs="Arial" w:eastAsia="Arial" w:hAnsi="Arial"/>
                  <w:sz w:val="16"/>
                  <w:szCs w:val="16"/>
                  <w:color w:val="0000FF"/>
                </w:rPr>
                <w:t>Form of Stock Option Award Agreement under the 2021</w:t>
              </w:r>
            </w:hyperlink>
          </w:p>
        </w:tc>
        <w:tc>
          <w:tcPr>
            <w:tcW w:w="6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16"/>
                <w:szCs w:val="16"/>
                <w:color w:val="auto"/>
              </w:rPr>
              <w:t>10-K</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001-40429</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10.17</w:t>
            </w:r>
          </w:p>
        </w:tc>
        <w:tc>
          <w:tcPr>
            <w:tcW w:w="2220" w:type="dxa"/>
            <w:vAlign w:val="bottom"/>
          </w:tcPr>
          <w:p>
            <w:pPr>
              <w:jc w:val="center"/>
              <w:ind w:right="619"/>
              <w:spacing w:after="0"/>
              <w:rPr>
                <w:sz w:val="20"/>
                <w:szCs w:val="20"/>
                <w:color w:val="auto"/>
              </w:rPr>
            </w:pPr>
            <w:r>
              <w:rPr>
                <w:rFonts w:ascii="Arial" w:cs="Arial" w:eastAsia="Arial" w:hAnsi="Arial"/>
                <w:sz w:val="16"/>
                <w:szCs w:val="16"/>
                <w:color w:val="auto"/>
              </w:rPr>
              <w:t>March 3, 2022</w:t>
            </w:r>
          </w:p>
        </w:tc>
      </w:tr>
      <w:tr>
        <w:trPr>
          <w:trHeight w:val="169"/>
        </w:trPr>
        <w:tc>
          <w:tcPr>
            <w:tcW w:w="900" w:type="dxa"/>
            <w:vAlign w:val="bottom"/>
          </w:tcPr>
          <w:p>
            <w:pPr>
              <w:spacing w:after="0"/>
              <w:rPr>
                <w:sz w:val="14"/>
                <w:szCs w:val="14"/>
                <w:color w:val="auto"/>
              </w:rPr>
            </w:pPr>
          </w:p>
        </w:tc>
        <w:tc>
          <w:tcPr>
            <w:tcW w:w="1520" w:type="dxa"/>
            <w:vAlign w:val="bottom"/>
            <w:tcBorders>
              <w:bottom w:val="single" w:sz="8" w:color="0000FF"/>
            </w:tcBorders>
            <w:gridSpan w:val="5"/>
          </w:tcPr>
          <w:p>
            <w:pPr>
              <w:spacing w:after="0" w:line="169" w:lineRule="exact"/>
              <w:rPr>
                <w:rFonts w:ascii="Arial" w:cs="Arial" w:eastAsia="Arial" w:hAnsi="Arial"/>
                <w:sz w:val="16"/>
                <w:szCs w:val="16"/>
                <w:color w:val="0000FF"/>
              </w:rPr>
            </w:pPr>
            <w:hyperlink r:id="rId382">
              <w:r>
                <w:rPr>
                  <w:rFonts w:ascii="Arial" w:cs="Arial" w:eastAsia="Arial" w:hAnsi="Arial"/>
                  <w:sz w:val="16"/>
                  <w:szCs w:val="16"/>
                  <w:color w:val="0000FF"/>
                </w:rPr>
                <w:t>Equity Incentive Plan</w:t>
              </w:r>
            </w:hyperlink>
          </w:p>
        </w:tc>
        <w:tc>
          <w:tcPr>
            <w:tcW w:w="2600" w:type="dxa"/>
            <w:vAlign w:val="bottom"/>
            <w:gridSpan w:val="19"/>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44"/>
        </w:trPr>
        <w:tc>
          <w:tcPr>
            <w:tcW w:w="900" w:type="dxa"/>
            <w:vAlign w:val="bottom"/>
          </w:tcPr>
          <w:p>
            <w:pPr>
              <w:jc w:val="center"/>
              <w:ind w:right="319"/>
              <w:spacing w:after="0"/>
              <w:rPr>
                <w:sz w:val="20"/>
                <w:szCs w:val="20"/>
                <w:color w:val="auto"/>
              </w:rPr>
            </w:pPr>
            <w:r>
              <w:rPr>
                <w:rFonts w:ascii="Arial" w:cs="Arial" w:eastAsia="Arial" w:hAnsi="Arial"/>
                <w:sz w:val="16"/>
                <w:szCs w:val="16"/>
                <w:color w:val="auto"/>
              </w:rPr>
              <w:t>10.14+</w:t>
            </w:r>
          </w:p>
        </w:tc>
        <w:tc>
          <w:tcPr>
            <w:tcW w:w="396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rPr>
              <w:t>Form of Restricted Stock Unit Award Agreement under</w:t>
            </w:r>
          </w:p>
        </w:tc>
        <w:tc>
          <w:tcPr>
            <w:tcW w:w="160" w:type="dxa"/>
            <w:vAlign w:val="bottom"/>
            <w:gridSpan w:val="5"/>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Arial" w:cs="Arial" w:eastAsia="Arial" w:hAnsi="Arial"/>
                <w:sz w:val="17"/>
                <w:szCs w:val="17"/>
                <w:color w:val="auto"/>
                <w:w w:val="87"/>
              </w:rPr>
              <w:t>X</w:t>
            </w:r>
          </w:p>
        </w:tc>
      </w:tr>
      <w:tr>
        <w:trPr>
          <w:trHeight w:val="169"/>
        </w:trPr>
        <w:tc>
          <w:tcPr>
            <w:tcW w:w="900" w:type="dxa"/>
            <w:vAlign w:val="bottom"/>
          </w:tcPr>
          <w:p>
            <w:pPr>
              <w:spacing w:after="0"/>
              <w:rPr>
                <w:sz w:val="14"/>
                <w:szCs w:val="14"/>
                <w:color w:val="auto"/>
              </w:rPr>
            </w:pPr>
          </w:p>
        </w:tc>
        <w:tc>
          <w:tcPr>
            <w:tcW w:w="4120" w:type="dxa"/>
            <w:vAlign w:val="bottom"/>
            <w:gridSpan w:val="24"/>
          </w:tcPr>
          <w:p>
            <w:pPr>
              <w:spacing w:after="0" w:line="169" w:lineRule="exact"/>
              <w:rPr>
                <w:sz w:val="20"/>
                <w:szCs w:val="20"/>
                <w:color w:val="auto"/>
              </w:rPr>
            </w:pPr>
            <w:r>
              <w:rPr>
                <w:rFonts w:ascii="Arial" w:cs="Arial" w:eastAsia="Arial" w:hAnsi="Arial"/>
                <w:sz w:val="16"/>
                <w:szCs w:val="16"/>
                <w:color w:val="0000FF"/>
              </w:rPr>
              <w:t>the 2021 Equity Incentive Plan</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44"/>
        </w:trPr>
        <w:tc>
          <w:tcPr>
            <w:tcW w:w="900" w:type="dxa"/>
            <w:vAlign w:val="bottom"/>
          </w:tcPr>
          <w:p>
            <w:pPr>
              <w:jc w:val="center"/>
              <w:ind w:right="319"/>
              <w:spacing w:after="0"/>
              <w:rPr>
                <w:sz w:val="20"/>
                <w:szCs w:val="20"/>
                <w:color w:val="auto"/>
              </w:rPr>
            </w:pPr>
            <w:r>
              <w:rPr>
                <w:rFonts w:ascii="Arial" w:cs="Arial" w:eastAsia="Arial" w:hAnsi="Arial"/>
                <w:sz w:val="16"/>
                <w:szCs w:val="16"/>
                <w:color w:val="auto"/>
              </w:rPr>
              <w:t>10.15+</w:t>
            </w:r>
          </w:p>
        </w:tc>
        <w:tc>
          <w:tcPr>
            <w:tcW w:w="3720" w:type="dxa"/>
            <w:vAlign w:val="bottom"/>
            <w:tcBorders>
              <w:bottom w:val="single" w:sz="8" w:color="0000FF"/>
            </w:tcBorders>
            <w:gridSpan w:val="14"/>
          </w:tcPr>
          <w:p>
            <w:pPr>
              <w:spacing w:after="0"/>
              <w:rPr>
                <w:rFonts w:ascii="Arial" w:cs="Arial" w:eastAsia="Arial" w:hAnsi="Arial"/>
                <w:sz w:val="16"/>
                <w:szCs w:val="16"/>
                <w:color w:val="0000FF"/>
              </w:rPr>
            </w:pPr>
            <w:hyperlink r:id="rId383">
              <w:r>
                <w:rPr>
                  <w:rFonts w:ascii="Arial" w:cs="Arial" w:eastAsia="Arial" w:hAnsi="Arial"/>
                  <w:sz w:val="16"/>
                  <w:szCs w:val="16"/>
                  <w:color w:val="0000FF"/>
                </w:rPr>
                <w:t>Form of Restricted Stock Unit Award Agreement for</w:t>
              </w:r>
            </w:hyperlink>
          </w:p>
        </w:tc>
        <w:tc>
          <w:tcPr>
            <w:tcW w:w="400" w:type="dxa"/>
            <w:vAlign w:val="bottom"/>
            <w:gridSpan w:val="10"/>
          </w:tcPr>
          <w:p>
            <w:pPr>
              <w:spacing w:after="0"/>
              <w:rPr>
                <w:sz w:val="24"/>
                <w:szCs w:val="24"/>
                <w:color w:val="auto"/>
              </w:rPr>
            </w:pPr>
          </w:p>
        </w:tc>
        <w:tc>
          <w:tcPr>
            <w:tcW w:w="1080" w:type="dxa"/>
            <w:vAlign w:val="bottom"/>
          </w:tcPr>
          <w:p>
            <w:pPr>
              <w:jc w:val="center"/>
              <w:ind w:left="119"/>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2220" w:type="dxa"/>
            <w:vAlign w:val="bottom"/>
          </w:tcPr>
          <w:p>
            <w:pPr>
              <w:jc w:val="center"/>
              <w:ind w:right="579"/>
              <w:spacing w:after="0"/>
              <w:rPr>
                <w:sz w:val="20"/>
                <w:szCs w:val="20"/>
                <w:color w:val="auto"/>
              </w:rPr>
            </w:pPr>
            <w:r>
              <w:rPr>
                <w:rFonts w:ascii="Arial" w:cs="Arial" w:eastAsia="Arial" w:hAnsi="Arial"/>
                <w:sz w:val="16"/>
                <w:szCs w:val="16"/>
                <w:color w:val="auto"/>
                <w:w w:val="99"/>
              </w:rPr>
              <w:t>May 6, 2022</w:t>
            </w:r>
          </w:p>
        </w:tc>
      </w:tr>
      <w:tr>
        <w:trPr>
          <w:trHeight w:val="169"/>
        </w:trPr>
        <w:tc>
          <w:tcPr>
            <w:tcW w:w="900" w:type="dxa"/>
            <w:vAlign w:val="bottom"/>
          </w:tcPr>
          <w:p>
            <w:pPr>
              <w:spacing w:after="0"/>
              <w:rPr>
                <w:sz w:val="14"/>
                <w:szCs w:val="14"/>
                <w:color w:val="auto"/>
              </w:rPr>
            </w:pPr>
          </w:p>
        </w:tc>
        <w:tc>
          <w:tcPr>
            <w:tcW w:w="4120" w:type="dxa"/>
            <w:vAlign w:val="bottom"/>
            <w:gridSpan w:val="24"/>
          </w:tcPr>
          <w:p>
            <w:pPr>
              <w:spacing w:after="0" w:line="169" w:lineRule="exact"/>
              <w:rPr>
                <w:rFonts w:ascii="Arial" w:cs="Arial" w:eastAsia="Arial" w:hAnsi="Arial"/>
                <w:sz w:val="16"/>
                <w:szCs w:val="16"/>
                <w:color w:val="0000FF"/>
              </w:rPr>
            </w:pPr>
            <w:hyperlink r:id="rId383">
              <w:r>
                <w:rPr>
                  <w:rFonts w:ascii="Arial" w:cs="Arial" w:eastAsia="Arial" w:hAnsi="Arial"/>
                  <w:sz w:val="16"/>
                  <w:szCs w:val="16"/>
                  <w:color w:val="0000FF"/>
                </w:rPr>
                <w:t>Outside Directors under the 2021 Equity Incentive Plan</w:t>
              </w:r>
            </w:hyperlink>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44"/>
        </w:trPr>
        <w:tc>
          <w:tcPr>
            <w:tcW w:w="900" w:type="dxa"/>
            <w:vAlign w:val="bottom"/>
          </w:tcPr>
          <w:p>
            <w:pPr>
              <w:jc w:val="center"/>
              <w:ind w:right="339"/>
              <w:spacing w:after="0"/>
              <w:rPr>
                <w:sz w:val="20"/>
                <w:szCs w:val="20"/>
                <w:color w:val="auto"/>
              </w:rPr>
            </w:pPr>
            <w:r>
              <w:rPr>
                <w:rFonts w:ascii="Arial" w:cs="Arial" w:eastAsia="Arial" w:hAnsi="Arial"/>
                <w:sz w:val="16"/>
                <w:szCs w:val="16"/>
                <w:color w:val="auto"/>
                <w:w w:val="99"/>
              </w:rPr>
              <w:t>10.16</w:t>
            </w:r>
          </w:p>
        </w:tc>
        <w:tc>
          <w:tcPr>
            <w:tcW w:w="3940" w:type="dxa"/>
            <w:vAlign w:val="bottom"/>
            <w:tcBorders>
              <w:top w:val="single" w:sz="8" w:color="0000FF"/>
              <w:bottom w:val="single" w:sz="8" w:color="0000FF"/>
            </w:tcBorders>
            <w:gridSpan w:val="18"/>
          </w:tcPr>
          <w:p>
            <w:pPr>
              <w:spacing w:after="0"/>
              <w:rPr>
                <w:rFonts w:ascii="Arial" w:cs="Arial" w:eastAsia="Arial" w:hAnsi="Arial"/>
                <w:sz w:val="16"/>
                <w:szCs w:val="16"/>
                <w:color w:val="0000FF"/>
              </w:rPr>
            </w:pPr>
            <w:hyperlink r:id="rId384">
              <w:r>
                <w:rPr>
                  <w:rFonts w:ascii="Arial" w:cs="Arial" w:eastAsia="Arial" w:hAnsi="Arial"/>
                  <w:sz w:val="16"/>
                  <w:szCs w:val="16"/>
                  <w:color w:val="0000FF"/>
                </w:rPr>
                <w:t>Warrant Agreement, dated as of May 13, 2021, by and</w:t>
              </w:r>
            </w:hyperlink>
          </w:p>
        </w:tc>
        <w:tc>
          <w:tcPr>
            <w:tcW w:w="180" w:type="dxa"/>
            <w:vAlign w:val="bottom"/>
            <w:gridSpan w:val="6"/>
          </w:tcPr>
          <w:p>
            <w:pPr>
              <w:spacing w:after="0"/>
              <w:rPr>
                <w:sz w:val="24"/>
                <w:szCs w:val="24"/>
                <w:color w:val="auto"/>
              </w:rPr>
            </w:pPr>
          </w:p>
        </w:tc>
        <w:tc>
          <w:tcPr>
            <w:tcW w:w="1080" w:type="dxa"/>
            <w:vAlign w:val="bottom"/>
          </w:tcPr>
          <w:p>
            <w:pPr>
              <w:jc w:val="center"/>
              <w:ind w:left="139"/>
              <w:spacing w:after="0"/>
              <w:rPr>
                <w:sz w:val="20"/>
                <w:szCs w:val="20"/>
                <w:color w:val="auto"/>
              </w:rPr>
            </w:pPr>
            <w:r>
              <w:rPr>
                <w:rFonts w:ascii="Arial" w:cs="Arial" w:eastAsia="Arial" w:hAnsi="Arial"/>
                <w:sz w:val="16"/>
                <w:szCs w:val="16"/>
                <w:color w:val="auto"/>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333-255683</w:t>
            </w:r>
          </w:p>
        </w:tc>
        <w:tc>
          <w:tcPr>
            <w:tcW w:w="820" w:type="dxa"/>
            <w:vAlign w:val="bottom"/>
          </w:tcPr>
          <w:p>
            <w:pPr>
              <w:jc w:val="center"/>
              <w:spacing w:after="0"/>
              <w:rPr>
                <w:sz w:val="20"/>
                <w:szCs w:val="20"/>
                <w:color w:val="auto"/>
              </w:rPr>
            </w:pPr>
            <w:r>
              <w:rPr>
                <w:rFonts w:ascii="Arial" w:cs="Arial" w:eastAsia="Arial" w:hAnsi="Arial"/>
                <w:sz w:val="16"/>
                <w:szCs w:val="16"/>
                <w:color w:val="auto"/>
              </w:rPr>
              <w:t>10.14</w:t>
            </w:r>
          </w:p>
        </w:tc>
        <w:tc>
          <w:tcPr>
            <w:tcW w:w="2220" w:type="dxa"/>
            <w:vAlign w:val="bottom"/>
          </w:tcPr>
          <w:p>
            <w:pPr>
              <w:jc w:val="center"/>
              <w:ind w:right="559"/>
              <w:spacing w:after="0"/>
              <w:rPr>
                <w:sz w:val="20"/>
                <w:szCs w:val="20"/>
                <w:color w:val="auto"/>
              </w:rPr>
            </w:pPr>
            <w:r>
              <w:rPr>
                <w:rFonts w:ascii="Arial" w:cs="Arial" w:eastAsia="Arial" w:hAnsi="Arial"/>
                <w:sz w:val="16"/>
                <w:szCs w:val="16"/>
                <w:color w:val="auto"/>
              </w:rPr>
              <w:t>May 28, 2021</w:t>
            </w:r>
          </w:p>
        </w:tc>
      </w:tr>
      <w:tr>
        <w:trPr>
          <w:trHeight w:val="169"/>
        </w:trPr>
        <w:tc>
          <w:tcPr>
            <w:tcW w:w="900" w:type="dxa"/>
            <w:vAlign w:val="bottom"/>
          </w:tcPr>
          <w:p>
            <w:pPr>
              <w:spacing w:after="0"/>
              <w:rPr>
                <w:sz w:val="14"/>
                <w:szCs w:val="14"/>
                <w:color w:val="auto"/>
              </w:rPr>
            </w:pPr>
          </w:p>
        </w:tc>
        <w:tc>
          <w:tcPr>
            <w:tcW w:w="412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384">
              <w:r>
                <w:rPr>
                  <w:rFonts w:ascii="Arial" w:cs="Arial" w:eastAsia="Arial" w:hAnsi="Arial"/>
                  <w:sz w:val="16"/>
                  <w:szCs w:val="16"/>
                  <w:color w:val="0000FF"/>
                </w:rPr>
                <w:t>between the Registrant and JPMC Strategic Investments</w:t>
              </w:r>
            </w:hyperlink>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980" w:type="dxa"/>
            <w:vAlign w:val="bottom"/>
            <w:tcBorders>
              <w:bottom w:val="single" w:sz="8" w:color="0000FF"/>
            </w:tcBorders>
            <w:gridSpan w:val="3"/>
          </w:tcPr>
          <w:p>
            <w:pPr>
              <w:spacing w:after="0" w:line="169" w:lineRule="exact"/>
              <w:rPr>
                <w:rFonts w:ascii="Arial" w:cs="Arial" w:eastAsia="Arial" w:hAnsi="Arial"/>
                <w:sz w:val="16"/>
                <w:szCs w:val="16"/>
                <w:color w:val="0000FF"/>
                <w:w w:val="99"/>
              </w:rPr>
            </w:pPr>
            <w:hyperlink r:id="rId384">
              <w:r>
                <w:rPr>
                  <w:rFonts w:ascii="Arial" w:cs="Arial" w:eastAsia="Arial" w:hAnsi="Arial"/>
                  <w:sz w:val="16"/>
                  <w:szCs w:val="16"/>
                  <w:color w:val="0000FF"/>
                  <w:w w:val="99"/>
                </w:rPr>
                <w:t>| Corporation.</w:t>
              </w:r>
            </w:hyperlink>
          </w:p>
        </w:tc>
        <w:tc>
          <w:tcPr>
            <w:tcW w:w="20" w:type="dxa"/>
            <w:vAlign w:val="bottom"/>
            <w:tcBorders>
              <w:bottom w:val="single" w:sz="8" w:color="0000EE"/>
            </w:tcBorders>
          </w:tcPr>
          <w:p>
            <w:pPr>
              <w:spacing w:after="0"/>
              <w:rPr>
                <w:sz w:val="14"/>
                <w:szCs w:val="14"/>
                <w:color w:val="auto"/>
              </w:rPr>
            </w:pPr>
          </w:p>
        </w:tc>
        <w:tc>
          <w:tcPr>
            <w:tcW w:w="3120" w:type="dxa"/>
            <w:vAlign w:val="bottom"/>
            <w:gridSpan w:val="20"/>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44"/>
        </w:trPr>
        <w:tc>
          <w:tcPr>
            <w:tcW w:w="900" w:type="dxa"/>
            <w:vAlign w:val="bottom"/>
          </w:tcPr>
          <w:p>
            <w:pPr>
              <w:jc w:val="center"/>
              <w:ind w:right="339"/>
              <w:spacing w:after="0"/>
              <w:rPr>
                <w:sz w:val="20"/>
                <w:szCs w:val="20"/>
                <w:color w:val="auto"/>
              </w:rPr>
            </w:pPr>
            <w:r>
              <w:rPr>
                <w:rFonts w:ascii="Arial" w:cs="Arial" w:eastAsia="Arial" w:hAnsi="Arial"/>
                <w:sz w:val="16"/>
                <w:szCs w:val="16"/>
                <w:color w:val="auto"/>
                <w:w w:val="99"/>
              </w:rPr>
              <w:t>10.17</w:t>
            </w:r>
          </w:p>
        </w:tc>
        <w:tc>
          <w:tcPr>
            <w:tcW w:w="4120" w:type="dxa"/>
            <w:vAlign w:val="bottom"/>
            <w:tcBorders>
              <w:bottom w:val="single" w:sz="8" w:color="0000FF"/>
            </w:tcBorders>
            <w:gridSpan w:val="24"/>
          </w:tcPr>
          <w:p>
            <w:pPr>
              <w:spacing w:after="0"/>
              <w:rPr>
                <w:rFonts w:ascii="Arial" w:cs="Arial" w:eastAsia="Arial" w:hAnsi="Arial"/>
                <w:sz w:val="16"/>
                <w:szCs w:val="16"/>
                <w:color w:val="0000FF"/>
              </w:rPr>
            </w:pPr>
            <w:hyperlink r:id="rId385">
              <w:r>
                <w:rPr>
                  <w:rFonts w:ascii="Arial" w:cs="Arial" w:eastAsia="Arial" w:hAnsi="Arial"/>
                  <w:sz w:val="16"/>
                  <w:szCs w:val="16"/>
                  <w:color w:val="0000FF"/>
                </w:rPr>
                <w:t>Warrant Agreement, dated as of August 29, 2022, by and</w:t>
              </w:r>
            </w:hyperlink>
          </w:p>
        </w:tc>
        <w:tc>
          <w:tcPr>
            <w:tcW w:w="1080" w:type="dxa"/>
            <w:vAlign w:val="bottom"/>
          </w:tcPr>
          <w:p>
            <w:pPr>
              <w:jc w:val="center"/>
              <w:ind w:left="139"/>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2220" w:type="dxa"/>
            <w:vAlign w:val="bottom"/>
          </w:tcPr>
          <w:p>
            <w:pPr>
              <w:jc w:val="center"/>
              <w:ind w:right="559"/>
              <w:spacing w:after="0"/>
              <w:rPr>
                <w:sz w:val="20"/>
                <w:szCs w:val="20"/>
                <w:color w:val="auto"/>
              </w:rPr>
            </w:pPr>
            <w:r>
              <w:rPr>
                <w:rFonts w:ascii="Arial" w:cs="Arial" w:eastAsia="Arial" w:hAnsi="Arial"/>
                <w:sz w:val="16"/>
                <w:szCs w:val="16"/>
                <w:color w:val="auto"/>
              </w:rPr>
              <w:t>August 30, 2022</w:t>
            </w:r>
          </w:p>
        </w:tc>
      </w:tr>
      <w:tr>
        <w:trPr>
          <w:trHeight w:val="169"/>
        </w:trPr>
        <w:tc>
          <w:tcPr>
            <w:tcW w:w="900" w:type="dxa"/>
            <w:vAlign w:val="bottom"/>
          </w:tcPr>
          <w:p>
            <w:pPr>
              <w:spacing w:after="0"/>
              <w:rPr>
                <w:sz w:val="14"/>
                <w:szCs w:val="14"/>
                <w:color w:val="auto"/>
              </w:rPr>
            </w:pPr>
          </w:p>
        </w:tc>
        <w:tc>
          <w:tcPr>
            <w:tcW w:w="404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385">
              <w:r>
                <w:rPr>
                  <w:rFonts w:ascii="Arial" w:cs="Arial" w:eastAsia="Arial" w:hAnsi="Arial"/>
                  <w:sz w:val="16"/>
                  <w:szCs w:val="16"/>
                  <w:color w:val="0000FF"/>
                </w:rPr>
                <w:t>between Paymentus Holdings, Inc. and JPMC Strategic</w:t>
              </w:r>
            </w:hyperlink>
          </w:p>
        </w:tc>
        <w:tc>
          <w:tcPr>
            <w:tcW w:w="8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190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385">
              <w:r>
                <w:rPr>
                  <w:rFonts w:ascii="Arial" w:cs="Arial" w:eastAsia="Arial" w:hAnsi="Arial"/>
                  <w:sz w:val="16"/>
                  <w:szCs w:val="16"/>
                  <w:color w:val="0000FF"/>
                </w:rPr>
                <w:t>Investments | Corporation.</w:t>
              </w:r>
            </w:hyperlink>
          </w:p>
        </w:tc>
        <w:tc>
          <w:tcPr>
            <w:tcW w:w="20" w:type="dxa"/>
            <w:vAlign w:val="bottom"/>
            <w:tcBorders>
              <w:bottom w:val="single" w:sz="8" w:color="0000EE"/>
            </w:tcBorders>
          </w:tcPr>
          <w:p>
            <w:pPr>
              <w:spacing w:after="0"/>
              <w:rPr>
                <w:sz w:val="14"/>
                <w:szCs w:val="14"/>
                <w:color w:val="auto"/>
              </w:rPr>
            </w:pPr>
          </w:p>
        </w:tc>
        <w:tc>
          <w:tcPr>
            <w:tcW w:w="2200" w:type="dxa"/>
            <w:vAlign w:val="bottom"/>
            <w:gridSpan w:val="17"/>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1"/>
        </w:trPr>
        <w:tc>
          <w:tcPr>
            <w:tcW w:w="900" w:type="dxa"/>
            <w:vAlign w:val="bottom"/>
          </w:tcPr>
          <w:p>
            <w:pPr>
              <w:jc w:val="center"/>
              <w:ind w:right="339"/>
              <w:spacing w:after="0"/>
              <w:rPr>
                <w:sz w:val="20"/>
                <w:szCs w:val="20"/>
                <w:color w:val="auto"/>
              </w:rPr>
            </w:pPr>
            <w:r>
              <w:rPr>
                <w:rFonts w:ascii="Arial" w:cs="Arial" w:eastAsia="Arial" w:hAnsi="Arial"/>
                <w:sz w:val="16"/>
                <w:szCs w:val="16"/>
                <w:color w:val="auto"/>
              </w:rPr>
              <w:t>20.1</w:t>
            </w:r>
          </w:p>
        </w:tc>
        <w:tc>
          <w:tcPr>
            <w:tcW w:w="344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Paymentus Holdings, Inc. Insider Trading Policy</w:t>
            </w:r>
          </w:p>
        </w:tc>
        <w:tc>
          <w:tcPr>
            <w:tcW w:w="680" w:type="dxa"/>
            <w:vAlign w:val="bottom"/>
            <w:gridSpan w:val="12"/>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Arial" w:cs="Arial" w:eastAsia="Arial" w:hAnsi="Arial"/>
                <w:sz w:val="16"/>
                <w:szCs w:val="16"/>
                <w:color w:val="auto"/>
                <w:w w:val="93"/>
              </w:rPr>
              <w:t>X</w:t>
            </w:r>
          </w:p>
        </w:tc>
      </w:tr>
      <w:tr>
        <w:trPr>
          <w:trHeight w:val="344"/>
        </w:trPr>
        <w:tc>
          <w:tcPr>
            <w:tcW w:w="900" w:type="dxa"/>
            <w:vAlign w:val="bottom"/>
          </w:tcPr>
          <w:p>
            <w:pPr>
              <w:jc w:val="center"/>
              <w:ind w:right="339"/>
              <w:spacing w:after="0"/>
              <w:rPr>
                <w:sz w:val="20"/>
                <w:szCs w:val="20"/>
                <w:color w:val="auto"/>
              </w:rPr>
            </w:pPr>
            <w:r>
              <w:rPr>
                <w:rFonts w:ascii="Arial" w:cs="Arial" w:eastAsia="Arial" w:hAnsi="Arial"/>
                <w:sz w:val="16"/>
                <w:szCs w:val="16"/>
                <w:color w:val="auto"/>
              </w:rPr>
              <w:t>21.1</w:t>
            </w:r>
          </w:p>
        </w:tc>
        <w:tc>
          <w:tcPr>
            <w:tcW w:w="21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Subsidiaries of the Registrant</w:t>
            </w:r>
          </w:p>
        </w:tc>
        <w:tc>
          <w:tcPr>
            <w:tcW w:w="1940" w:type="dxa"/>
            <w:vAlign w:val="bottom"/>
            <w:gridSpan w:val="15"/>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Arial" w:cs="Arial" w:eastAsia="Arial" w:hAnsi="Arial"/>
                <w:sz w:val="16"/>
                <w:szCs w:val="16"/>
                <w:color w:val="auto"/>
                <w:w w:val="93"/>
              </w:rPr>
              <w:t>X</w:t>
            </w:r>
          </w:p>
        </w:tc>
      </w:tr>
      <w:tr>
        <w:trPr>
          <w:trHeight w:val="344"/>
        </w:trPr>
        <w:tc>
          <w:tcPr>
            <w:tcW w:w="900" w:type="dxa"/>
            <w:vAlign w:val="bottom"/>
          </w:tcPr>
          <w:p>
            <w:pPr>
              <w:jc w:val="center"/>
              <w:ind w:right="339"/>
              <w:spacing w:after="0"/>
              <w:rPr>
                <w:sz w:val="20"/>
                <w:szCs w:val="20"/>
                <w:color w:val="auto"/>
              </w:rPr>
            </w:pPr>
            <w:r>
              <w:rPr>
                <w:rFonts w:ascii="Arial" w:cs="Arial" w:eastAsia="Arial" w:hAnsi="Arial"/>
                <w:sz w:val="16"/>
                <w:szCs w:val="16"/>
                <w:color w:val="auto"/>
              </w:rPr>
              <w:t>23.1</w:t>
            </w:r>
          </w:p>
        </w:tc>
        <w:tc>
          <w:tcPr>
            <w:tcW w:w="402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Consent of PricewaterhouseCoopers LLP, Independent</w:t>
            </w:r>
          </w:p>
        </w:tc>
        <w:tc>
          <w:tcPr>
            <w:tcW w:w="100" w:type="dxa"/>
            <w:vAlign w:val="bottom"/>
            <w:gridSpan w:val="3"/>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Arial" w:cs="Arial" w:eastAsia="Arial" w:hAnsi="Arial"/>
                <w:sz w:val="16"/>
                <w:szCs w:val="16"/>
                <w:color w:val="auto"/>
                <w:w w:val="93"/>
              </w:rPr>
              <w:t>X</w:t>
            </w:r>
          </w:p>
        </w:tc>
      </w:tr>
      <w:tr>
        <w:trPr>
          <w:trHeight w:val="169"/>
        </w:trPr>
        <w:tc>
          <w:tcPr>
            <w:tcW w:w="900" w:type="dxa"/>
            <w:vAlign w:val="bottom"/>
          </w:tcPr>
          <w:p>
            <w:pPr>
              <w:spacing w:after="0"/>
              <w:rPr>
                <w:sz w:val="14"/>
                <w:szCs w:val="14"/>
                <w:color w:val="auto"/>
              </w:rPr>
            </w:pPr>
          </w:p>
        </w:tc>
        <w:tc>
          <w:tcPr>
            <w:tcW w:w="4120" w:type="dxa"/>
            <w:vAlign w:val="bottom"/>
            <w:gridSpan w:val="24"/>
          </w:tcPr>
          <w:p>
            <w:pPr>
              <w:spacing w:after="0" w:line="169" w:lineRule="exact"/>
              <w:rPr>
                <w:sz w:val="20"/>
                <w:szCs w:val="20"/>
                <w:color w:val="auto"/>
              </w:rPr>
            </w:pPr>
            <w:r>
              <w:rPr>
                <w:rFonts w:ascii="Arial" w:cs="Arial" w:eastAsia="Arial" w:hAnsi="Arial"/>
                <w:sz w:val="16"/>
                <w:szCs w:val="16"/>
                <w:color w:val="0000FF"/>
              </w:rPr>
              <w:t>Registered Public Accounting Firm</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44"/>
        </w:trPr>
        <w:tc>
          <w:tcPr>
            <w:tcW w:w="900" w:type="dxa"/>
            <w:vAlign w:val="bottom"/>
          </w:tcPr>
          <w:p>
            <w:pPr>
              <w:jc w:val="center"/>
              <w:ind w:right="339"/>
              <w:spacing w:after="0"/>
              <w:rPr>
                <w:sz w:val="20"/>
                <w:szCs w:val="20"/>
                <w:color w:val="auto"/>
              </w:rPr>
            </w:pPr>
            <w:r>
              <w:rPr>
                <w:rFonts w:ascii="Arial" w:cs="Arial" w:eastAsia="Arial" w:hAnsi="Arial"/>
                <w:sz w:val="16"/>
                <w:szCs w:val="16"/>
                <w:color w:val="auto"/>
              </w:rPr>
              <w:t>24.1</w:t>
            </w:r>
          </w:p>
        </w:tc>
        <w:tc>
          <w:tcPr>
            <w:tcW w:w="364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Power of Attorney (included on the signature page</w:t>
            </w:r>
          </w:p>
        </w:tc>
        <w:tc>
          <w:tcPr>
            <w:tcW w:w="480" w:type="dxa"/>
            <w:vAlign w:val="bottom"/>
            <w:gridSpan w:val="11"/>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Arial" w:cs="Arial" w:eastAsia="Arial" w:hAnsi="Arial"/>
                <w:sz w:val="16"/>
                <w:szCs w:val="16"/>
                <w:color w:val="auto"/>
                <w:w w:val="93"/>
              </w:rPr>
              <w:t>X</w:t>
            </w:r>
          </w:p>
        </w:tc>
      </w:tr>
      <w:tr>
        <w:trPr>
          <w:trHeight w:val="169"/>
        </w:trPr>
        <w:tc>
          <w:tcPr>
            <w:tcW w:w="900" w:type="dxa"/>
            <w:vAlign w:val="bottom"/>
          </w:tcPr>
          <w:p>
            <w:pPr>
              <w:spacing w:after="0"/>
              <w:rPr>
                <w:sz w:val="14"/>
                <w:szCs w:val="14"/>
                <w:color w:val="auto"/>
              </w:rPr>
            </w:pPr>
          </w:p>
        </w:tc>
        <w:tc>
          <w:tcPr>
            <w:tcW w:w="52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w w:val="98"/>
              </w:rPr>
              <w:t>hereto)</w:t>
            </w:r>
          </w:p>
        </w:tc>
        <w:tc>
          <w:tcPr>
            <w:tcW w:w="20" w:type="dxa"/>
            <w:vAlign w:val="bottom"/>
            <w:tcBorders>
              <w:bottom w:val="single" w:sz="8" w:color="0000EE"/>
            </w:tcBorders>
          </w:tcPr>
          <w:p>
            <w:pPr>
              <w:spacing w:after="0"/>
              <w:rPr>
                <w:sz w:val="14"/>
                <w:szCs w:val="14"/>
                <w:color w:val="auto"/>
              </w:rPr>
            </w:pPr>
          </w:p>
        </w:tc>
        <w:tc>
          <w:tcPr>
            <w:tcW w:w="3580" w:type="dxa"/>
            <w:vAlign w:val="bottom"/>
            <w:gridSpan w:val="22"/>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44"/>
        </w:trPr>
        <w:tc>
          <w:tcPr>
            <w:tcW w:w="900" w:type="dxa"/>
            <w:vAlign w:val="bottom"/>
          </w:tcPr>
          <w:p>
            <w:pPr>
              <w:jc w:val="center"/>
              <w:ind w:right="339"/>
              <w:spacing w:after="0"/>
              <w:rPr>
                <w:sz w:val="20"/>
                <w:szCs w:val="20"/>
                <w:color w:val="auto"/>
              </w:rPr>
            </w:pPr>
            <w:r>
              <w:rPr>
                <w:rFonts w:ascii="Arial" w:cs="Arial" w:eastAsia="Arial" w:hAnsi="Arial"/>
                <w:sz w:val="16"/>
                <w:szCs w:val="16"/>
                <w:color w:val="auto"/>
              </w:rPr>
              <w:t>31.1</w:t>
            </w:r>
          </w:p>
        </w:tc>
        <w:tc>
          <w:tcPr>
            <w:tcW w:w="38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Certification of Principal Executive Officer Pursuant to</w:t>
            </w:r>
          </w:p>
        </w:tc>
        <w:tc>
          <w:tcPr>
            <w:tcW w:w="240" w:type="dxa"/>
            <w:vAlign w:val="bottom"/>
            <w:gridSpan w:val="7"/>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Arial" w:cs="Arial" w:eastAsia="Arial" w:hAnsi="Arial"/>
                <w:sz w:val="16"/>
                <w:szCs w:val="16"/>
                <w:color w:val="auto"/>
                <w:w w:val="93"/>
              </w:rPr>
              <w:t>X</w:t>
            </w:r>
          </w:p>
        </w:tc>
      </w:tr>
      <w:tr>
        <w:trPr>
          <w:trHeight w:val="169"/>
        </w:trPr>
        <w:tc>
          <w:tcPr>
            <w:tcW w:w="900" w:type="dxa"/>
            <w:vAlign w:val="bottom"/>
          </w:tcPr>
          <w:p>
            <w:pPr>
              <w:spacing w:after="0"/>
              <w:rPr>
                <w:sz w:val="14"/>
                <w:szCs w:val="14"/>
                <w:color w:val="auto"/>
              </w:rPr>
            </w:pPr>
          </w:p>
        </w:tc>
        <w:tc>
          <w:tcPr>
            <w:tcW w:w="3760" w:type="dxa"/>
            <w:vAlign w:val="bottom"/>
            <w:tcBorders>
              <w:bottom w:val="single" w:sz="8" w:color="0000FF"/>
            </w:tcBorders>
            <w:gridSpan w:val="15"/>
          </w:tcPr>
          <w:p>
            <w:pPr>
              <w:spacing w:after="0" w:line="169" w:lineRule="exact"/>
              <w:rPr>
                <w:sz w:val="20"/>
                <w:szCs w:val="20"/>
                <w:color w:val="auto"/>
              </w:rPr>
            </w:pPr>
            <w:r>
              <w:rPr>
                <w:rFonts w:ascii="Arial" w:cs="Arial" w:eastAsia="Arial" w:hAnsi="Arial"/>
                <w:sz w:val="16"/>
                <w:szCs w:val="16"/>
                <w:color w:val="0000FF"/>
              </w:rPr>
              <w:t>Rules 13a-14(a) and 15d-14(a) under the Securities</w:t>
            </w:r>
          </w:p>
        </w:tc>
        <w:tc>
          <w:tcPr>
            <w:tcW w:w="360" w:type="dxa"/>
            <w:vAlign w:val="bottom"/>
            <w:gridSpan w:val="9"/>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4000" w:type="dxa"/>
            <w:vAlign w:val="bottom"/>
            <w:tcBorders>
              <w:bottom w:val="single" w:sz="8" w:color="0000FF"/>
            </w:tcBorders>
            <w:gridSpan w:val="20"/>
          </w:tcPr>
          <w:p>
            <w:pPr>
              <w:spacing w:after="0" w:line="169" w:lineRule="exact"/>
              <w:rPr>
                <w:sz w:val="20"/>
                <w:szCs w:val="20"/>
                <w:color w:val="auto"/>
              </w:rPr>
            </w:pPr>
            <w:r>
              <w:rPr>
                <w:rFonts w:ascii="Arial" w:cs="Arial" w:eastAsia="Arial" w:hAnsi="Arial"/>
                <w:sz w:val="16"/>
                <w:szCs w:val="16"/>
                <w:color w:val="0000FF"/>
              </w:rPr>
              <w:t>Exchange Act of 1934, as Adopted Pursuant to Section</w:t>
            </w:r>
          </w:p>
        </w:tc>
        <w:tc>
          <w:tcPr>
            <w:tcW w:w="120" w:type="dxa"/>
            <w:vAlign w:val="bottom"/>
            <w:gridSpan w:val="4"/>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4120" w:type="dxa"/>
            <w:vAlign w:val="bottom"/>
            <w:gridSpan w:val="24"/>
          </w:tcPr>
          <w:p>
            <w:pPr>
              <w:spacing w:after="0" w:line="169" w:lineRule="exact"/>
              <w:rPr>
                <w:sz w:val="20"/>
                <w:szCs w:val="20"/>
                <w:color w:val="auto"/>
              </w:rPr>
            </w:pPr>
            <w:r>
              <w:rPr>
                <w:rFonts w:ascii="Arial" w:cs="Arial" w:eastAsia="Arial" w:hAnsi="Arial"/>
                <w:sz w:val="16"/>
                <w:szCs w:val="16"/>
                <w:color w:val="0000FF"/>
              </w:rPr>
              <w:t>302 of the Sarbanes-Oxley Act of 2002</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2780" w:type="dxa"/>
            <w:vAlign w:val="bottom"/>
            <w:gridSpan w:val="11"/>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44"/>
        </w:trPr>
        <w:tc>
          <w:tcPr>
            <w:tcW w:w="900" w:type="dxa"/>
            <w:vAlign w:val="bottom"/>
          </w:tcPr>
          <w:p>
            <w:pPr>
              <w:jc w:val="center"/>
              <w:ind w:right="339"/>
              <w:spacing w:after="0"/>
              <w:rPr>
                <w:sz w:val="20"/>
                <w:szCs w:val="20"/>
                <w:color w:val="auto"/>
              </w:rPr>
            </w:pPr>
            <w:r>
              <w:rPr>
                <w:rFonts w:ascii="Arial" w:cs="Arial" w:eastAsia="Arial" w:hAnsi="Arial"/>
                <w:sz w:val="16"/>
                <w:szCs w:val="16"/>
                <w:color w:val="auto"/>
              </w:rPr>
              <w:t>31.2</w:t>
            </w:r>
          </w:p>
        </w:tc>
        <w:tc>
          <w:tcPr>
            <w:tcW w:w="38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rPr>
              <w:t>Certification of Principal Financial Officer Pursuant to</w:t>
            </w:r>
          </w:p>
        </w:tc>
        <w:tc>
          <w:tcPr>
            <w:tcW w:w="300" w:type="dxa"/>
            <w:vAlign w:val="bottom"/>
            <w:gridSpan w:val="8"/>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Arial" w:cs="Arial" w:eastAsia="Arial" w:hAnsi="Arial"/>
                <w:sz w:val="16"/>
                <w:szCs w:val="16"/>
                <w:color w:val="auto"/>
                <w:w w:val="93"/>
              </w:rPr>
              <w:t>X</w:t>
            </w:r>
          </w:p>
        </w:tc>
      </w:tr>
      <w:tr>
        <w:trPr>
          <w:trHeight w:val="169"/>
        </w:trPr>
        <w:tc>
          <w:tcPr>
            <w:tcW w:w="900" w:type="dxa"/>
            <w:vAlign w:val="bottom"/>
          </w:tcPr>
          <w:p>
            <w:pPr>
              <w:spacing w:after="0"/>
              <w:rPr>
                <w:sz w:val="14"/>
                <w:szCs w:val="14"/>
                <w:color w:val="auto"/>
              </w:rPr>
            </w:pPr>
          </w:p>
        </w:tc>
        <w:tc>
          <w:tcPr>
            <w:tcW w:w="3760" w:type="dxa"/>
            <w:vAlign w:val="bottom"/>
            <w:tcBorders>
              <w:bottom w:val="single" w:sz="8" w:color="0000FF"/>
            </w:tcBorders>
            <w:gridSpan w:val="15"/>
          </w:tcPr>
          <w:p>
            <w:pPr>
              <w:spacing w:after="0" w:line="169" w:lineRule="exact"/>
              <w:rPr>
                <w:sz w:val="20"/>
                <w:szCs w:val="20"/>
                <w:color w:val="auto"/>
              </w:rPr>
            </w:pPr>
            <w:r>
              <w:rPr>
                <w:rFonts w:ascii="Arial" w:cs="Arial" w:eastAsia="Arial" w:hAnsi="Arial"/>
                <w:sz w:val="16"/>
                <w:szCs w:val="16"/>
                <w:color w:val="0000FF"/>
              </w:rPr>
              <w:t>Rules 13a-14(a) and 15d-14(a) under the Securities</w:t>
            </w:r>
          </w:p>
        </w:tc>
        <w:tc>
          <w:tcPr>
            <w:tcW w:w="360" w:type="dxa"/>
            <w:vAlign w:val="bottom"/>
            <w:gridSpan w:val="9"/>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4000" w:type="dxa"/>
            <w:vAlign w:val="bottom"/>
            <w:tcBorders>
              <w:bottom w:val="single" w:sz="8" w:color="0000FF"/>
            </w:tcBorders>
            <w:gridSpan w:val="20"/>
          </w:tcPr>
          <w:p>
            <w:pPr>
              <w:spacing w:after="0" w:line="169" w:lineRule="exact"/>
              <w:rPr>
                <w:sz w:val="20"/>
                <w:szCs w:val="20"/>
                <w:color w:val="auto"/>
              </w:rPr>
            </w:pPr>
            <w:r>
              <w:rPr>
                <w:rFonts w:ascii="Arial" w:cs="Arial" w:eastAsia="Arial" w:hAnsi="Arial"/>
                <w:sz w:val="16"/>
                <w:szCs w:val="16"/>
                <w:color w:val="0000FF"/>
              </w:rPr>
              <w:t>Exchange Act of 1934, as Adopted Pursuant to Section</w:t>
            </w:r>
          </w:p>
        </w:tc>
        <w:tc>
          <w:tcPr>
            <w:tcW w:w="120" w:type="dxa"/>
            <w:vAlign w:val="bottom"/>
            <w:gridSpan w:val="4"/>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4120" w:type="dxa"/>
            <w:vAlign w:val="bottom"/>
            <w:gridSpan w:val="24"/>
          </w:tcPr>
          <w:p>
            <w:pPr>
              <w:spacing w:after="0" w:line="169" w:lineRule="exact"/>
              <w:rPr>
                <w:sz w:val="20"/>
                <w:szCs w:val="20"/>
                <w:color w:val="auto"/>
              </w:rPr>
            </w:pPr>
            <w:r>
              <w:rPr>
                <w:rFonts w:ascii="Arial" w:cs="Arial" w:eastAsia="Arial" w:hAnsi="Arial"/>
                <w:sz w:val="16"/>
                <w:szCs w:val="16"/>
                <w:color w:val="0000FF"/>
              </w:rPr>
              <w:t>302 of the Sarbanes-Oxley Act of 2002</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14"/>
        </w:trPr>
        <w:tc>
          <w:tcPr>
            <w:tcW w:w="1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Incorporated by Reference</w:t>
            </w:r>
          </w:p>
        </w:tc>
        <w:tc>
          <w:tcPr>
            <w:tcW w:w="1200" w:type="dxa"/>
            <w:vAlign w:val="bottom"/>
            <w:tcBorders>
              <w:bottom w:val="single" w:sz="8" w:color="auto"/>
            </w:tcBorders>
          </w:tcPr>
          <w:p>
            <w:pPr>
              <w:spacing w:after="0"/>
              <w:rPr>
                <w:sz w:val="18"/>
                <w:szCs w:val="18"/>
                <w:color w:val="auto"/>
              </w:rPr>
            </w:pPr>
          </w:p>
        </w:tc>
        <w:tc>
          <w:tcPr>
            <w:tcW w:w="1260" w:type="dxa"/>
            <w:vAlign w:val="bottom"/>
          </w:tcPr>
          <w:p>
            <w:pPr>
              <w:spacing w:after="0"/>
              <w:rPr>
                <w:sz w:val="18"/>
                <w:szCs w:val="18"/>
                <w:color w:val="auto"/>
              </w:rPr>
            </w:pPr>
          </w:p>
        </w:tc>
      </w:tr>
      <w:tr>
        <w:trPr>
          <w:trHeight w:val="184"/>
        </w:trPr>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2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189"/>
        </w:trPr>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auto"/>
              </w:rPr>
              <w:t>Number</w:t>
            </w:r>
          </w:p>
        </w:tc>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Furnished</w:t>
            </w:r>
          </w:p>
        </w:tc>
      </w:tr>
      <w:tr>
        <w:trPr>
          <w:trHeight w:val="217"/>
        </w:trPr>
        <w:tc>
          <w:tcPr>
            <w:tcW w:w="118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5"/>
          </w:tcPr>
          <w:p>
            <w:pPr>
              <w:ind w:left="1620"/>
              <w:spacing w:after="0"/>
              <w:rPr>
                <w:sz w:val="20"/>
                <w:szCs w:val="20"/>
                <w:color w:val="auto"/>
              </w:rPr>
            </w:pPr>
            <w:r>
              <w:rPr>
                <w:rFonts w:ascii="Arial" w:cs="Arial" w:eastAsia="Arial" w:hAnsi="Arial"/>
                <w:sz w:val="16"/>
                <w:szCs w:val="16"/>
                <w:b w:val="1"/>
                <w:bCs w:val="1"/>
                <w:color w:val="auto"/>
              </w:rPr>
              <w:t>Description</w:t>
            </w: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Form</w:t>
            </w: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File No.</w:t>
            </w: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Exhibit</w:t>
            </w: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Filing Date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172"/>
        </w:trPr>
        <w:tc>
          <w:tcPr>
            <w:tcW w:w="1180" w:type="dxa"/>
            <w:vAlign w:val="bottom"/>
          </w:tcPr>
          <w:p>
            <w:pPr>
              <w:jc w:val="center"/>
              <w:ind w:right="39"/>
              <w:spacing w:after="0" w:line="172" w:lineRule="exact"/>
              <w:rPr>
                <w:sz w:val="20"/>
                <w:szCs w:val="20"/>
                <w:color w:val="auto"/>
              </w:rPr>
            </w:pPr>
            <w:r>
              <w:rPr>
                <w:rFonts w:ascii="Arial" w:cs="Arial" w:eastAsia="Arial" w:hAnsi="Arial"/>
                <w:sz w:val="16"/>
                <w:szCs w:val="16"/>
                <w:color w:val="auto"/>
              </w:rPr>
              <w:t>32.1*</w:t>
            </w:r>
          </w:p>
        </w:tc>
        <w:tc>
          <w:tcPr>
            <w:tcW w:w="4100" w:type="dxa"/>
            <w:vAlign w:val="bottom"/>
            <w:tcBorders>
              <w:bottom w:val="single" w:sz="8" w:color="0000FF"/>
            </w:tcBorders>
            <w:gridSpan w:val="4"/>
          </w:tcPr>
          <w:p>
            <w:pPr>
              <w:spacing w:after="0" w:line="172" w:lineRule="exact"/>
              <w:rPr>
                <w:sz w:val="20"/>
                <w:szCs w:val="20"/>
                <w:color w:val="auto"/>
              </w:rPr>
            </w:pPr>
            <w:r>
              <w:rPr>
                <w:rFonts w:ascii="Arial" w:cs="Arial" w:eastAsia="Arial" w:hAnsi="Arial"/>
                <w:sz w:val="16"/>
                <w:szCs w:val="16"/>
                <w:color w:val="0000FF"/>
              </w:rPr>
              <w:t>Certification of Principal Executive Officer Pursuant to 18</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jc w:val="center"/>
              <w:spacing w:after="0" w:line="172" w:lineRule="exact"/>
              <w:rPr>
                <w:sz w:val="20"/>
                <w:szCs w:val="20"/>
                <w:color w:val="auto"/>
              </w:rPr>
            </w:pPr>
            <w:r>
              <w:rPr>
                <w:rFonts w:ascii="Arial" w:cs="Arial" w:eastAsia="Arial" w:hAnsi="Arial"/>
                <w:sz w:val="16"/>
                <w:szCs w:val="16"/>
                <w:color w:val="auto"/>
                <w:w w:val="93"/>
              </w:rPr>
              <w:t>X</w:t>
            </w:r>
          </w:p>
        </w:tc>
      </w:tr>
      <w:tr>
        <w:trPr>
          <w:trHeight w:val="169"/>
        </w:trPr>
        <w:tc>
          <w:tcPr>
            <w:tcW w:w="1180" w:type="dxa"/>
            <w:vAlign w:val="bottom"/>
          </w:tcPr>
          <w:p>
            <w:pPr>
              <w:spacing w:after="0"/>
              <w:rPr>
                <w:sz w:val="14"/>
                <w:szCs w:val="14"/>
                <w:color w:val="auto"/>
              </w:rPr>
            </w:pPr>
          </w:p>
        </w:tc>
        <w:tc>
          <w:tcPr>
            <w:tcW w:w="388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rPr>
              <w:t>U.S.C. Section 1350, as Adopted Pursuant to Section</w:t>
            </w:r>
          </w:p>
        </w:tc>
        <w:tc>
          <w:tcPr>
            <w:tcW w:w="36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1180" w:type="dxa"/>
            <w:vAlign w:val="bottom"/>
          </w:tcPr>
          <w:p>
            <w:pPr>
              <w:spacing w:after="0"/>
              <w:rPr>
                <w:sz w:val="14"/>
                <w:szCs w:val="14"/>
                <w:color w:val="auto"/>
              </w:rPr>
            </w:pPr>
          </w:p>
        </w:tc>
        <w:tc>
          <w:tcPr>
            <w:tcW w:w="4240" w:type="dxa"/>
            <w:vAlign w:val="bottom"/>
            <w:gridSpan w:val="5"/>
          </w:tcPr>
          <w:p>
            <w:pPr>
              <w:spacing w:after="0" w:line="169" w:lineRule="exact"/>
              <w:rPr>
                <w:sz w:val="20"/>
                <w:szCs w:val="20"/>
                <w:color w:val="auto"/>
              </w:rPr>
            </w:pPr>
            <w:r>
              <w:rPr>
                <w:rFonts w:ascii="Arial" w:cs="Arial" w:eastAsia="Arial" w:hAnsi="Arial"/>
                <w:sz w:val="16"/>
                <w:szCs w:val="16"/>
                <w:color w:val="0000FF"/>
              </w:rPr>
              <w:t>906 of the Sarbanes-Oxley Act of 2002</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1"/>
        </w:trPr>
        <w:tc>
          <w:tcPr>
            <w:tcW w:w="1180" w:type="dxa"/>
            <w:vAlign w:val="bottom"/>
          </w:tcPr>
          <w:p>
            <w:pPr>
              <w:jc w:val="center"/>
              <w:ind w:right="39"/>
              <w:spacing w:after="0"/>
              <w:rPr>
                <w:sz w:val="20"/>
                <w:szCs w:val="20"/>
                <w:color w:val="auto"/>
              </w:rPr>
            </w:pPr>
            <w:r>
              <w:rPr>
                <w:rFonts w:ascii="Arial" w:cs="Arial" w:eastAsia="Arial" w:hAnsi="Arial"/>
                <w:sz w:val="16"/>
                <w:szCs w:val="16"/>
                <w:color w:val="auto"/>
              </w:rPr>
              <w:t>32.2*</w:t>
            </w:r>
          </w:p>
        </w:tc>
        <w:tc>
          <w:tcPr>
            <w:tcW w:w="40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Certification of Principal Financial Officer Pursuant to 18</w:t>
            </w:r>
          </w:p>
        </w:tc>
        <w:tc>
          <w:tcPr>
            <w:tcW w:w="18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1180" w:type="dxa"/>
            <w:vAlign w:val="bottom"/>
          </w:tcPr>
          <w:p>
            <w:pPr>
              <w:spacing w:after="0"/>
              <w:rPr>
                <w:sz w:val="14"/>
                <w:szCs w:val="14"/>
                <w:color w:val="auto"/>
              </w:rPr>
            </w:pPr>
          </w:p>
        </w:tc>
        <w:tc>
          <w:tcPr>
            <w:tcW w:w="388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rPr>
              <w:t>U.S.C. Section 1350, as Adopted Pursuant to Section</w:t>
            </w:r>
          </w:p>
        </w:tc>
        <w:tc>
          <w:tcPr>
            <w:tcW w:w="36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9"/>
        </w:trPr>
        <w:tc>
          <w:tcPr>
            <w:tcW w:w="1180" w:type="dxa"/>
            <w:vAlign w:val="bottom"/>
          </w:tcPr>
          <w:p>
            <w:pPr>
              <w:spacing w:after="0"/>
              <w:rPr>
                <w:sz w:val="14"/>
                <w:szCs w:val="14"/>
                <w:color w:val="auto"/>
              </w:rPr>
            </w:pPr>
          </w:p>
        </w:tc>
        <w:tc>
          <w:tcPr>
            <w:tcW w:w="4240" w:type="dxa"/>
            <w:vAlign w:val="bottom"/>
            <w:gridSpan w:val="5"/>
          </w:tcPr>
          <w:p>
            <w:pPr>
              <w:spacing w:after="0" w:line="169" w:lineRule="exact"/>
              <w:rPr>
                <w:sz w:val="20"/>
                <w:szCs w:val="20"/>
                <w:color w:val="auto"/>
              </w:rPr>
            </w:pPr>
            <w:r>
              <w:rPr>
                <w:rFonts w:ascii="Arial" w:cs="Arial" w:eastAsia="Arial" w:hAnsi="Arial"/>
                <w:sz w:val="16"/>
                <w:szCs w:val="16"/>
                <w:color w:val="0000FF"/>
              </w:rPr>
              <w:t>906 of the Sarbanes-Oxley Act of 2002</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79"/>
        </w:trPr>
        <w:tc>
          <w:tcPr>
            <w:tcW w:w="1180" w:type="dxa"/>
            <w:vAlign w:val="bottom"/>
          </w:tcPr>
          <w:p>
            <w:pPr>
              <w:jc w:val="center"/>
              <w:ind w:right="39"/>
              <w:spacing w:after="0"/>
              <w:rPr>
                <w:sz w:val="20"/>
                <w:szCs w:val="20"/>
                <w:color w:val="auto"/>
              </w:rPr>
            </w:pPr>
            <w:r>
              <w:rPr>
                <w:rFonts w:ascii="Arial" w:cs="Arial" w:eastAsia="Arial" w:hAnsi="Arial"/>
                <w:sz w:val="16"/>
                <w:szCs w:val="16"/>
                <w:color w:val="auto"/>
              </w:rPr>
              <w:t>101.SCH</w:t>
            </w:r>
          </w:p>
        </w:tc>
        <w:tc>
          <w:tcPr>
            <w:tcW w:w="424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574"/>
        </w:trPr>
        <w:tc>
          <w:tcPr>
            <w:tcW w:w="1180" w:type="dxa"/>
            <w:vAlign w:val="bottom"/>
          </w:tcPr>
          <w:p>
            <w:pPr>
              <w:jc w:val="center"/>
              <w:ind w:right="39"/>
              <w:spacing w:after="0"/>
              <w:rPr>
                <w:sz w:val="20"/>
                <w:szCs w:val="20"/>
                <w:color w:val="auto"/>
              </w:rPr>
            </w:pPr>
            <w:r>
              <w:rPr>
                <w:rFonts w:ascii="Arial" w:cs="Arial" w:eastAsia="Arial" w:hAnsi="Arial"/>
                <w:sz w:val="16"/>
                <w:szCs w:val="16"/>
                <w:color w:val="auto"/>
                <w:w w:val="99"/>
              </w:rPr>
              <w:t>101.CAL</w:t>
            </w:r>
          </w:p>
        </w:tc>
        <w:tc>
          <w:tcPr>
            <w:tcW w:w="424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94"/>
        </w:trPr>
        <w:tc>
          <w:tcPr>
            <w:tcW w:w="1180" w:type="dxa"/>
            <w:vAlign w:val="bottom"/>
          </w:tcPr>
          <w:p>
            <w:pPr>
              <w:spacing w:after="0"/>
              <w:rPr>
                <w:sz w:val="16"/>
                <w:szCs w:val="16"/>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5"/>
        </w:trPr>
        <w:tc>
          <w:tcPr>
            <w:tcW w:w="1180" w:type="dxa"/>
            <w:vAlign w:val="bottom"/>
          </w:tcPr>
          <w:p>
            <w:pPr>
              <w:jc w:val="center"/>
              <w:ind w:right="59"/>
              <w:spacing w:after="0"/>
              <w:rPr>
                <w:sz w:val="20"/>
                <w:szCs w:val="20"/>
                <w:color w:val="auto"/>
              </w:rPr>
            </w:pPr>
            <w:r>
              <w:rPr>
                <w:rFonts w:ascii="Arial" w:cs="Arial" w:eastAsia="Arial" w:hAnsi="Arial"/>
                <w:sz w:val="16"/>
                <w:szCs w:val="16"/>
                <w:color w:val="auto"/>
              </w:rPr>
              <w:t>101.DEF</w:t>
            </w:r>
          </w:p>
        </w:tc>
        <w:tc>
          <w:tcPr>
            <w:tcW w:w="424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94"/>
        </w:trPr>
        <w:tc>
          <w:tcPr>
            <w:tcW w:w="1180" w:type="dxa"/>
            <w:vAlign w:val="bottom"/>
          </w:tcPr>
          <w:p>
            <w:pPr>
              <w:spacing w:after="0"/>
              <w:rPr>
                <w:sz w:val="16"/>
                <w:szCs w:val="16"/>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5"/>
        </w:trPr>
        <w:tc>
          <w:tcPr>
            <w:tcW w:w="1180" w:type="dxa"/>
            <w:vAlign w:val="bottom"/>
          </w:tcPr>
          <w:p>
            <w:pPr>
              <w:jc w:val="center"/>
              <w:ind w:right="39"/>
              <w:spacing w:after="0"/>
              <w:rPr>
                <w:sz w:val="20"/>
                <w:szCs w:val="20"/>
                <w:color w:val="auto"/>
              </w:rPr>
            </w:pPr>
            <w:r>
              <w:rPr>
                <w:rFonts w:ascii="Arial" w:cs="Arial" w:eastAsia="Arial" w:hAnsi="Arial"/>
                <w:sz w:val="16"/>
                <w:szCs w:val="16"/>
                <w:color w:val="auto"/>
              </w:rPr>
              <w:t>101.LAB</w:t>
            </w:r>
          </w:p>
        </w:tc>
        <w:tc>
          <w:tcPr>
            <w:tcW w:w="424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94"/>
        </w:trPr>
        <w:tc>
          <w:tcPr>
            <w:tcW w:w="1180" w:type="dxa"/>
            <w:vAlign w:val="bottom"/>
          </w:tcPr>
          <w:p>
            <w:pPr>
              <w:spacing w:after="0"/>
              <w:rPr>
                <w:sz w:val="16"/>
                <w:szCs w:val="16"/>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5"/>
        </w:trPr>
        <w:tc>
          <w:tcPr>
            <w:tcW w:w="1180" w:type="dxa"/>
            <w:vAlign w:val="bottom"/>
          </w:tcPr>
          <w:p>
            <w:pPr>
              <w:jc w:val="center"/>
              <w:ind w:right="39"/>
              <w:spacing w:after="0"/>
              <w:rPr>
                <w:sz w:val="20"/>
                <w:szCs w:val="20"/>
                <w:color w:val="auto"/>
              </w:rPr>
            </w:pPr>
            <w:r>
              <w:rPr>
                <w:rFonts w:ascii="Arial" w:cs="Arial" w:eastAsia="Arial" w:hAnsi="Arial"/>
                <w:sz w:val="16"/>
                <w:szCs w:val="16"/>
                <w:color w:val="auto"/>
              </w:rPr>
              <w:t>101.PRE</w:t>
            </w:r>
          </w:p>
        </w:tc>
        <w:tc>
          <w:tcPr>
            <w:tcW w:w="424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94"/>
        </w:trPr>
        <w:tc>
          <w:tcPr>
            <w:tcW w:w="1180" w:type="dxa"/>
            <w:vAlign w:val="bottom"/>
          </w:tcPr>
          <w:p>
            <w:pPr>
              <w:spacing w:after="0"/>
              <w:rPr>
                <w:sz w:val="16"/>
                <w:szCs w:val="16"/>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5"/>
        </w:trPr>
        <w:tc>
          <w:tcPr>
            <w:tcW w:w="1180" w:type="dxa"/>
            <w:vAlign w:val="bottom"/>
          </w:tcPr>
          <w:p>
            <w:pPr>
              <w:jc w:val="center"/>
              <w:ind w:right="39"/>
              <w:spacing w:after="0"/>
              <w:rPr>
                <w:sz w:val="20"/>
                <w:szCs w:val="20"/>
                <w:color w:val="auto"/>
              </w:rPr>
            </w:pPr>
            <w:r>
              <w:rPr>
                <w:rFonts w:ascii="Arial" w:cs="Arial" w:eastAsia="Arial" w:hAnsi="Arial"/>
                <w:sz w:val="16"/>
                <w:szCs w:val="16"/>
                <w:color w:val="auto"/>
                <w:w w:val="97"/>
              </w:rPr>
              <w:t>104</w:t>
            </w:r>
          </w:p>
        </w:tc>
        <w:tc>
          <w:tcPr>
            <w:tcW w:w="4240" w:type="dxa"/>
            <w:vAlign w:val="bottom"/>
            <w:gridSpan w:val="5"/>
          </w:tcPr>
          <w:p>
            <w:pPr>
              <w:spacing w:after="0"/>
              <w:rPr>
                <w:sz w:val="20"/>
                <w:szCs w:val="20"/>
                <w:color w:val="auto"/>
              </w:rPr>
            </w:pPr>
            <w:r>
              <w:rPr>
                <w:rFonts w:ascii="Arial" w:cs="Arial" w:eastAsia="Arial" w:hAnsi="Arial"/>
                <w:sz w:val="16"/>
                <w:szCs w:val="16"/>
                <w:color w:val="auto"/>
              </w:rPr>
              <w:t>Cover Page Interactive Data File (formatted as Inline</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94"/>
        </w:trPr>
        <w:tc>
          <w:tcPr>
            <w:tcW w:w="1180" w:type="dxa"/>
            <w:vAlign w:val="bottom"/>
          </w:tcPr>
          <w:p>
            <w:pPr>
              <w:spacing w:after="0"/>
              <w:rPr>
                <w:sz w:val="16"/>
                <w:szCs w:val="16"/>
                <w:color w:val="auto"/>
              </w:rPr>
            </w:pPr>
          </w:p>
        </w:tc>
        <w:tc>
          <w:tcPr>
            <w:tcW w:w="4240" w:type="dxa"/>
            <w:vAlign w:val="bottom"/>
            <w:gridSpan w:val="5"/>
          </w:tcPr>
          <w:p>
            <w:pPr>
              <w:spacing w:after="0"/>
              <w:rPr>
                <w:sz w:val="20"/>
                <w:szCs w:val="20"/>
                <w:color w:val="auto"/>
              </w:rPr>
            </w:pPr>
            <w:r>
              <w:rPr>
                <w:rFonts w:ascii="Arial" w:cs="Arial" w:eastAsia="Arial" w:hAnsi="Arial"/>
                <w:sz w:val="16"/>
                <w:szCs w:val="16"/>
                <w:color w:val="auto"/>
              </w:rPr>
              <w:t>XBRL and contained in Exhibit 101)</w:t>
            </w: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88"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Where applicable, schedules and exhibits have been omitted pursuant to Item 601(a)(5) of Regulation S-K. The registrant agrees to furnish supplementally a copy of any omitted schedule or exhibit to the U.S. Securities and Exchange Commission upon request.</w:t>
      </w:r>
    </w:p>
    <w:p>
      <w:pPr>
        <w:spacing w:after="0" w:line="9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98" w:lineRule="exact"/>
        <w:rPr>
          <w:sz w:val="20"/>
          <w:szCs w:val="20"/>
          <w:color w:val="auto"/>
        </w:rPr>
      </w:pPr>
    </w:p>
    <w:p>
      <w:pPr>
        <w:ind w:right="180" w:firstLine="8"/>
        <w:spacing w:after="0" w:line="238"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b w:val="1"/>
          <w:bCs w:val="1"/>
          <w:u w:val="single" w:color="auto"/>
          <w:color w:val="auto"/>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57289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8">
                      <a:extLst>
                        <a:ext uri="{28A0092B-C50C-407E-A947-70E740481C1C}"/>
                      </a:extLst>
                    </a:blip>
                    <a:srcRect/>
                    <a:stretch>
                      <a:fillRect/>
                    </a:stretch>
                  </pic:blipFill>
                  <pic:spPr bwMode="auto">
                    <a:xfrm>
                      <a:off x="0" y="0"/>
                      <a:ext cx="1572895" cy="8255"/>
                    </a:xfrm>
                    <a:prstGeom prst="rect">
                      <a:avLst/>
                    </a:prstGeom>
                    <a:noFill/>
                  </pic:spPr>
                </pic:pic>
              </a:graphicData>
            </a:graphic>
          </wp:anchor>
        </w:drawing>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0"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-5715</wp:posOffset>
            </wp:positionV>
            <wp:extent cx="7397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0">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212" w:lineRule="exact"/>
        <w:rPr>
          <w:sz w:val="20"/>
          <w:szCs w:val="20"/>
          <w:color w:val="auto"/>
        </w:rPr>
      </w:pPr>
    </w:p>
    <w:p>
      <w:pPr>
        <w:ind w:right="580" w:firstLine="509"/>
        <w:spacing w:after="0" w:line="24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PAYMENTUS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20320</wp:posOffset>
            </wp:positionV>
            <wp:extent cx="35363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1">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240"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 March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6350</wp:posOffset>
            </wp:positionV>
            <wp:extent cx="326199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2">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Dushyant Sharma</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33"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Each person whose signature appears below hereby severally constitutes and appoints each of Dushyant Sharma, Paul Seamon and Andrew A. Gerber as his true and lawful attorney-in-fact and agent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each said attorney-in-fact and agent or his substitute or substitutes may lawfully do or cause to be done by virtue hereof.</w:t>
      </w:r>
    </w:p>
    <w:p>
      <w:pPr>
        <w:spacing w:after="0" w:line="193" w:lineRule="exact"/>
        <w:rPr>
          <w:sz w:val="20"/>
          <w:szCs w:val="20"/>
          <w:color w:val="auto"/>
        </w:rPr>
      </w:pPr>
    </w:p>
    <w:p>
      <w:pPr>
        <w:ind w:left="840" w:right="300" w:hanging="580"/>
        <w:spacing w:after="0" w:line="245"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 w:type="dxa"/>
            <w:vAlign w:val="bottom"/>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Name</w:t>
            </w:r>
          </w:p>
        </w:tc>
        <w:tc>
          <w:tcPr>
            <w:tcW w:w="472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Title</w:t>
            </w:r>
          </w:p>
        </w:tc>
        <w:tc>
          <w:tcPr>
            <w:tcW w:w="24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7"/>
              </w:rPr>
              <w:t>Date</w:t>
            </w:r>
          </w:p>
        </w:tc>
        <w:tc>
          <w:tcPr>
            <w:tcW w:w="6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/s/Dushyant Sharma</w:t>
            </w:r>
          </w:p>
        </w:tc>
        <w:tc>
          <w:tcPr>
            <w:tcW w:w="47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c>
          <w:tcPr>
            <w:tcW w:w="2440" w:type="dxa"/>
            <w:vAlign w:val="bottom"/>
          </w:tcPr>
          <w:p>
            <w:pPr>
              <w:jc w:val="center"/>
              <w:ind w:left="210"/>
              <w:spacing w:after="0"/>
              <w:rPr>
                <w:sz w:val="20"/>
                <w:szCs w:val="20"/>
                <w:color w:val="auto"/>
              </w:rPr>
            </w:pPr>
            <w:r>
              <w:rPr>
                <w:rFonts w:ascii="Arial" w:cs="Arial" w:eastAsia="Arial" w:hAnsi="Arial"/>
                <w:sz w:val="18"/>
                <w:szCs w:val="18"/>
                <w:color w:val="auto"/>
                <w:w w:val="99"/>
              </w:rPr>
              <w:t>March 3, 2023</w:t>
            </w: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Dushyant Sharma</w:t>
            </w:r>
          </w:p>
        </w:tc>
        <w:tc>
          <w:tcPr>
            <w:tcW w:w="47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1"/>
        </w:trPr>
        <w:tc>
          <w:tcPr>
            <w:tcW w:w="8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Paul Seamon</w:t>
            </w:r>
          </w:p>
        </w:tc>
        <w:tc>
          <w:tcPr>
            <w:tcW w:w="4720" w:type="dxa"/>
            <w:vAlign w:val="bottom"/>
          </w:tcPr>
          <w:p>
            <w:pPr>
              <w:spacing w:after="0"/>
              <w:rPr>
                <w:sz w:val="20"/>
                <w:szCs w:val="20"/>
                <w:color w:val="auto"/>
              </w:rPr>
            </w:pPr>
            <w:r>
              <w:rPr>
                <w:rFonts w:ascii="Arial" w:cs="Arial" w:eastAsia="Arial" w:hAnsi="Arial"/>
                <w:sz w:val="18"/>
                <w:szCs w:val="18"/>
                <w:color w:val="auto"/>
              </w:rPr>
              <w:t>Interim Chief Financial Officer</w:t>
            </w:r>
          </w:p>
        </w:tc>
        <w:tc>
          <w:tcPr>
            <w:tcW w:w="2440" w:type="dxa"/>
            <w:vAlign w:val="bottom"/>
          </w:tcPr>
          <w:p>
            <w:pPr>
              <w:jc w:val="center"/>
              <w:ind w:left="210"/>
              <w:spacing w:after="0"/>
              <w:rPr>
                <w:sz w:val="20"/>
                <w:szCs w:val="20"/>
                <w:color w:val="auto"/>
              </w:rPr>
            </w:pPr>
            <w:r>
              <w:rPr>
                <w:rFonts w:ascii="Arial" w:cs="Arial" w:eastAsia="Arial" w:hAnsi="Arial"/>
                <w:sz w:val="18"/>
                <w:szCs w:val="18"/>
                <w:color w:val="auto"/>
                <w:w w:val="99"/>
              </w:rPr>
              <w:t>March 3, 2023</w:t>
            </w:r>
          </w:p>
        </w:tc>
        <w:tc>
          <w:tcPr>
            <w:tcW w:w="6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Paul Seamon</w:t>
            </w:r>
          </w:p>
        </w:tc>
        <w:tc>
          <w:tcPr>
            <w:tcW w:w="47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1"/>
        </w:trPr>
        <w:tc>
          <w:tcPr>
            <w:tcW w:w="8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Jody Davids</w:t>
            </w:r>
          </w:p>
        </w:tc>
        <w:tc>
          <w:tcPr>
            <w:tcW w:w="4720" w:type="dxa"/>
            <w:vAlign w:val="bottom"/>
          </w:tcPr>
          <w:p>
            <w:pPr>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210"/>
              <w:spacing w:after="0"/>
              <w:rPr>
                <w:sz w:val="20"/>
                <w:szCs w:val="20"/>
                <w:color w:val="auto"/>
              </w:rPr>
            </w:pPr>
            <w:r>
              <w:rPr>
                <w:rFonts w:ascii="Arial" w:cs="Arial" w:eastAsia="Arial" w:hAnsi="Arial"/>
                <w:sz w:val="18"/>
                <w:szCs w:val="18"/>
                <w:color w:val="auto"/>
                <w:w w:val="99"/>
              </w:rPr>
              <w:t>March 3, 2023</w:t>
            </w:r>
          </w:p>
        </w:tc>
        <w:tc>
          <w:tcPr>
            <w:tcW w:w="6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Jody Davids</w:t>
            </w:r>
          </w:p>
        </w:tc>
        <w:tc>
          <w:tcPr>
            <w:tcW w:w="4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1"/>
        </w:trPr>
        <w:tc>
          <w:tcPr>
            <w:tcW w:w="8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Ingram</w:t>
            </w:r>
          </w:p>
        </w:tc>
        <w:tc>
          <w:tcPr>
            <w:tcW w:w="4720" w:type="dxa"/>
            <w:vAlign w:val="bottom"/>
          </w:tcPr>
          <w:p>
            <w:pPr>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210"/>
              <w:spacing w:after="0"/>
              <w:rPr>
                <w:sz w:val="20"/>
                <w:szCs w:val="20"/>
                <w:color w:val="auto"/>
              </w:rPr>
            </w:pPr>
            <w:r>
              <w:rPr>
                <w:rFonts w:ascii="Arial" w:cs="Arial" w:eastAsia="Arial" w:hAnsi="Arial"/>
                <w:sz w:val="18"/>
                <w:szCs w:val="18"/>
                <w:color w:val="auto"/>
                <w:w w:val="99"/>
              </w:rPr>
              <w:t>March 3, 2023</w:t>
            </w:r>
          </w:p>
        </w:tc>
        <w:tc>
          <w:tcPr>
            <w:tcW w:w="6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rPr>
              <w:t>William Ingram</w:t>
            </w:r>
          </w:p>
        </w:tc>
        <w:tc>
          <w:tcPr>
            <w:tcW w:w="4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1"/>
        </w:trPr>
        <w:tc>
          <w:tcPr>
            <w:tcW w:w="8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Jason Klein</w:t>
            </w:r>
          </w:p>
        </w:tc>
        <w:tc>
          <w:tcPr>
            <w:tcW w:w="4720" w:type="dxa"/>
            <w:vAlign w:val="bottom"/>
          </w:tcPr>
          <w:p>
            <w:pPr>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210"/>
              <w:spacing w:after="0"/>
              <w:rPr>
                <w:sz w:val="20"/>
                <w:szCs w:val="20"/>
                <w:color w:val="auto"/>
              </w:rPr>
            </w:pPr>
            <w:r>
              <w:rPr>
                <w:rFonts w:ascii="Arial" w:cs="Arial" w:eastAsia="Arial" w:hAnsi="Arial"/>
                <w:sz w:val="18"/>
                <w:szCs w:val="18"/>
                <w:color w:val="auto"/>
                <w:w w:val="99"/>
              </w:rPr>
              <w:t>March 3, 2023</w:t>
            </w:r>
          </w:p>
        </w:tc>
        <w:tc>
          <w:tcPr>
            <w:tcW w:w="6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Jason Klein</w:t>
            </w:r>
          </w:p>
        </w:tc>
        <w:tc>
          <w:tcPr>
            <w:tcW w:w="4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1"/>
        </w:trPr>
        <w:tc>
          <w:tcPr>
            <w:tcW w:w="8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Adam Malinowski</w:t>
            </w:r>
          </w:p>
        </w:tc>
        <w:tc>
          <w:tcPr>
            <w:tcW w:w="4720" w:type="dxa"/>
            <w:vAlign w:val="bottom"/>
          </w:tcPr>
          <w:p>
            <w:pPr>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210"/>
              <w:spacing w:after="0"/>
              <w:rPr>
                <w:sz w:val="20"/>
                <w:szCs w:val="20"/>
                <w:color w:val="auto"/>
              </w:rPr>
            </w:pPr>
            <w:r>
              <w:rPr>
                <w:rFonts w:ascii="Arial" w:cs="Arial" w:eastAsia="Arial" w:hAnsi="Arial"/>
                <w:sz w:val="18"/>
                <w:szCs w:val="18"/>
                <w:color w:val="auto"/>
                <w:w w:val="99"/>
              </w:rPr>
              <w:t>March 3, 2023</w:t>
            </w:r>
          </w:p>
        </w:tc>
        <w:tc>
          <w:tcPr>
            <w:tcW w:w="6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Adam Malinowski</w:t>
            </w:r>
          </w:p>
        </w:tc>
        <w:tc>
          <w:tcPr>
            <w:tcW w:w="4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1"/>
        </w:trPr>
        <w:tc>
          <w:tcPr>
            <w:tcW w:w="8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Robert Palumbo</w:t>
            </w:r>
          </w:p>
        </w:tc>
        <w:tc>
          <w:tcPr>
            <w:tcW w:w="4720" w:type="dxa"/>
            <w:vAlign w:val="bottom"/>
          </w:tcPr>
          <w:p>
            <w:pPr>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210"/>
              <w:spacing w:after="0"/>
              <w:rPr>
                <w:sz w:val="20"/>
                <w:szCs w:val="20"/>
                <w:color w:val="auto"/>
              </w:rPr>
            </w:pPr>
            <w:r>
              <w:rPr>
                <w:rFonts w:ascii="Arial" w:cs="Arial" w:eastAsia="Arial" w:hAnsi="Arial"/>
                <w:sz w:val="18"/>
                <w:szCs w:val="18"/>
                <w:color w:val="auto"/>
                <w:w w:val="99"/>
              </w:rPr>
              <w:t>March 3, 2023</w:t>
            </w:r>
          </w:p>
        </w:tc>
        <w:tc>
          <w:tcPr>
            <w:tcW w:w="6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Robert Palumbo</w:t>
            </w:r>
          </w:p>
        </w:tc>
        <w:tc>
          <w:tcPr>
            <w:tcW w:w="4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1"/>
        </w:trPr>
        <w:tc>
          <w:tcPr>
            <w:tcW w:w="8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Gary Trainor</w:t>
            </w:r>
          </w:p>
        </w:tc>
        <w:tc>
          <w:tcPr>
            <w:tcW w:w="4720" w:type="dxa"/>
            <w:vAlign w:val="bottom"/>
          </w:tcPr>
          <w:p>
            <w:pPr>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ind w:left="210"/>
              <w:spacing w:after="0"/>
              <w:rPr>
                <w:sz w:val="20"/>
                <w:szCs w:val="20"/>
                <w:color w:val="auto"/>
              </w:rPr>
            </w:pPr>
            <w:r>
              <w:rPr>
                <w:rFonts w:ascii="Arial" w:cs="Arial" w:eastAsia="Arial" w:hAnsi="Arial"/>
                <w:sz w:val="18"/>
                <w:szCs w:val="18"/>
                <w:color w:val="auto"/>
                <w:w w:val="99"/>
              </w:rPr>
              <w:t>March 3, 2023</w:t>
            </w:r>
          </w:p>
        </w:tc>
        <w:tc>
          <w:tcPr>
            <w:tcW w:w="6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Gary Trainor</w:t>
            </w:r>
          </w:p>
        </w:tc>
        <w:tc>
          <w:tcPr>
            <w:tcW w:w="4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532"/>
        </w:trPr>
        <w:tc>
          <w:tcPr>
            <w:tcW w:w="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5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REGISTERED PURSUANT TO SECTION 12 OF THE</w:t>
      </w:r>
    </w:p>
    <w:p>
      <w:pPr>
        <w:ind w:left="396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Paymentus Holdings, Inc. has one class of securities registered under Section 12 of the Securities Exchange Act of 1934, as amended: our Class A common stock, $0.0001 par value per share.</w:t>
      </w:r>
    </w:p>
    <w:p>
      <w:pPr>
        <w:spacing w:after="0" w:line="19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general terms and provisions of our common stock are summarized below. This summary does not purport to be complete and is subject to, and qualified in its entirety by express reference to, the provisions of our certificate of incorporation and bylaws, each of which is included as an exhibit to the Annual Report on Form 10-K to which this description is an exhibit, and each of which may be amended from time to time. We encourage you to read our certificate of incorporation and bylaws and the applicable provisions of the General Corporation Law of the State of Delaware, or DGCL,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 1,000,000,000 shares of capital stock, $0.0001 par value per share, of which:</w:t>
      </w:r>
    </w:p>
    <w:p>
      <w:pPr>
        <w:spacing w:after="0" w:line="211" w:lineRule="exact"/>
        <w:rPr>
          <w:sz w:val="20"/>
          <w:szCs w:val="20"/>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883,950,000 shares are designated as Class A common stock;</w:t>
      </w:r>
    </w:p>
    <w:p>
      <w:pPr>
        <w:spacing w:after="0" w:line="224" w:lineRule="exact"/>
        <w:rPr>
          <w:rFonts w:ascii="Arial" w:cs="Arial" w:eastAsia="Arial" w:hAnsi="Arial"/>
          <w:sz w:val="18"/>
          <w:szCs w:val="18"/>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111,050,000 shares are designated as Class B common stock; and</w:t>
      </w:r>
    </w:p>
    <w:p>
      <w:pPr>
        <w:spacing w:after="0" w:line="224" w:lineRule="exact"/>
        <w:rPr>
          <w:rFonts w:ascii="Arial" w:cs="Arial" w:eastAsia="Arial" w:hAnsi="Arial"/>
          <w:sz w:val="18"/>
          <w:szCs w:val="18"/>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5,000,000 shares are designated as preferred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33"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Our authorized shares of common stock are designated as Class A common stock and Class B common stock. The rights of the holders of our Class A common stock and Class B common stock are identical, except with respect to voting and conversion.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33"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33" w:lineRule="exact"/>
        <w:rPr>
          <w:sz w:val="20"/>
          <w:szCs w:val="20"/>
          <w:color w:val="auto"/>
        </w:rPr>
      </w:pPr>
    </w:p>
    <w:p>
      <w:pPr>
        <w:jc w:val="both"/>
        <w:ind w:right="40"/>
        <w:spacing w:after="0" w:line="245" w:lineRule="auto"/>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 Our Class A common stock is not subject to conversion provisions.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33"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Holders of our Class A common stock are entitled to one vote per share held as of the applicable record date on all matters submitted to a vote of the holders of our Class A common stock, and holders of our Class B common stock are entitled to 10 votes per share held as of the applicable record date on all matters submitted to a vote of the holders of our Class B common stock. The holders of our Class A common stock and Class B common stock generally vote together as a single class on all matters submitted to a vote of our stockholders, unless otherwise required by Delaware law or our certificate of incorporation. Delaware law could require either holders of our Class A common stock or Class B common stock to vote separately as a single class if we were to seek to amend our certificate of incorporation in a manner that alters or changes the powers, preferences or special rights of such class of common stock in a manner that affected such shares adversely but does not so affect the shares of the other class of common stock.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ind w:right="20"/>
        <w:spacing w:after="0" w:line="236" w:lineRule="auto"/>
        <w:rPr>
          <w:sz w:val="20"/>
          <w:szCs w:val="20"/>
          <w:color w:val="auto"/>
        </w:rPr>
      </w:pPr>
      <w:r>
        <w:rPr>
          <w:rFonts w:ascii="Arial" w:cs="Arial" w:eastAsia="Arial" w:hAnsi="Arial"/>
          <w:sz w:val="18"/>
          <w:szCs w:val="18"/>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provided by law, our governing documents or the rules of the stock exchange on which our securities are listed.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spacing w:after="0" w:line="20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Our certificate of incorporation and bylaws provide for a classified board of directors consisting of three classes of approximately equal size, each serving staggered three-year terms. Only the directors in one class are elected at each annual meeting of our stockholders, with the directors in the other classes continuing for the remainder of their respective three-year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3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All of our outstanding shares of Class A common stock and Class B common stock are fully paid and non-assessable.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3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for certain limited transfers exempted by our certificate of incorporation, including transfers to affiliates, members or partners of Accel-KKR, or AKKR, and transfers for estate planning purposes so long as the transferring holder retains exclusive voting and dispositive power with respect to the shares transferred. Once converted into a share of our Class A common stock, such share of our Class B common stock will not be reissued.</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each outstanding share of Class B common stock held by a stockholder who is a natural person, other than Dushyant Sharma, or held by a permitted transferee of such natural person (as described in our certificate of incorporation), will convert automatically into one share of Class A common stock upon the death or incapacity of such natural person. In the event of the death or incapacity of Mr. Sharma, shares of Class B common stock held by Mr. Sharma and his permitted transferees will also convert automatically to Class A common stock, provided that the conversion will be deferred for nine months.</w:t>
      </w:r>
    </w:p>
    <w:p>
      <w:pPr>
        <w:spacing w:after="0" w:line="205"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Each outstanding share of Class B common stock will automatically convert into one share of our Class A common stock on the first trading day following the date on which AKKR, Mr. Sharma, the persons and entities then party to our stockholders agreement, and their respective affiliates and permitted transferees, collectively cease to hold at least 10% of our then outstanding common stock. Following the conversion of all outstanding shares of our Class B common stock into Class A common stock, no further shares of our Class B common stock will be issued.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Preferred Stock</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board of directors has the authority, subject to limitations prescribed by Delaware law, to issue shares of authorized but unissued preferred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23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Certain provisions of our certificate of incorporation and our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33"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Provisions of our certificate of incorporation and bylaws include a number of provisions that could deter hostile takeovers or delay or prevent changes in control of our board of directors or management. Among other things, these provisions provide that:</w:t>
      </w:r>
    </w:p>
    <w:p>
      <w:pPr>
        <w:spacing w:after="0" w:line="198" w:lineRule="exact"/>
        <w:rPr>
          <w:sz w:val="20"/>
          <w:szCs w:val="20"/>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have a dual class common stock structure, with differing voting rights;</w:t>
      </w:r>
    </w:p>
    <w:p>
      <w:pPr>
        <w:spacing w:after="0" w:line="224"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the board of directors;</w:t>
      </w:r>
    </w:p>
    <w:p>
      <w:pPr>
        <w:spacing w:after="0" w:line="224" w:lineRule="exact"/>
        <w:rPr>
          <w:rFonts w:ascii="Arial" w:cs="Arial" w:eastAsia="Arial" w:hAnsi="Arial"/>
          <w:sz w:val="18"/>
          <w:szCs w:val="18"/>
          <w:color w:val="auto"/>
        </w:rPr>
      </w:pPr>
    </w:p>
    <w:p>
      <w:pPr>
        <w:ind w:left="760" w:right="140" w:hanging="378"/>
        <w:spacing w:after="0" w:line="245"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vacancies on the board of directors and any newly created directorships may only be filled by the affirmative vote of a majority of directors then in office, even if less than a quorum;</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each of which will stand for election once every three years;</w:t>
      </w:r>
    </w:p>
    <w:p>
      <w:pPr>
        <w:spacing w:after="0" w:line="224"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is no cumulative voting;</w:t>
      </w:r>
    </w:p>
    <w:p>
      <w:pPr>
        <w:spacing w:after="0" w:line="224" w:lineRule="exact"/>
        <w:rPr>
          <w:rFonts w:ascii="Arial" w:cs="Arial" w:eastAsia="Arial" w:hAnsi="Arial"/>
          <w:sz w:val="18"/>
          <w:szCs w:val="18"/>
          <w:color w:val="auto"/>
        </w:rPr>
      </w:pPr>
    </w:p>
    <w:p>
      <w:pPr>
        <w:ind w:left="760" w:right="420" w:hanging="378"/>
        <w:spacing w:after="0" w:line="245"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board of directors may issue “blank check” preferred stock that our board of directors could use to implement a stockholder rights plan;</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board of directors may adopt, alter or repeal our bylaws;</w:t>
      </w:r>
    </w:p>
    <w:p>
      <w:pPr>
        <w:spacing w:after="0" w:line="224"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forum for certain litigation against us is restricted to Delaware; and</w:t>
      </w:r>
    </w:p>
    <w:p>
      <w:pPr>
        <w:spacing w:after="0" w:line="224" w:lineRule="exact"/>
        <w:rPr>
          <w:rFonts w:ascii="Arial" w:cs="Arial" w:eastAsia="Arial" w:hAnsi="Arial"/>
          <w:sz w:val="18"/>
          <w:szCs w:val="18"/>
          <w:color w:val="auto"/>
        </w:rPr>
      </w:pPr>
    </w:p>
    <w:p>
      <w:pPr>
        <w:ind w:left="760" w:right="8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111" w:name="page112"/>
    <w:bookmarkEnd w:id="111"/>
    <w:p>
      <w:pPr>
        <w:ind w:right="220"/>
        <w:spacing w:after="0" w:line="245" w:lineRule="auto"/>
        <w:rPr>
          <w:sz w:val="20"/>
          <w:szCs w:val="20"/>
          <w:color w:val="auto"/>
        </w:rPr>
      </w:pPr>
      <w:r>
        <w:rPr>
          <w:rFonts w:ascii="Arial" w:cs="Arial" w:eastAsia="Arial" w:hAnsi="Arial"/>
          <w:sz w:val="18"/>
          <w:szCs w:val="18"/>
          <w:color w:val="auto"/>
        </w:rPr>
        <w:t>Additional provisions will become effective on such date when AKKR and its affiliates cease to beneficially own in the aggregate, directly or indirectly, at least 50% of the voting power of our capital stock, which, among other things, provide that:</w:t>
      </w:r>
    </w:p>
    <w:p>
      <w:pPr>
        <w:spacing w:after="0" w:line="198" w:lineRule="exact"/>
        <w:rPr>
          <w:sz w:val="20"/>
          <w:szCs w:val="20"/>
          <w:color w:val="auto"/>
        </w:rPr>
      </w:pPr>
    </w:p>
    <w:p>
      <w:pPr>
        <w:ind w:left="760" w:hanging="378"/>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stockholders may not call special meetings of stockholders or act by written consent;</w:t>
      </w:r>
    </w:p>
    <w:p>
      <w:pPr>
        <w:spacing w:after="0" w:line="224" w:lineRule="exact"/>
        <w:rPr>
          <w:rFonts w:ascii="Arial" w:cs="Arial" w:eastAsia="Arial" w:hAnsi="Arial"/>
          <w:sz w:val="18"/>
          <w:szCs w:val="18"/>
          <w:color w:val="auto"/>
        </w:rPr>
      </w:pPr>
    </w:p>
    <w:p>
      <w:pPr>
        <w:ind w:left="760" w:right="340" w:hanging="378"/>
        <w:spacing w:after="0" w:line="245"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directors may only be removed from office for cause and with the affirmative vote of at least a majority of the voting power of our outstanding capital stock; and</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amending certain provisions of our certificate of incorporation and bylaws is subject to super-majority voting thresholds.</w:t>
      </w:r>
    </w:p>
    <w:p>
      <w:pPr>
        <w:spacing w:after="0" w:line="225"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are not subject to the provisions of Section 203 of the DGCL, or Section 203. In general, Section 203 prohibits a publicly held Delaware corporation from engaging in a "business combination" with an "interested stockholder" for a three-year period following the time that the person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Section 203, a business combination between a corporation and an interested stockholder is prohibited unless it satisfies one of the following conditions: (1) before the stockholder became an interested stockholder, the board of directors approved either the business combination or the transaction which resulted in the stockholder becoming an interested stockholder; (2)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stockholder became an interested stockholder,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20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w:t>
      </w:r>
    </w:p>
    <w:p>
      <w:pPr>
        <w:spacing w:after="0" w:line="202"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We have opted out of Section 203;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202" w:lineRule="exact"/>
        <w:rPr>
          <w:sz w:val="20"/>
          <w:szCs w:val="20"/>
          <w:color w:val="auto"/>
        </w:rPr>
      </w:pPr>
    </w:p>
    <w:p>
      <w:pPr>
        <w:ind w:left="760" w:right="800" w:hanging="378"/>
        <w:spacing w:after="0" w:line="245"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ind w:left="760" w:right="20" w:hanging="378"/>
        <w:spacing w:after="0" w:line="274" w:lineRule="auto"/>
        <w:tabs>
          <w:tab w:leader="none" w:pos="7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69" w:lineRule="exact"/>
        <w:rPr>
          <w:rFonts w:ascii="Arial" w:cs="Arial" w:eastAsia="Arial" w:hAnsi="Arial"/>
          <w:sz w:val="17"/>
          <w:szCs w:val="17"/>
          <w:color w:val="auto"/>
        </w:rPr>
      </w:pPr>
    </w:p>
    <w:p>
      <w:pPr>
        <w:ind w:left="760" w:hanging="378"/>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w:t>
      </w:r>
    </w:p>
    <w:p>
      <w:pPr>
        <w:ind w:left="760"/>
        <w:spacing w:after="0" w:line="234" w:lineRule="auto"/>
        <w:rPr>
          <w:sz w:val="20"/>
          <w:szCs w:val="20"/>
          <w:color w:val="auto"/>
        </w:rPr>
      </w:pPr>
      <w:r>
        <w:rPr>
          <w:rFonts w:ascii="Arial" w:cs="Arial" w:eastAsia="Arial" w:hAnsi="Arial"/>
          <w:sz w:val="18"/>
          <w:szCs w:val="18"/>
          <w:color w:val="auto"/>
        </w:rPr>
        <w:t>of at least 66-2/3% of our outstanding voting stock that is not owned by the interested stockholder.</w:t>
      </w:r>
    </w:p>
    <w:p>
      <w:pPr>
        <w:ind w:left="5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112" w:name="page113"/>
    <w:bookmarkEnd w:id="112"/>
    <w:p>
      <w:pPr>
        <w:ind w:right="20"/>
        <w:spacing w:after="0" w:line="237"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203"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Our certificate of incorporation provides that AKKR, certain of its direct or indirect transferees and any group as to which AKKR is a party for the purpose of acquiring, holding, voting or disposing of shares of our capital stock, do not constitute "interested stockholders" for purposes of this provision.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Exclusive Forum</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or our certificate of incorporation or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This provision would not apply to any action brought to enforce a duty or liability created by the Securities Exchange Act of 1934, as amended, and the rules and regulations thereunder. Our bylaws also provide that, unless we consent in writing to the selection of an alternative forum, the federal district courts of the United States will be the sole and exclusive forum for resolving any complaint asserting a cause of action arising under the Securities Act of 1933, as amended.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RESTRICTED STOCK UNIT GRANT</w:t>
      </w:r>
    </w:p>
    <w:p>
      <w:pPr>
        <w:spacing w:after="0" w:line="21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Unless otherwise defined herein, the terms defined in the Paymentus Holdings, Inc. 2021 Equity Incentive Plan (the “</w:t>
      </w:r>
      <w:r>
        <w:rPr>
          <w:rFonts w:ascii="Arial" w:cs="Arial" w:eastAsia="Arial" w:hAnsi="Arial"/>
          <w:sz w:val="20"/>
          <w:szCs w:val="20"/>
          <w:b w:val="1"/>
          <w:bCs w:val="1"/>
          <w:color w:val="auto"/>
        </w:rPr>
        <w:t>Plan</w:t>
      </w:r>
      <w:r>
        <w:rPr>
          <w:rFonts w:ascii="Arial" w:cs="Arial" w:eastAsia="Arial" w:hAnsi="Arial"/>
          <w:sz w:val="20"/>
          <w:szCs w:val="20"/>
          <w:color w:val="auto"/>
        </w:rPr>
        <w:t>”) will have the same defined meanings in this Restricted Stock Unit Agreement, which includes the Notice of Restricted Stock Unit Grant (the “</w:t>
      </w:r>
      <w:r>
        <w:rPr>
          <w:rFonts w:ascii="Arial" w:cs="Arial" w:eastAsia="Arial" w:hAnsi="Arial"/>
          <w:sz w:val="20"/>
          <w:szCs w:val="20"/>
          <w:b w:val="1"/>
          <w:bCs w:val="1"/>
          <w:color w:val="auto"/>
        </w:rPr>
        <w:t>Notice of Grant</w:t>
      </w:r>
      <w:r>
        <w:rPr>
          <w:rFonts w:ascii="Arial" w:cs="Arial" w:eastAsia="Arial" w:hAnsi="Arial"/>
          <w:sz w:val="20"/>
          <w:szCs w:val="20"/>
          <w:color w:val="auto"/>
        </w:rPr>
        <w:t xml:space="preserve">”), the Terms and Conditions of Restricted Stock Unit Grant, attached hereto as </w:t>
      </w:r>
      <w:r>
        <w:rPr>
          <w:rFonts w:ascii="Arial" w:cs="Arial" w:eastAsia="Arial" w:hAnsi="Arial"/>
          <w:sz w:val="20"/>
          <w:szCs w:val="20"/>
          <w:b w:val="1"/>
          <w:bCs w:val="1"/>
          <w:color w:val="auto"/>
        </w:rPr>
        <w:t>Exhibit</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20"/>
          <w:szCs w:val="20"/>
          <w:color w:val="auto"/>
        </w:rPr>
        <w:t>, and all other exhibits, appendices, and addenda attached hereto (including any additional terms and conditions for Participant’s</w:t>
      </w:r>
      <w:r>
        <w:rPr>
          <w:rFonts w:ascii="Arial" w:cs="Arial" w:eastAsia="Arial" w:hAnsi="Arial"/>
          <w:sz w:val="20"/>
          <w:szCs w:val="20"/>
          <w:b w:val="1"/>
          <w:bCs w:val="1"/>
          <w:color w:val="auto"/>
        </w:rPr>
        <w:t xml:space="preserve"> </w:t>
      </w:r>
      <w:r>
        <w:rPr>
          <w:rFonts w:ascii="Arial" w:cs="Arial" w:eastAsia="Arial" w:hAnsi="Arial"/>
          <w:sz w:val="20"/>
          <w:szCs w:val="20"/>
          <w:color w:val="auto"/>
        </w:rPr>
        <w:t>country set forth in Appendix 1 to the Terms and Conditions of Restricted Stock Unit Grant (the “</w:t>
      </w:r>
      <w:r>
        <w:rPr>
          <w:rFonts w:ascii="Arial" w:cs="Arial" w:eastAsia="Arial" w:hAnsi="Arial"/>
          <w:sz w:val="20"/>
          <w:szCs w:val="20"/>
          <w:b w:val="1"/>
          <w:bCs w:val="1"/>
          <w:color w:val="auto"/>
        </w:rPr>
        <w:t>Country Addendum</w:t>
      </w:r>
      <w:r>
        <w:rPr>
          <w:rFonts w:ascii="Arial" w:cs="Arial" w:eastAsia="Arial" w:hAnsi="Arial"/>
          <w:sz w:val="20"/>
          <w:szCs w:val="20"/>
          <w:color w:val="auto"/>
        </w:rPr>
        <w:t>”) and restrictive covenants set forth in Appendix 2 to the Terms and Conditions of Restricted Stock Unit Grant (the “</w:t>
      </w:r>
      <w:r>
        <w:rPr>
          <w:rFonts w:ascii="Arial" w:cs="Arial" w:eastAsia="Arial" w:hAnsi="Arial"/>
          <w:sz w:val="20"/>
          <w:szCs w:val="20"/>
          <w:b w:val="1"/>
          <w:bCs w:val="1"/>
          <w:color w:val="auto"/>
        </w:rPr>
        <w:t>Restrictive</w:t>
      </w:r>
      <w:r>
        <w:rPr>
          <w:rFonts w:ascii="Arial" w:cs="Arial" w:eastAsia="Arial" w:hAnsi="Arial"/>
          <w:sz w:val="20"/>
          <w:szCs w:val="20"/>
          <w:color w:val="auto"/>
        </w:rPr>
        <w:t xml:space="preserve"> </w:t>
      </w:r>
      <w:r>
        <w:rPr>
          <w:rFonts w:ascii="Arial" w:cs="Arial" w:eastAsia="Arial" w:hAnsi="Arial"/>
          <w:sz w:val="20"/>
          <w:szCs w:val="20"/>
          <w:b w:val="1"/>
          <w:bCs w:val="1"/>
          <w:color w:val="auto"/>
        </w:rPr>
        <w:t>Covenants Addendum</w:t>
      </w:r>
      <w:r>
        <w:rPr>
          <w:rFonts w:ascii="Arial" w:cs="Arial" w:eastAsia="Arial" w:hAnsi="Arial"/>
          <w:sz w:val="20"/>
          <w:szCs w:val="20"/>
          <w:color w:val="auto"/>
        </w:rPr>
        <w:t>”)) (together, the “</w:t>
      </w:r>
      <w:r>
        <w:rPr>
          <w:rFonts w:ascii="Arial" w:cs="Arial" w:eastAsia="Arial" w:hAnsi="Arial"/>
          <w:sz w:val="20"/>
          <w:szCs w:val="20"/>
          <w:b w:val="1"/>
          <w:bCs w:val="1"/>
          <w:color w:val="auto"/>
        </w:rPr>
        <w:t>Award Agreement</w:t>
      </w:r>
      <w:r>
        <w:rPr>
          <w:rFonts w:ascii="Arial" w:cs="Arial" w:eastAsia="Arial" w:hAnsi="Arial"/>
          <w:sz w:val="20"/>
          <w:szCs w:val="20"/>
          <w:color w:val="auto"/>
        </w:rPr>
        <w:t>”).</w:t>
      </w:r>
    </w:p>
    <w:p>
      <w:pPr>
        <w:spacing w:after="0" w:line="200" w:lineRule="exact"/>
        <w:rPr>
          <w:sz w:val="20"/>
          <w:szCs w:val="20"/>
          <w:color w:val="auto"/>
        </w:rPr>
      </w:pPr>
    </w:p>
    <w:p>
      <w:pPr>
        <w:spacing w:after="0" w:line="20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Participant Name:</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Address:</w:t>
      </w:r>
    </w:p>
    <w:p>
      <w:pPr>
        <w:spacing w:after="0" w:line="21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undersigned Participant has been granted an Award of Restricted Stock Units, subject to the terms and conditions of the Plan and this Award Agreement, as follows:</w:t>
      </w:r>
    </w:p>
    <w:p>
      <w:pPr>
        <w:sectPr>
          <w:pgSz w:w="11900" w:h="16838" w:orient="portrait"/>
          <w:cols w:equalWidth="0" w:num="1">
            <w:col w:w="11240"/>
          </w:cols>
          <w:pgMar w:left="320" w:top="118" w:right="339" w:bottom="1440" w:gutter="0" w:footer="0" w:header="0"/>
        </w:sectPr>
      </w:pPr>
    </w:p>
    <w:p>
      <w:pPr>
        <w:spacing w:after="0" w:line="17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Grant Number: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00" w:lineRule="exact"/>
        <w:rPr>
          <w:sz w:val="20"/>
          <w:szCs w:val="20"/>
          <w:color w:val="auto"/>
        </w:rPr>
      </w:pPr>
    </w:p>
    <w:p>
      <w:pPr>
        <w:sectPr>
          <w:pgSz w:w="11900" w:h="16838" w:orient="portrait"/>
          <w:cols w:equalWidth="0" w:num="2">
            <w:col w:w="3060" w:space="720"/>
            <w:col w:w="7460"/>
          </w:cols>
          <w:pgMar w:left="320" w:top="118" w:right="339" w:bottom="1440" w:gutter="0" w:footer="0" w:header="0"/>
          <w:type w:val="continuous"/>
        </w:sectPr>
      </w:pPr>
    </w:p>
    <w:p>
      <w:pPr>
        <w:spacing w:after="0" w:line="4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00" w:lineRule="exact"/>
        <w:rPr>
          <w:sz w:val="20"/>
          <w:szCs w:val="20"/>
          <w:color w:val="auto"/>
        </w:rPr>
      </w:pPr>
    </w:p>
    <w:p>
      <w:pPr>
        <w:sectPr>
          <w:pgSz w:w="11900" w:h="16838" w:orient="portrait"/>
          <w:cols w:equalWidth="0" w:num="2">
            <w:col w:w="3060" w:space="720"/>
            <w:col w:w="7460"/>
          </w:cols>
          <w:pgMar w:left="320" w:top="118" w:right="339" w:bottom="1440" w:gutter="0" w:footer="0" w:header="0"/>
          <w:type w:val="continuous"/>
        </w:sectPr>
      </w:pPr>
    </w:p>
    <w:p>
      <w:pPr>
        <w:spacing w:after="0" w:line="4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Total Number of Restricted Stock Units: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00" w:lineRule="exact"/>
        <w:rPr>
          <w:sz w:val="20"/>
          <w:szCs w:val="20"/>
          <w:color w:val="auto"/>
        </w:rPr>
      </w:pPr>
    </w:p>
    <w:p>
      <w:pPr>
        <w:sectPr>
          <w:pgSz w:w="11900" w:h="16838" w:orient="portrait"/>
          <w:cols w:equalWidth="0" w:num="2">
            <w:col w:w="4240" w:space="400"/>
            <w:col w:w="6600"/>
          </w:cols>
          <w:pgMar w:left="320" w:top="118"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p>
    <w:p>
      <w:pPr>
        <w:spacing w:after="0" w:line="9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For purposes of this Award Agreement, “</w:t>
      </w:r>
      <w:r>
        <w:rPr>
          <w:rFonts w:ascii="Arial" w:cs="Arial" w:eastAsia="Arial" w:hAnsi="Arial"/>
          <w:sz w:val="22"/>
          <w:szCs w:val="22"/>
          <w:b w:val="1"/>
          <w:bCs w:val="1"/>
          <w:color w:val="auto"/>
        </w:rPr>
        <w:t>Quarterly Vesting Dates</w:t>
      </w:r>
      <w:r>
        <w:rPr>
          <w:rFonts w:ascii="Arial" w:cs="Arial" w:eastAsia="Arial" w:hAnsi="Arial"/>
          <w:sz w:val="22"/>
          <w:szCs w:val="22"/>
          <w:color w:val="auto"/>
        </w:rPr>
        <w:t>” with respect to any calendar year means February 15, May 15, August 15, and November 15.</w:t>
      </w:r>
    </w:p>
    <w:p>
      <w:pPr>
        <w:spacing w:after="0" w:line="16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Subject to any acceleration provisions contained in the Plan, this Award Agreement or any other written agreement authorized by the Administrator between Participant and the Company (or any Parent or Subsidiary of the Company, as applicable) governing the terms of this Award, The Restricted Stock Units will be scheduled to vest according to the following vesting schedule:</w:t>
      </w:r>
    </w:p>
    <w:p>
      <w:pPr>
        <w:spacing w:after="0" w:line="43" w:lineRule="exact"/>
        <w:rPr>
          <w:sz w:val="20"/>
          <w:szCs w:val="20"/>
          <w:color w:val="auto"/>
        </w:rPr>
      </w:pPr>
    </w:p>
    <w:p>
      <w:pPr>
        <w:ind w:left="760"/>
        <w:spacing w:after="0"/>
        <w:rPr>
          <w:sz w:val="20"/>
          <w:szCs w:val="20"/>
          <w:color w:val="auto"/>
        </w:rPr>
      </w:pPr>
      <w:r>
        <w:rPr>
          <w:rFonts w:ascii="Arial" w:cs="Arial" w:eastAsia="Arial" w:hAnsi="Arial"/>
          <w:sz w:val="21"/>
          <w:szCs w:val="21"/>
          <w:color w:val="auto"/>
        </w:rPr>
        <w:t>One-_______ (1/__</w:t>
      </w:r>
      <w:r>
        <w:rPr>
          <w:rFonts w:ascii="Arial" w:cs="Arial" w:eastAsia="Arial" w:hAnsi="Arial"/>
          <w:sz w:val="27"/>
          <w:szCs w:val="27"/>
          <w:color w:val="auto"/>
          <w:vertAlign w:val="superscript"/>
        </w:rPr>
        <w:t>th</w:t>
      </w:r>
      <w:r>
        <w:rPr>
          <w:rFonts w:ascii="Arial" w:cs="Arial" w:eastAsia="Arial" w:hAnsi="Arial"/>
          <w:sz w:val="21"/>
          <w:szCs w:val="21"/>
          <w:color w:val="auto"/>
        </w:rPr>
        <w:t>) of the Total Number of Restricted Stock Units (as set forth above) subject to this Award</w:t>
      </w:r>
    </w:p>
    <w:p>
      <w:pPr>
        <w:jc w:val="both"/>
        <w:ind w:right="20"/>
        <w:spacing w:after="0" w:line="249" w:lineRule="exact"/>
        <w:rPr>
          <w:sz w:val="20"/>
          <w:szCs w:val="20"/>
          <w:color w:val="auto"/>
        </w:rPr>
      </w:pPr>
      <w:r>
        <w:rPr>
          <w:rFonts w:ascii="Arial" w:cs="Arial" w:eastAsia="Arial" w:hAnsi="Arial"/>
          <w:sz w:val="19"/>
          <w:szCs w:val="19"/>
          <w:color w:val="auto"/>
        </w:rPr>
        <w:t>Agreement will be scheduled to vest on the one (1) year anniversary of the Grant Date (such first vesting date, the “</w:t>
      </w:r>
      <w:r>
        <w:rPr>
          <w:rFonts w:ascii="Arial" w:cs="Arial" w:eastAsia="Arial" w:hAnsi="Arial"/>
          <w:sz w:val="19"/>
          <w:szCs w:val="19"/>
          <w:b w:val="1"/>
          <w:bCs w:val="1"/>
          <w:color w:val="auto"/>
        </w:rPr>
        <w:t>First Vesting</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and thereafter, one</w:t>
      </w:r>
      <w:r>
        <w:rPr>
          <w:rFonts w:ascii="MS PGothic" w:cs="MS PGothic" w:eastAsia="MS PGothic" w:hAnsi="MS PGothic"/>
          <w:sz w:val="19"/>
          <w:szCs w:val="19"/>
          <w:color w:val="auto"/>
        </w:rPr>
        <w:t>‑</w:t>
      </w:r>
      <w:r>
        <w:rPr>
          <w:rFonts w:ascii="Arial" w:cs="Arial" w:eastAsia="Arial" w:hAnsi="Arial"/>
          <w:sz w:val="19"/>
          <w:szCs w:val="19"/>
          <w:color w:val="auto"/>
        </w:rPr>
        <w:t>_______ (1/__</w:t>
      </w:r>
      <w:r>
        <w:rPr>
          <w:rFonts w:ascii="Arial" w:cs="Arial" w:eastAsia="Arial" w:hAnsi="Arial"/>
          <w:sz w:val="25"/>
          <w:szCs w:val="25"/>
          <w:color w:val="auto"/>
          <w:vertAlign w:val="superscript"/>
        </w:rPr>
        <w:t>th</w:t>
      </w:r>
      <w:r>
        <w:rPr>
          <w:rFonts w:ascii="Arial" w:cs="Arial" w:eastAsia="Arial" w:hAnsi="Arial"/>
          <w:sz w:val="19"/>
          <w:szCs w:val="19"/>
          <w:color w:val="auto"/>
        </w:rPr>
        <w:t>) of the Total Number of Restricted Stock Units subject to this Award Agreement will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be scheduled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to vest on each of the _______ (__) Quarterly Vesting Dates that occur after the First Vesting Date, beginning with the second</w:t>
      </w:r>
    </w:p>
    <w:p>
      <w:pPr>
        <w:spacing w:after="0" w:line="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Quarterly Vesting Date following the First Vesting Date, subject to Participant continuing to be a Service Provider through the applicable vesting date.</w:t>
      </w:r>
    </w:p>
    <w:p>
      <w:pPr>
        <w:spacing w:after="0" w:line="7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 xml:space="preserve">By Participant’s signature or by Participant’s acceptance of the Award Agreement via the Company’s designated electronic acceptance procedures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Arial" w:cs="Arial" w:eastAsia="Arial" w:hAnsi="Arial"/>
          <w:sz w:val="20"/>
          <w:szCs w:val="20"/>
          <w:b w:val="1"/>
          <w:bCs w:val="1"/>
          <w:color w:val="auto"/>
        </w:rPr>
        <w:t>Exhibit A</w:t>
      </w:r>
      <w:r>
        <w:rPr>
          <w:rFonts w:ascii="Arial" w:cs="Arial" w:eastAsia="Arial" w:hAnsi="Arial"/>
          <w:sz w:val="20"/>
          <w:szCs w:val="20"/>
          <w:color w:val="auto"/>
        </w:rPr>
        <w:t>, and all other exhibits, appendices and addenda attached hereto (including any Country Addendum and Restrictive Covenants Addendum),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ectPr>
          <w:pgSz w:w="11900" w:h="16838" w:orient="portrait"/>
          <w:cols w:equalWidth="0" w:num="1">
            <w:col w:w="11240"/>
          </w:cols>
          <w:pgMar w:left="320" w:top="334"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PAYMENTUS HOLDINGS, INC.</w:t>
      </w:r>
    </w:p>
    <w:p>
      <w:pPr>
        <w:spacing w:after="0" w:line="200" w:lineRule="exact"/>
        <w:rPr>
          <w:sz w:val="20"/>
          <w:szCs w:val="20"/>
          <w:color w:val="auto"/>
        </w:rPr>
      </w:pPr>
    </w:p>
    <w:p>
      <w:pPr>
        <w:sectPr>
          <w:pgSz w:w="11900" w:h="16838" w:orient="portrait"/>
          <w:cols w:equalWidth="0" w:num="2">
            <w:col w:w="1440" w:space="720"/>
            <w:col w:w="9080"/>
          </w:cols>
          <w:pgMar w:left="320" w:top="334" w:right="3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____________________________________</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____________________________________</w:t>
      </w:r>
    </w:p>
    <w:p>
      <w:pPr>
        <w:spacing w:after="0" w:line="62" w:lineRule="exact"/>
        <w:rPr>
          <w:sz w:val="20"/>
          <w:szCs w:val="20"/>
          <w:color w:val="auto"/>
        </w:rPr>
      </w:pPr>
    </w:p>
    <w:p>
      <w:pPr>
        <w:sectPr>
          <w:pgSz w:w="11900" w:h="16838" w:orient="portrait"/>
          <w:cols w:equalWidth="0" w:num="2">
            <w:col w:w="3900" w:space="420"/>
            <w:col w:w="6920"/>
          </w:cols>
          <w:pgMar w:left="320" w:top="334" w:right="339" w:bottom="1440" w:gutter="0" w:footer="0" w:header="0"/>
          <w:type w:val="continuous"/>
        </w:sect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ectPr>
          <w:pgSz w:w="11900" w:h="16838" w:orient="portrait"/>
          <w:cols w:equalWidth="0" w:num="2">
            <w:col w:w="700" w:space="380"/>
            <w:col w:w="10160"/>
          </w:cols>
          <w:pgMar w:left="320" w:top="33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____________________________________</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____________________________________</w:t>
      </w:r>
    </w:p>
    <w:p>
      <w:pPr>
        <w:spacing w:after="0" w:line="62" w:lineRule="exact"/>
        <w:rPr>
          <w:sz w:val="20"/>
          <w:szCs w:val="20"/>
          <w:color w:val="auto"/>
        </w:rPr>
      </w:pPr>
    </w:p>
    <w:p>
      <w:pPr>
        <w:sectPr>
          <w:pgSz w:w="11900" w:h="16838" w:orient="portrait"/>
          <w:cols w:equalWidth="0" w:num="2">
            <w:col w:w="3900" w:space="420"/>
            <w:col w:w="6920"/>
          </w:cols>
          <w:pgMar w:left="320" w:top="334" w:right="339" w:bottom="1440" w:gutter="0" w:footer="0" w:header="0"/>
          <w:type w:val="continuous"/>
        </w:sect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Print Name</w:t>
      </w:r>
    </w:p>
    <w:p>
      <w:pPr>
        <w:spacing w:after="0" w:line="200" w:lineRule="exact"/>
        <w:rPr>
          <w:sz w:val="20"/>
          <w:szCs w:val="20"/>
          <w:color w:val="auto"/>
        </w:rPr>
      </w:pPr>
    </w:p>
    <w:p>
      <w:pPr>
        <w:sectPr>
          <w:pgSz w:w="11900" w:h="16838" w:orient="portrait"/>
          <w:cols w:equalWidth="0" w:num="2">
            <w:col w:w="840" w:space="600"/>
            <w:col w:w="9800"/>
          </w:cols>
          <w:pgMar w:left="320" w:top="334" w:right="33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____________________________________</w:t>
      </w:r>
    </w:p>
    <w:p>
      <w:pPr>
        <w:spacing w:after="0" w:line="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Residence Address: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RESTRICTED STOCK UNIT GRANT</w:t>
      </w:r>
    </w:p>
    <w:p>
      <w:pPr>
        <w:spacing w:after="0" w:line="205" w:lineRule="exact"/>
        <w:rPr>
          <w:sz w:val="20"/>
          <w:szCs w:val="20"/>
          <w:color w:val="auto"/>
        </w:rPr>
      </w:pPr>
    </w:p>
    <w:p>
      <w:pPr>
        <w:jc w:val="both"/>
        <w:ind w:firstLine="757"/>
        <w:spacing w:after="0" w:line="263" w:lineRule="auto"/>
        <w:tabs>
          <w:tab w:leader="none" w:pos="1498"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Grant of Restricted Stock Units</w:t>
      </w:r>
      <w:r>
        <w:rPr>
          <w:rFonts w:ascii="Arial" w:cs="Arial" w:eastAsia="Arial" w:hAnsi="Arial"/>
          <w:sz w:val="20"/>
          <w:szCs w:val="20"/>
          <w:color w:val="auto"/>
        </w:rPr>
        <w:t>. Paymentus Holdings, Inc. (the “</w:t>
      </w:r>
      <w:r>
        <w:rPr>
          <w:rFonts w:ascii="Arial" w:cs="Arial" w:eastAsia="Arial" w:hAnsi="Arial"/>
          <w:sz w:val="20"/>
          <w:szCs w:val="20"/>
          <w:b w:val="1"/>
          <w:bCs w:val="1"/>
          <w:color w:val="auto"/>
        </w:rPr>
        <w:t>Company</w:t>
      </w:r>
      <w:r>
        <w:rPr>
          <w:rFonts w:ascii="Arial" w:cs="Arial" w:eastAsia="Arial" w:hAnsi="Arial"/>
          <w:sz w:val="20"/>
          <w:szCs w:val="20"/>
          <w:color w:val="auto"/>
        </w:rPr>
        <w:t>”) hereby grants to the individual</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Participant</w:t>
      </w:r>
      <w:r>
        <w:rPr>
          <w:rFonts w:ascii="Arial" w:cs="Arial" w:eastAsia="Arial" w:hAnsi="Arial"/>
          <w:sz w:val="20"/>
          <w:szCs w:val="20"/>
          <w:color w:val="auto"/>
        </w:rPr>
        <w:t>”) named in the Notice of Restricted Stock Unit Grant of this Award Agreement (the “</w:t>
      </w:r>
      <w:r>
        <w:rPr>
          <w:rFonts w:ascii="Arial" w:cs="Arial" w:eastAsia="Arial" w:hAnsi="Arial"/>
          <w:sz w:val="20"/>
          <w:szCs w:val="20"/>
          <w:b w:val="1"/>
          <w:bCs w:val="1"/>
          <w:color w:val="auto"/>
        </w:rPr>
        <w:t>Notice of Grant</w:t>
      </w:r>
      <w:r>
        <w:rPr>
          <w:rFonts w:ascii="Arial" w:cs="Arial" w:eastAsia="Arial" w:hAnsi="Arial"/>
          <w:sz w:val="20"/>
          <w:szCs w:val="20"/>
          <w:color w:val="auto"/>
        </w:rPr>
        <w:t>”) under the Plan, on behalf of the Company and any Parent or Subsidiary by which Participant is employed, an Award of Restricted Stock Units,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159" w:lineRule="exact"/>
        <w:rPr>
          <w:rFonts w:ascii="Arial" w:cs="Arial" w:eastAsia="Arial" w:hAnsi="Arial"/>
          <w:sz w:val="20"/>
          <w:szCs w:val="20"/>
          <w:color w:val="auto"/>
        </w:rPr>
      </w:pPr>
    </w:p>
    <w:p>
      <w:pPr>
        <w:jc w:val="both"/>
        <w:ind w:firstLine="757"/>
        <w:spacing w:after="0" w:line="237" w:lineRule="auto"/>
        <w:tabs>
          <w:tab w:leader="none" w:pos="1498"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Company’s Obligation to Pay</w:t>
      </w:r>
      <w:r>
        <w:rPr>
          <w:rFonts w:ascii="Arial" w:cs="Arial" w:eastAsia="Arial" w:hAnsi="Arial"/>
          <w:sz w:val="22"/>
          <w:szCs w:val="22"/>
          <w:color w:val="auto"/>
        </w:rPr>
        <w:t>. Each Restricted Stock Unit represents the right to receive a share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Class A common stock (a “</w:t>
      </w:r>
      <w:r>
        <w:rPr>
          <w:rFonts w:ascii="Arial" w:cs="Arial" w:eastAsia="Arial" w:hAnsi="Arial"/>
          <w:sz w:val="22"/>
          <w:szCs w:val="22"/>
          <w:b w:val="1"/>
          <w:bCs w:val="1"/>
          <w:color w:val="auto"/>
        </w:rPr>
        <w:t>Share</w:t>
      </w:r>
      <w:r>
        <w:rPr>
          <w:rFonts w:ascii="Arial" w:cs="Arial" w:eastAsia="Arial" w:hAnsi="Arial"/>
          <w:sz w:val="22"/>
          <w:szCs w:val="22"/>
          <w:color w:val="auto"/>
        </w:rPr>
        <w:t>”)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80" w:lineRule="exact"/>
        <w:rPr>
          <w:rFonts w:ascii="Arial" w:cs="Arial" w:eastAsia="Arial" w:hAnsi="Arial"/>
          <w:sz w:val="22"/>
          <w:szCs w:val="22"/>
          <w:color w:val="auto"/>
        </w:rPr>
      </w:pPr>
    </w:p>
    <w:p>
      <w:pPr>
        <w:jc w:val="both"/>
        <w:ind w:firstLine="757"/>
        <w:spacing w:after="0" w:line="262" w:lineRule="auto"/>
        <w:tabs>
          <w:tab w:leader="none" w:pos="1498"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 Except as provided in Section 4, and subject to Section 5, the Restricted Stock Units</w:t>
      </w:r>
      <w:r>
        <w:rPr>
          <w:rFonts w:ascii="Arial" w:cs="Arial" w:eastAsia="Arial" w:hAnsi="Arial"/>
          <w:sz w:val="20"/>
          <w:szCs w:val="20"/>
          <w:b w:val="1"/>
          <w:bCs w:val="1"/>
          <w:color w:val="auto"/>
        </w:rPr>
        <w:t xml:space="preserve"> </w:t>
      </w:r>
      <w:r>
        <w:rPr>
          <w:rFonts w:ascii="Arial" w:cs="Arial" w:eastAsia="Arial" w:hAnsi="Arial"/>
          <w:sz w:val="20"/>
          <w:szCs w:val="20"/>
          <w:color w:val="auto"/>
        </w:rPr>
        <w:t>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57" w:lineRule="exact"/>
        <w:rPr>
          <w:rFonts w:ascii="Arial" w:cs="Arial" w:eastAsia="Arial" w:hAnsi="Arial"/>
          <w:sz w:val="20"/>
          <w:szCs w:val="20"/>
          <w:color w:val="auto"/>
        </w:rPr>
      </w:pPr>
    </w:p>
    <w:p>
      <w:pPr>
        <w:ind w:left="1500" w:hanging="743"/>
        <w:spacing w:after="0"/>
        <w:tabs>
          <w:tab w:leader="none" w:pos="1500"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Payment after Vesting</w:t>
      </w:r>
      <w:r>
        <w:rPr>
          <w:rFonts w:ascii="Arial" w:cs="Arial" w:eastAsia="Arial" w:hAnsi="Arial"/>
          <w:sz w:val="22"/>
          <w:szCs w:val="22"/>
          <w:color w:val="auto"/>
        </w:rPr>
        <w:t>.</w:t>
      </w:r>
    </w:p>
    <w:p>
      <w:pPr>
        <w:spacing w:after="0" w:line="205" w:lineRule="exact"/>
        <w:rPr>
          <w:sz w:val="20"/>
          <w:szCs w:val="20"/>
          <w:color w:val="auto"/>
        </w:rPr>
      </w:pPr>
    </w:p>
    <w:p>
      <w:pPr>
        <w:jc w:val="both"/>
        <w:ind w:firstLine="1505"/>
        <w:spacing w:after="0" w:line="236" w:lineRule="auto"/>
        <w:tabs>
          <w:tab w:leader="none" w:pos="2995"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General Rule</w:t>
      </w:r>
      <w:r>
        <w:rPr>
          <w:rFonts w:ascii="Arial" w:cs="Arial" w:eastAsia="Arial" w:hAnsi="Arial"/>
          <w:sz w:val="22"/>
          <w:szCs w:val="22"/>
          <w:color w:val="auto"/>
        </w:rPr>
        <w:t>. Subject to Section 7, any Restricted Stock Units that vest will be paid to</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(or in the event of Participant’s death, to his or her properly and validly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85" w:lineRule="exact"/>
        <w:rPr>
          <w:rFonts w:ascii="Arial" w:cs="Arial" w:eastAsia="Arial" w:hAnsi="Arial"/>
          <w:sz w:val="22"/>
          <w:szCs w:val="22"/>
          <w:color w:val="auto"/>
        </w:rPr>
      </w:pPr>
    </w:p>
    <w:p>
      <w:pPr>
        <w:ind w:left="5580" w:hanging="136"/>
        <w:spacing w:after="0"/>
        <w:tabs>
          <w:tab w:leader="none" w:pos="5580" w:val="left"/>
        </w:tabs>
        <w:numPr>
          <w:ilvl w:val="1"/>
          <w:numId w:val="58"/>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1505"/>
        <w:spacing w:after="0" w:line="239" w:lineRule="auto"/>
        <w:tabs>
          <w:tab w:leader="none" w:pos="2995"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Discretionary Acceleration</w:t>
      </w:r>
      <w:r>
        <w:rPr>
          <w:rFonts w:ascii="Arial" w:cs="Arial" w:eastAsia="Arial" w:hAnsi="Arial"/>
          <w:sz w:val="22"/>
          <w:szCs w:val="22"/>
          <w:color w:val="auto"/>
        </w:rPr>
        <w:t>. The Administrator, in its discretion, may accelerate the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79" w:lineRule="exact"/>
        <w:rPr>
          <w:sz w:val="20"/>
          <w:szCs w:val="20"/>
          <w:color w:val="auto"/>
        </w:rPr>
      </w:pPr>
    </w:p>
    <w:p>
      <w:pPr>
        <w:ind w:left="3000" w:hanging="1495"/>
        <w:spacing w:after="0"/>
        <w:tabs>
          <w:tab w:leader="none" w:pos="300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211"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2"/>
          <w:szCs w:val="22"/>
          <w:color w:val="auto"/>
        </w:rPr>
        <w:t>(i) 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87" w:lineRule="exact"/>
        <w:rPr>
          <w:sz w:val="20"/>
          <w:szCs w:val="20"/>
          <w:color w:val="auto"/>
        </w:rPr>
      </w:pPr>
    </w:p>
    <w:p>
      <w:pPr>
        <w:jc w:val="both"/>
        <w:ind w:firstLine="2246"/>
        <w:spacing w:after="0" w:line="255" w:lineRule="auto"/>
        <w:rPr>
          <w:sz w:val="20"/>
          <w:szCs w:val="20"/>
          <w:color w:val="auto"/>
        </w:rPr>
      </w:pPr>
      <w:r>
        <w:rPr>
          <w:rFonts w:ascii="Arial" w:cs="Arial" w:eastAsia="Arial" w:hAnsi="Arial"/>
          <w:sz w:val="20"/>
          <w:szCs w:val="20"/>
          <w:color w:val="auto"/>
        </w:rPr>
        <w:t>(ii) 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w:t>
      </w:r>
    </w:p>
    <w:p>
      <w:pPr>
        <w:spacing w:after="0" w:line="7" w:lineRule="exact"/>
        <w:rPr>
          <w:sz w:val="20"/>
          <w:szCs w:val="20"/>
          <w:color w:val="auto"/>
        </w:rPr>
      </w:pPr>
    </w:p>
    <w:p>
      <w:pPr>
        <w:jc w:val="both"/>
        <w:ind w:firstLine="8"/>
        <w:spacing w:after="0" w:line="280" w:lineRule="auto"/>
        <w:tabs>
          <w:tab w:leader="none" w:pos="3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49" w:lineRule="exact"/>
        <w:rPr>
          <w:sz w:val="20"/>
          <w:szCs w:val="20"/>
          <w:color w:val="auto"/>
        </w:rPr>
      </w:pPr>
    </w:p>
    <w:p>
      <w:pPr>
        <w:jc w:val="both"/>
        <w:ind w:firstLine="2246"/>
        <w:spacing w:after="0" w:line="258" w:lineRule="auto"/>
        <w:rPr>
          <w:sz w:val="20"/>
          <w:szCs w:val="20"/>
          <w:color w:val="auto"/>
        </w:rPr>
      </w:pPr>
      <w:r>
        <w:rPr>
          <w:rFonts w:ascii="Arial" w:cs="Arial" w:eastAsia="Arial" w:hAnsi="Arial"/>
          <w:sz w:val="20"/>
          <w:szCs w:val="20"/>
          <w:color w:val="auto"/>
        </w:rPr>
        <w:t>(iii)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757"/>
        <w:spacing w:after="0" w:line="266" w:lineRule="auto"/>
        <w:tabs>
          <w:tab w:leader="none" w:pos="1498"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Forfeiture Upon Termination as a Service Provider</w:t>
      </w:r>
      <w:r>
        <w:rPr>
          <w:rFonts w:ascii="Arial" w:cs="Arial" w:eastAsia="Arial" w:hAnsi="Arial"/>
          <w:sz w:val="20"/>
          <w:szCs w:val="20"/>
          <w:color w:val="auto"/>
        </w:rPr>
        <w:t>. Unless specifically provided otherwise in this Award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or other written agreement authorized by the Administrator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3" w:lineRule="exact"/>
        <w:rPr>
          <w:rFonts w:ascii="Arial" w:cs="Arial" w:eastAsia="Arial" w:hAnsi="Arial"/>
          <w:sz w:val="20"/>
          <w:szCs w:val="20"/>
          <w:color w:val="auto"/>
        </w:rPr>
      </w:pPr>
    </w:p>
    <w:p>
      <w:pPr>
        <w:jc w:val="both"/>
        <w:ind w:firstLine="757"/>
        <w:spacing w:after="0" w:line="262" w:lineRule="auto"/>
        <w:tabs>
          <w:tab w:leader="none" w:pos="1498"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Death of Participant</w:t>
      </w:r>
      <w:r>
        <w:rPr>
          <w:rFonts w:ascii="Arial" w:cs="Arial" w:eastAsia="Arial" w:hAnsi="Arial"/>
          <w:sz w:val="20"/>
          <w:szCs w:val="20"/>
          <w:color w:val="auto"/>
        </w:rPr>
        <w:t>. Any distribution or delivery to be made to Participant under this Award Agreement, if</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is then deceased, will be made to Participant’s designated beneficiary: provided, however, that the Administrator has permitted the designation and such designation is valid under Applicable Laws. If no beneficiary survives Participant, or if the designation was not permitted by the Administrator or not valid under Applicable Laws, distribution or delivery shall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57" w:lineRule="exact"/>
        <w:rPr>
          <w:rFonts w:ascii="Arial" w:cs="Arial" w:eastAsia="Arial" w:hAnsi="Arial"/>
          <w:sz w:val="20"/>
          <w:szCs w:val="20"/>
          <w:color w:val="auto"/>
        </w:rPr>
      </w:pPr>
    </w:p>
    <w:p>
      <w:pPr>
        <w:ind w:left="1500" w:hanging="743"/>
        <w:spacing w:after="0"/>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Tax Obligations</w:t>
      </w:r>
    </w:p>
    <w:p>
      <w:pPr>
        <w:spacing w:after="0" w:line="205" w:lineRule="exact"/>
        <w:rPr>
          <w:sz w:val="20"/>
          <w:szCs w:val="20"/>
          <w:color w:val="auto"/>
        </w:rPr>
      </w:pPr>
    </w:p>
    <w:p>
      <w:pPr>
        <w:jc w:val="both"/>
        <w:ind w:firstLine="1505"/>
        <w:spacing w:after="0" w:line="269" w:lineRule="auto"/>
        <w:tabs>
          <w:tab w:leader="none" w:pos="2995" w:val="left"/>
        </w:tabs>
        <w:numPr>
          <w:ilvl w:val="1"/>
          <w:numId w:val="63"/>
        </w:numPr>
        <w:rPr>
          <w:rFonts w:ascii="Arial" w:cs="Arial" w:eastAsia="Arial" w:hAnsi="Arial"/>
          <w:sz w:val="19"/>
          <w:szCs w:val="19"/>
          <w:color w:val="auto"/>
        </w:rPr>
      </w:pPr>
      <w:r>
        <w:rPr>
          <w:rFonts w:ascii="Arial" w:cs="Arial" w:eastAsia="Arial" w:hAnsi="Arial"/>
          <w:sz w:val="19"/>
          <w:szCs w:val="19"/>
          <w:b w:val="1"/>
          <w:bCs w:val="1"/>
          <w:color w:val="auto"/>
        </w:rPr>
        <w:t>Responsibility for Taxes</w:t>
      </w:r>
      <w:r>
        <w:rPr>
          <w:rFonts w:ascii="Arial" w:cs="Arial" w:eastAsia="Arial" w:hAnsi="Arial"/>
          <w:sz w:val="19"/>
          <w:szCs w:val="19"/>
          <w:color w:val="auto"/>
        </w:rPr>
        <w:t>. Participant acknowledges that, regardless of any action taken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if different, Participant’s employer or any Parent or Subsidiary of the Company to which Participant is providing services (together, the “</w:t>
      </w:r>
      <w:r>
        <w:rPr>
          <w:rFonts w:ascii="Arial" w:cs="Arial" w:eastAsia="Arial" w:hAnsi="Arial"/>
          <w:sz w:val="19"/>
          <w:szCs w:val="19"/>
          <w:b w:val="1"/>
          <w:bCs w:val="1"/>
          <w:color w:val="auto"/>
        </w:rPr>
        <w:t>Service Recipients</w:t>
      </w:r>
      <w:r>
        <w:rPr>
          <w:rFonts w:ascii="Arial" w:cs="Arial" w:eastAsia="Arial" w:hAnsi="Arial"/>
          <w:sz w:val="19"/>
          <w:szCs w:val="19"/>
          <w:color w:val="auto"/>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tax-related items related to Participant’s participation in the Plan and legally applicable or deemed legally applicable to Participant, (ii) Participant’s and, to the extent required by any Service Recipient, the Service Recipient’s fringe benefit tax liability, if any, associated with the grant, vesting, or settlement of the Restricted Stock Units or sale of Shares, and</w:t>
      </w:r>
    </w:p>
    <w:p>
      <w:pPr>
        <w:spacing w:after="0" w:line="6" w:lineRule="exact"/>
        <w:rPr>
          <w:rFonts w:ascii="Arial" w:cs="Arial" w:eastAsia="Arial" w:hAnsi="Arial"/>
          <w:sz w:val="19"/>
          <w:szCs w:val="19"/>
          <w:color w:val="auto"/>
        </w:rPr>
      </w:pPr>
    </w:p>
    <w:p>
      <w:pPr>
        <w:jc w:val="both"/>
        <w:ind w:firstLine="8"/>
        <w:spacing w:after="0" w:line="256" w:lineRule="auto"/>
        <w:tabs>
          <w:tab w:leader="none" w:pos="408"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any other Service Recipient taxes the responsibility for which Participant has, or has agreed to bear, with respect to the Restricted Stock Units (or settlement thereof or issuance of Shares thereunder) (collectively, the “</w:t>
      </w:r>
      <w:r>
        <w:rPr>
          <w:rFonts w:ascii="Arial" w:cs="Arial" w:eastAsia="Arial" w:hAnsi="Arial"/>
          <w:sz w:val="20"/>
          <w:szCs w:val="20"/>
          <w:b w:val="1"/>
          <w:bCs w:val="1"/>
          <w:color w:val="auto"/>
        </w:rPr>
        <w:t>Tax Obligations</w:t>
      </w:r>
      <w:r>
        <w:rPr>
          <w:rFonts w:ascii="Arial" w:cs="Arial" w:eastAsia="Arial" w:hAnsi="Arial"/>
          <w:sz w:val="20"/>
          <w:szCs w:val="20"/>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Participant acknowledges that the applicable Service Recipient(s)</w:t>
      </w:r>
    </w:p>
    <w:p>
      <w:pPr>
        <w:spacing w:after="0" w:line="171" w:lineRule="exact"/>
        <w:rPr>
          <w:rFonts w:ascii="Arial" w:cs="Arial" w:eastAsia="Arial" w:hAnsi="Arial"/>
          <w:sz w:val="20"/>
          <w:szCs w:val="20"/>
          <w:color w:val="auto"/>
        </w:rPr>
      </w:pPr>
    </w:p>
    <w:p>
      <w:pPr>
        <w:ind w:left="5580" w:hanging="136"/>
        <w:spacing w:after="0"/>
        <w:tabs>
          <w:tab w:leader="none" w:pos="5580" w:val="left"/>
        </w:tabs>
        <w:numPr>
          <w:ilvl w:val="2"/>
          <w:numId w:val="64"/>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(or former service recipient(s), as applicable) may be required to withhold or account for Withholding Obligations (as defined below) in more than one jurisdiction.</w:t>
      </w:r>
    </w:p>
    <w:p>
      <w:pPr>
        <w:spacing w:after="0" w:line="168" w:lineRule="exact"/>
        <w:rPr>
          <w:sz w:val="20"/>
          <w:szCs w:val="20"/>
          <w:color w:val="auto"/>
        </w:rPr>
      </w:pPr>
    </w:p>
    <w:p>
      <w:pPr>
        <w:jc w:val="both"/>
        <w:ind w:firstLine="1505"/>
        <w:spacing w:after="0" w:line="269" w:lineRule="auto"/>
        <w:tabs>
          <w:tab w:leader="none" w:pos="2995" w:val="left"/>
        </w:tabs>
        <w:numPr>
          <w:ilvl w:val="0"/>
          <w:numId w:val="65"/>
        </w:numPr>
        <w:rPr>
          <w:rFonts w:ascii="Arial" w:cs="Arial" w:eastAsia="Arial" w:hAnsi="Arial"/>
          <w:sz w:val="19"/>
          <w:szCs w:val="19"/>
          <w:color w:val="auto"/>
        </w:rPr>
      </w:pPr>
      <w:r>
        <w:rPr>
          <w:rFonts w:ascii="Arial" w:cs="Arial" w:eastAsia="Arial" w:hAnsi="Arial"/>
          <w:sz w:val="19"/>
          <w:szCs w:val="19"/>
          <w:b w:val="1"/>
          <w:bCs w:val="1"/>
          <w:color w:val="auto"/>
        </w:rPr>
        <w:t>Tax Withholding</w:t>
      </w:r>
      <w:r>
        <w:rPr>
          <w:rFonts w:ascii="Arial" w:cs="Arial" w:eastAsia="Arial" w:hAnsi="Arial"/>
          <w:sz w:val="19"/>
          <w:szCs w:val="19"/>
          <w:color w:val="auto"/>
        </w:rPr>
        <w:t>. Pursuant to such procedures as the Administrator may specify from time to</w:t>
      </w:r>
      <w:r>
        <w:rPr>
          <w:rFonts w:ascii="Arial" w:cs="Arial" w:eastAsia="Arial" w:hAnsi="Arial"/>
          <w:sz w:val="19"/>
          <w:szCs w:val="19"/>
          <w:b w:val="1"/>
          <w:bCs w:val="1"/>
          <w:color w:val="auto"/>
        </w:rPr>
        <w:t xml:space="preserve"> </w:t>
      </w:r>
      <w:r>
        <w:rPr>
          <w:rFonts w:ascii="Arial" w:cs="Arial" w:eastAsia="Arial" w:hAnsi="Arial"/>
          <w:sz w:val="19"/>
          <w:szCs w:val="19"/>
          <w:color w:val="auto"/>
        </w:rPr>
        <w:t>time, the applicable Service Recipient(s) will withhold the amount required to be withheld for the payment of Tax Obligations (the “</w:t>
      </w:r>
      <w:r>
        <w:rPr>
          <w:rFonts w:ascii="Arial" w:cs="Arial" w:eastAsia="Arial" w:hAnsi="Arial"/>
          <w:sz w:val="19"/>
          <w:szCs w:val="19"/>
          <w:b w:val="1"/>
          <w:bCs w:val="1"/>
          <w:color w:val="auto"/>
        </w:rPr>
        <w:t>Withholding Obligations</w:t>
      </w:r>
      <w:r>
        <w:rPr>
          <w:rFonts w:ascii="Arial" w:cs="Arial" w:eastAsia="Arial" w:hAnsi="Arial"/>
          <w:sz w:val="19"/>
          <w:szCs w:val="19"/>
          <w:color w:val="auto"/>
        </w:rPr>
        <w:t>”). The Administrator, in its sole discretion and pursuant to such procedures as it may specify from time to time, may permit Participant to satisfy such Withholding Obligations, in whole or in part (without limitation), if permissible by Applicable Laws,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Arial" w:cs="Arial" w:eastAsia="Arial" w:hAnsi="Arial"/>
          <w:sz w:val="19"/>
          <w:szCs w:val="19"/>
          <w:b w:val="1"/>
          <w:bCs w:val="1"/>
          <w:color w:val="auto"/>
        </w:rPr>
        <w:t>Net Share Withholding</w:t>
      </w:r>
      <w:r>
        <w:rPr>
          <w:rFonts w:ascii="Arial" w:cs="Arial" w:eastAsia="Arial" w:hAnsi="Arial"/>
          <w:sz w:val="19"/>
          <w:szCs w:val="19"/>
          <w:color w:val="auto"/>
        </w:rPr>
        <w:t>”), (iii) withholding the amount of such Withholding Obligations from Participant’s wages or other cash compensation payable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Arial" w:cs="Arial" w:eastAsia="Arial" w:hAnsi="Arial"/>
          <w:sz w:val="19"/>
          <w:szCs w:val="19"/>
          <w:b w:val="1"/>
          <w:bCs w:val="1"/>
          <w:color w:val="auto"/>
        </w:rPr>
        <w:t>Sell to Cover</w:t>
      </w:r>
      <w:r>
        <w:rPr>
          <w:rFonts w:ascii="Arial" w:cs="Arial" w:eastAsia="Arial" w:hAnsi="Arial"/>
          <w:sz w:val="19"/>
          <w:szCs w:val="19"/>
          <w:color w:val="auto"/>
        </w:rPr>
        <w:t>”), or (vi) such other means as the Administrator deems appropriate. If the Withholding Obligations are satisfied by Net Share Withholding,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400" w:lineRule="exact"/>
        <w:rPr>
          <w:sz w:val="20"/>
          <w:szCs w:val="20"/>
          <w:color w:val="auto"/>
        </w:rPr>
      </w:pPr>
    </w:p>
    <w:p>
      <w:pPr>
        <w:jc w:val="both"/>
        <w:ind w:firstLine="1505"/>
        <w:spacing w:after="0" w:line="239" w:lineRule="auto"/>
        <w:tabs>
          <w:tab w:leader="none" w:pos="2995"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Tax Consequences</w:t>
      </w:r>
      <w:r>
        <w:rPr>
          <w:rFonts w:ascii="Arial" w:cs="Arial" w:eastAsia="Arial" w:hAnsi="Arial"/>
          <w:sz w:val="22"/>
          <w:szCs w:val="22"/>
          <w:color w:val="auto"/>
        </w:rPr>
        <w:t>. Participant has reviewed with his or her own tax advisers the U.S.</w:t>
      </w:r>
      <w:r>
        <w:rPr>
          <w:rFonts w:ascii="Arial" w:cs="Arial" w:eastAsia="Arial" w:hAnsi="Arial"/>
          <w:sz w:val="22"/>
          <w:szCs w:val="22"/>
          <w:b w:val="1"/>
          <w:bCs w:val="1"/>
          <w:color w:val="auto"/>
        </w:rPr>
        <w:t xml:space="preserve"> </w:t>
      </w:r>
      <w:r>
        <w:rPr>
          <w:rFonts w:ascii="Arial" w:cs="Arial" w:eastAsia="Arial" w:hAnsi="Arial"/>
          <w:sz w:val="22"/>
          <w:szCs w:val="22"/>
          <w:color w:val="auto"/>
        </w:rPr>
        <w:t>federal, state, local and non-U.S. tax consequences of this investment and the transactions contemplated by this Award Agreement. With respect to such matters, Participant relies solely on such advisers and not on any statements or representations of the Company or any of its agents,</w:t>
      </w:r>
    </w:p>
    <w:p>
      <w:pPr>
        <w:spacing w:after="0" w:line="184" w:lineRule="exact"/>
        <w:rPr>
          <w:rFonts w:ascii="Arial" w:cs="Arial" w:eastAsia="Arial" w:hAnsi="Arial"/>
          <w:sz w:val="22"/>
          <w:szCs w:val="22"/>
          <w:color w:val="auto"/>
        </w:rPr>
      </w:pPr>
    </w:p>
    <w:p>
      <w:pPr>
        <w:ind w:left="5580" w:hanging="136"/>
        <w:spacing w:after="0"/>
        <w:tabs>
          <w:tab w:leader="none" w:pos="5580" w:val="left"/>
        </w:tabs>
        <w:numPr>
          <w:ilvl w:val="1"/>
          <w:numId w:val="66"/>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written or oral. Participant understands that Participant (and not the Company) shall be responsible for Participant’s own tax liability that may arise as a result of this investment or the transactions contemplated by this Award Agreement.</w:t>
      </w:r>
    </w:p>
    <w:p>
      <w:pPr>
        <w:spacing w:after="0" w:line="122" w:lineRule="exact"/>
        <w:rPr>
          <w:sz w:val="20"/>
          <w:szCs w:val="20"/>
          <w:color w:val="auto"/>
        </w:rPr>
      </w:pPr>
    </w:p>
    <w:p>
      <w:pPr>
        <w:jc w:val="both"/>
        <w:ind w:firstLine="1505"/>
        <w:spacing w:after="0" w:line="259" w:lineRule="auto"/>
        <w:tabs>
          <w:tab w:leader="none" w:pos="2995" w:val="left"/>
        </w:tabs>
        <w:numPr>
          <w:ilvl w:val="1"/>
          <w:numId w:val="67"/>
        </w:numPr>
        <w:rPr>
          <w:rFonts w:ascii="Arial" w:cs="Arial" w:eastAsia="Arial" w:hAnsi="Arial"/>
          <w:sz w:val="20"/>
          <w:szCs w:val="20"/>
          <w:color w:val="auto"/>
        </w:rPr>
      </w:pPr>
      <w:r>
        <w:rPr>
          <w:rFonts w:ascii="Arial" w:cs="Arial" w:eastAsia="Arial" w:hAnsi="Arial"/>
          <w:sz w:val="20"/>
          <w:szCs w:val="20"/>
          <w:b w:val="1"/>
          <w:bCs w:val="1"/>
          <w:color w:val="auto"/>
        </w:rPr>
        <w:t>Company’s Obligation to Deliver Shares</w:t>
      </w:r>
      <w:r>
        <w:rPr>
          <w:rFonts w:ascii="Arial" w:cs="Arial" w:eastAsia="Arial" w:hAnsi="Arial"/>
          <w:sz w:val="20"/>
          <w:szCs w:val="20"/>
          <w:color w:val="auto"/>
        </w:rPr>
        <w:t>. For clarification purposes, in no event will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3 or 4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 Company. Participant acknowledges and agrees that the Company may permanently refuse to issue or deliver the Shares if such Withholding Obligations are not satisfied at the time they are due.</w:t>
      </w:r>
    </w:p>
    <w:p>
      <w:pPr>
        <w:spacing w:after="0" w:line="166" w:lineRule="exact"/>
        <w:rPr>
          <w:rFonts w:ascii="Arial" w:cs="Arial" w:eastAsia="Arial" w:hAnsi="Arial"/>
          <w:sz w:val="20"/>
          <w:szCs w:val="20"/>
          <w:color w:val="auto"/>
        </w:rPr>
      </w:pPr>
    </w:p>
    <w:p>
      <w:pPr>
        <w:jc w:val="both"/>
        <w:ind w:firstLine="757"/>
        <w:spacing w:after="0" w:line="263" w:lineRule="auto"/>
        <w:tabs>
          <w:tab w:leader="none" w:pos="1498"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Rights as Stockholder</w:t>
      </w:r>
      <w:r>
        <w:rPr>
          <w:rFonts w:ascii="Arial" w:cs="Arial" w:eastAsia="Arial" w:hAnsi="Arial"/>
          <w:sz w:val="20"/>
          <w:szCs w:val="20"/>
          <w:color w:val="auto"/>
        </w:rPr>
        <w:t>. Neither Participant nor any person claiming under or through Participant will have any</w:t>
      </w:r>
      <w:r>
        <w:rPr>
          <w:rFonts w:ascii="Arial" w:cs="Arial" w:eastAsia="Arial" w:hAnsi="Arial"/>
          <w:sz w:val="20"/>
          <w:szCs w:val="20"/>
          <w:b w:val="1"/>
          <w:bCs w:val="1"/>
          <w:color w:val="auto"/>
        </w:rPr>
        <w:t xml:space="preserve"> </w:t>
      </w:r>
      <w:r>
        <w:rPr>
          <w:rFonts w:ascii="Arial" w:cs="Arial" w:eastAsia="Arial" w:hAnsi="Arial"/>
          <w:sz w:val="20"/>
          <w:szCs w:val="20"/>
          <w:color w:val="auto"/>
        </w:rPr>
        <w:t>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59" w:lineRule="exact"/>
        <w:rPr>
          <w:rFonts w:ascii="Arial" w:cs="Arial" w:eastAsia="Arial" w:hAnsi="Arial"/>
          <w:sz w:val="20"/>
          <w:szCs w:val="20"/>
          <w:color w:val="auto"/>
        </w:rPr>
      </w:pPr>
    </w:p>
    <w:p>
      <w:pPr>
        <w:jc w:val="both"/>
        <w:ind w:firstLine="757"/>
        <w:spacing w:after="0" w:line="257" w:lineRule="auto"/>
        <w:tabs>
          <w:tab w:leader="none" w:pos="1498"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No Guarantee of Continued Service</w:t>
      </w:r>
      <w:r>
        <w:rPr>
          <w:rFonts w:ascii="Arial" w:cs="Arial" w:eastAsia="Arial" w:hAnsi="Arial"/>
          <w:sz w:val="20"/>
          <w:szCs w:val="20"/>
          <w:color w:val="auto"/>
        </w:rPr>
        <w:t>. PARTICIPANT ACKNOWLEDGES AND AGREES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VESTING 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SHALL NOT BE INTERPRETED AS FORMING OR AMENDING AN EMPLOYMENT OR SERVICE CONTRACT,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69" w:lineRule="exact"/>
        <w:rPr>
          <w:rFonts w:ascii="Arial" w:cs="Arial" w:eastAsia="Arial" w:hAnsi="Arial"/>
          <w:sz w:val="20"/>
          <w:szCs w:val="20"/>
          <w:color w:val="auto"/>
        </w:rPr>
      </w:pPr>
    </w:p>
    <w:p>
      <w:pPr>
        <w:ind w:firstLine="757"/>
        <w:spacing w:after="0" w:line="256" w:lineRule="auto"/>
        <w:tabs>
          <w:tab w:leader="none" w:pos="1498"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Grant is Not Transferable</w:t>
      </w:r>
      <w:r>
        <w:rPr>
          <w:rFonts w:ascii="Arial" w:cs="Arial" w:eastAsia="Arial" w:hAnsi="Arial"/>
          <w:sz w:val="22"/>
          <w:szCs w:val="22"/>
          <w:color w:val="auto"/>
        </w:rPr>
        <w:t>. Except to the limited extent provided in Section 6, this Award and the rights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privileges conferred hereby will not be transferred, assigned, pledged</w:t>
      </w:r>
    </w:p>
    <w:p>
      <w:pPr>
        <w:spacing w:after="0" w:line="167" w:lineRule="exact"/>
        <w:rPr>
          <w:rFonts w:ascii="Arial" w:cs="Arial" w:eastAsia="Arial" w:hAnsi="Arial"/>
          <w:sz w:val="22"/>
          <w:szCs w:val="22"/>
          <w:color w:val="auto"/>
        </w:rPr>
      </w:pPr>
    </w:p>
    <w:p>
      <w:pPr>
        <w:ind w:left="5580" w:hanging="136"/>
        <w:spacing w:after="0"/>
        <w:tabs>
          <w:tab w:leader="none" w:pos="5580" w:val="left"/>
        </w:tabs>
        <w:numPr>
          <w:ilvl w:val="2"/>
          <w:numId w:val="68"/>
        </w:numPr>
        <w:rPr>
          <w:rFonts w:ascii="Arial" w:cs="Arial" w:eastAsia="Arial" w:hAnsi="Arial"/>
          <w:sz w:val="22"/>
          <w:szCs w:val="22"/>
          <w:color w:val="auto"/>
        </w:rPr>
      </w:pPr>
      <w:r>
        <w:rPr>
          <w:rFonts w:ascii="Arial" w:cs="Arial" w:eastAsia="Arial" w:hAnsi="Arial"/>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53" w:lineRule="exact"/>
        <w:rPr>
          <w:sz w:val="20"/>
          <w:szCs w:val="20"/>
          <w:color w:val="auto"/>
        </w:rPr>
      </w:pPr>
    </w:p>
    <w:p>
      <w:pPr>
        <w:ind w:left="1500" w:hanging="743"/>
        <w:spacing w:after="0"/>
        <w:tabs>
          <w:tab w:leader="none" w:pos="1500"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Nature of Grant</w:t>
      </w:r>
      <w:r>
        <w:rPr>
          <w:rFonts w:ascii="Arial" w:cs="Arial" w:eastAsia="Arial" w:hAnsi="Arial"/>
          <w:sz w:val="20"/>
          <w:szCs w:val="20"/>
          <w:color w:val="auto"/>
        </w:rPr>
        <w:t>.  In accepting this Award of Restricted Stock Units, Participant acknowledges, understands</w:t>
      </w:r>
    </w:p>
    <w:p>
      <w:pPr>
        <w:spacing w:after="0" w:line="3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and agrees that:</w:t>
      </w:r>
    </w:p>
    <w:p>
      <w:pPr>
        <w:spacing w:after="0" w:line="187" w:lineRule="exact"/>
        <w:rPr>
          <w:sz w:val="20"/>
          <w:szCs w:val="20"/>
          <w:color w:val="auto"/>
        </w:rPr>
      </w:pPr>
    </w:p>
    <w:p>
      <w:pPr>
        <w:jc w:val="both"/>
        <w:ind w:firstLine="1498"/>
        <w:spacing w:after="0"/>
        <w:rPr>
          <w:sz w:val="20"/>
          <w:szCs w:val="20"/>
          <w:color w:val="auto"/>
        </w:rPr>
      </w:pPr>
      <w:r>
        <w:rPr>
          <w:rFonts w:ascii="Arial" w:cs="Arial" w:eastAsia="Arial" w:hAnsi="Arial"/>
          <w:sz w:val="22"/>
          <w:szCs w:val="22"/>
          <w:color w:val="auto"/>
        </w:rPr>
        <w:t>(a) 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85" w:lineRule="exact"/>
        <w:rPr>
          <w:sz w:val="20"/>
          <w:szCs w:val="20"/>
          <w:color w:val="auto"/>
        </w:rPr>
      </w:pPr>
    </w:p>
    <w:p>
      <w:pPr>
        <w:ind w:firstLine="1505"/>
        <w:spacing w:after="0" w:line="250" w:lineRule="auto"/>
        <w:tabs>
          <w:tab w:leader="none" w:pos="2995" w:val="left"/>
        </w:tabs>
        <w:numPr>
          <w:ilvl w:val="0"/>
          <w:numId w:val="70"/>
        </w:numPr>
        <w:rPr>
          <w:rFonts w:ascii="Arial" w:cs="Arial" w:eastAsia="Arial" w:hAnsi="Arial"/>
          <w:sz w:val="22"/>
          <w:szCs w:val="22"/>
          <w:color w:val="auto"/>
        </w:rPr>
      </w:pPr>
      <w:r>
        <w:rPr>
          <w:rFonts w:ascii="Arial" w:cs="Arial" w:eastAsia="Arial" w:hAnsi="Arial"/>
          <w:sz w:val="22"/>
          <w:szCs w:val="22"/>
          <w:color w:val="auto"/>
        </w:rPr>
        <w:t>all decisions with respect to future Restricted Stock Units or other grants, if any, will be at the sole discretion of the Administrator;</w:t>
      </w:r>
    </w:p>
    <w:p>
      <w:pPr>
        <w:spacing w:after="0" w:line="174"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Participant is voluntarily participating in the Plan;</w:t>
      </w:r>
    </w:p>
    <w:p>
      <w:pPr>
        <w:spacing w:after="0" w:line="205" w:lineRule="exact"/>
        <w:rPr>
          <w:sz w:val="20"/>
          <w:szCs w:val="20"/>
          <w:color w:val="auto"/>
        </w:rPr>
      </w:pPr>
    </w:p>
    <w:p>
      <w:pPr>
        <w:ind w:firstLine="1505"/>
        <w:spacing w:after="0" w:line="250" w:lineRule="auto"/>
        <w:tabs>
          <w:tab w:leader="none" w:pos="29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Restricted Stock Units and the Shares subject to the Restricted Stock Units, and the income from and value of same, are not intended to replace any pension rights or compensation;</w:t>
      </w:r>
    </w:p>
    <w:p>
      <w:pPr>
        <w:spacing w:after="0" w:line="174" w:lineRule="exact"/>
        <w:rPr>
          <w:sz w:val="20"/>
          <w:szCs w:val="20"/>
          <w:color w:val="auto"/>
        </w:rPr>
      </w:pPr>
    </w:p>
    <w:p>
      <w:pPr>
        <w:jc w:val="both"/>
        <w:ind w:firstLine="1498"/>
        <w:spacing w:after="0" w:line="237" w:lineRule="auto"/>
        <w:rPr>
          <w:sz w:val="20"/>
          <w:szCs w:val="20"/>
          <w:color w:val="auto"/>
        </w:rPr>
      </w:pPr>
      <w:r>
        <w:rPr>
          <w:rFonts w:ascii="Arial" w:cs="Arial" w:eastAsia="Arial" w:hAnsi="Arial"/>
          <w:sz w:val="22"/>
          <w:szCs w:val="22"/>
          <w:color w:val="auto"/>
        </w:rPr>
        <w:t>(e) the Restricted Stock Units and the Shares subject to the Restricted Stock Units, and the income from and value of same, are not part of normal or expected compensation for purposes of, including, but not limited to, calculating any severance, resignation, termination, redundancy, dismissal, end-of-service payments, bonuses, holiday pay, long-service awards, pension or retirement or welfare benefits or similar payments;</w:t>
      </w:r>
    </w:p>
    <w:p>
      <w:pPr>
        <w:spacing w:after="0" w:line="187" w:lineRule="exact"/>
        <w:rPr>
          <w:sz w:val="20"/>
          <w:szCs w:val="20"/>
          <w:color w:val="auto"/>
        </w:rPr>
      </w:pPr>
    </w:p>
    <w:p>
      <w:pPr>
        <w:jc w:val="both"/>
        <w:ind w:right="20" w:firstLine="1498"/>
        <w:spacing w:after="0"/>
        <w:rPr>
          <w:sz w:val="20"/>
          <w:szCs w:val="20"/>
          <w:color w:val="auto"/>
        </w:rPr>
      </w:pPr>
      <w:r>
        <w:rPr>
          <w:rFonts w:ascii="Arial" w:cs="Arial" w:eastAsia="Arial" w:hAnsi="Arial"/>
          <w:sz w:val="22"/>
          <w:szCs w:val="22"/>
          <w:color w:val="auto"/>
        </w:rPr>
        <w:t>(f) 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any Subsidiary or Parent of the Company;</w:t>
      </w:r>
    </w:p>
    <w:p>
      <w:pPr>
        <w:spacing w:after="0" w:line="185" w:lineRule="exact"/>
        <w:rPr>
          <w:sz w:val="20"/>
          <w:szCs w:val="20"/>
          <w:color w:val="auto"/>
        </w:rPr>
      </w:pPr>
    </w:p>
    <w:p>
      <w:pPr>
        <w:ind w:right="20" w:firstLine="1505"/>
        <w:spacing w:after="0" w:line="250" w:lineRule="auto"/>
        <w:tabs>
          <w:tab w:leader="none" w:pos="2995"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future value of the Shares underlying the Restricted Stock Units is unknown, indeterminable, and cannot be predicted with certainty;</w:t>
      </w:r>
    </w:p>
    <w:p>
      <w:pPr>
        <w:spacing w:after="0" w:line="174" w:lineRule="exact"/>
        <w:rPr>
          <w:rFonts w:ascii="Arial" w:cs="Arial" w:eastAsia="Arial" w:hAnsi="Arial"/>
          <w:sz w:val="22"/>
          <w:szCs w:val="22"/>
          <w:color w:val="auto"/>
        </w:rPr>
      </w:pPr>
    </w:p>
    <w:p>
      <w:pPr>
        <w:jc w:val="both"/>
        <w:ind w:firstLine="1505"/>
        <w:spacing w:after="0" w:line="276" w:lineRule="auto"/>
        <w:tabs>
          <w:tab w:leader="none" w:pos="2995" w:val="left"/>
        </w:tabs>
        <w:numPr>
          <w:ilvl w:val="0"/>
          <w:numId w:val="72"/>
        </w:numPr>
        <w:rPr>
          <w:rFonts w:ascii="Arial" w:cs="Arial" w:eastAsia="Arial" w:hAnsi="Arial"/>
          <w:sz w:val="19"/>
          <w:szCs w:val="19"/>
          <w:color w:val="auto"/>
        </w:rPr>
      </w:pPr>
      <w:r>
        <w:rPr>
          <w:rFonts w:ascii="Arial" w:cs="Arial" w:eastAsia="Arial" w:hAnsi="Arial"/>
          <w:sz w:val="19"/>
          <w:szCs w:val="19"/>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w:t>
      </w:r>
    </w:p>
    <w:p>
      <w:pPr>
        <w:spacing w:after="0" w:line="155" w:lineRule="exact"/>
        <w:rPr>
          <w:rFonts w:ascii="Arial" w:cs="Arial" w:eastAsia="Arial" w:hAnsi="Arial"/>
          <w:sz w:val="19"/>
          <w:szCs w:val="19"/>
          <w:color w:val="auto"/>
        </w:rPr>
      </w:pPr>
    </w:p>
    <w:p>
      <w:pPr>
        <w:ind w:left="5580" w:hanging="136"/>
        <w:spacing w:after="0"/>
        <w:tabs>
          <w:tab w:leader="none" w:pos="55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Applicable Laws).</w:t>
      </w:r>
    </w:p>
    <w:p>
      <w:pPr>
        <w:spacing w:after="0" w:line="186" w:lineRule="exact"/>
        <w:rPr>
          <w:sz w:val="20"/>
          <w:szCs w:val="20"/>
          <w:color w:val="auto"/>
        </w:rPr>
      </w:pPr>
    </w:p>
    <w:p>
      <w:pPr>
        <w:jc w:val="both"/>
        <w:ind w:firstLine="1498"/>
        <w:spacing w:after="0" w:line="237" w:lineRule="auto"/>
        <w:rPr>
          <w:sz w:val="20"/>
          <w:szCs w:val="20"/>
          <w:color w:val="auto"/>
        </w:rPr>
      </w:pPr>
      <w:r>
        <w:rPr>
          <w:rFonts w:ascii="Arial" w:cs="Arial" w:eastAsia="Arial" w:hAnsi="Arial"/>
          <w:sz w:val="22"/>
          <w:szCs w:val="22"/>
          <w:color w:val="auto"/>
        </w:rPr>
        <w:t>(i) 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ectPr>
          <w:pgSz w:w="11900" w:h="16838" w:orient="portrait"/>
          <w:cols w:equalWidth="0" w:num="1">
            <w:col w:w="11240"/>
          </w:cols>
          <w:pgMar w:left="320" w:top="334" w:right="339" w:bottom="1440" w:gutter="0" w:footer="0" w:header="0"/>
        </w:sectPr>
      </w:pP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(j)</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provisions apply only if Participant is providing services outside the United</w:t>
      </w:r>
    </w:p>
    <w:p>
      <w:pPr>
        <w:spacing w:after="0" w:line="33" w:lineRule="exact"/>
        <w:rPr>
          <w:sz w:val="20"/>
          <w:szCs w:val="20"/>
          <w:color w:val="auto"/>
        </w:rPr>
      </w:pPr>
    </w:p>
    <w:p>
      <w:pPr>
        <w:sectPr>
          <w:pgSz w:w="11900" w:h="16838" w:orient="portrait"/>
          <w:cols w:equalWidth="0" w:num="2">
            <w:col w:w="2280" w:space="720"/>
            <w:col w:w="8240"/>
          </w:cols>
          <w:pgMar w:left="320" w:top="334" w:right="339" w:bottom="1440" w:gutter="0" w:footer="0" w:header="0"/>
          <w:type w:val="continuous"/>
        </w:sectPr>
      </w:pPr>
    </w:p>
    <w:p>
      <w:pPr>
        <w:spacing w:after="0"/>
        <w:rPr>
          <w:sz w:val="20"/>
          <w:szCs w:val="20"/>
          <w:color w:val="auto"/>
        </w:rPr>
      </w:pPr>
      <w:r>
        <w:rPr>
          <w:rFonts w:ascii="Arial" w:cs="Arial" w:eastAsia="Arial" w:hAnsi="Arial"/>
          <w:sz w:val="22"/>
          <w:szCs w:val="22"/>
          <w:color w:val="auto"/>
        </w:rPr>
        <w:t>States:</w:t>
      </w:r>
    </w:p>
    <w:p>
      <w:pPr>
        <w:spacing w:after="0" w:line="184" w:lineRule="exact"/>
        <w:rPr>
          <w:sz w:val="20"/>
          <w:szCs w:val="20"/>
          <w:color w:val="auto"/>
        </w:rPr>
      </w:pPr>
    </w:p>
    <w:p>
      <w:pPr>
        <w:ind w:firstLine="2246"/>
        <w:spacing w:after="0" w:line="250" w:lineRule="auto"/>
        <w:rPr>
          <w:sz w:val="20"/>
          <w:szCs w:val="20"/>
          <w:color w:val="auto"/>
        </w:rPr>
      </w:pPr>
      <w:r>
        <w:rPr>
          <w:rFonts w:ascii="Arial" w:cs="Arial" w:eastAsia="Arial" w:hAnsi="Arial"/>
          <w:sz w:val="22"/>
          <w:szCs w:val="22"/>
          <w:color w:val="auto"/>
        </w:rPr>
        <w:t>(i) the Restricted Stock Units and the Shares subject to the Restricted Stock Units, and the income from and value of same, are not part of normal or expected compensation or salary for any purpose;</w:t>
      </w:r>
    </w:p>
    <w:p>
      <w:pPr>
        <w:spacing w:after="0" w:line="174"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neither the Company nor any Service Recipient shall be liable for any foreign</w:t>
      </w:r>
    </w:p>
    <w:p>
      <w:pPr>
        <w:sectPr>
          <w:pgSz w:w="11900" w:h="16838" w:orient="portrait"/>
          <w:cols w:equalWidth="0" w:num="1">
            <w:col w:w="11240"/>
          </w:cols>
          <w:pgMar w:left="320" w:top="334"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5" w:lineRule="exact"/>
        <w:rPr>
          <w:sz w:val="20"/>
          <w:szCs w:val="20"/>
          <w:color w:val="auto"/>
        </w:rPr>
      </w:pPr>
    </w:p>
    <w:p>
      <w:pPr>
        <w:jc w:val="both"/>
        <w:ind w:firstLine="2246"/>
        <w:spacing w:after="0" w:line="259" w:lineRule="auto"/>
        <w:rPr>
          <w:sz w:val="20"/>
          <w:szCs w:val="20"/>
          <w:color w:val="auto"/>
        </w:rPr>
      </w:pPr>
      <w:r>
        <w:rPr>
          <w:rFonts w:ascii="Arial" w:cs="Arial" w:eastAsia="Arial" w:hAnsi="Arial"/>
          <w:sz w:val="20"/>
          <w:szCs w:val="20"/>
          <w:color w:val="auto"/>
        </w:rPr>
        <w:t>(iii) 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61" w:lineRule="exact"/>
        <w:rPr>
          <w:sz w:val="20"/>
          <w:szCs w:val="20"/>
          <w:color w:val="auto"/>
        </w:rPr>
      </w:pPr>
    </w:p>
    <w:p>
      <w:pPr>
        <w:ind w:right="20" w:firstLine="757"/>
        <w:spacing w:after="0" w:line="305" w:lineRule="auto"/>
        <w:tabs>
          <w:tab w:leader="none" w:pos="1498" w:val="left"/>
        </w:tabs>
        <w:numPr>
          <w:ilvl w:val="0"/>
          <w:numId w:val="73"/>
        </w:numPr>
        <w:rPr>
          <w:rFonts w:ascii="Arial" w:cs="Arial" w:eastAsia="Arial" w:hAnsi="Arial"/>
          <w:sz w:val="20"/>
          <w:szCs w:val="20"/>
          <w:color w:val="auto"/>
        </w:rPr>
      </w:pPr>
      <w:r>
        <w:rPr>
          <w:rFonts w:ascii="Arial" w:cs="Arial" w:eastAsia="Arial" w:hAnsi="Arial"/>
          <w:sz w:val="20"/>
          <w:szCs w:val="20"/>
          <w:b w:val="1"/>
          <w:bCs w:val="1"/>
          <w:color w:val="auto"/>
        </w:rPr>
        <w:t>Restrictive Covenants</w:t>
      </w:r>
      <w:r>
        <w:rPr>
          <w:rFonts w:ascii="Arial" w:cs="Arial" w:eastAsia="Arial" w:hAnsi="Arial"/>
          <w:sz w:val="20"/>
          <w:szCs w:val="20"/>
          <w:color w:val="auto"/>
        </w:rPr>
        <w:t>. In consideration of this grant of Restricted Stock Units, Participant agrees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restrictive covenants set forth in Appendix 2 to this Award Agreement, the terms of which are incorporated by reference.</w:t>
      </w:r>
    </w:p>
    <w:p>
      <w:pPr>
        <w:spacing w:after="0" w:line="122" w:lineRule="exact"/>
        <w:rPr>
          <w:rFonts w:ascii="Arial" w:cs="Arial" w:eastAsia="Arial" w:hAnsi="Arial"/>
          <w:sz w:val="20"/>
          <w:szCs w:val="20"/>
          <w:color w:val="auto"/>
        </w:rPr>
      </w:pPr>
    </w:p>
    <w:p>
      <w:pPr>
        <w:ind w:left="5580" w:hanging="136"/>
        <w:spacing w:after="0"/>
        <w:tabs>
          <w:tab w:leader="none" w:pos="55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757"/>
        <w:spacing w:after="0" w:line="270" w:lineRule="auto"/>
        <w:tabs>
          <w:tab w:leader="none" w:pos="1498" w:val="left"/>
        </w:tabs>
        <w:numPr>
          <w:ilvl w:val="0"/>
          <w:numId w:val="74"/>
        </w:numPr>
        <w:rPr>
          <w:rFonts w:ascii="Arial" w:cs="Arial" w:eastAsia="Arial" w:hAnsi="Arial"/>
          <w:sz w:val="20"/>
          <w:szCs w:val="20"/>
          <w:color w:val="auto"/>
        </w:rPr>
      </w:pPr>
      <w:r>
        <w:rPr>
          <w:rFonts w:ascii="Arial" w:cs="Arial" w:eastAsia="Arial" w:hAnsi="Arial"/>
          <w:sz w:val="20"/>
          <w:szCs w:val="20"/>
          <w:b w:val="1"/>
          <w:bCs w:val="1"/>
          <w:color w:val="auto"/>
        </w:rPr>
        <w:t>No Advice Regarding Grant</w:t>
      </w:r>
      <w:r>
        <w:rPr>
          <w:rFonts w:ascii="Arial" w:cs="Arial" w:eastAsia="Arial" w:hAnsi="Arial"/>
          <w:sz w:val="20"/>
          <w:szCs w:val="20"/>
          <w:color w:val="auto"/>
        </w:rPr>
        <w:t>. The Company is not providing any tax, legal or financial advice, nor is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making any 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spacing w:after="0" w:line="157" w:lineRule="exact"/>
        <w:rPr>
          <w:rFonts w:ascii="Arial" w:cs="Arial" w:eastAsia="Arial" w:hAnsi="Arial"/>
          <w:sz w:val="20"/>
          <w:szCs w:val="20"/>
          <w:color w:val="auto"/>
        </w:rPr>
      </w:pPr>
    </w:p>
    <w:p>
      <w:pPr>
        <w:jc w:val="both"/>
        <w:ind w:firstLine="757"/>
        <w:spacing w:after="0" w:line="268" w:lineRule="auto"/>
        <w:tabs>
          <w:tab w:leader="none" w:pos="1498" w:val="left"/>
        </w:tabs>
        <w:numPr>
          <w:ilvl w:val="0"/>
          <w:numId w:val="74"/>
        </w:numPr>
        <w:rPr>
          <w:rFonts w:ascii="Arial" w:cs="Arial" w:eastAsia="Arial" w:hAnsi="Arial"/>
          <w:sz w:val="20"/>
          <w:szCs w:val="20"/>
          <w:color w:val="auto"/>
        </w:rPr>
      </w:pPr>
      <w:r>
        <w:rPr>
          <w:rFonts w:ascii="Arial" w:cs="Arial" w:eastAsia="Arial" w:hAnsi="Arial"/>
          <w:sz w:val="20"/>
          <w:szCs w:val="20"/>
          <w:b w:val="1"/>
          <w:bCs w:val="1"/>
          <w:i w:val="1"/>
          <w:iCs w:val="1"/>
          <w:color w:val="auto"/>
        </w:rPr>
        <w:t>Data Privacy. Participant hereby explicitly and unambiguously consents to the collection, use and transfer, in electronic or other form, of Participant’s personal data as described in this Award Agreement and any other Restricted Stock Unit grant materials by and among, as applicable, the Company and the Service Recipients for the exclusive purpose of implementing, administering and managing Participant’s participation in the Plan.</w:t>
      </w:r>
    </w:p>
    <w:p>
      <w:pPr>
        <w:spacing w:after="0" w:line="159"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6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b w:val="1"/>
          <w:bCs w:val="1"/>
          <w:i w:val="1"/>
          <w:iCs w:val="1"/>
          <w:color w:val="auto"/>
        </w:rPr>
        <w:t>Participant understands that Data will be transferred to a third-party stock plan service provider,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rPr>
          <w:sz w:val="20"/>
          <w:szCs w:val="20"/>
          <w:color w:val="auto"/>
        </w:rPr>
      </w:pPr>
      <w:r>
        <w:rPr>
          <w:rFonts w:ascii="Arial" w:cs="Arial" w:eastAsia="Arial" w:hAnsi="Arial"/>
          <w:sz w:val="22"/>
          <w:szCs w:val="22"/>
          <w:b w:val="1"/>
          <w:bCs w:val="1"/>
          <w:i w:val="1"/>
          <w:iCs w:val="1"/>
          <w:color w:val="auto"/>
        </w:rPr>
        <w:t>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79" w:lineRule="exact"/>
        <w:rPr>
          <w:sz w:val="20"/>
          <w:szCs w:val="20"/>
          <w:color w:val="auto"/>
        </w:rPr>
      </w:pPr>
    </w:p>
    <w:p>
      <w:pPr>
        <w:jc w:val="both"/>
        <w:ind w:firstLine="757"/>
        <w:spacing w:after="0" w:line="279" w:lineRule="auto"/>
        <w:tabs>
          <w:tab w:leader="none" w:pos="1498" w:val="left"/>
        </w:tabs>
        <w:numPr>
          <w:ilvl w:val="0"/>
          <w:numId w:val="75"/>
        </w:numPr>
        <w:rPr>
          <w:rFonts w:ascii="Arial" w:cs="Arial" w:eastAsia="Arial" w:hAnsi="Arial"/>
          <w:sz w:val="20"/>
          <w:szCs w:val="20"/>
          <w:color w:val="auto"/>
        </w:rPr>
      </w:pPr>
      <w:r>
        <w:rPr>
          <w:rFonts w:ascii="Arial" w:cs="Arial" w:eastAsia="Arial" w:hAnsi="Arial"/>
          <w:sz w:val="20"/>
          <w:szCs w:val="20"/>
          <w:b w:val="1"/>
          <w:bCs w:val="1"/>
          <w:color w:val="auto"/>
        </w:rPr>
        <w:t>Address for Notices</w:t>
      </w:r>
      <w:r>
        <w:rPr>
          <w:rFonts w:ascii="Arial" w:cs="Arial" w:eastAsia="Arial" w:hAnsi="Arial"/>
          <w:sz w:val="20"/>
          <w:szCs w:val="20"/>
          <w:color w:val="auto"/>
        </w:rPr>
        <w:t>. Any notice to be given to the Company under the terms of this Award Agreement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addressed to the Company at Paymentus Holdings, Inc., 11605 N. Community House Road, Suite 300, Charlotte, NC 28277, Attention: General Counsel, or at such other address as the Company may hereafter designate in writing.</w:t>
      </w:r>
    </w:p>
    <w:p>
      <w:pPr>
        <w:spacing w:after="0" w:line="141" w:lineRule="exact"/>
        <w:rPr>
          <w:rFonts w:ascii="Arial" w:cs="Arial" w:eastAsia="Arial" w:hAnsi="Arial"/>
          <w:sz w:val="20"/>
          <w:szCs w:val="20"/>
          <w:color w:val="auto"/>
        </w:rPr>
      </w:pPr>
    </w:p>
    <w:p>
      <w:pPr>
        <w:jc w:val="both"/>
        <w:ind w:firstLine="757"/>
        <w:spacing w:after="0" w:line="237" w:lineRule="auto"/>
        <w:tabs>
          <w:tab w:leader="none" w:pos="1498"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The Company may assign any of its rights under this Award Agreement to single or</w:t>
      </w:r>
      <w:r>
        <w:rPr>
          <w:rFonts w:ascii="Arial" w:cs="Arial" w:eastAsia="Arial" w:hAnsi="Arial"/>
          <w:sz w:val="22"/>
          <w:szCs w:val="22"/>
          <w:b w:val="1"/>
          <w:bCs w:val="1"/>
          <w:color w:val="auto"/>
        </w:rPr>
        <w:t xml:space="preserve"> </w:t>
      </w:r>
      <w:r>
        <w:rPr>
          <w:rFonts w:ascii="Arial" w:cs="Arial" w:eastAsia="Arial" w:hAnsi="Arial"/>
          <w:sz w:val="22"/>
          <w:szCs w:val="22"/>
          <w:color w:val="auto"/>
        </w:rPr>
        <w:t>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180" w:lineRule="exact"/>
        <w:rPr>
          <w:rFonts w:ascii="Arial" w:cs="Arial" w:eastAsia="Arial" w:hAnsi="Arial"/>
          <w:sz w:val="22"/>
          <w:szCs w:val="22"/>
          <w:color w:val="auto"/>
        </w:rPr>
      </w:pPr>
    </w:p>
    <w:p>
      <w:pPr>
        <w:jc w:val="both"/>
        <w:ind w:firstLine="757"/>
        <w:spacing w:after="0" w:line="258" w:lineRule="auto"/>
        <w:tabs>
          <w:tab w:leader="none" w:pos="1498" w:val="left"/>
        </w:tabs>
        <w:numPr>
          <w:ilvl w:val="0"/>
          <w:numId w:val="75"/>
        </w:numPr>
        <w:rPr>
          <w:rFonts w:ascii="Arial" w:cs="Arial" w:eastAsia="Arial" w:hAnsi="Arial"/>
          <w:sz w:val="20"/>
          <w:szCs w:val="20"/>
          <w:color w:val="auto"/>
        </w:rPr>
      </w:pPr>
      <w:r>
        <w:rPr>
          <w:rFonts w:ascii="Arial" w:cs="Arial" w:eastAsia="Arial" w:hAnsi="Arial"/>
          <w:sz w:val="20"/>
          <w:szCs w:val="20"/>
          <w:b w:val="1"/>
          <w:bCs w:val="1"/>
          <w:color w:val="auto"/>
        </w:rPr>
        <w:t>Additional Conditions to Issuance of Stock</w:t>
      </w:r>
      <w:r>
        <w:rPr>
          <w:rFonts w:ascii="Arial" w:cs="Arial" w:eastAsia="Arial" w:hAnsi="Arial"/>
          <w:sz w:val="20"/>
          <w:szCs w:val="20"/>
          <w:color w:val="auto"/>
        </w:rPr>
        <w:t>. If at any time the Company will determine, in its discretion, that</w:t>
      </w:r>
      <w:r>
        <w:rPr>
          <w:rFonts w:ascii="Arial" w:cs="Arial" w:eastAsia="Arial" w:hAnsi="Arial"/>
          <w:sz w:val="20"/>
          <w:szCs w:val="20"/>
          <w:b w:val="1"/>
          <w:bCs w:val="1"/>
          <w:color w:val="auto"/>
        </w:rPr>
        <w:t xml:space="preserve"> </w:t>
      </w:r>
      <w:r>
        <w:rPr>
          <w:rFonts w:ascii="Arial" w:cs="Arial" w:eastAsia="Arial" w:hAnsi="Arial"/>
          <w:sz w:val="20"/>
          <w:szCs w:val="20"/>
          <w:color w:val="auto"/>
        </w:rPr>
        <w:t>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61" w:lineRule="exact"/>
        <w:rPr>
          <w:rFonts w:ascii="Arial" w:cs="Arial" w:eastAsia="Arial" w:hAnsi="Arial"/>
          <w:sz w:val="20"/>
          <w:szCs w:val="20"/>
          <w:color w:val="auto"/>
        </w:rPr>
      </w:pPr>
    </w:p>
    <w:p>
      <w:pPr>
        <w:ind w:left="1500" w:hanging="743"/>
        <w:spacing w:after="0"/>
        <w:tabs>
          <w:tab w:leader="none" w:pos="150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Language</w:t>
      </w:r>
      <w:r>
        <w:rPr>
          <w:rFonts w:ascii="Arial" w:cs="Arial" w:eastAsia="Arial" w:hAnsi="Arial"/>
          <w:sz w:val="22"/>
          <w:szCs w:val="22"/>
          <w:color w:val="auto"/>
        </w:rPr>
        <w:t>. Participant acknowledges that Participant is sufficiently proficient in the</w:t>
      </w:r>
    </w:p>
    <w:p>
      <w:pPr>
        <w:spacing w:after="0" w:line="1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English language, or has consulted with an adviser who is sufficiently proficient in the English language, so as to allow Participant to understand the terms and conditions of this Award Agreement. If Participant has received this Award Agreement or any other document related to the Plan translated into a language other than the English language and if the meaning of the translated version is different than the English version, the English language version will control.</w:t>
      </w:r>
    </w:p>
    <w:p>
      <w:pPr>
        <w:spacing w:after="0" w:line="158" w:lineRule="exact"/>
        <w:rPr>
          <w:sz w:val="20"/>
          <w:szCs w:val="20"/>
          <w:color w:val="auto"/>
        </w:rPr>
      </w:pPr>
    </w:p>
    <w:p>
      <w:pPr>
        <w:jc w:val="both"/>
        <w:ind w:firstLine="757"/>
        <w:spacing w:after="0" w:line="270" w:lineRule="auto"/>
        <w:tabs>
          <w:tab w:leader="none" w:pos="1498"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Interpretation</w:t>
      </w:r>
      <w:r>
        <w:rPr>
          <w:rFonts w:ascii="Arial" w:cs="Arial" w:eastAsia="Arial" w:hAnsi="Arial"/>
          <w:sz w:val="20"/>
          <w:szCs w:val="20"/>
          <w:color w:val="auto"/>
        </w:rPr>
        <w:t>. The Administrator will have the power to interpret the Plan and this Award Agreement and to</w:t>
      </w:r>
      <w:r>
        <w:rPr>
          <w:rFonts w:ascii="Arial" w:cs="Arial" w:eastAsia="Arial" w:hAnsi="Arial"/>
          <w:sz w:val="20"/>
          <w:szCs w:val="20"/>
          <w:b w:val="1"/>
          <w:bCs w:val="1"/>
          <w:color w:val="auto"/>
        </w:rPr>
        <w:t xml:space="preserve"> </w:t>
      </w:r>
      <w:r>
        <w:rPr>
          <w:rFonts w:ascii="Arial" w:cs="Arial" w:eastAsia="Arial" w:hAnsi="Arial"/>
          <w:sz w:val="20"/>
          <w:szCs w:val="20"/>
          <w:color w:val="auto"/>
        </w:rPr>
        <w:t>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w:t>
      </w:r>
    </w:p>
    <w:p>
      <w:pPr>
        <w:spacing w:after="0" w:line="157" w:lineRule="exact"/>
        <w:rPr>
          <w:rFonts w:ascii="Arial" w:cs="Arial" w:eastAsia="Arial" w:hAnsi="Arial"/>
          <w:sz w:val="20"/>
          <w:szCs w:val="20"/>
          <w:color w:val="auto"/>
        </w:rPr>
      </w:pPr>
    </w:p>
    <w:p>
      <w:pPr>
        <w:ind w:left="5520" w:hanging="126"/>
        <w:spacing w:after="0"/>
        <w:tabs>
          <w:tab w:leader="none" w:pos="5520" w:val="left"/>
        </w:tabs>
        <w:numPr>
          <w:ilvl w:val="1"/>
          <w:numId w:val="76"/>
        </w:numPr>
        <w:rPr>
          <w:rFonts w:ascii="Arial" w:cs="Arial" w:eastAsia="Arial" w:hAnsi="Arial"/>
          <w:sz w:val="22"/>
          <w:szCs w:val="22"/>
          <w:color w:val="auto"/>
        </w:rPr>
      </w:pPr>
      <w:r>
        <w:rPr>
          <w:rFonts w:ascii="Arial" w:cs="Arial" w:eastAsia="Arial" w:hAnsi="Arial"/>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rPr>
          <w:sz w:val="20"/>
          <w:szCs w:val="20"/>
          <w:color w:val="auto"/>
        </w:rPr>
      </w:pPr>
      <w:r>
        <w:rPr>
          <w:rFonts w:ascii="Arial" w:cs="Arial" w:eastAsia="Arial" w:hAnsi="Arial"/>
          <w:sz w:val="22"/>
          <w:szCs w:val="22"/>
          <w:color w:val="auto"/>
        </w:rPr>
        <w:t>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79" w:lineRule="exact"/>
        <w:rPr>
          <w:sz w:val="20"/>
          <w:szCs w:val="20"/>
          <w:color w:val="auto"/>
        </w:rPr>
      </w:pPr>
    </w:p>
    <w:p>
      <w:pPr>
        <w:jc w:val="both"/>
        <w:ind w:firstLine="757"/>
        <w:spacing w:after="0" w:line="266" w:lineRule="auto"/>
        <w:tabs>
          <w:tab w:leader="none" w:pos="1498" w:val="left"/>
        </w:tabs>
        <w:numPr>
          <w:ilvl w:val="0"/>
          <w:numId w:val="77"/>
        </w:numPr>
        <w:rPr>
          <w:rFonts w:ascii="Arial" w:cs="Arial" w:eastAsia="Arial" w:hAnsi="Arial"/>
          <w:sz w:val="20"/>
          <w:szCs w:val="20"/>
          <w:color w:val="auto"/>
        </w:rPr>
      </w:pPr>
      <w:r>
        <w:rPr>
          <w:rFonts w:ascii="Arial" w:cs="Arial" w:eastAsia="Arial" w:hAnsi="Arial"/>
          <w:sz w:val="20"/>
          <w:szCs w:val="20"/>
          <w:b w:val="1"/>
          <w:bCs w:val="1"/>
          <w:color w:val="auto"/>
        </w:rPr>
        <w:t>Electronic Delivery and Acceptance</w:t>
      </w:r>
      <w:r>
        <w:rPr>
          <w:rFonts w:ascii="Arial" w:cs="Arial" w:eastAsia="Arial" w:hAnsi="Arial"/>
          <w:sz w:val="20"/>
          <w:szCs w:val="20"/>
          <w:color w:val="auto"/>
        </w:rPr>
        <w:t>. The Company may, in its sole discretion, decide to deliver any</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54" w:lineRule="exact"/>
        <w:rPr>
          <w:rFonts w:ascii="Arial" w:cs="Arial" w:eastAsia="Arial" w:hAnsi="Arial"/>
          <w:sz w:val="20"/>
          <w:szCs w:val="20"/>
          <w:color w:val="auto"/>
        </w:rPr>
      </w:pPr>
    </w:p>
    <w:p>
      <w:pPr>
        <w:ind w:firstLine="757"/>
        <w:spacing w:after="0" w:line="256" w:lineRule="auto"/>
        <w:tabs>
          <w:tab w:leader="none" w:pos="1498"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Captions</w:t>
      </w:r>
      <w:r>
        <w:rPr>
          <w:rFonts w:ascii="Arial" w:cs="Arial" w:eastAsia="Arial" w:hAnsi="Arial"/>
          <w:sz w:val="22"/>
          <w:szCs w:val="22"/>
          <w:color w:val="auto"/>
        </w:rPr>
        <w:t>. Captions provided herein are for convenience only and are not to serve as a basis for interpretation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construction of this Award Agreement.</w:t>
      </w:r>
    </w:p>
    <w:p>
      <w:pPr>
        <w:spacing w:after="0" w:line="161" w:lineRule="exact"/>
        <w:rPr>
          <w:rFonts w:ascii="Arial" w:cs="Arial" w:eastAsia="Arial" w:hAnsi="Arial"/>
          <w:sz w:val="22"/>
          <w:szCs w:val="22"/>
          <w:color w:val="auto"/>
        </w:rPr>
      </w:pPr>
    </w:p>
    <w:p>
      <w:pPr>
        <w:jc w:val="both"/>
        <w:ind w:firstLine="757"/>
        <w:spacing w:after="0" w:line="239" w:lineRule="auto"/>
        <w:tabs>
          <w:tab w:leader="none" w:pos="1498"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Amendment, Suspension or Termination of the Plan</w:t>
      </w:r>
      <w:r>
        <w:rPr>
          <w:rFonts w:ascii="Arial" w:cs="Arial" w:eastAsia="Arial" w:hAnsi="Arial"/>
          <w:sz w:val="22"/>
          <w:szCs w:val="22"/>
          <w:color w:val="auto"/>
        </w:rPr>
        <w:t>. By accepting this Award, Participant expressly</w:t>
      </w:r>
      <w:r>
        <w:rPr>
          <w:rFonts w:ascii="Arial" w:cs="Arial" w:eastAsia="Arial" w:hAnsi="Arial"/>
          <w:sz w:val="22"/>
          <w:szCs w:val="22"/>
          <w:b w:val="1"/>
          <w:bCs w:val="1"/>
          <w:color w:val="auto"/>
        </w:rPr>
        <w:t xml:space="preserve"> </w:t>
      </w:r>
      <w:r>
        <w:rPr>
          <w:rFonts w:ascii="Arial" w:cs="Arial" w:eastAsia="Arial" w:hAnsi="Arial"/>
          <w:sz w:val="22"/>
          <w:szCs w:val="22"/>
          <w:color w:val="auto"/>
        </w:rPr>
        <w:t>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78" w:lineRule="exact"/>
        <w:rPr>
          <w:rFonts w:ascii="Arial" w:cs="Arial" w:eastAsia="Arial" w:hAnsi="Arial"/>
          <w:sz w:val="22"/>
          <w:szCs w:val="22"/>
          <w:color w:val="auto"/>
        </w:rPr>
      </w:pPr>
    </w:p>
    <w:p>
      <w:pPr>
        <w:jc w:val="both"/>
        <w:ind w:firstLine="757"/>
        <w:spacing w:after="0" w:line="235" w:lineRule="auto"/>
        <w:tabs>
          <w:tab w:leader="none" w:pos="1498"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Country Addendum</w:t>
      </w:r>
      <w:r>
        <w:rPr>
          <w:rFonts w:ascii="Arial" w:cs="Arial" w:eastAsia="Arial" w:hAnsi="Arial"/>
          <w:sz w:val="22"/>
          <w:szCs w:val="22"/>
          <w:color w:val="auto"/>
        </w:rPr>
        <w:t>. Notwithstanding any provisions in this Award Agreement, the Restricted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grant shall be subject to any additional terms and conditions set forth in the Country Addendum (if any) for any country whose laws are applicable to Participant and this Award of Restricted Stock Units (as determined by the Administrator in its sole discretion). Moreover, if Participant relocates to one of the countries included in the Country Addendum, the additional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80" w:lineRule="exact"/>
        <w:rPr>
          <w:rFonts w:ascii="Arial" w:cs="Arial" w:eastAsia="Arial" w:hAnsi="Arial"/>
          <w:sz w:val="22"/>
          <w:szCs w:val="22"/>
          <w:color w:val="auto"/>
        </w:rPr>
      </w:pPr>
    </w:p>
    <w:p>
      <w:pPr>
        <w:jc w:val="both"/>
        <w:ind w:firstLine="757"/>
        <w:spacing w:after="0" w:line="260" w:lineRule="auto"/>
        <w:tabs>
          <w:tab w:leader="none" w:pos="1498" w:val="left"/>
        </w:tabs>
        <w:numPr>
          <w:ilvl w:val="0"/>
          <w:numId w:val="77"/>
        </w:numPr>
        <w:rPr>
          <w:rFonts w:ascii="Arial" w:cs="Arial" w:eastAsia="Arial" w:hAnsi="Arial"/>
          <w:sz w:val="20"/>
          <w:szCs w:val="20"/>
          <w:color w:val="auto"/>
        </w:rPr>
      </w:pPr>
      <w:r>
        <w:rPr>
          <w:rFonts w:ascii="Arial" w:cs="Arial" w:eastAsia="Arial" w:hAnsi="Arial"/>
          <w:sz w:val="20"/>
          <w:szCs w:val="20"/>
          <w:b w:val="1"/>
          <w:bCs w:val="1"/>
          <w:color w:val="auto"/>
        </w:rPr>
        <w:t>Modifications to the Award Agreement</w:t>
      </w:r>
      <w:r>
        <w:rPr>
          <w:rFonts w:ascii="Arial" w:cs="Arial" w:eastAsia="Arial" w:hAnsi="Arial"/>
          <w:sz w:val="20"/>
          <w:szCs w:val="20"/>
          <w:color w:val="auto"/>
        </w:rPr>
        <w:t>. This Award Agreement constitutes the entire understanding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64" w:lineRule="exact"/>
        <w:rPr>
          <w:rFonts w:ascii="Arial" w:cs="Arial" w:eastAsia="Arial" w:hAnsi="Arial"/>
          <w:sz w:val="20"/>
          <w:szCs w:val="20"/>
          <w:color w:val="auto"/>
        </w:rPr>
      </w:pPr>
    </w:p>
    <w:p>
      <w:pPr>
        <w:ind w:firstLine="757"/>
        <w:spacing w:after="0" w:line="256" w:lineRule="auto"/>
        <w:tabs>
          <w:tab w:leader="none" w:pos="1498"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No Waiver</w:t>
      </w:r>
      <w:r>
        <w:rPr>
          <w:rFonts w:ascii="Arial" w:cs="Arial" w:eastAsia="Arial" w:hAnsi="Arial"/>
          <w:sz w:val="22"/>
          <w:szCs w:val="22"/>
          <w:color w:val="auto"/>
        </w:rPr>
        <w:t>. Either party’s failure to enforce any provision or provisions of this Award Agreement shall not in</w:t>
      </w:r>
      <w:r>
        <w:rPr>
          <w:rFonts w:ascii="Arial" w:cs="Arial" w:eastAsia="Arial" w:hAnsi="Arial"/>
          <w:sz w:val="22"/>
          <w:szCs w:val="22"/>
          <w:b w:val="1"/>
          <w:bCs w:val="1"/>
          <w:color w:val="auto"/>
        </w:rPr>
        <w:t xml:space="preserve"> </w:t>
      </w:r>
      <w:r>
        <w:rPr>
          <w:rFonts w:ascii="Arial" w:cs="Arial" w:eastAsia="Arial" w:hAnsi="Arial"/>
          <w:sz w:val="22"/>
          <w:szCs w:val="22"/>
          <w:color w:val="auto"/>
        </w:rPr>
        <w:t>any way be construed as a waiver of any such provision or</w:t>
      </w:r>
    </w:p>
    <w:p>
      <w:pPr>
        <w:spacing w:after="0" w:line="167" w:lineRule="exact"/>
        <w:rPr>
          <w:rFonts w:ascii="Arial" w:cs="Arial" w:eastAsia="Arial" w:hAnsi="Arial"/>
          <w:sz w:val="22"/>
          <w:szCs w:val="22"/>
          <w:color w:val="auto"/>
        </w:rPr>
      </w:pPr>
    </w:p>
    <w:p>
      <w:pPr>
        <w:ind w:left="5520" w:hanging="130"/>
        <w:spacing w:after="0"/>
        <w:tabs>
          <w:tab w:leader="none" w:pos="5520" w:val="left"/>
        </w:tabs>
        <w:numPr>
          <w:ilvl w:val="1"/>
          <w:numId w:val="77"/>
        </w:numPr>
        <w:rPr>
          <w:rFonts w:ascii="Arial" w:cs="Arial" w:eastAsia="Arial" w:hAnsi="Arial"/>
          <w:sz w:val="22"/>
          <w:szCs w:val="22"/>
          <w:color w:val="auto"/>
        </w:rPr>
      </w:pPr>
      <w:r>
        <w:rPr>
          <w:rFonts w:ascii="Arial" w:cs="Arial" w:eastAsia="Arial" w:hAnsi="Arial"/>
          <w:sz w:val="22"/>
          <w:szCs w:val="22"/>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9" w:lineRule="exact"/>
        <w:rPr>
          <w:sz w:val="20"/>
          <w:szCs w:val="20"/>
          <w:color w:val="auto"/>
        </w:rPr>
      </w:pPr>
    </w:p>
    <w:p>
      <w:pPr>
        <w:jc w:val="both"/>
        <w:ind w:firstLine="757"/>
        <w:spacing w:after="0" w:line="273" w:lineRule="auto"/>
        <w:tabs>
          <w:tab w:leader="none" w:pos="1498" w:val="left"/>
        </w:tabs>
        <w:numPr>
          <w:ilvl w:val="0"/>
          <w:numId w:val="78"/>
        </w:numPr>
        <w:rPr>
          <w:rFonts w:ascii="Arial" w:cs="Arial" w:eastAsia="Arial" w:hAnsi="Arial"/>
          <w:sz w:val="19"/>
          <w:szCs w:val="19"/>
          <w:color w:val="auto"/>
        </w:rPr>
      </w:pPr>
      <w:r>
        <w:rPr>
          <w:rFonts w:ascii="Arial" w:cs="Arial" w:eastAsia="Arial" w:hAnsi="Arial"/>
          <w:sz w:val="19"/>
          <w:szCs w:val="19"/>
          <w:b w:val="1"/>
          <w:bCs w:val="1"/>
          <w:color w:val="auto"/>
        </w:rPr>
        <w:t>Insider Trading/Market Abuse Laws</w:t>
      </w:r>
      <w:r>
        <w:rPr>
          <w:rFonts w:ascii="Arial" w:cs="Arial" w:eastAsia="Arial" w:hAnsi="Arial"/>
          <w:sz w:val="19"/>
          <w:szCs w:val="19"/>
          <w:color w:val="auto"/>
        </w:rPr>
        <w:t>. Participant acknowledges that Participant may be subject to insider</w:t>
      </w:r>
      <w:r>
        <w:rPr>
          <w:rFonts w:ascii="Arial" w:cs="Arial" w:eastAsia="Arial" w:hAnsi="Arial"/>
          <w:sz w:val="19"/>
          <w:szCs w:val="19"/>
          <w:b w:val="1"/>
          <w:bCs w:val="1"/>
          <w:color w:val="auto"/>
        </w:rPr>
        <w:t xml:space="preserve"> </w:t>
      </w:r>
      <w:r>
        <w:rPr>
          <w:rFonts w:ascii="Arial" w:cs="Arial" w:eastAsia="Arial" w:hAnsi="Arial"/>
          <w:sz w:val="19"/>
          <w:szCs w:val="19"/>
          <w:color w:val="auto"/>
        </w:rPr>
        <w:t>trading restrictions and/or market abuse laws based on the exchange on which the Shares are listed and in applicable jurisdictions including, but not limited to, the United States and Participant’s country of residence, which may affect Participant’s ability to acquire or sell Shares or rights to Shares (e.g., Restricted Stock Units) under the Plan during such time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Participant should keep in mind third parties includes fellow employees. Any restrictions under these laws or regulations are separate from and in addition to any restrictions that may be imposed under any applicable insider trading policy of the Company. Participant is responsible for ensuring compliance with any applicable restrictions and should consult with his or her personal legal advisor on this matter.</w:t>
      </w:r>
    </w:p>
    <w:p>
      <w:pPr>
        <w:spacing w:after="0" w:line="151" w:lineRule="exact"/>
        <w:rPr>
          <w:rFonts w:ascii="Arial" w:cs="Arial" w:eastAsia="Arial" w:hAnsi="Arial"/>
          <w:sz w:val="19"/>
          <w:szCs w:val="19"/>
          <w:color w:val="auto"/>
        </w:rPr>
      </w:pPr>
    </w:p>
    <w:p>
      <w:pPr>
        <w:jc w:val="both"/>
        <w:ind w:firstLine="757"/>
        <w:spacing w:after="0" w:line="263" w:lineRule="auto"/>
        <w:tabs>
          <w:tab w:leader="none" w:pos="1498" w:val="left"/>
        </w:tabs>
        <w:numPr>
          <w:ilvl w:val="0"/>
          <w:numId w:val="78"/>
        </w:numPr>
        <w:rPr>
          <w:rFonts w:ascii="Arial" w:cs="Arial" w:eastAsia="Arial" w:hAnsi="Arial"/>
          <w:sz w:val="20"/>
          <w:szCs w:val="20"/>
          <w:color w:val="auto"/>
        </w:rPr>
      </w:pPr>
      <w:r>
        <w:rPr>
          <w:rFonts w:ascii="Arial" w:cs="Arial" w:eastAsia="Arial" w:hAnsi="Arial"/>
          <w:sz w:val="20"/>
          <w:szCs w:val="20"/>
          <w:b w:val="1"/>
          <w:bCs w:val="1"/>
          <w:color w:val="auto"/>
        </w:rPr>
        <w:t>Governing Law; Venue; Severability</w:t>
      </w:r>
      <w:r>
        <w:rPr>
          <w:rFonts w:ascii="Arial" w:cs="Arial" w:eastAsia="Arial" w:hAnsi="Arial"/>
          <w:sz w:val="20"/>
          <w:szCs w:val="20"/>
          <w:color w:val="auto"/>
        </w:rPr>
        <w:t>. This Award Agreement and the Restricted Stock Units are governed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internal substantive laws, but not the choice of law rules, of the State of Delaware. For purposes of any action, lawsuit or other proceedings brought to enforce this Award Agreement, relating to it, or arising from it, the parties hereby submit to and consent to the sole and exclusive jurisdiction of the courts of the State of Delaware, and no other courts, where this grant is made and/or to be performed. In the event that any provision hereof becomes or is declared by a court of competent jurisdiction to be illegal, unenforceable or void, this Award Agreement shall continue in full force and effect.</w:t>
      </w:r>
    </w:p>
    <w:p>
      <w:pPr>
        <w:spacing w:after="0" w:line="159" w:lineRule="exact"/>
        <w:rPr>
          <w:rFonts w:ascii="Arial" w:cs="Arial" w:eastAsia="Arial" w:hAnsi="Arial"/>
          <w:sz w:val="20"/>
          <w:szCs w:val="20"/>
          <w:color w:val="auto"/>
        </w:rPr>
      </w:pPr>
    </w:p>
    <w:p>
      <w:pPr>
        <w:jc w:val="both"/>
        <w:ind w:firstLine="757"/>
        <w:spacing w:after="0" w:line="259" w:lineRule="auto"/>
        <w:tabs>
          <w:tab w:leader="none" w:pos="1498" w:val="left"/>
        </w:tabs>
        <w:numPr>
          <w:ilvl w:val="0"/>
          <w:numId w:val="78"/>
        </w:numPr>
        <w:rPr>
          <w:rFonts w:ascii="Arial" w:cs="Arial" w:eastAsia="Arial" w:hAnsi="Arial"/>
          <w:sz w:val="20"/>
          <w:szCs w:val="20"/>
          <w:color w:val="auto"/>
        </w:rPr>
      </w:pPr>
      <w:r>
        <w:rPr>
          <w:rFonts w:ascii="Arial" w:cs="Arial" w:eastAsia="Arial" w:hAnsi="Arial"/>
          <w:sz w:val="20"/>
          <w:szCs w:val="20"/>
          <w:b w:val="1"/>
          <w:bCs w:val="1"/>
          <w:color w:val="auto"/>
        </w:rPr>
        <w:t>Entire Agreement</w:t>
      </w:r>
      <w:r>
        <w:rPr>
          <w:rFonts w:ascii="Arial" w:cs="Arial" w:eastAsia="Arial" w:hAnsi="Arial"/>
          <w:sz w:val="20"/>
          <w:szCs w:val="20"/>
          <w:color w:val="auto"/>
        </w:rPr>
        <w:t>. The Plan is incorporated herein by reference. The Plan and this Award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Notwithstanding the foregoing, the restrictive covenants set forth in Appendix 2 do not supersede or in any way modify any other restrictive covenants applicable to Participant in any employment or other agreement with the Company or any Parent or Subsidiary of the Company. This Award Agreement, the Restricted Stock Units, and any Shares received hereunder shall be subject to any compensation recoupment or similar policy adopted by the Company from time to time as required by law or any rules of the New York Stock Exchange or other stock exchange.</w:t>
      </w:r>
    </w:p>
    <w:p>
      <w:pPr>
        <w:spacing w:after="0" w:line="173" w:lineRule="exact"/>
        <w:rPr>
          <w:sz w:val="20"/>
          <w:szCs w:val="20"/>
          <w:color w:val="auto"/>
        </w:rPr>
      </w:pPr>
    </w:p>
    <w:p>
      <w:pPr>
        <w:ind w:left="4920"/>
        <w:spacing w:after="0"/>
        <w:tabs>
          <w:tab w:leader="none" w:pos="5560" w:val="left"/>
          <w:tab w:leader="none" w:pos="62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 ADDENDUM TO RESTRICTED STOCK UNIT AGREEMENT</w:t>
      </w:r>
    </w:p>
    <w:p>
      <w:pPr>
        <w:spacing w:after="0" w:line="21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Unless otherwise defined herein, capitalized terms used in this Country Addendum to Restricted Stock Unit Agreement (the “</w:t>
      </w:r>
      <w:r>
        <w:rPr>
          <w:rFonts w:ascii="Arial" w:cs="Arial" w:eastAsia="Arial" w:hAnsi="Arial"/>
          <w:sz w:val="22"/>
          <w:szCs w:val="22"/>
          <w:b w:val="1"/>
          <w:bCs w:val="1"/>
          <w:color w:val="auto"/>
        </w:rPr>
        <w:t>Country Addendum</w:t>
      </w:r>
      <w:r>
        <w:rPr>
          <w:rFonts w:ascii="Arial" w:cs="Arial" w:eastAsia="Arial" w:hAnsi="Arial"/>
          <w:sz w:val="22"/>
          <w:szCs w:val="22"/>
          <w:color w:val="auto"/>
        </w:rPr>
        <w:t>”) will be ascribed the same defined meanings as set forth in the Restricted Stock Unit Agreement of which this Country Addendum forms a part (or the Plan or other written agreement as specified in the Restricted Stock Unit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This Country Addendum includes additional terms and conditions that govern the Award of Restricted Stock Units granted to Participant under the Plan to the extent Participant resides and/or works in one of the countries listed below. If Participant is a citizen or resident (or is considered as such for local law purposes) of a country other than the country in which Participant is currently residing and/or working, or if Participant transfers employment and/or residency to another country after the Award of Restricted Stock Units is granted, the Company, in its discretion, will determine to what extent the terms and conditions contained herein will apply to Participant.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 xml:space="preserve">This Country Addendum also includes information regarding securities laws, exchange controls and certain other issues of which Participant should be aware with respect to Participant’s participation in the Plan. The information is provided solely for Participant’s convenience and is based on the securities, exchange control and other Applicable Laws in effect in the respective countries as of </w:t>
      </w:r>
      <w:r>
        <w:rPr>
          <w:rFonts w:ascii="Arial" w:cs="Arial" w:eastAsia="Arial" w:hAnsi="Arial"/>
          <w:sz w:val="20"/>
          <w:szCs w:val="20"/>
          <w:b w:val="1"/>
          <w:bCs w:val="1"/>
          <w:color w:val="auto"/>
        </w:rPr>
        <w:t>April 2021</w:t>
      </w:r>
      <w:r>
        <w:rPr>
          <w:rFonts w:ascii="Arial" w:cs="Arial" w:eastAsia="Arial" w:hAnsi="Arial"/>
          <w:sz w:val="20"/>
          <w:szCs w:val="20"/>
          <w:color w:val="auto"/>
        </w:rPr>
        <w:t>.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p>
    <w:p>
      <w:pPr>
        <w:spacing w:after="0" w:line="171"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Finally, if Participant is a citizen or resident (or is considered as such for local law purposes) of a country other than the one in which Participant currently is residing and/or working, or if Participant transfers residence and/or employment to another country after the grant of the Restricted Stock Units, the information in this Country Addendum may not apply to Participant in the same manner.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199" w:lineRule="exact"/>
        <w:rPr>
          <w:sz w:val="20"/>
          <w:szCs w:val="20"/>
          <w:color w:val="auto"/>
        </w:rPr>
      </w:pPr>
    </w:p>
    <w:p>
      <w:pPr>
        <w:jc w:val="both"/>
        <w:spacing w:after="0" w:line="305" w:lineRule="auto"/>
        <w:rPr>
          <w:sz w:val="20"/>
          <w:szCs w:val="20"/>
          <w:color w:val="auto"/>
        </w:rPr>
      </w:pPr>
      <w:r>
        <w:rPr>
          <w:rFonts w:ascii="Arial" w:cs="Arial" w:eastAsia="Arial" w:hAnsi="Arial"/>
          <w:sz w:val="20"/>
          <w:szCs w:val="20"/>
          <w:b w:val="1"/>
          <w:bCs w:val="1"/>
          <w:u w:val="single" w:color="auto"/>
          <w:color w:val="auto"/>
        </w:rPr>
        <w:t>Settlement of Restricted Stock Units</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discretion in Section 9.4 of the Plan and without prejudice to</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7(b) of the Restricted Stock Unit Agreement, Restricted Stock Units will be settled in Shares only, not in cash.</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The following provision replaces the second paragraph of Sections 5 and 11(h) of the Restricted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 its entirety:</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20"/>
          <w:szCs w:val="20"/>
          <w:color w:val="auto"/>
        </w:rPr>
        <w:t>For purposes of the Restricted Stock Units, Participant’s status as a Service Provider will be considered terminated (regardless of the reason for such termination and whether or not later found to be invalid or in breach of employment laws in the jurisdiction where Participant is a Service Provider or the terms of Participant’s employment or service agreement, if any) as of the date that is the earliest of: (i) the date of termination of Participant’s status as a Service Provider, (ii) the date on which Participant receives notice of termination of his or her status as a Service Provider, and (iii) the date on which Participant ceases to be providing services to the Company, the Service Recipient or any other Subsidiary or Parent of the Company, which date shall not be extended by any notice period or period of pay in lieu of such notice mandated under the employment laws of the jurisdiction in which Participant is providing service or the terms of Participant’s employment or other service agreement, if any. The Administrator shall have the exclusive discretion to determine when Participant no longer is actively providing services for purposes of the Award (including whether Participant may still be considered to be providing services while on a leave of absence).</w:t>
      </w:r>
    </w:p>
    <w:p>
      <w:pPr>
        <w:spacing w:after="0" w:line="177"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20"/>
          <w:szCs w:val="20"/>
          <w:color w:val="auto"/>
        </w:rPr>
        <w:t>Notwithstanding the foregoing, if applicable employment standards legislation explicitly requires continued vesting during a statutory notice period, Participant’s right to vest in the Award, if any, will terminate effective upon the expiry of the minimum statutory notice period, but Participant will not earn or be entitled to prorated vesting if the vesting date falls after the end of the statutory notice period, nor will Participant be entitled to any compensation in lieu of any such prorated vesting.</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The parties acknowledge that it is Participant’s express wish that the Restricted Stock Unit Agreement, as well as all</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notices and legal proceedings entered into, given or instituted pursuant hereto or relating directly or indirectly hereto, be drawn up in English.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Les parties reconnaissent que le participant souhaite expressément que le contrat d'attribution, ainsi que tous les documents, avis et procédures judiciaires conclus, donnés ou intentés en vertu des présentes ou s'y rapportant directement ou indirectement, soient rédigés en anglais.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 This provision supplements Section 14 of the Restricted Stock Unit Agreement:</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Participant hereby authorizes any Service Recipient, and any agents or representatives to (i) discuss with and obtain all relevant information from all personnel, professional or non-professional, involved in the administration and operation of the Plan, and (ii) disclose and discuss any and all information relevant to the Plan with their advisers. Participant further authorizes the Company and any Service Recipient and any agents or representatives to record such information and to keep such information in Participant’s file.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9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u w:val="single" w:color="auto"/>
          <w:color w:val="auto"/>
        </w:rPr>
        <w:t>Securities Law Notification</w:t>
      </w:r>
      <w:r>
        <w:rPr>
          <w:rFonts w:ascii="Arial" w:cs="Arial" w:eastAsia="Arial" w:hAnsi="Arial"/>
          <w:sz w:val="22"/>
          <w:szCs w:val="22"/>
          <w:color w:val="auto"/>
        </w:rPr>
        <w:t>. Participant is permitted to sell Shares acquired under the Plan through the designated broker</w:t>
      </w:r>
      <w:r>
        <w:rPr>
          <w:rFonts w:ascii="Arial" w:cs="Arial" w:eastAsia="Arial" w:hAnsi="Arial"/>
          <w:sz w:val="22"/>
          <w:szCs w:val="22"/>
          <w:b w:val="1"/>
          <w:bCs w:val="1"/>
          <w:color w:val="auto"/>
        </w:rPr>
        <w:t xml:space="preserve"> </w:t>
      </w:r>
      <w:r>
        <w:rPr>
          <w:rFonts w:ascii="Arial" w:cs="Arial" w:eastAsia="Arial" w:hAnsi="Arial"/>
          <w:sz w:val="22"/>
          <w:szCs w:val="22"/>
          <w:color w:val="auto"/>
        </w:rPr>
        <w:t>appointed under the Plan, if any, provided the resale of Shares acquired under the Plan takes place outside Canada through the facilities of the exchange on which the Shares are then listed.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w:t>
      </w:r>
      <w:r>
        <w:rPr>
          <w:rFonts w:ascii="Arial" w:cs="Arial" w:eastAsia="Arial" w:hAnsi="Arial"/>
          <w:sz w:val="14"/>
          <w:szCs w:val="14"/>
          <w:b w:val="1"/>
          <w:bCs w:val="1"/>
          <w:u w:val="single" w:color="auto"/>
          <w:color w:val="auto"/>
        </w:rPr>
        <w:t>ndia</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9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u w:val="single" w:color="auto"/>
          <w:color w:val="auto"/>
        </w:rPr>
        <w:t>Exchange Control Notification</w:t>
      </w:r>
      <w:r>
        <w:rPr>
          <w:rFonts w:ascii="Arial" w:cs="Arial" w:eastAsia="Arial" w:hAnsi="Arial"/>
          <w:sz w:val="22"/>
          <w:szCs w:val="22"/>
          <w:color w:val="auto"/>
        </w:rPr>
        <w:t>. Participant is required to repatriate to India, or cause to be repatriated, any proceeds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sale of Shares acquired under the Plan and any dividends received in relation to the Shares within such time as prescribed under applicable Indian exchange control laws as may be amended from time to time. Participant should obtain a foreign inward remittance certificate (“</w:t>
      </w:r>
      <w:r>
        <w:rPr>
          <w:rFonts w:ascii="Arial" w:cs="Arial" w:eastAsia="Arial" w:hAnsi="Arial"/>
          <w:sz w:val="22"/>
          <w:szCs w:val="22"/>
          <w:u w:val="single" w:color="auto"/>
          <w:color w:val="auto"/>
        </w:rPr>
        <w:t>FIRC</w:t>
      </w:r>
      <w:r>
        <w:rPr>
          <w:rFonts w:ascii="Arial" w:cs="Arial" w:eastAsia="Arial" w:hAnsi="Arial"/>
          <w:sz w:val="22"/>
          <w:szCs w:val="22"/>
          <w:color w:val="auto"/>
        </w:rPr>
        <w:t xml:space="preserve">”) or other similar form from the bank where Participant deposits the funds and maintain the FIRC or other form as evidence of the repatriation of funds in the event the Reserve Bank of India or Participant’s employer requests proof of repatriation. </w:t>
      </w:r>
      <w:r>
        <w:rPr>
          <w:rFonts w:ascii="Arial" w:cs="Arial" w:eastAsia="Arial" w:hAnsi="Arial"/>
          <w:sz w:val="22"/>
          <w:szCs w:val="22"/>
          <w:i w:val="1"/>
          <w:iCs w:val="1"/>
          <w:color w:val="auto"/>
        </w:rPr>
        <w:t>Participant should consult with his or her personal legal adviser to ensure compliance with the applicable</w:t>
      </w:r>
      <w:r>
        <w:rPr>
          <w:rFonts w:ascii="Arial" w:cs="Arial" w:eastAsia="Arial" w:hAnsi="Arial"/>
          <w:sz w:val="22"/>
          <w:szCs w:val="22"/>
          <w:color w:val="auto"/>
        </w:rPr>
        <w:t xml:space="preserve"> </w:t>
      </w:r>
      <w:r>
        <w:rPr>
          <w:rFonts w:ascii="Arial" w:cs="Arial" w:eastAsia="Arial" w:hAnsi="Arial"/>
          <w:sz w:val="22"/>
          <w:szCs w:val="22"/>
          <w:i w:val="1"/>
          <w:iCs w:val="1"/>
          <w:color w:val="auto"/>
        </w:rPr>
        <w:t>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9" w:name="page130"/>
    <w:bookmarkEnd w:id="129"/>
    <w:p>
      <w:pPr>
        <w:ind w:left="10060"/>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RESTRICTIVE COVENANTS ADDENDUM TO RESTRICTED STOCK UNIT AGREEMENT</w:t>
      </w:r>
    </w:p>
    <w:p>
      <w:pPr>
        <w:spacing w:after="0" w:line="21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Unless otherwise defined herein, capitalized terms used in this Restrictive Covenants Addendum to Restricted Stock Unit Agreement will be ascribed the same defined meanings as set forth in the Restricted Stock Unit Agreement of which this Restrictive Covenants Addendum forms a part (or the Plan or other written agreement as specified in the Restricted Stock Unit Agreement).</w:t>
      </w:r>
    </w:p>
    <w:p>
      <w:pPr>
        <w:spacing w:after="0" w:line="181" w:lineRule="exact"/>
        <w:rPr>
          <w:sz w:val="20"/>
          <w:szCs w:val="20"/>
          <w:color w:val="auto"/>
        </w:rPr>
      </w:pPr>
    </w:p>
    <w:p>
      <w:pPr>
        <w:ind w:left="760" w:hanging="752"/>
        <w:spacing w:after="0"/>
        <w:tabs>
          <w:tab w:leader="none" w:pos="760" w:val="left"/>
        </w:tabs>
        <w:numPr>
          <w:ilvl w:val="0"/>
          <w:numId w:val="7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Confidential Information</w:t>
      </w:r>
    </w:p>
    <w:p>
      <w:pPr>
        <w:spacing w:after="0" w:line="200" w:lineRule="exact"/>
        <w:rPr>
          <w:rFonts w:ascii="Arial" w:cs="Arial" w:eastAsia="Arial" w:hAnsi="Arial"/>
          <w:sz w:val="22"/>
          <w:szCs w:val="22"/>
          <w:b w:val="1"/>
          <w:bCs w:val="1"/>
          <w:u w:val="single" w:color="auto"/>
          <w:color w:val="auto"/>
        </w:rPr>
      </w:pPr>
    </w:p>
    <w:p>
      <w:pPr>
        <w:spacing w:after="0" w:line="200" w:lineRule="exact"/>
        <w:rPr>
          <w:rFonts w:ascii="Arial" w:cs="Arial" w:eastAsia="Arial" w:hAnsi="Arial"/>
          <w:sz w:val="22"/>
          <w:szCs w:val="22"/>
          <w:b w:val="1"/>
          <w:bCs w:val="1"/>
          <w:u w:val="single" w:color="auto"/>
          <w:color w:val="auto"/>
        </w:rPr>
      </w:pPr>
    </w:p>
    <w:p>
      <w:pPr>
        <w:spacing w:after="0" w:line="269" w:lineRule="exact"/>
        <w:rPr>
          <w:rFonts w:ascii="Arial" w:cs="Arial" w:eastAsia="Arial" w:hAnsi="Arial"/>
          <w:sz w:val="22"/>
          <w:szCs w:val="22"/>
          <w:b w:val="1"/>
          <w:bCs w:val="1"/>
          <w:u w:val="single" w:color="auto"/>
          <w:color w:val="auto"/>
        </w:rPr>
      </w:pPr>
    </w:p>
    <w:p>
      <w:pPr>
        <w:jc w:val="both"/>
        <w:ind w:left="1500" w:hanging="743"/>
        <w:spacing w:after="0" w:line="256" w:lineRule="auto"/>
        <w:tabs>
          <w:tab w:leader="none" w:pos="1500" w:val="left"/>
        </w:tabs>
        <w:numPr>
          <w:ilvl w:val="1"/>
          <w:numId w:val="79"/>
        </w:numPr>
        <w:rPr>
          <w:rFonts w:ascii="Arial" w:cs="Arial" w:eastAsia="Arial" w:hAnsi="Arial"/>
          <w:sz w:val="20"/>
          <w:szCs w:val="20"/>
          <w:color w:val="auto"/>
        </w:rPr>
      </w:pPr>
      <w:r>
        <w:rPr>
          <w:rFonts w:ascii="Arial" w:cs="Arial" w:eastAsia="Arial" w:hAnsi="Arial"/>
          <w:sz w:val="20"/>
          <w:szCs w:val="20"/>
          <w:color w:val="auto"/>
        </w:rPr>
        <w:t>Participant expressly agrees that, throughout the term of Participant’s employment with the Company and at all times following the cessation of Participant’s employment from the Company, for so long as the information remains confidential, Participant will not acquire, use, transfer, download, print, or disclose any Confidential Information other than for the purpose to carry out the duties of Participant’s employment for the benefit of the Company (but in all cases preserving confidentiality by following the Company’s policies and procedures). Participant agrees to take all reasonable measures to protect the secrecy of and avoid disclosure or use of Confidential Information in order to prevent it from falling into the public domain or into the possession of any Competing Business or any persons other than those persons authorized under this Restrictive Covenants Addendum to have such information for the benefit of the Company. Participant agrees to notify the Company in writing of any actual or suspected misuse, misappropriation, or unauthorized disclosure of Confidential Information that may come to Participant’s attention. Participant acknowledges that if Participant discloses or uses knowledge of the Company’s Confidential Information to gain an advantage for Participant, for any Competing Business, or for any other person or entity other than the Company, such an advantage so obtained would be unfair and detrimental to the Company.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7" w:lineRule="exact"/>
        <w:rPr>
          <w:rFonts w:ascii="Arial" w:cs="Arial" w:eastAsia="Arial" w:hAnsi="Arial"/>
          <w:sz w:val="20"/>
          <w:szCs w:val="20"/>
          <w:color w:val="auto"/>
        </w:rPr>
      </w:pPr>
    </w:p>
    <w:p>
      <w:pPr>
        <w:jc w:val="both"/>
        <w:ind w:left="1500" w:hanging="743"/>
        <w:spacing w:after="0" w:line="236" w:lineRule="auto"/>
        <w:tabs>
          <w:tab w:leader="none" w:pos="1500" w:val="left"/>
        </w:tabs>
        <w:numPr>
          <w:ilvl w:val="1"/>
          <w:numId w:val="79"/>
        </w:numPr>
        <w:rPr>
          <w:rFonts w:ascii="Arial" w:cs="Arial" w:eastAsia="Arial" w:hAnsi="Arial"/>
          <w:sz w:val="22"/>
          <w:szCs w:val="22"/>
          <w:color w:val="auto"/>
        </w:rPr>
      </w:pPr>
      <w:r>
        <w:rPr>
          <w:rFonts w:ascii="Arial" w:cs="Arial" w:eastAsia="Arial" w:hAnsi="Arial"/>
          <w:sz w:val="22"/>
          <w:szCs w:val="22"/>
          <w:color w:val="auto"/>
        </w:rPr>
        <w:t>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5" w:lineRule="exact"/>
        <w:rPr>
          <w:rFonts w:ascii="Arial" w:cs="Arial" w:eastAsia="Arial" w:hAnsi="Arial"/>
          <w:sz w:val="22"/>
          <w:szCs w:val="22"/>
          <w:color w:val="auto"/>
        </w:rPr>
      </w:pPr>
    </w:p>
    <w:p>
      <w:pPr>
        <w:ind w:left="5520" w:hanging="130"/>
        <w:spacing w:after="0"/>
        <w:tabs>
          <w:tab w:leader="none" w:pos="5520" w:val="left"/>
        </w:tabs>
        <w:numPr>
          <w:ilvl w:val="2"/>
          <w:numId w:val="79"/>
        </w:numPr>
        <w:rPr>
          <w:rFonts w:ascii="Arial" w:cs="Arial" w:eastAsia="Arial" w:hAnsi="Arial"/>
          <w:sz w:val="22"/>
          <w:szCs w:val="22"/>
          <w:color w:val="auto"/>
        </w:rPr>
      </w:pPr>
      <w:r>
        <w:rPr>
          <w:rFonts w:ascii="Arial" w:cs="Arial" w:eastAsia="Arial" w:hAnsi="Arial"/>
          <w:sz w:val="22"/>
          <w:szCs w:val="22"/>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500" w:hanging="743"/>
        <w:spacing w:after="0" w:line="256" w:lineRule="auto"/>
        <w:tabs>
          <w:tab w:leader="none" w:pos="1500" w:val="left"/>
        </w:tabs>
        <w:numPr>
          <w:ilvl w:val="1"/>
          <w:numId w:val="80"/>
        </w:numPr>
        <w:rPr>
          <w:rFonts w:ascii="Arial" w:cs="Arial" w:eastAsia="Arial" w:hAnsi="Arial"/>
          <w:sz w:val="20"/>
          <w:szCs w:val="20"/>
          <w:color w:val="auto"/>
        </w:rPr>
      </w:pPr>
      <w:r>
        <w:rPr>
          <w:rFonts w:ascii="Arial" w:cs="Arial" w:eastAsia="Arial" w:hAnsi="Arial"/>
          <w:sz w:val="20"/>
          <w:szCs w:val="20"/>
          <w:color w:val="auto"/>
        </w:rPr>
        <w:t>Nothing contained in this Restrictive Covenants Addendum is intended to prohibit Participant from disclosing or discussing information relating to compensation or working conditions protected by the National Labor Relations Act or applicable law. Additionally, nothing contained in this Restrictive Covenants Addendum prohibits or prevents Participant from filing a charge with or participating, testifying, or assisting in any investigation, hearing, whistleblower proceeding, or other proceeding before any federal, state, or local government agency (e.g., EEOC, NLRB, SEC, etc.) or in any legislative or judicial proceeding nor does anything in this Restrictive Covenants Addendum preclude, prohibit or otherwise limit, in any way, Participant’s rights and abilities to contact, communicate with or report unlawful conduct to federal, state, or local officials for investigation or participate in any whistleblower program administered by such agencies. The Company further acknowledges Participant’s rights to make truthful statements or disclosures required by law, regulation, or legal process and to request or receive confidential legal advice, and nothing in this Restrictive Covenants Addendum shall be deemed to impair those rights. The Company also acknowledges Participant’s rights to make truthful statements or disclosures about unlawful employment practices which are defined to mean any form of unlawful discrimination, harassment, or retaliation that is actionable under Title VII of the Civil Rights Act of 1964 or any comparable state statue or any other related federal or state rule or law that is enforced by the Equal Employment Opportunity Commission or any comparable state agency.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6" w:lineRule="exact"/>
        <w:rPr>
          <w:rFonts w:ascii="Arial" w:cs="Arial" w:eastAsia="Arial" w:hAnsi="Arial"/>
          <w:sz w:val="20"/>
          <w:szCs w:val="20"/>
          <w:color w:val="auto"/>
        </w:rPr>
      </w:pPr>
    </w:p>
    <w:p>
      <w:pPr>
        <w:jc w:val="both"/>
        <w:ind w:left="760" w:hanging="752"/>
        <w:spacing w:after="0" w:line="262" w:lineRule="auto"/>
        <w:tabs>
          <w:tab w:leader="none" w:pos="760" w:val="left"/>
        </w:tabs>
        <w:numPr>
          <w:ilvl w:val="0"/>
          <w:numId w:val="81"/>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Limited Non-Compete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acknowledge and agree that, as a result of Participant’s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 (i) Participant has and will have access to and be involved in the development and utilization of the Company’s Confidential Information; (ii) Participant will develop and maintain critical relationships with the Company’s customers, prospective customers, employees, consultants, and independent contractors; and (iii) Participant will be responsible for further developing and strengthening the Company’s goodwill in the market. Accordingly, Participant expressly agrees that Participant will not Compete with the Company during the Restricted Period within the Restricted Territory on behalf of any Competing Business.</w:t>
      </w:r>
    </w:p>
    <w:p>
      <w:pPr>
        <w:spacing w:after="0" w:line="200" w:lineRule="exact"/>
        <w:rPr>
          <w:rFonts w:ascii="Arial" w:cs="Arial" w:eastAsia="Arial" w:hAnsi="Arial"/>
          <w:sz w:val="20"/>
          <w:szCs w:val="20"/>
          <w:b w:val="1"/>
          <w:bCs w:val="1"/>
          <w:u w:val="single" w:color="auto"/>
          <w:color w:val="auto"/>
        </w:rPr>
      </w:pPr>
    </w:p>
    <w:p>
      <w:pPr>
        <w:spacing w:after="0" w:line="200" w:lineRule="exact"/>
        <w:rPr>
          <w:rFonts w:ascii="Arial" w:cs="Arial" w:eastAsia="Arial" w:hAnsi="Arial"/>
          <w:sz w:val="20"/>
          <w:szCs w:val="20"/>
          <w:b w:val="1"/>
          <w:bCs w:val="1"/>
          <w:u w:val="single" w:color="auto"/>
          <w:color w:val="auto"/>
        </w:rPr>
      </w:pPr>
    </w:p>
    <w:p>
      <w:pPr>
        <w:spacing w:after="0" w:line="215" w:lineRule="exact"/>
        <w:rPr>
          <w:rFonts w:ascii="Arial" w:cs="Arial" w:eastAsia="Arial" w:hAnsi="Arial"/>
          <w:sz w:val="20"/>
          <w:szCs w:val="20"/>
          <w:b w:val="1"/>
          <w:bCs w:val="1"/>
          <w:u w:val="single" w:color="auto"/>
          <w:color w:val="auto"/>
        </w:rPr>
      </w:pPr>
    </w:p>
    <w:p>
      <w:pPr>
        <w:jc w:val="both"/>
        <w:ind w:left="760" w:hanging="752"/>
        <w:spacing w:after="0" w:line="266" w:lineRule="auto"/>
        <w:tabs>
          <w:tab w:leader="none" w:pos="760" w:val="left"/>
        </w:tabs>
        <w:numPr>
          <w:ilvl w:val="0"/>
          <w:numId w:val="81"/>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Non-Solicitation of Customers/Prospective Customers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expressly agrees that during the Restricted Period,</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will not, directly or indirectly, either alone or by assisting or acting in concert with others, on behalf of themselves or any other person, business, entity, including but not limited to on behalf of a Competing Business, solicit, persuade, induce, encourage, divert, or attempt to solicit, persuade, induce, encourage, or divert, or otherwise accept business from, any Customer or Prospective Customer with</w:t>
      </w:r>
    </w:p>
    <w:p>
      <w:pPr>
        <w:spacing w:after="0" w:line="160" w:lineRule="exact"/>
        <w:rPr>
          <w:rFonts w:ascii="Arial" w:cs="Arial" w:eastAsia="Arial" w:hAnsi="Arial"/>
          <w:sz w:val="20"/>
          <w:szCs w:val="20"/>
          <w:b w:val="1"/>
          <w:bCs w:val="1"/>
          <w:u w:val="single" w:color="auto"/>
          <w:color w:val="auto"/>
        </w:rPr>
      </w:pPr>
    </w:p>
    <w:p>
      <w:pPr>
        <w:ind w:left="5520" w:hanging="130"/>
        <w:spacing w:after="0"/>
        <w:tabs>
          <w:tab w:leader="none" w:pos="5520" w:val="left"/>
        </w:tabs>
        <w:numPr>
          <w:ilvl w:val="2"/>
          <w:numId w:val="81"/>
        </w:numPr>
        <w:rPr>
          <w:rFonts w:ascii="Arial" w:cs="Arial" w:eastAsia="Arial" w:hAnsi="Arial"/>
          <w:sz w:val="22"/>
          <w:szCs w:val="22"/>
          <w:color w:val="auto"/>
        </w:rPr>
      </w:pPr>
      <w:r>
        <w:rPr>
          <w:rFonts w:ascii="Arial" w:cs="Arial" w:eastAsia="Arial" w:hAnsi="Arial"/>
          <w:sz w:val="22"/>
          <w:szCs w:val="22"/>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760"/>
        <w:spacing w:after="0"/>
        <w:rPr>
          <w:sz w:val="20"/>
          <w:szCs w:val="20"/>
          <w:color w:val="auto"/>
        </w:rPr>
      </w:pPr>
      <w:r>
        <w:rPr>
          <w:rFonts w:ascii="Arial" w:cs="Arial" w:eastAsia="Arial" w:hAnsi="Arial"/>
          <w:sz w:val="22"/>
          <w:szCs w:val="22"/>
          <w:color w:val="auto"/>
        </w:rPr>
        <w:t>whom Participant had Material Contact, for the purpose of interfering in the relationship between such Customer or Prospective Customer and the Company, or providing products or services that are competitive with or could replace the Company’s products or services in the Company’s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60" w:hanging="752"/>
        <w:spacing w:after="0" w:line="236" w:lineRule="auto"/>
        <w:tabs>
          <w:tab w:leader="none" w:pos="760" w:val="left"/>
        </w:tabs>
        <w:numPr>
          <w:ilvl w:val="0"/>
          <w:numId w:val="82"/>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Non-Raiding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expressly agrees that during the Restricted Period, Participant will not, 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or indirectly, either alone or by assisting or acting in concert with others, on behalf of themselves or any other person, business or entity, solicit, induce, encourage or attempt to solicit, induce or encourage any then current employee or independent contractor of the Company (each, a “Restricted Employee”) to alter or terminate their relationship with the Company, or hire, employ, recruit or attempt to hire, employ or recruit any Restricted Employee on behalf of any other person, business or entity.</w:t>
      </w:r>
    </w:p>
    <w:p>
      <w:pPr>
        <w:spacing w:after="0" w:line="200" w:lineRule="exact"/>
        <w:rPr>
          <w:rFonts w:ascii="Arial" w:cs="Arial" w:eastAsia="Arial" w:hAnsi="Arial"/>
          <w:sz w:val="22"/>
          <w:szCs w:val="22"/>
          <w:b w:val="1"/>
          <w:bCs w:val="1"/>
          <w:u w:val="single" w:color="auto"/>
          <w:color w:val="auto"/>
        </w:rPr>
      </w:pPr>
    </w:p>
    <w:p>
      <w:pPr>
        <w:spacing w:after="0" w:line="200" w:lineRule="exact"/>
        <w:rPr>
          <w:rFonts w:ascii="Arial" w:cs="Arial" w:eastAsia="Arial" w:hAnsi="Arial"/>
          <w:sz w:val="22"/>
          <w:szCs w:val="22"/>
          <w:b w:val="1"/>
          <w:bCs w:val="1"/>
          <w:u w:val="single" w:color="auto"/>
          <w:color w:val="auto"/>
        </w:rPr>
      </w:pPr>
    </w:p>
    <w:p>
      <w:pPr>
        <w:spacing w:after="0" w:line="237" w:lineRule="exact"/>
        <w:rPr>
          <w:rFonts w:ascii="Arial" w:cs="Arial" w:eastAsia="Arial" w:hAnsi="Arial"/>
          <w:sz w:val="22"/>
          <w:szCs w:val="22"/>
          <w:b w:val="1"/>
          <w:bCs w:val="1"/>
          <w:u w:val="single" w:color="auto"/>
          <w:color w:val="auto"/>
        </w:rPr>
      </w:pPr>
    </w:p>
    <w:p>
      <w:pPr>
        <w:jc w:val="both"/>
        <w:ind w:left="760" w:hanging="752"/>
        <w:spacing w:after="0" w:line="255" w:lineRule="auto"/>
        <w:tabs>
          <w:tab w:leader="none" w:pos="760" w:val="left"/>
        </w:tabs>
        <w:numPr>
          <w:ilvl w:val="0"/>
          <w:numId w:val="8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Remedies</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that Participant breaches any of the restrictive covenants set forth in this Restrictive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Addendum, the then-unvested Restricted Stock Units awarded by this Award Agreement will thereupon be forfeited at no cost to the Company and Participant will have no further rights thereunder. Participant agrees that the obligations set forth in this Restrictive Covenants Addendum are necessary and reasonable in order to protect the Company’s legitimate business interests and (without limiting the foregoing) that the obligations set forth in this Restrictive Covenants Addendum are necessary and reasonable in order to protect the Company’s legitimate business interests in protecting its Confidential Information, customer and employee relationships and the goodwill associated therewith. Participant expressly agrees that due to the unique nature of the Company’s Confidential Information, and its relationships with its customers and employees, monetary damages would be inadequate to compensate the Company for any breach by Participant of the covenants and agreements set forth in this Restrictive Covenants Addendum. Accordingly, Participant agrees and acknowledges that any such violation or threatened violation shall cause irreparable injury to the Company and that, in addition to forfeiture of any unvested Restricted Stock Units and any other remedies that may be available in law, in equity, or otherwise, the Company shall be entitled: (a) to obtain injunctive relief against the threatened breach of this Restrictive Covenants Addendum or the continuation of any such breach by Participant, without the necessity of proving actual damages, and without necessity of posting bond; and (b) to recover any costs or attorneys’ fees, arising out of or in connection with any breach or threatened breach by Participant or any action relating to Participant’s obligations under this Restrictive Covenants Addendum. Any such equitable relief sought or obtained pursuant to this Restrictive Covenants Addendum will not be the Company’s exclusive remedy to address Participant’s breach or threatened breach of the provisions herein, and the Company shall be entitled to pursue all remedies available, including but not limited to actual damages, pursuant to applicable law. No claim, demand, action, or cause of action that Participant</w:t>
      </w:r>
    </w:p>
    <w:p>
      <w:pPr>
        <w:spacing w:after="0" w:line="187" w:lineRule="exact"/>
        <w:rPr>
          <w:rFonts w:ascii="Arial" w:cs="Arial" w:eastAsia="Arial" w:hAnsi="Arial"/>
          <w:sz w:val="20"/>
          <w:szCs w:val="20"/>
          <w:b w:val="1"/>
          <w:bCs w:val="1"/>
          <w:u w:val="single" w:color="auto"/>
          <w:color w:val="auto"/>
        </w:rPr>
      </w:pPr>
    </w:p>
    <w:p>
      <w:pPr>
        <w:ind w:left="5520" w:hanging="130"/>
        <w:spacing w:after="0"/>
        <w:tabs>
          <w:tab w:leader="none" w:pos="5520" w:val="left"/>
        </w:tabs>
        <w:numPr>
          <w:ilvl w:val="1"/>
          <w:numId w:val="82"/>
        </w:numPr>
        <w:rPr>
          <w:rFonts w:ascii="Arial" w:cs="Arial" w:eastAsia="Arial" w:hAnsi="Arial"/>
          <w:sz w:val="22"/>
          <w:szCs w:val="22"/>
          <w:color w:val="auto"/>
        </w:rPr>
      </w:pPr>
      <w:r>
        <w:rPr>
          <w:rFonts w:ascii="Arial" w:cs="Arial" w:eastAsia="Arial" w:hAnsi="Arial"/>
          <w:sz w:val="22"/>
          <w:szCs w:val="22"/>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760"/>
        <w:spacing w:after="0" w:line="250" w:lineRule="auto"/>
        <w:rPr>
          <w:sz w:val="20"/>
          <w:szCs w:val="20"/>
          <w:color w:val="auto"/>
        </w:rPr>
      </w:pPr>
      <w:r>
        <w:rPr>
          <w:rFonts w:ascii="Arial" w:cs="Arial" w:eastAsia="Arial" w:hAnsi="Arial"/>
          <w:sz w:val="22"/>
          <w:szCs w:val="22"/>
          <w:color w:val="auto"/>
        </w:rPr>
        <w:t>may have against the Company shall constitute a defense to the Company’s enforcement of any of its rights or Participant’s obligations hereunder by the Company or the Company’s successors or assigns.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760" w:hanging="752"/>
        <w:spacing w:after="0" w:line="260" w:lineRule="auto"/>
        <w:tabs>
          <w:tab w:leader="none" w:pos="760" w:val="left"/>
        </w:tabs>
        <w:numPr>
          <w:ilvl w:val="0"/>
          <w:numId w:val="8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Tolling</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acknowledges and agrees that the Restricted Period shall be tolled on a day-for-day basis for all</w:t>
      </w:r>
      <w:r>
        <w:rPr>
          <w:rFonts w:ascii="Arial" w:cs="Arial" w:eastAsia="Arial" w:hAnsi="Arial"/>
          <w:sz w:val="20"/>
          <w:szCs w:val="20"/>
          <w:b w:val="1"/>
          <w:bCs w:val="1"/>
          <w:color w:val="auto"/>
        </w:rPr>
        <w:t xml:space="preserve"> </w:t>
      </w:r>
      <w:r>
        <w:rPr>
          <w:rFonts w:ascii="Arial" w:cs="Arial" w:eastAsia="Arial" w:hAnsi="Arial"/>
          <w:sz w:val="20"/>
          <w:szCs w:val="20"/>
          <w:color w:val="auto"/>
        </w:rPr>
        <w:t>periods in which Participant is in breach of the obligations contained in this Restrictive Covenants Addendum, so that the Company receives the full benefit of the Restricted Period to which Participant has agreed herein. Participant also agrees that if Participant or the Company institutes litigation to enforce or challenge the protective covenants in this Restrictive Covenants Addendum, and Participant is not enjoined from breaching one or more of the protective covenants contained in this Restrictive Covenants Addendum, and a court thereafter determines that one or more of the protective covenants are enforceable, the Restricted Period shall be tolled (i.e. suspended) beginning on the date the litigation was instituted until the litigation is finally resolved and all periods of appeal have expired.</w:t>
      </w:r>
    </w:p>
    <w:p>
      <w:pPr>
        <w:spacing w:after="0" w:line="200" w:lineRule="exact"/>
        <w:rPr>
          <w:rFonts w:ascii="Arial" w:cs="Arial" w:eastAsia="Arial" w:hAnsi="Arial"/>
          <w:sz w:val="20"/>
          <w:szCs w:val="20"/>
          <w:b w:val="1"/>
          <w:bCs w:val="1"/>
          <w:u w:val="single" w:color="auto"/>
          <w:color w:val="auto"/>
        </w:rPr>
      </w:pPr>
    </w:p>
    <w:p>
      <w:pPr>
        <w:spacing w:after="0" w:line="200" w:lineRule="exact"/>
        <w:rPr>
          <w:rFonts w:ascii="Arial" w:cs="Arial" w:eastAsia="Arial" w:hAnsi="Arial"/>
          <w:sz w:val="20"/>
          <w:szCs w:val="20"/>
          <w:b w:val="1"/>
          <w:bCs w:val="1"/>
          <w:u w:val="single" w:color="auto"/>
          <w:color w:val="auto"/>
        </w:rPr>
      </w:pPr>
    </w:p>
    <w:p>
      <w:pPr>
        <w:spacing w:after="0" w:line="222" w:lineRule="exact"/>
        <w:rPr>
          <w:rFonts w:ascii="Arial" w:cs="Arial" w:eastAsia="Arial" w:hAnsi="Arial"/>
          <w:sz w:val="20"/>
          <w:szCs w:val="20"/>
          <w:b w:val="1"/>
          <w:bCs w:val="1"/>
          <w:u w:val="single" w:color="auto"/>
          <w:color w:val="auto"/>
        </w:rPr>
      </w:pPr>
    </w:p>
    <w:p>
      <w:pPr>
        <w:ind w:left="760" w:hanging="752"/>
        <w:spacing w:after="0" w:line="256" w:lineRule="auto"/>
        <w:tabs>
          <w:tab w:leader="none" w:pos="760" w:val="left"/>
        </w:tabs>
        <w:numPr>
          <w:ilvl w:val="0"/>
          <w:numId w:val="83"/>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For all purposes throughout this Restrictive Covenants Addendum, the terms defined below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meanings specified in this section.</w:t>
      </w:r>
    </w:p>
    <w:p>
      <w:pPr>
        <w:spacing w:after="0" w:line="200" w:lineRule="exact"/>
        <w:rPr>
          <w:rFonts w:ascii="Arial" w:cs="Arial" w:eastAsia="Arial" w:hAnsi="Arial"/>
          <w:sz w:val="22"/>
          <w:szCs w:val="22"/>
          <w:b w:val="1"/>
          <w:bCs w:val="1"/>
          <w:u w:val="single" w:color="auto"/>
          <w:color w:val="auto"/>
        </w:rPr>
      </w:pPr>
    </w:p>
    <w:p>
      <w:pPr>
        <w:spacing w:after="0" w:line="200" w:lineRule="exact"/>
        <w:rPr>
          <w:rFonts w:ascii="Arial" w:cs="Arial" w:eastAsia="Arial" w:hAnsi="Arial"/>
          <w:sz w:val="22"/>
          <w:szCs w:val="22"/>
          <w:b w:val="1"/>
          <w:bCs w:val="1"/>
          <w:u w:val="single" w:color="auto"/>
          <w:color w:val="auto"/>
        </w:rPr>
      </w:pPr>
    </w:p>
    <w:p>
      <w:pPr>
        <w:spacing w:after="0" w:line="225" w:lineRule="exact"/>
        <w:rPr>
          <w:rFonts w:ascii="Arial" w:cs="Arial" w:eastAsia="Arial" w:hAnsi="Arial"/>
          <w:sz w:val="22"/>
          <w:szCs w:val="22"/>
          <w:b w:val="1"/>
          <w:bCs w:val="1"/>
          <w:u w:val="single" w:color="auto"/>
          <w:color w:val="auto"/>
        </w:rPr>
      </w:pPr>
    </w:p>
    <w:p>
      <w:pPr>
        <w:jc w:val="both"/>
        <w:ind w:left="1500" w:hanging="743"/>
        <w:spacing w:after="0"/>
        <w:tabs>
          <w:tab w:leader="none" w:pos="15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“Business” means the business of investing and operating in payments, payments networks, billing, billing solutions, software and technology-enabled businesses, including a continuous program of research, development, production and marketing.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3" w:lineRule="exact"/>
        <w:rPr>
          <w:rFonts w:ascii="Arial" w:cs="Arial" w:eastAsia="Arial" w:hAnsi="Arial"/>
          <w:sz w:val="22"/>
          <w:szCs w:val="22"/>
          <w:color w:val="auto"/>
        </w:rPr>
      </w:pPr>
    </w:p>
    <w:p>
      <w:pPr>
        <w:jc w:val="both"/>
        <w:ind w:left="1500" w:hanging="743"/>
        <w:spacing w:after="0" w:line="234" w:lineRule="auto"/>
        <w:tabs>
          <w:tab w:leader="none" w:pos="15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“Cause” shall mean voluntary resignation, disability that renders Participant incapable of performing the essential functions of Participant’s job, with or without reasonable accommodation, after Participant has exhausted any leave available under applicable law or Company policy, job abandonment, substandard performance, engaging in any act or omission deemed to be against the best interests of the Company, unsafe, threatening or violent activity or conduct, and any other conduct that could reasonably be perceived as damaging the Company’s reputation or interfering with its business interests. A termination for Cause may be based on conduct that takes place in or outside the workplace. Cause shall be determined in the sole discretion of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2" w:lineRule="exact"/>
        <w:rPr>
          <w:rFonts w:ascii="Arial" w:cs="Arial" w:eastAsia="Arial" w:hAnsi="Arial"/>
          <w:sz w:val="22"/>
          <w:szCs w:val="22"/>
          <w:color w:val="auto"/>
        </w:rPr>
      </w:pPr>
    </w:p>
    <w:p>
      <w:pPr>
        <w:ind w:left="1500" w:hanging="743"/>
        <w:spacing w:after="0"/>
        <w:tabs>
          <w:tab w:leader="none" w:pos="15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“Compete” shall mean: (i) providing the same or similar services or expertise</w:t>
      </w:r>
    </w:p>
    <w:p>
      <w:pPr>
        <w:spacing w:after="0" w:line="205" w:lineRule="exact"/>
        <w:rPr>
          <w:rFonts w:ascii="Arial" w:cs="Arial" w:eastAsia="Arial" w:hAnsi="Arial"/>
          <w:sz w:val="22"/>
          <w:szCs w:val="22"/>
          <w:color w:val="auto"/>
        </w:rPr>
      </w:pPr>
    </w:p>
    <w:p>
      <w:pPr>
        <w:ind w:left="5520" w:hanging="130"/>
        <w:spacing w:after="0"/>
        <w:tabs>
          <w:tab w:leader="none" w:pos="5520" w:val="left"/>
        </w:tabs>
        <w:numPr>
          <w:ilvl w:val="2"/>
          <w:numId w:val="83"/>
        </w:numPr>
        <w:rPr>
          <w:rFonts w:ascii="Arial" w:cs="Arial" w:eastAsia="Arial" w:hAnsi="Arial"/>
          <w:sz w:val="22"/>
          <w:szCs w:val="22"/>
          <w:color w:val="auto"/>
        </w:rPr>
      </w:pPr>
      <w:r>
        <w:rPr>
          <w:rFonts w:ascii="Arial" w:cs="Arial" w:eastAsia="Arial" w:hAnsi="Arial"/>
          <w:sz w:val="22"/>
          <w:szCs w:val="22"/>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743"/>
        <w:spacing w:after="0" w:line="271" w:lineRule="auto"/>
        <w:rPr>
          <w:sz w:val="20"/>
          <w:szCs w:val="20"/>
          <w:color w:val="auto"/>
        </w:rPr>
      </w:pPr>
      <w:r>
        <w:rPr>
          <w:rFonts w:ascii="Arial" w:cs="Arial" w:eastAsia="Arial" w:hAnsi="Arial"/>
          <w:sz w:val="19"/>
          <w:szCs w:val="19"/>
          <w:color w:val="auto"/>
        </w:rPr>
        <w:t>Participant provided to the Company at any time during the twelve (12) months prior to cessation of employment; (ii) any involvement where Participant will be responsible for managing others, participating in strategic decision-making, engaging in research or development, or personally selling products or services that are the same as or substantially similar to the products or services market, sold, or provided by the Company; or</w:t>
      </w:r>
    </w:p>
    <w:p>
      <w:pPr>
        <w:spacing w:after="0" w:line="2" w:lineRule="exact"/>
        <w:rPr>
          <w:sz w:val="20"/>
          <w:szCs w:val="20"/>
          <w:color w:val="auto"/>
        </w:rPr>
      </w:pPr>
    </w:p>
    <w:p>
      <w:pPr>
        <w:ind w:left="743" w:right="20" w:firstLine="5"/>
        <w:spacing w:after="0" w:line="236" w:lineRule="auto"/>
        <w:tabs>
          <w:tab w:leader="none" w:pos="1121" w:val="left"/>
        </w:tabs>
        <w:numPr>
          <w:ilvl w:val="1"/>
          <w:numId w:val="84"/>
        </w:numPr>
        <w:rPr>
          <w:rFonts w:ascii="Arial" w:cs="Arial" w:eastAsia="Arial" w:hAnsi="Arial"/>
          <w:sz w:val="22"/>
          <w:szCs w:val="22"/>
          <w:color w:val="auto"/>
        </w:rPr>
      </w:pPr>
      <w:r>
        <w:rPr>
          <w:rFonts w:ascii="Arial" w:cs="Arial" w:eastAsia="Arial" w:hAnsi="Arial"/>
          <w:sz w:val="22"/>
          <w:szCs w:val="22"/>
          <w:color w:val="auto"/>
        </w:rPr>
        <w:t>any other capacity where Participant’s knowledge of the Company’s Confidential Information could provide a competitive advantage to any Competing Business.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4" w:lineRule="exact"/>
        <w:rPr>
          <w:rFonts w:ascii="Arial" w:cs="Arial" w:eastAsia="Arial" w:hAnsi="Arial"/>
          <w:sz w:val="22"/>
          <w:szCs w:val="22"/>
          <w:color w:val="auto"/>
        </w:rPr>
      </w:pPr>
    </w:p>
    <w:p>
      <w:pPr>
        <w:jc w:val="both"/>
        <w:ind w:left="743" w:hanging="743"/>
        <w:spacing w:after="0" w:line="260" w:lineRule="auto"/>
        <w:tabs>
          <w:tab w:leader="none" w:pos="743" w:val="left"/>
        </w:tabs>
        <w:numPr>
          <w:ilvl w:val="0"/>
          <w:numId w:val="85"/>
        </w:numPr>
        <w:rPr>
          <w:rFonts w:ascii="Arial" w:cs="Arial" w:eastAsia="Arial" w:hAnsi="Arial"/>
          <w:sz w:val="20"/>
          <w:szCs w:val="20"/>
          <w:color w:val="auto"/>
        </w:rPr>
      </w:pPr>
      <w:r>
        <w:rPr>
          <w:rFonts w:ascii="Arial" w:cs="Arial" w:eastAsia="Arial" w:hAnsi="Arial"/>
          <w:sz w:val="20"/>
          <w:szCs w:val="20"/>
          <w:color w:val="auto"/>
        </w:rPr>
        <w:t>“Competing Business” shall mean any person or entity in the business of developing, distributing, selling, supplying or otherwise dealing with (including but not limited to technical and product support, professional services, technical advice and other customer services) billing and payment solutions (products and services) that offer billers the ability to send bills via electronic channels, receive payments of all types, reconcile payments in real time, and empower customers to work with a self-service billing portal and any other products or services that could replace and are therefore competitive with those offered by the Company or any predecessor within the two (2) years prior to the cessation of Participant’s employment.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jc w:val="both"/>
        <w:ind w:left="743" w:hanging="743"/>
        <w:spacing w:after="0" w:line="256" w:lineRule="auto"/>
        <w:tabs>
          <w:tab w:leader="none" w:pos="743" w:val="left"/>
        </w:tabs>
        <w:numPr>
          <w:ilvl w:val="0"/>
          <w:numId w:val="85"/>
        </w:numPr>
        <w:rPr>
          <w:rFonts w:ascii="Arial" w:cs="Arial" w:eastAsia="Arial" w:hAnsi="Arial"/>
          <w:sz w:val="20"/>
          <w:szCs w:val="20"/>
          <w:color w:val="auto"/>
        </w:rPr>
      </w:pPr>
      <w:r>
        <w:rPr>
          <w:rFonts w:ascii="Arial" w:cs="Arial" w:eastAsia="Arial" w:hAnsi="Arial"/>
          <w:sz w:val="20"/>
          <w:szCs w:val="20"/>
          <w:color w:val="auto"/>
        </w:rPr>
        <w:t>“Confidential Information” shall mean sensitive business information having actual or potential value to the Company or its affiliates because it is not generally known to the general public or ascertainable by a Competing Business, and which has been disclosed to Participant, or of which Participant will become aware, as a consequence of the employment with the Company. Confidential Information includes, but is not limited to, the Company’s investment strategies, management planning information, business plans, operational methods, market studies, marketing plans or strategies, patent information, business acquisition plans, past, current and planned research and development, formulas, methods, patterns, processes, procedures, instructions, designs, inventions, operations, engineering, drawings, equipment, devices, technology, software systems, price lists, sales reports and records, sales books and manuals, code books, financial information and projections, personnel data such as compensation, strengths, weaknesses, and experience, names of customers, customer lists and contact information, customer pricing and purchasing information, lists of targeted prospective customers, supplier lists, product/service and marketing data and programs, product/service plans, product development, advertising campaigns, new product designs or roll out, agreements with third parties, or any information designated by the Company as being “confidential.” Confidential Information may be in written or non-written form, as well as information held on electronic media or networks, magnetic storage, cloud storage service, or other similar media. The Company has invested</w:t>
      </w:r>
    </w:p>
    <w:p>
      <w:pPr>
        <w:spacing w:after="0" w:line="174" w:lineRule="exact"/>
        <w:rPr>
          <w:rFonts w:ascii="Arial" w:cs="Arial" w:eastAsia="Arial" w:hAnsi="Arial"/>
          <w:sz w:val="20"/>
          <w:szCs w:val="20"/>
          <w:color w:val="auto"/>
        </w:rPr>
      </w:pPr>
    </w:p>
    <w:p>
      <w:pPr>
        <w:ind w:left="4763" w:hanging="130"/>
        <w:spacing w:after="0"/>
        <w:tabs>
          <w:tab w:leader="none" w:pos="4763" w:val="left"/>
        </w:tabs>
        <w:numPr>
          <w:ilvl w:val="2"/>
          <w:numId w:val="85"/>
        </w:numPr>
        <w:rPr>
          <w:rFonts w:ascii="Arial" w:cs="Arial" w:eastAsia="Arial" w:hAnsi="Arial"/>
          <w:sz w:val="22"/>
          <w:szCs w:val="22"/>
          <w:color w:val="auto"/>
        </w:rPr>
      </w:pPr>
      <w:r>
        <w:rPr>
          <w:rFonts w:ascii="Arial" w:cs="Arial" w:eastAsia="Arial" w:hAnsi="Arial"/>
          <w:sz w:val="22"/>
          <w:szCs w:val="22"/>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294005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4"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743"/>
        <w:spacing w:after="0" w:line="259" w:lineRule="auto"/>
        <w:rPr>
          <w:sz w:val="20"/>
          <w:szCs w:val="20"/>
          <w:color w:val="auto"/>
        </w:rPr>
      </w:pPr>
      <w:r>
        <w:rPr>
          <w:rFonts w:ascii="Arial" w:cs="Arial" w:eastAsia="Arial" w:hAnsi="Arial"/>
          <w:sz w:val="20"/>
          <w:szCs w:val="20"/>
          <w:color w:val="auto"/>
        </w:rPr>
        <w:t>and will continue to invest extensive time, resources, talent, and effort to develop its Confidential Information, all of which generates goodwill for the Company. Participant acknowledges that the Company has taken reasonable and adequate steps to control access to the Confidential Information and to prevent unauthorized disclosure, which could cause injury to the Company. This definition shall not limit any broader definition of “confidential information” or any equivalent term under applicable state or federal law. Confidential Information shall not include any information that (i) is or becomes generally available to the public other than as a result of an unauthorized or unintentional disclosure, (ii) has been independently developed and disclosed by others without violating any obligations to the Company or applicable law, or (iii) otherwise enters the public domain through lawful means.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743" w:hanging="743"/>
        <w:spacing w:after="0" w:line="276" w:lineRule="auto"/>
        <w:tabs>
          <w:tab w:leader="none" w:pos="743" w:val="left"/>
        </w:tabs>
        <w:numPr>
          <w:ilvl w:val="0"/>
          <w:numId w:val="86"/>
        </w:numPr>
        <w:rPr>
          <w:rFonts w:ascii="Arial" w:cs="Arial" w:eastAsia="Arial" w:hAnsi="Arial"/>
          <w:sz w:val="20"/>
          <w:szCs w:val="20"/>
          <w:color w:val="auto"/>
        </w:rPr>
      </w:pPr>
      <w:r>
        <w:rPr>
          <w:rFonts w:ascii="Arial" w:cs="Arial" w:eastAsia="Arial" w:hAnsi="Arial"/>
          <w:sz w:val="20"/>
          <w:szCs w:val="20"/>
          <w:color w:val="auto"/>
        </w:rPr>
        <w:t>“Customer” of the Company shall mean any business or entity that agreed, verbally or in writing, to purchase products or services from the Company or actually purchased products or services from the Company within the twelve (12) months preceding the cessation of Participant’s employment with the Company.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743" w:right="20" w:hanging="743"/>
        <w:spacing w:after="0" w:line="250" w:lineRule="auto"/>
        <w:tabs>
          <w:tab w:leader="none" w:pos="743"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term “employment” shall include service as an employee, consultant, or other service provider of the Company or any Subsidiary or Parent of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2" w:lineRule="exact"/>
        <w:rPr>
          <w:rFonts w:ascii="Arial" w:cs="Arial" w:eastAsia="Arial" w:hAnsi="Arial"/>
          <w:sz w:val="22"/>
          <w:szCs w:val="22"/>
          <w:color w:val="auto"/>
        </w:rPr>
      </w:pPr>
    </w:p>
    <w:p>
      <w:pPr>
        <w:jc w:val="both"/>
        <w:ind w:left="743" w:hanging="743"/>
        <w:spacing w:after="0" w:line="273" w:lineRule="auto"/>
        <w:tabs>
          <w:tab w:leader="none" w:pos="743" w:val="left"/>
        </w:tabs>
        <w:numPr>
          <w:ilvl w:val="0"/>
          <w:numId w:val="86"/>
        </w:numPr>
        <w:rPr>
          <w:rFonts w:ascii="Arial" w:cs="Arial" w:eastAsia="Arial" w:hAnsi="Arial"/>
          <w:sz w:val="19"/>
          <w:szCs w:val="19"/>
          <w:color w:val="auto"/>
        </w:rPr>
      </w:pPr>
      <w:r>
        <w:rPr>
          <w:rFonts w:ascii="Arial" w:cs="Arial" w:eastAsia="Arial" w:hAnsi="Arial"/>
          <w:sz w:val="19"/>
          <w:szCs w:val="19"/>
          <w:color w:val="auto"/>
        </w:rPr>
        <w:t>Participant will be deemed to have had “Material Contact” with any Customer or Prospective Customer of the Company if, in the twelve (12) months prior to the cessation of Participant’s employment with the Company, the Customer or Prospective Customer is one: (i) with whom or which Participant dealt on behalf of the Company;</w:t>
      </w:r>
    </w:p>
    <w:p>
      <w:pPr>
        <w:jc w:val="both"/>
        <w:ind w:left="743" w:firstLine="5"/>
        <w:spacing w:after="0" w:line="262" w:lineRule="auto"/>
        <w:tabs>
          <w:tab w:leader="none" w:pos="1123" w:val="left"/>
        </w:tabs>
        <w:numPr>
          <w:ilvl w:val="1"/>
          <w:numId w:val="86"/>
        </w:numPr>
        <w:rPr>
          <w:rFonts w:ascii="Arial" w:cs="Arial" w:eastAsia="Arial" w:hAnsi="Arial"/>
          <w:sz w:val="20"/>
          <w:szCs w:val="20"/>
          <w:color w:val="auto"/>
        </w:rPr>
      </w:pPr>
      <w:r>
        <w:rPr>
          <w:rFonts w:ascii="Arial" w:cs="Arial" w:eastAsia="Arial" w:hAnsi="Arial"/>
          <w:sz w:val="20"/>
          <w:szCs w:val="20"/>
          <w:color w:val="auto"/>
        </w:rPr>
        <w:t>whose dealings with the Company were coordinated or supervised by Participant; (iii) about whom Participant obtained Confidential Information in the ordinary course of business as a result of Participant’s employment with the Company; or (iv) who received products or services authorized by the Company, the sale or provision of which resulted in compensation, commissions, or earnings for Participant.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2" w:lineRule="exact"/>
        <w:rPr>
          <w:rFonts w:ascii="Arial" w:cs="Arial" w:eastAsia="Arial" w:hAnsi="Arial"/>
          <w:sz w:val="20"/>
          <w:szCs w:val="20"/>
          <w:color w:val="auto"/>
        </w:rPr>
      </w:pPr>
    </w:p>
    <w:p>
      <w:pPr>
        <w:jc w:val="both"/>
        <w:ind w:left="743" w:hanging="743"/>
        <w:spacing w:after="0" w:line="237" w:lineRule="auto"/>
        <w:tabs>
          <w:tab w:leader="none" w:pos="743" w:val="left"/>
        </w:tabs>
        <w:numPr>
          <w:ilvl w:val="0"/>
          <w:numId w:val="86"/>
        </w:numPr>
        <w:rPr>
          <w:rFonts w:ascii="Arial" w:cs="Arial" w:eastAsia="Arial" w:hAnsi="Arial"/>
          <w:sz w:val="22"/>
          <w:szCs w:val="22"/>
          <w:color w:val="auto"/>
        </w:rPr>
      </w:pPr>
      <w:r>
        <w:rPr>
          <w:rFonts w:ascii="Arial" w:cs="Arial" w:eastAsia="Arial" w:hAnsi="Arial"/>
          <w:sz w:val="22"/>
          <w:szCs w:val="22"/>
          <w:color w:val="auto"/>
        </w:rPr>
        <w:t>“Prospective Customer” shall mean any business or entity that is not a Customer, but to whom Participant provided a bid, quote for products or services, or about whom Participant obtained Confidential Information for the purposes of securing a sale, during the twelve (12) months preceding cessation of Participant’s employment with the Company.</w:t>
      </w:r>
    </w:p>
    <w:p>
      <w:pPr>
        <w:spacing w:after="0" w:line="187" w:lineRule="exact"/>
        <w:rPr>
          <w:rFonts w:ascii="Arial" w:cs="Arial" w:eastAsia="Arial" w:hAnsi="Arial"/>
          <w:sz w:val="22"/>
          <w:szCs w:val="22"/>
          <w:color w:val="auto"/>
        </w:rPr>
      </w:pPr>
    </w:p>
    <w:p>
      <w:pPr>
        <w:ind w:left="4763" w:hanging="130"/>
        <w:spacing w:after="0"/>
        <w:tabs>
          <w:tab w:leader="none" w:pos="4763" w:val="left"/>
        </w:tabs>
        <w:numPr>
          <w:ilvl w:val="2"/>
          <w:numId w:val="86"/>
        </w:numPr>
        <w:rPr>
          <w:rFonts w:ascii="Arial" w:cs="Arial" w:eastAsia="Arial" w:hAnsi="Arial"/>
          <w:sz w:val="22"/>
          <w:szCs w:val="22"/>
          <w:color w:val="auto"/>
        </w:rPr>
      </w:pPr>
      <w:r>
        <w:rPr>
          <w:rFonts w:ascii="Arial" w:cs="Arial" w:eastAsia="Arial" w:hAnsi="Arial"/>
          <w:sz w:val="22"/>
          <w:szCs w:val="22"/>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294005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4"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500" w:hanging="743"/>
        <w:spacing w:after="0"/>
        <w:tabs>
          <w:tab w:leader="none" w:pos="1500" w:val="left"/>
        </w:tabs>
        <w:numPr>
          <w:ilvl w:val="1"/>
          <w:numId w:val="87"/>
        </w:numPr>
        <w:rPr>
          <w:rFonts w:ascii="Arial" w:cs="Arial" w:eastAsia="Arial" w:hAnsi="Arial"/>
          <w:sz w:val="20"/>
          <w:szCs w:val="20"/>
          <w:color w:val="auto"/>
        </w:rPr>
      </w:pPr>
      <w:r>
        <w:rPr>
          <w:rFonts w:ascii="Arial" w:cs="Arial" w:eastAsia="Arial" w:hAnsi="Arial"/>
          <w:sz w:val="20"/>
          <w:szCs w:val="20"/>
          <w:color w:val="auto"/>
        </w:rPr>
        <w:t>“Restricted Period” shall mean the entire period of Participant’s employment with the Company and a twelve</w:t>
      </w:r>
    </w:p>
    <w:p>
      <w:pPr>
        <w:spacing w:after="0" w:line="30" w:lineRule="exact"/>
        <w:rPr>
          <w:rFonts w:ascii="Arial" w:cs="Arial" w:eastAsia="Arial" w:hAnsi="Arial"/>
          <w:sz w:val="20"/>
          <w:szCs w:val="20"/>
          <w:color w:val="auto"/>
        </w:rPr>
      </w:pPr>
    </w:p>
    <w:p>
      <w:pPr>
        <w:ind w:left="1920" w:hanging="415"/>
        <w:spacing w:after="0"/>
        <w:tabs>
          <w:tab w:leader="none" w:pos="1920" w:val="left"/>
        </w:tabs>
        <w:numPr>
          <w:ilvl w:val="2"/>
          <w:numId w:val="87"/>
        </w:numPr>
        <w:rPr>
          <w:rFonts w:ascii="Arial" w:cs="Arial" w:eastAsia="Arial" w:hAnsi="Arial"/>
          <w:sz w:val="22"/>
          <w:szCs w:val="22"/>
          <w:color w:val="auto"/>
        </w:rPr>
      </w:pPr>
      <w:r>
        <w:rPr>
          <w:rFonts w:ascii="Arial" w:cs="Arial" w:eastAsia="Arial" w:hAnsi="Arial"/>
          <w:sz w:val="22"/>
          <w:szCs w:val="22"/>
          <w:color w:val="auto"/>
        </w:rPr>
        <w:t>month period immediately following the cessation of Participant’s employment.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5" w:lineRule="exact"/>
        <w:rPr>
          <w:rFonts w:ascii="Arial" w:cs="Arial" w:eastAsia="Arial" w:hAnsi="Arial"/>
          <w:sz w:val="22"/>
          <w:szCs w:val="22"/>
          <w:color w:val="auto"/>
        </w:rPr>
      </w:pPr>
    </w:p>
    <w:p>
      <w:pPr>
        <w:jc w:val="both"/>
        <w:ind w:left="1500" w:hanging="743"/>
        <w:spacing w:after="0" w:line="262" w:lineRule="auto"/>
        <w:tabs>
          <w:tab w:leader="none" w:pos="1500" w:val="left"/>
        </w:tabs>
        <w:numPr>
          <w:ilvl w:val="1"/>
          <w:numId w:val="87"/>
        </w:numPr>
        <w:rPr>
          <w:rFonts w:ascii="Arial" w:cs="Arial" w:eastAsia="Arial" w:hAnsi="Arial"/>
          <w:sz w:val="20"/>
          <w:szCs w:val="20"/>
          <w:color w:val="auto"/>
        </w:rPr>
      </w:pPr>
      <w:r>
        <w:rPr>
          <w:rFonts w:ascii="Arial" w:cs="Arial" w:eastAsia="Arial" w:hAnsi="Arial"/>
          <w:sz w:val="20"/>
          <w:szCs w:val="20"/>
          <w:color w:val="auto"/>
        </w:rPr>
        <w:t>“Restricted Territory” shall mean (i) Participant’s designated territory or area of responsibility as of the cessation of Participant’s employment with the Company; and (ii) the geographic areas in which Participant, during any time in the last twelve (12) months of employment with the Company, provided services or had a material presence or influence. Acts done by Participant outside the “Restricted Territory” shall be deemed to be done within the “Restricted Territory” where their primary purpose or effect is to compete with the Company on behalf of a Competing Business within the “Restricted Territory.”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jc w:val="both"/>
        <w:ind w:left="760" w:hanging="752"/>
        <w:spacing w:after="0" w:line="239" w:lineRule="auto"/>
        <w:tabs>
          <w:tab w:leader="none" w:pos="760" w:val="left"/>
        </w:tabs>
        <w:numPr>
          <w:ilvl w:val="0"/>
          <w:numId w:val="8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Participant’s right to consult with counsel</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acknowledges that Participant has been provided an</w:t>
      </w:r>
      <w:r>
        <w:rPr>
          <w:rFonts w:ascii="Arial" w:cs="Arial" w:eastAsia="Arial" w:hAnsi="Arial"/>
          <w:sz w:val="22"/>
          <w:szCs w:val="22"/>
          <w:b w:val="1"/>
          <w:bCs w:val="1"/>
          <w:color w:val="auto"/>
        </w:rPr>
        <w:t xml:space="preserve"> </w:t>
      </w:r>
      <w:r>
        <w:rPr>
          <w:rFonts w:ascii="Arial" w:cs="Arial" w:eastAsia="Arial" w:hAnsi="Arial"/>
          <w:sz w:val="22"/>
          <w:szCs w:val="22"/>
          <w:color w:val="auto"/>
        </w:rPr>
        <w:t>opportunity, and has been made aware of Participant’s right, to consult with counsel of their choosing at Participant’s expense prior to entering into the Award Agreement, including specifically (but without limitation) the restrictive covenants in this Restrictive Covenants Addendum.</w:t>
      </w:r>
    </w:p>
    <w:p>
      <w:pPr>
        <w:spacing w:after="0" w:line="200" w:lineRule="exact"/>
        <w:rPr>
          <w:rFonts w:ascii="Arial" w:cs="Arial" w:eastAsia="Arial" w:hAnsi="Arial"/>
          <w:sz w:val="22"/>
          <w:szCs w:val="22"/>
          <w:b w:val="1"/>
          <w:bCs w:val="1"/>
          <w:u w:val="single" w:color="auto"/>
          <w:color w:val="auto"/>
        </w:rPr>
      </w:pPr>
    </w:p>
    <w:p>
      <w:pPr>
        <w:spacing w:after="0" w:line="200" w:lineRule="exact"/>
        <w:rPr>
          <w:rFonts w:ascii="Arial" w:cs="Arial" w:eastAsia="Arial" w:hAnsi="Arial"/>
          <w:sz w:val="22"/>
          <w:szCs w:val="22"/>
          <w:b w:val="1"/>
          <w:bCs w:val="1"/>
          <w:u w:val="single" w:color="auto"/>
          <w:color w:val="auto"/>
        </w:rPr>
      </w:pPr>
    </w:p>
    <w:p>
      <w:pPr>
        <w:spacing w:after="0" w:line="237" w:lineRule="exact"/>
        <w:rPr>
          <w:rFonts w:ascii="Arial" w:cs="Arial" w:eastAsia="Arial" w:hAnsi="Arial"/>
          <w:sz w:val="22"/>
          <w:szCs w:val="22"/>
          <w:b w:val="1"/>
          <w:bCs w:val="1"/>
          <w:u w:val="single" w:color="auto"/>
          <w:color w:val="auto"/>
        </w:rPr>
      </w:pPr>
    </w:p>
    <w:p>
      <w:pPr>
        <w:jc w:val="both"/>
        <w:ind w:left="760" w:hanging="752"/>
        <w:spacing w:after="0" w:line="275" w:lineRule="auto"/>
        <w:tabs>
          <w:tab w:leader="none" w:pos="760" w:val="left"/>
        </w:tabs>
        <w:numPr>
          <w:ilvl w:val="0"/>
          <w:numId w:val="88"/>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Notification of New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Before Participant accepts employment or enters into any consulting, independent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contractor, or other professional or business engagement with any other person or entity while any of the provisions of this Restrictive Covenants Addendum are in effect, Participant will provide such person or entity with written notice of the provisions of this Restrictive Covenants Addendum and will deliver a copy of that notice to the Company. While any of the restrictive covenant provisions of this Restrictive Covenants Addendum are in effect, Participant agrees that, upon the request of the Company, Participant will furnish the Company with the name and address of any new employer or entity for whom Participant provides contractor or consulting services, as well as the capacity in which Participant will be employed or otherwise engaged. Participant hereby consents to the Company’s notifying Participant’s new employer about Participant’s responsibilities, restrictions and obligations under this Restrictive Covenants Addendum.</w:t>
      </w:r>
    </w:p>
    <w:p>
      <w:pPr>
        <w:spacing w:after="0" w:line="200" w:lineRule="exact"/>
        <w:rPr>
          <w:rFonts w:ascii="Arial" w:cs="Arial" w:eastAsia="Arial" w:hAnsi="Arial"/>
          <w:sz w:val="19"/>
          <w:szCs w:val="19"/>
          <w:b w:val="1"/>
          <w:bCs w:val="1"/>
          <w:u w:val="single" w:color="auto"/>
          <w:color w:val="auto"/>
        </w:rPr>
      </w:pPr>
    </w:p>
    <w:p>
      <w:pPr>
        <w:spacing w:after="0" w:line="200" w:lineRule="exact"/>
        <w:rPr>
          <w:rFonts w:ascii="Arial" w:cs="Arial" w:eastAsia="Arial" w:hAnsi="Arial"/>
          <w:sz w:val="19"/>
          <w:szCs w:val="19"/>
          <w:b w:val="1"/>
          <w:bCs w:val="1"/>
          <w:u w:val="single" w:color="auto"/>
          <w:color w:val="auto"/>
        </w:rPr>
      </w:pPr>
    </w:p>
    <w:p>
      <w:pPr>
        <w:spacing w:after="0" w:line="205" w:lineRule="exact"/>
        <w:rPr>
          <w:rFonts w:ascii="Arial" w:cs="Arial" w:eastAsia="Arial" w:hAnsi="Arial"/>
          <w:sz w:val="19"/>
          <w:szCs w:val="19"/>
          <w:b w:val="1"/>
          <w:bCs w:val="1"/>
          <w:u w:val="single" w:color="auto"/>
          <w:color w:val="auto"/>
        </w:rPr>
      </w:pPr>
    </w:p>
    <w:p>
      <w:pPr>
        <w:jc w:val="both"/>
        <w:ind w:left="760" w:hanging="752"/>
        <w:spacing w:after="0" w:line="243" w:lineRule="auto"/>
        <w:tabs>
          <w:tab w:leader="none" w:pos="760" w:val="left"/>
        </w:tabs>
        <w:numPr>
          <w:ilvl w:val="0"/>
          <w:numId w:val="8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State Law Exceptions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acknowledges and agrees that, in certain states the covenants contained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Restrictive Covenants Addendum may have limited or no applicability. The Company intends for this Restrictive Covenants Addendum to comply</w:t>
      </w:r>
    </w:p>
    <w:p>
      <w:pPr>
        <w:spacing w:after="0" w:line="181" w:lineRule="exact"/>
        <w:rPr>
          <w:rFonts w:ascii="Arial" w:cs="Arial" w:eastAsia="Arial" w:hAnsi="Arial"/>
          <w:sz w:val="22"/>
          <w:szCs w:val="22"/>
          <w:b w:val="1"/>
          <w:bCs w:val="1"/>
          <w:u w:val="single" w:color="auto"/>
          <w:color w:val="auto"/>
        </w:rPr>
      </w:pPr>
    </w:p>
    <w:p>
      <w:pPr>
        <w:ind w:left="5520" w:hanging="130"/>
        <w:spacing w:after="0"/>
        <w:tabs>
          <w:tab w:leader="none" w:pos="5520" w:val="left"/>
        </w:tabs>
        <w:numPr>
          <w:ilvl w:val="3"/>
          <w:numId w:val="88"/>
        </w:numPr>
        <w:rPr>
          <w:rFonts w:ascii="Arial" w:cs="Arial" w:eastAsia="Arial" w:hAnsi="Arial"/>
          <w:sz w:val="22"/>
          <w:szCs w:val="22"/>
          <w:color w:val="auto"/>
        </w:rPr>
      </w:pPr>
      <w:r>
        <w:rPr>
          <w:rFonts w:ascii="Arial" w:cs="Arial" w:eastAsia="Arial" w:hAnsi="Arial"/>
          <w:sz w:val="22"/>
          <w:szCs w:val="22"/>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6" w:name="page137"/>
    <w:bookmarkEnd w:id="136"/>
    <w:p>
      <w:pPr>
        <w:ind w:left="9303"/>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3"/>
        <w:spacing w:after="0" w:line="235" w:lineRule="auto"/>
        <w:rPr>
          <w:sz w:val="20"/>
          <w:szCs w:val="20"/>
          <w:color w:val="auto"/>
        </w:rPr>
      </w:pPr>
      <w:r>
        <w:rPr>
          <w:rFonts w:ascii="Arial" w:cs="Arial" w:eastAsia="Arial" w:hAnsi="Arial"/>
          <w:sz w:val="22"/>
          <w:szCs w:val="22"/>
          <w:color w:val="auto"/>
        </w:rPr>
        <w:t>fully with state and local laws and, as such, acknowledges that this Restrictive Covenants Addendum is limited or not applicable in the following states. To the extent that there are additional limitations not acknowledged herein, the Company intends for this</w:t>
      </w:r>
    </w:p>
    <w:p>
      <w:pPr>
        <w:spacing w:after="0" w:line="3" w:lineRule="exact"/>
        <w:rPr>
          <w:sz w:val="20"/>
          <w:szCs w:val="20"/>
          <w:color w:val="auto"/>
        </w:rPr>
      </w:pPr>
    </w:p>
    <w:p>
      <w:pPr>
        <w:jc w:val="both"/>
        <w:ind w:left="3"/>
        <w:spacing w:after="0" w:line="233" w:lineRule="auto"/>
        <w:rPr>
          <w:sz w:val="20"/>
          <w:szCs w:val="20"/>
          <w:color w:val="auto"/>
        </w:rPr>
      </w:pPr>
      <w:r>
        <w:rPr>
          <w:rFonts w:ascii="Arial" w:cs="Arial" w:eastAsia="Arial" w:hAnsi="Arial"/>
          <w:sz w:val="22"/>
          <w:szCs w:val="22"/>
          <w:color w:val="auto"/>
        </w:rPr>
        <w:t>Restrictive Covenants Addendum to be read and applied in full compliance with applicable state laws. Further, to the extent any state not listed limits enforceability of a covenant if Participant’s annual compensation is insufficient for enforceable post-employment non-competition or non-solicitation restrictions, such limitation is incorporated by reference.</w:t>
      </w:r>
    </w:p>
    <w:p>
      <w:pPr>
        <w:spacing w:after="0" w:line="186" w:lineRule="exact"/>
        <w:rPr>
          <w:sz w:val="20"/>
          <w:szCs w:val="20"/>
          <w:color w:val="auto"/>
        </w:rPr>
      </w:pPr>
    </w:p>
    <w:p>
      <w:pPr>
        <w:jc w:val="both"/>
        <w:ind w:left="743" w:hanging="743"/>
        <w:spacing w:after="0"/>
        <w:tabs>
          <w:tab w:leader="none" w:pos="743"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Arizona</w:t>
      </w:r>
      <w:r>
        <w:rPr>
          <w:rFonts w:ascii="Arial" w:cs="Arial" w:eastAsia="Arial" w:hAnsi="Arial"/>
          <w:sz w:val="22"/>
          <w:szCs w:val="22"/>
          <w:color w:val="auto"/>
        </w:rPr>
        <w:t>. If Participant’s primary work location is in Arizona as of the date Participant’s employment with the Company ceases, Sections 3 and 4 of this Restrictive Covenants Addendum will prohibit Participant from engaging in the conduct described only in the “Restricted Territory.”</w:t>
      </w:r>
    </w:p>
    <w:p>
      <w:pPr>
        <w:spacing w:after="0" w:line="184" w:lineRule="exact"/>
        <w:rPr>
          <w:rFonts w:ascii="Arial" w:cs="Arial" w:eastAsia="Arial" w:hAnsi="Arial"/>
          <w:sz w:val="22"/>
          <w:szCs w:val="22"/>
          <w:color w:val="auto"/>
        </w:rPr>
      </w:pPr>
    </w:p>
    <w:p>
      <w:pPr>
        <w:jc w:val="both"/>
        <w:ind w:left="743" w:hanging="743"/>
        <w:spacing w:after="0" w:line="287" w:lineRule="auto"/>
        <w:tabs>
          <w:tab w:leader="none" w:pos="743"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California</w:t>
      </w:r>
      <w:r>
        <w:rPr>
          <w:rFonts w:ascii="Arial" w:cs="Arial" w:eastAsia="Arial" w:hAnsi="Arial"/>
          <w:sz w:val="19"/>
          <w:szCs w:val="19"/>
          <w:color w:val="auto"/>
        </w:rPr>
        <w:t>. If Participant’s primary work location is in California as of the date Participant’s employment with the Company ceases, Sections 2, 3, 4 and 6 of this Restrictive Covenants Addendum do not apply to Participant after Participant’s last day of employment. Further, Section 5 of this Restrictive Covenants Addendum shall provide for attorneys’ fees to the prevailing party as required under California Civil Code § 1717.</w:t>
      </w:r>
    </w:p>
    <w:p>
      <w:pPr>
        <w:spacing w:after="0" w:line="141" w:lineRule="exact"/>
        <w:rPr>
          <w:rFonts w:ascii="Arial" w:cs="Arial" w:eastAsia="Arial" w:hAnsi="Arial"/>
          <w:sz w:val="19"/>
          <w:szCs w:val="19"/>
          <w:color w:val="auto"/>
        </w:rPr>
      </w:pPr>
    </w:p>
    <w:p>
      <w:pPr>
        <w:jc w:val="both"/>
        <w:ind w:left="743" w:hanging="743"/>
        <w:spacing w:after="0" w:line="276" w:lineRule="auto"/>
        <w:tabs>
          <w:tab w:leader="none" w:pos="743"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Connecticut</w:t>
      </w:r>
      <w:r>
        <w:rPr>
          <w:rFonts w:ascii="Arial" w:cs="Arial" w:eastAsia="Arial" w:hAnsi="Arial"/>
          <w:sz w:val="20"/>
          <w:szCs w:val="20"/>
          <w:color w:val="auto"/>
        </w:rPr>
        <w:t>. If Participant’s primary work location is in Connecticut, Section 1 of this Restrictive Covenants Addendum shall not be interpreted to preclude Participant from discussing at any time the compensation of any employee of the Company who has voluntarily disclosed that compensation information to Participant.</w:t>
      </w:r>
    </w:p>
    <w:p>
      <w:pPr>
        <w:spacing w:after="0" w:line="150" w:lineRule="exact"/>
        <w:rPr>
          <w:rFonts w:ascii="Arial" w:cs="Arial" w:eastAsia="Arial" w:hAnsi="Arial"/>
          <w:sz w:val="20"/>
          <w:szCs w:val="20"/>
          <w:color w:val="auto"/>
        </w:rPr>
      </w:pPr>
    </w:p>
    <w:p>
      <w:pPr>
        <w:jc w:val="both"/>
        <w:ind w:left="743" w:hanging="743"/>
        <w:spacing w:after="0"/>
        <w:tabs>
          <w:tab w:leader="none" w:pos="743"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Florida</w:t>
      </w:r>
      <w:r>
        <w:rPr>
          <w:rFonts w:ascii="Arial" w:cs="Arial" w:eastAsia="Arial" w:hAnsi="Arial"/>
          <w:sz w:val="22"/>
          <w:szCs w:val="22"/>
          <w:color w:val="auto"/>
        </w:rPr>
        <w:t>. If Participant’s primary work location is in Florida as of the date Participant’s employment with the Company ceases, then the phrase “and without necessity of posting bond” shall be struck from Section 5 of this Restrictive Covenants Addendum.</w:t>
      </w:r>
    </w:p>
    <w:p>
      <w:pPr>
        <w:spacing w:after="0" w:line="184" w:lineRule="exact"/>
        <w:rPr>
          <w:rFonts w:ascii="Arial" w:cs="Arial" w:eastAsia="Arial" w:hAnsi="Arial"/>
          <w:sz w:val="22"/>
          <w:szCs w:val="22"/>
          <w:color w:val="auto"/>
        </w:rPr>
      </w:pPr>
    </w:p>
    <w:p>
      <w:pPr>
        <w:jc w:val="both"/>
        <w:ind w:left="743" w:hanging="743"/>
        <w:spacing w:after="0" w:line="237" w:lineRule="auto"/>
        <w:tabs>
          <w:tab w:leader="none" w:pos="743"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Hawaii</w:t>
      </w:r>
      <w:r>
        <w:rPr>
          <w:rFonts w:ascii="Arial" w:cs="Arial" w:eastAsia="Arial" w:hAnsi="Arial"/>
          <w:sz w:val="22"/>
          <w:szCs w:val="22"/>
          <w:color w:val="auto"/>
        </w:rPr>
        <w:t>. If Participant’s primary work location is in Hawaii as of the date Participant’s employment with the Company ceases, then after the last day of employment the restrictions in Section 2 of this Restrictive Covenants Addendum will apply geographically only to the specific island(s) within the State of Hawaii for which Participant had managerial and/or sales responsibility.</w:t>
      </w:r>
    </w:p>
    <w:p>
      <w:pPr>
        <w:spacing w:after="0" w:line="187" w:lineRule="exact"/>
        <w:rPr>
          <w:rFonts w:ascii="Arial" w:cs="Arial" w:eastAsia="Arial" w:hAnsi="Arial"/>
          <w:sz w:val="22"/>
          <w:szCs w:val="22"/>
          <w:color w:val="auto"/>
        </w:rPr>
      </w:pPr>
    </w:p>
    <w:p>
      <w:pPr>
        <w:jc w:val="both"/>
        <w:ind w:left="743" w:hanging="743"/>
        <w:spacing w:after="0" w:line="278" w:lineRule="auto"/>
        <w:tabs>
          <w:tab w:leader="none" w:pos="743"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Idaho</w:t>
      </w:r>
      <w:r>
        <w:rPr>
          <w:rFonts w:ascii="Arial" w:cs="Arial" w:eastAsia="Arial" w:hAnsi="Arial"/>
          <w:sz w:val="19"/>
          <w:szCs w:val="19"/>
          <w:color w:val="auto"/>
        </w:rPr>
        <w:t>. If Participant’s primary work location is in Idaho as of the date Participant’s employment with the Company ceases, then after the last day of employment the restrictions in Sections 2, 3, and 4 of this Restrictive Covenants Addendum shall apply only if Participant is a “key employee.” As used herein, the phrase “key employee” means an employee who, by reason of the employer’s investment of time, money, trust, exposure to the public, or exposure to technologies, intellectual property, business plans, business processes and methods of operation, customers, vendors or other business relationships during the course of employment, has</w:t>
      </w:r>
    </w:p>
    <w:p>
      <w:pPr>
        <w:spacing w:after="0" w:line="153" w:lineRule="exact"/>
        <w:rPr>
          <w:rFonts w:ascii="Arial" w:cs="Arial" w:eastAsia="Arial" w:hAnsi="Arial"/>
          <w:sz w:val="19"/>
          <w:szCs w:val="19"/>
          <w:color w:val="auto"/>
        </w:rPr>
      </w:pPr>
    </w:p>
    <w:p>
      <w:pPr>
        <w:ind w:left="4763" w:hanging="130"/>
        <w:spacing w:after="0"/>
        <w:tabs>
          <w:tab w:leader="none" w:pos="4763" w:val="left"/>
        </w:tabs>
        <w:numPr>
          <w:ilvl w:val="1"/>
          <w:numId w:val="89"/>
        </w:numPr>
        <w:rPr>
          <w:rFonts w:ascii="Arial" w:cs="Arial" w:eastAsia="Arial" w:hAnsi="Arial"/>
          <w:sz w:val="22"/>
          <w:szCs w:val="22"/>
          <w:color w:val="auto"/>
        </w:rPr>
      </w:pPr>
      <w:r>
        <w:rPr>
          <w:rFonts w:ascii="Arial" w:cs="Arial" w:eastAsia="Arial" w:hAnsi="Arial"/>
          <w:sz w:val="22"/>
          <w:szCs w:val="22"/>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294005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4"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743"/>
        <w:spacing w:after="0"/>
        <w:rPr>
          <w:sz w:val="20"/>
          <w:szCs w:val="20"/>
          <w:color w:val="auto"/>
        </w:rPr>
      </w:pPr>
      <w:r>
        <w:rPr>
          <w:rFonts w:ascii="Arial" w:cs="Arial" w:eastAsia="Arial" w:hAnsi="Arial"/>
          <w:sz w:val="22"/>
          <w:szCs w:val="22"/>
          <w:color w:val="auto"/>
        </w:rPr>
        <w:t>gained a high level of inside knowledge, influence, credibility, notoriety, fame, reputation or public persona as a representative or spokesperson of the employer and, as a result, has the ability to harm or threaten an employer’s legitimate business interests.</w:t>
      </w:r>
    </w:p>
    <w:p>
      <w:pPr>
        <w:spacing w:after="0" w:line="185" w:lineRule="exact"/>
        <w:rPr>
          <w:sz w:val="20"/>
          <w:szCs w:val="20"/>
          <w:color w:val="auto"/>
        </w:rPr>
      </w:pPr>
    </w:p>
    <w:p>
      <w:pPr>
        <w:jc w:val="both"/>
        <w:ind w:left="743" w:hanging="743"/>
        <w:spacing w:after="0" w:line="256" w:lineRule="auto"/>
        <w:tabs>
          <w:tab w:leader="none" w:pos="743"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Nebraska</w:t>
      </w:r>
      <w:r>
        <w:rPr>
          <w:rFonts w:ascii="Arial" w:cs="Arial" w:eastAsia="Arial" w:hAnsi="Arial"/>
          <w:sz w:val="20"/>
          <w:szCs w:val="20"/>
          <w:color w:val="auto"/>
        </w:rPr>
        <w:t>. If Participant’s primary work location is in Nebraska as of the date Participant’s employment with the Company ceases, then after the last day of employment the restrictions in Section 2 of this Restrictive Covenants Addendum will not apply. After Participant’s employment with the Company ceases, the restrictions of Section 3 of this Restrictive Covenants Addendum will only apply to the Company’s current Customers, and not to Prospective Customers. Also after Participant’s employment with the Company ceases, (1) the definition of “Customer” in Section 7(f) of this Restrictive Covenants Addendum shall only apply to any business or entity that is a current customer of the Company; (2) the definition of “Material Contact” in Section 7(h) of this Restrictive Covenants Addendum shall mean doing business and having personal contact with Customers during Participant’s employment with the Company; and (3) the definition of “Restricted Employee” in Section 4 of this Restrictive Covenants Addendum shall mean any employee of the Company whom Participant had material business-related contact during Participant’s employment with the Company, and who is actually employed by the Company at the time of the conduct prohibited by Section 4 of this Restrictive Covenants Addendum, or who were employed by the Company within three (3) months prior to the contact prohibited by Section 4 of this Restrictive Covenants Addendum.</w:t>
      </w:r>
    </w:p>
    <w:p>
      <w:pPr>
        <w:spacing w:after="0" w:line="179" w:lineRule="exact"/>
        <w:rPr>
          <w:rFonts w:ascii="Arial" w:cs="Arial" w:eastAsia="Arial" w:hAnsi="Arial"/>
          <w:sz w:val="20"/>
          <w:szCs w:val="20"/>
          <w:color w:val="auto"/>
        </w:rPr>
      </w:pPr>
    </w:p>
    <w:p>
      <w:pPr>
        <w:jc w:val="both"/>
        <w:ind w:left="743" w:hanging="743"/>
        <w:spacing w:after="0"/>
        <w:tabs>
          <w:tab w:leader="none" w:pos="743"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Tennessee</w:t>
      </w:r>
      <w:r>
        <w:rPr>
          <w:rFonts w:ascii="Arial" w:cs="Arial" w:eastAsia="Arial" w:hAnsi="Arial"/>
          <w:sz w:val="22"/>
          <w:szCs w:val="22"/>
          <w:color w:val="auto"/>
        </w:rPr>
        <w:t>. If Participant’s primary work location is in Tennessee as of the date Participant’s employment with the Company ceases, Sections 3 and 4 of this Restrictive Covenants Addendum will prohibit Participant from engaging in the conduct described only in the “Restricted Territory.”</w:t>
      </w:r>
    </w:p>
    <w:p>
      <w:pPr>
        <w:spacing w:after="0" w:line="184" w:lineRule="exact"/>
        <w:rPr>
          <w:rFonts w:ascii="Arial" w:cs="Arial" w:eastAsia="Arial" w:hAnsi="Arial"/>
          <w:sz w:val="22"/>
          <w:szCs w:val="22"/>
          <w:color w:val="auto"/>
        </w:rPr>
      </w:pPr>
    </w:p>
    <w:p>
      <w:pPr>
        <w:jc w:val="both"/>
        <w:ind w:left="743" w:hanging="743"/>
        <w:spacing w:after="0" w:line="234" w:lineRule="auto"/>
        <w:tabs>
          <w:tab w:leader="none" w:pos="743"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Virginia</w:t>
      </w:r>
      <w:r>
        <w:rPr>
          <w:rFonts w:ascii="Arial" w:cs="Arial" w:eastAsia="Arial" w:hAnsi="Arial"/>
          <w:sz w:val="22"/>
          <w:szCs w:val="22"/>
          <w:color w:val="auto"/>
        </w:rPr>
        <w:t>. If Participant’s primary work location is in Virginia, then: (i) at any time that Participant is a “low-wage employee” within the meaning of Virginia Code § 40.1-28.7:8, Section 2 of this Restrictive Covenants Addendum does not apply and Section 3 of this Restrictive Covenants Addendum is modified by deleting the phrase “or otherwise accept business from”; and (ii) as of the date Participant’s employment with the Company ceases, “Compete” as defined in Section 7(c), shall mean: providing the same or similar services or expertise Participant provided to the Company at any time during the twelve (12) months prior to cessation of employment.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9" w:lineRule="exact"/>
        <w:rPr>
          <w:rFonts w:ascii="Arial" w:cs="Arial" w:eastAsia="Arial" w:hAnsi="Arial"/>
          <w:sz w:val="22"/>
          <w:szCs w:val="22"/>
          <w:color w:val="auto"/>
        </w:rPr>
      </w:pPr>
    </w:p>
    <w:p>
      <w:pPr>
        <w:ind w:left="4763" w:hanging="130"/>
        <w:spacing w:after="0"/>
        <w:tabs>
          <w:tab w:leader="none" w:pos="4763" w:val="left"/>
        </w:tabs>
        <w:numPr>
          <w:ilvl w:val="1"/>
          <w:numId w:val="90"/>
        </w:numPr>
        <w:rPr>
          <w:rFonts w:ascii="Arial" w:cs="Arial" w:eastAsia="Arial" w:hAnsi="Arial"/>
          <w:sz w:val="22"/>
          <w:szCs w:val="22"/>
          <w:color w:val="auto"/>
        </w:rPr>
      </w:pPr>
      <w:r>
        <w:rPr>
          <w:rFonts w:ascii="Arial" w:cs="Arial" w:eastAsia="Arial" w:hAnsi="Arial"/>
          <w:sz w:val="22"/>
          <w:szCs w:val="22"/>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294005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4"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color w:val="auto"/>
        </w:rPr>
        <w:t>Exhibit 20.1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PAYMENTUS HOLDINGS,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INSIDER TRADING POLICY</w:t>
      </w:r>
    </w:p>
    <w:p>
      <w:pPr>
        <w:spacing w:after="0" w:line="215" w:lineRule="exact"/>
        <w:rPr>
          <w:sz w:val="20"/>
          <w:szCs w:val="20"/>
          <w:color w:val="auto"/>
        </w:rPr>
      </w:pPr>
    </w:p>
    <w:p>
      <w:pPr>
        <w:ind w:left="760" w:hanging="752"/>
        <w:spacing w:after="0"/>
        <w:tabs>
          <w:tab w:leader="none" w:pos="76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POLICY OVERVIEW</w:t>
      </w:r>
    </w:p>
    <w:p>
      <w:pPr>
        <w:spacing w:after="0" w:line="21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Paymentus Holdings, Inc. (together with any subsidiaries, collectively the “</w:t>
      </w:r>
      <w:r>
        <w:rPr>
          <w:rFonts w:ascii="Arial" w:cs="Arial" w:eastAsia="Arial" w:hAnsi="Arial"/>
          <w:sz w:val="20"/>
          <w:szCs w:val="20"/>
          <w:b w:val="1"/>
          <w:bCs w:val="1"/>
          <w:color w:val="auto"/>
        </w:rPr>
        <w:t>Company</w:t>
      </w:r>
      <w:r>
        <w:rPr>
          <w:rFonts w:ascii="Arial" w:cs="Arial" w:eastAsia="Arial" w:hAnsi="Arial"/>
          <w:sz w:val="20"/>
          <w:szCs w:val="20"/>
          <w:color w:val="auto"/>
        </w:rPr>
        <w:t>”) has adopted this Insider Trading Policy (the “</w:t>
      </w:r>
      <w:r>
        <w:rPr>
          <w:rFonts w:ascii="Arial" w:cs="Arial" w:eastAsia="Arial" w:hAnsi="Arial"/>
          <w:sz w:val="20"/>
          <w:szCs w:val="20"/>
          <w:b w:val="1"/>
          <w:bCs w:val="1"/>
          <w:color w:val="auto"/>
        </w:rPr>
        <w:t>Policy</w:t>
      </w:r>
      <w:r>
        <w:rPr>
          <w:rFonts w:ascii="Arial" w:cs="Arial" w:eastAsia="Arial" w:hAnsi="Arial"/>
          <w:sz w:val="20"/>
          <w:szCs w:val="20"/>
          <w:color w:val="auto"/>
        </w:rPr>
        <w:t>”) to help you comply with the federal and state securities laws and regulations that govern trading in securities and to help the Company minimize its own legal and reputational risk.</w:t>
      </w:r>
    </w:p>
    <w:p>
      <w:pPr>
        <w:spacing w:after="0" w:line="18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7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For purposes of this Policy, the Company’s General Counsel serves as the Compliance Officer. The Compliance Officer may designate others, from time to time, to assist with the execution of his or her duties under this Policy.</w:t>
      </w:r>
    </w:p>
    <w:p>
      <w:pPr>
        <w:spacing w:after="0" w:line="170" w:lineRule="exact"/>
        <w:rPr>
          <w:sz w:val="20"/>
          <w:szCs w:val="20"/>
          <w:color w:val="auto"/>
        </w:rPr>
      </w:pPr>
    </w:p>
    <w:p>
      <w:pPr>
        <w:ind w:left="760" w:hanging="752"/>
        <w:spacing w:after="0"/>
        <w:tabs>
          <w:tab w:leader="none" w:pos="76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POLICY STATEMENT</w:t>
      </w:r>
    </w:p>
    <w:p>
      <w:pPr>
        <w:spacing w:after="0" w:line="220" w:lineRule="exact"/>
        <w:rPr>
          <w:rFonts w:ascii="Arial" w:cs="Arial" w:eastAsia="Arial" w:hAnsi="Arial"/>
          <w:sz w:val="20"/>
          <w:szCs w:val="20"/>
          <w:b w:val="1"/>
          <w:bCs w:val="1"/>
          <w:color w:val="auto"/>
        </w:rPr>
      </w:pPr>
    </w:p>
    <w:p>
      <w:pPr>
        <w:ind w:firstLine="757"/>
        <w:spacing w:after="0" w:line="260" w:lineRule="auto"/>
        <w:tabs>
          <w:tab w:leader="none" w:pos="1237" w:val="left"/>
        </w:tabs>
        <w:numPr>
          <w:ilvl w:val="1"/>
          <w:numId w:val="92"/>
        </w:numPr>
        <w:rPr>
          <w:rFonts w:ascii="Arial" w:cs="Arial" w:eastAsia="Arial" w:hAnsi="Arial"/>
          <w:sz w:val="20"/>
          <w:szCs w:val="20"/>
          <w:color w:val="auto"/>
        </w:rPr>
      </w:pPr>
      <w:r>
        <w:rPr>
          <w:rFonts w:ascii="Arial" w:cs="Arial" w:eastAsia="Arial" w:hAnsi="Arial"/>
          <w:sz w:val="20"/>
          <w:szCs w:val="20"/>
          <w:u w:val="single" w:color="auto"/>
          <w:color w:val="auto"/>
        </w:rPr>
        <w:t>No Trading on Material Nonpublic Information</w:t>
      </w:r>
      <w:r>
        <w:rPr>
          <w:rFonts w:ascii="Arial" w:cs="Arial" w:eastAsia="Arial" w:hAnsi="Arial"/>
          <w:sz w:val="20"/>
          <w:szCs w:val="20"/>
          <w:color w:val="auto"/>
        </w:rPr>
        <w:t>. It is illegal for anyone to trade in securities on the basis of material nonpublic information. If you are in possession of material nonpublic information about the Company, you are prohibited from:</w:t>
      </w:r>
    </w:p>
    <w:p>
      <w:pPr>
        <w:spacing w:after="0" w:line="175" w:lineRule="exact"/>
        <w:rPr>
          <w:rFonts w:ascii="Arial" w:cs="Arial" w:eastAsia="Arial" w:hAnsi="Arial"/>
          <w:sz w:val="20"/>
          <w:szCs w:val="20"/>
          <w:color w:val="auto"/>
        </w:rPr>
      </w:pPr>
    </w:p>
    <w:p>
      <w:pPr>
        <w:ind w:left="1880" w:hanging="749"/>
        <w:spacing w:after="0"/>
        <w:tabs>
          <w:tab w:leader="none" w:pos="1880" w:val="left"/>
        </w:tabs>
        <w:numPr>
          <w:ilvl w:val="2"/>
          <w:numId w:val="92"/>
        </w:numPr>
        <w:rPr>
          <w:rFonts w:ascii="Arial" w:cs="Arial" w:eastAsia="Arial" w:hAnsi="Arial"/>
          <w:sz w:val="20"/>
          <w:szCs w:val="20"/>
          <w:color w:val="auto"/>
        </w:rPr>
      </w:pPr>
      <w:r>
        <w:rPr>
          <w:rFonts w:ascii="Arial" w:cs="Arial" w:eastAsia="Arial" w:hAnsi="Arial"/>
          <w:sz w:val="20"/>
          <w:szCs w:val="20"/>
          <w:color w:val="auto"/>
        </w:rPr>
        <w:t>using it to transact in securities of the Company;</w:t>
      </w:r>
    </w:p>
    <w:p>
      <w:pPr>
        <w:spacing w:after="0" w:line="214" w:lineRule="exact"/>
        <w:rPr>
          <w:rFonts w:ascii="Arial" w:cs="Arial" w:eastAsia="Arial" w:hAnsi="Arial"/>
          <w:sz w:val="20"/>
          <w:szCs w:val="20"/>
          <w:color w:val="auto"/>
        </w:rPr>
      </w:pPr>
    </w:p>
    <w:p>
      <w:pPr>
        <w:ind w:left="1880" w:hanging="749"/>
        <w:spacing w:after="0" w:line="260" w:lineRule="auto"/>
        <w:tabs>
          <w:tab w:leader="none" w:pos="1880" w:val="left"/>
        </w:tabs>
        <w:numPr>
          <w:ilvl w:val="2"/>
          <w:numId w:val="92"/>
        </w:numPr>
        <w:rPr>
          <w:rFonts w:ascii="Arial" w:cs="Arial" w:eastAsia="Arial" w:hAnsi="Arial"/>
          <w:sz w:val="20"/>
          <w:szCs w:val="20"/>
          <w:color w:val="auto"/>
        </w:rPr>
      </w:pPr>
      <w:r>
        <w:rPr>
          <w:rFonts w:ascii="Arial" w:cs="Arial" w:eastAsia="Arial" w:hAnsi="Arial"/>
          <w:sz w:val="20"/>
          <w:szCs w:val="20"/>
          <w:color w:val="auto"/>
        </w:rPr>
        <w:t>disclosing it to other directors, officers, employees, consultants, contractors or advisors whose roles do not require them to have the information;</w:t>
      </w:r>
    </w:p>
    <w:p>
      <w:pPr>
        <w:spacing w:after="0" w:line="175" w:lineRule="exact"/>
        <w:rPr>
          <w:rFonts w:ascii="Arial" w:cs="Arial" w:eastAsia="Arial" w:hAnsi="Arial"/>
          <w:sz w:val="20"/>
          <w:szCs w:val="20"/>
          <w:color w:val="auto"/>
        </w:rPr>
      </w:pPr>
    </w:p>
    <w:p>
      <w:pPr>
        <w:ind w:left="1880" w:right="20" w:hanging="749"/>
        <w:spacing w:after="0" w:line="260" w:lineRule="auto"/>
        <w:tabs>
          <w:tab w:leader="none" w:pos="1880" w:val="left"/>
        </w:tabs>
        <w:numPr>
          <w:ilvl w:val="2"/>
          <w:numId w:val="92"/>
        </w:numPr>
        <w:rPr>
          <w:rFonts w:ascii="Arial" w:cs="Arial" w:eastAsia="Arial" w:hAnsi="Arial"/>
          <w:sz w:val="20"/>
          <w:szCs w:val="20"/>
          <w:color w:val="auto"/>
        </w:rPr>
      </w:pPr>
      <w:r>
        <w:rPr>
          <w:rFonts w:ascii="Arial" w:cs="Arial" w:eastAsia="Arial" w:hAnsi="Arial"/>
          <w:sz w:val="20"/>
          <w:szCs w:val="20"/>
          <w:color w:val="auto"/>
        </w:rPr>
        <w:t>disclosing it to anyone outside of the Company, including family, friends, business associates, investors or consulting firms, without prior written authorization from the Compliance Officer; or</w:t>
      </w:r>
    </w:p>
    <w:p>
      <w:pPr>
        <w:spacing w:after="0" w:line="175" w:lineRule="exact"/>
        <w:rPr>
          <w:rFonts w:ascii="Arial" w:cs="Arial" w:eastAsia="Arial" w:hAnsi="Arial"/>
          <w:sz w:val="20"/>
          <w:szCs w:val="20"/>
          <w:color w:val="auto"/>
        </w:rPr>
      </w:pPr>
    </w:p>
    <w:p>
      <w:pPr>
        <w:ind w:left="1880" w:hanging="749"/>
        <w:spacing w:after="0"/>
        <w:tabs>
          <w:tab w:leader="none" w:pos="1880" w:val="left"/>
        </w:tabs>
        <w:numPr>
          <w:ilvl w:val="2"/>
          <w:numId w:val="92"/>
        </w:numPr>
        <w:rPr>
          <w:rFonts w:ascii="Arial" w:cs="Arial" w:eastAsia="Arial" w:hAnsi="Arial"/>
          <w:sz w:val="20"/>
          <w:szCs w:val="20"/>
          <w:color w:val="auto"/>
        </w:rPr>
      </w:pPr>
      <w:r>
        <w:rPr>
          <w:rFonts w:ascii="Arial" w:cs="Arial" w:eastAsia="Arial" w:hAnsi="Arial"/>
          <w:sz w:val="20"/>
          <w:szCs w:val="20"/>
          <w:color w:val="auto"/>
        </w:rPr>
        <w:t>using it to express an opinion or make a recommendation about trading in the Company’s securities.</w:t>
      </w:r>
    </w:p>
    <w:p>
      <w:pPr>
        <w:spacing w:after="0" w:line="21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In addition, material nonpublic information about another company that you learn through your service with the Company is subject to these same restrictions around disclosure and trading, and you cannot use that information to trade securities. Any such action will be deemed a violation of this Policy.</w:t>
      </w:r>
    </w:p>
    <w:p>
      <w:pPr>
        <w:spacing w:after="0" w:line="188" w:lineRule="exact"/>
        <w:rPr>
          <w:sz w:val="20"/>
          <w:szCs w:val="20"/>
          <w:color w:val="auto"/>
        </w:rPr>
      </w:pPr>
    </w:p>
    <w:p>
      <w:pPr>
        <w:jc w:val="both"/>
        <w:ind w:firstLine="757"/>
        <w:spacing w:after="0" w:line="246" w:lineRule="auto"/>
        <w:tabs>
          <w:tab w:leader="none" w:pos="1237"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No Disclosure of Confidential Information</w:t>
      </w:r>
      <w:r>
        <w:rPr>
          <w:rFonts w:ascii="Arial" w:cs="Arial" w:eastAsia="Arial" w:hAnsi="Arial"/>
          <w:sz w:val="20"/>
          <w:szCs w:val="20"/>
          <w:color w:val="auto"/>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ind w:left="10260"/>
        <w:spacing w:after="0"/>
        <w:rPr>
          <w:sz w:val="20"/>
          <w:szCs w:val="20"/>
          <w:color w:val="auto"/>
        </w:rPr>
      </w:pPr>
      <w:r>
        <w:rPr>
          <w:rFonts w:ascii="Arial" w:cs="Arial" w:eastAsia="Arial" w:hAnsi="Arial"/>
          <w:sz w:val="18"/>
          <w:szCs w:val="18"/>
          <w:color w:val="auto"/>
        </w:rPr>
        <w:t>Exhibit 20.1</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others in accordance with any related non-disclosure agreements and other obligations that the Company has with them and limit your use of the confidential information to the purpose for which it was disclosed.</w:t>
      </w:r>
    </w:p>
    <w:p>
      <w:pPr>
        <w:spacing w:after="0" w:line="17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If you receive an inquiry for information from someone outside of the Company, such as a stock analyst, investor or the media, or a request for sensitive information outside the ordinary course of business from someone outside of the Company, such as a business partner, vendor, supplier or salesperson, then you should refer the inquiry to the Chief Financial Officer or Investor Relations, as applicable. Responding to a request yourself may violate this Policy and, in some circumstances, the law. Please consult the Company’s External Communications Policy for more details.</w:t>
      </w:r>
    </w:p>
    <w:p>
      <w:pPr>
        <w:spacing w:after="0" w:line="187" w:lineRule="exact"/>
        <w:rPr>
          <w:sz w:val="20"/>
          <w:szCs w:val="20"/>
          <w:color w:val="auto"/>
        </w:rPr>
      </w:pPr>
    </w:p>
    <w:p>
      <w:pPr>
        <w:jc w:val="both"/>
        <w:ind w:firstLine="757"/>
        <w:spacing w:after="0" w:line="246" w:lineRule="auto"/>
        <w:tabs>
          <w:tab w:leader="none" w:pos="1237"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Definition of Material Nonpublic Information</w:t>
      </w:r>
      <w:r>
        <w:rPr>
          <w:rFonts w:ascii="Arial" w:cs="Arial" w:eastAsia="Arial" w:hAnsi="Arial"/>
          <w:sz w:val="20"/>
          <w:szCs w:val="20"/>
          <w:color w:val="auto"/>
        </w:rPr>
        <w:t>. “</w:t>
      </w:r>
      <w:r>
        <w:rPr>
          <w:rFonts w:ascii="Arial" w:cs="Arial" w:eastAsia="Arial" w:hAnsi="Arial"/>
          <w:sz w:val="20"/>
          <w:szCs w:val="20"/>
          <w:b w:val="1"/>
          <w:bCs w:val="1"/>
          <w:color w:val="auto"/>
        </w:rPr>
        <w:t>Material information</w:t>
      </w:r>
      <w:r>
        <w:rPr>
          <w:rFonts w:ascii="Arial" w:cs="Arial" w:eastAsia="Arial" w:hAnsi="Arial"/>
          <w:sz w:val="20"/>
          <w:szCs w:val="20"/>
          <w:color w:val="auto"/>
        </w:rPr>
        <w:t>” means information that a reasonable investor would be substantially likely to consider important in deciding whether to buy, hold or sell securities of the Company or view as significantly altering the total mix of information available in the marketplace about the Company as an issuer of the securities. In general, any information that could reasonably be expected to affect the market price of a security is likely to be material. Either positive or negative information may be material.</w:t>
      </w:r>
    </w:p>
    <w:p>
      <w:pPr>
        <w:spacing w:after="0" w:line="189"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It is not possible to define all categories of “material” information. However, some examples of information that could be regarded as material include, but are not limited to:</w:t>
      </w:r>
    </w:p>
    <w:p>
      <w:pPr>
        <w:spacing w:after="0" w:line="176" w:lineRule="exact"/>
        <w:rPr>
          <w:sz w:val="20"/>
          <w:szCs w:val="20"/>
          <w:color w:val="auto"/>
        </w:rPr>
      </w:pPr>
    </w:p>
    <w:p>
      <w:pPr>
        <w:ind w:left="1880" w:hanging="749"/>
        <w:spacing w:after="0" w:line="315" w:lineRule="auto"/>
        <w:tabs>
          <w:tab w:leader="none" w:pos="1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financial results, key metrics, financial condition, earnings pre-announcements, guidance, projections or forecasts, particularly if inconsistent with the Company’s guidance or the expectations of the investment community;</w:t>
      </w:r>
    </w:p>
    <w:p>
      <w:pPr>
        <w:spacing w:after="0" w:line="130" w:lineRule="exact"/>
        <w:rPr>
          <w:rFonts w:ascii="Arial" w:cs="Arial" w:eastAsia="Arial" w:hAnsi="Arial"/>
          <w:sz w:val="18"/>
          <w:szCs w:val="18"/>
          <w:color w:val="auto"/>
        </w:rPr>
      </w:pPr>
    </w:p>
    <w:p>
      <w:pPr>
        <w:ind w:left="1880" w:hanging="749"/>
        <w:spacing w:after="0"/>
        <w:tabs>
          <w:tab w:leader="none" w:pos="18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restatements of financial results, or material impairments, write-offs or restructurings;</w:t>
      </w:r>
    </w:p>
    <w:p>
      <w:pPr>
        <w:spacing w:after="0" w:line="214" w:lineRule="exact"/>
        <w:rPr>
          <w:rFonts w:ascii="Arial" w:cs="Arial" w:eastAsia="Arial" w:hAnsi="Arial"/>
          <w:sz w:val="20"/>
          <w:szCs w:val="20"/>
          <w:color w:val="auto"/>
        </w:rPr>
      </w:pPr>
    </w:p>
    <w:p>
      <w:pPr>
        <w:ind w:left="1880" w:hanging="749"/>
        <w:spacing w:after="0"/>
        <w:tabs>
          <w:tab w:leader="none" w:pos="18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changes in independent auditors, or notification that the Company may no longer rely on an audit report;</w:t>
      </w:r>
    </w:p>
    <w:p>
      <w:pPr>
        <w:spacing w:after="0" w:line="214" w:lineRule="exact"/>
        <w:rPr>
          <w:rFonts w:ascii="Arial" w:cs="Arial" w:eastAsia="Arial" w:hAnsi="Arial"/>
          <w:sz w:val="20"/>
          <w:szCs w:val="20"/>
          <w:color w:val="auto"/>
        </w:rPr>
      </w:pPr>
    </w:p>
    <w:p>
      <w:pPr>
        <w:ind w:left="1880" w:hanging="749"/>
        <w:spacing w:after="0"/>
        <w:tabs>
          <w:tab w:leader="none" w:pos="18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business plans or budgets;</w:t>
      </w:r>
    </w:p>
    <w:p>
      <w:pPr>
        <w:spacing w:after="0" w:line="214" w:lineRule="exact"/>
        <w:rPr>
          <w:rFonts w:ascii="Arial" w:cs="Arial" w:eastAsia="Arial" w:hAnsi="Arial"/>
          <w:sz w:val="20"/>
          <w:szCs w:val="20"/>
          <w:color w:val="auto"/>
        </w:rPr>
      </w:pPr>
    </w:p>
    <w:p>
      <w:pPr>
        <w:ind w:left="1880" w:hanging="749"/>
        <w:spacing w:after="0" w:line="260" w:lineRule="auto"/>
        <w:tabs>
          <w:tab w:leader="none" w:pos="18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creation of significant financial obligations, or any significant default under or acceleration of any financial obligation;</w:t>
      </w:r>
    </w:p>
    <w:p>
      <w:pPr>
        <w:spacing w:after="0" w:line="175" w:lineRule="exact"/>
        <w:rPr>
          <w:rFonts w:ascii="Arial" w:cs="Arial" w:eastAsia="Arial" w:hAnsi="Arial"/>
          <w:sz w:val="20"/>
          <w:szCs w:val="20"/>
          <w:color w:val="auto"/>
        </w:rPr>
      </w:pPr>
    </w:p>
    <w:p>
      <w:pPr>
        <w:ind w:left="1880" w:hanging="749"/>
        <w:spacing w:after="0"/>
        <w:tabs>
          <w:tab w:leader="none" w:pos="18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impending bankruptcy or financial liquidity problems;</w:t>
      </w:r>
    </w:p>
    <w:p>
      <w:pPr>
        <w:spacing w:after="0" w:line="214" w:lineRule="exact"/>
        <w:rPr>
          <w:rFonts w:ascii="Arial" w:cs="Arial" w:eastAsia="Arial" w:hAnsi="Arial"/>
          <w:sz w:val="20"/>
          <w:szCs w:val="20"/>
          <w:color w:val="auto"/>
        </w:rPr>
      </w:pPr>
    </w:p>
    <w:p>
      <w:pPr>
        <w:ind w:left="1880" w:right="20" w:hanging="749"/>
        <w:spacing w:after="0" w:line="315" w:lineRule="auto"/>
        <w:tabs>
          <w:tab w:leader="none" w:pos="1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130" w:lineRule="exact"/>
        <w:rPr>
          <w:rFonts w:ascii="Arial" w:cs="Arial" w:eastAsia="Arial" w:hAnsi="Arial"/>
          <w:sz w:val="18"/>
          <w:szCs w:val="18"/>
          <w:color w:val="auto"/>
        </w:rPr>
      </w:pPr>
    </w:p>
    <w:p>
      <w:pPr>
        <w:jc w:val="both"/>
        <w:ind w:left="1880" w:hanging="749"/>
        <w:spacing w:after="0" w:line="263" w:lineRule="auto"/>
        <w:tabs>
          <w:tab w:leader="none" w:pos="18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significant information relating to the operation of product or service, such as new products or services, major modifications or performance issues, defects or recalls, significant pricing changes or other announcements of a significant nature;</w:t>
      </w:r>
    </w:p>
    <w:p>
      <w:pPr>
        <w:spacing w:after="0" w:line="174" w:lineRule="exact"/>
        <w:rPr>
          <w:rFonts w:ascii="Arial" w:cs="Arial" w:eastAsia="Arial" w:hAnsi="Arial"/>
          <w:sz w:val="20"/>
          <w:szCs w:val="20"/>
          <w:color w:val="auto"/>
        </w:rPr>
      </w:pPr>
    </w:p>
    <w:p>
      <w:pPr>
        <w:ind w:left="1880" w:hanging="749"/>
        <w:spacing w:after="0"/>
        <w:tabs>
          <w:tab w:leader="none" w:pos="18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significant developments in research and development or relating to intellectual property;</w:t>
      </w:r>
    </w:p>
    <w:p>
      <w:pPr>
        <w:spacing w:after="0" w:line="214" w:lineRule="exact"/>
        <w:rPr>
          <w:rFonts w:ascii="Arial" w:cs="Arial" w:eastAsia="Arial" w:hAnsi="Arial"/>
          <w:sz w:val="20"/>
          <w:szCs w:val="20"/>
          <w:color w:val="auto"/>
        </w:rPr>
      </w:pPr>
    </w:p>
    <w:p>
      <w:pPr>
        <w:ind w:left="1880" w:hanging="749"/>
        <w:spacing w:after="0" w:line="260" w:lineRule="auto"/>
        <w:tabs>
          <w:tab w:leader="none" w:pos="18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significant legal or regulatory developments, whether positive or negative, actual or threatened, including litigation or resolving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color w:val="auto"/>
        </w:rPr>
        <w:t>Exhibit 20.1</w:t>
      </w:r>
    </w:p>
    <w:p>
      <w:pPr>
        <w:spacing w:after="0" w:line="216" w:lineRule="exact"/>
        <w:rPr>
          <w:sz w:val="20"/>
          <w:szCs w:val="20"/>
          <w:color w:val="auto"/>
        </w:rPr>
      </w:pPr>
    </w:p>
    <w:p>
      <w:pPr>
        <w:jc w:val="both"/>
        <w:ind w:left="1880" w:hanging="749"/>
        <w:spacing w:after="0" w:line="249" w:lineRule="auto"/>
        <w:tabs>
          <w:tab w:leader="none" w:pos="18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87" w:lineRule="exact"/>
        <w:rPr>
          <w:rFonts w:ascii="Arial" w:cs="Arial" w:eastAsia="Arial" w:hAnsi="Arial"/>
          <w:sz w:val="20"/>
          <w:szCs w:val="20"/>
          <w:color w:val="auto"/>
        </w:rPr>
      </w:pPr>
    </w:p>
    <w:p>
      <w:pPr>
        <w:ind w:left="1880" w:right="20" w:hanging="749"/>
        <w:spacing w:after="0" w:line="315" w:lineRule="auto"/>
        <w:tabs>
          <w:tab w:leader="none" w:pos="1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30" w:lineRule="exact"/>
        <w:rPr>
          <w:rFonts w:ascii="Arial" w:cs="Arial" w:eastAsia="Arial" w:hAnsi="Arial"/>
          <w:sz w:val="18"/>
          <w:szCs w:val="18"/>
          <w:color w:val="auto"/>
        </w:rPr>
      </w:pPr>
    </w:p>
    <w:p>
      <w:pPr>
        <w:ind w:left="1880" w:hanging="749"/>
        <w:spacing w:after="0"/>
        <w:tabs>
          <w:tab w:leader="none" w:pos="18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major personnel changes, such as changes in senior management or employee layoffs;</w:t>
      </w:r>
    </w:p>
    <w:p>
      <w:pPr>
        <w:spacing w:after="0" w:line="214" w:lineRule="exact"/>
        <w:rPr>
          <w:rFonts w:ascii="Arial" w:cs="Arial" w:eastAsia="Arial" w:hAnsi="Arial"/>
          <w:sz w:val="20"/>
          <w:szCs w:val="20"/>
          <w:color w:val="auto"/>
        </w:rPr>
      </w:pPr>
    </w:p>
    <w:p>
      <w:pPr>
        <w:ind w:left="1880" w:hanging="749"/>
        <w:spacing w:after="0"/>
        <w:tabs>
          <w:tab w:leader="none" w:pos="18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data breaches or other cybersecurity events;</w:t>
      </w:r>
    </w:p>
    <w:p>
      <w:pPr>
        <w:spacing w:after="0" w:line="214" w:lineRule="exact"/>
        <w:rPr>
          <w:rFonts w:ascii="Arial" w:cs="Arial" w:eastAsia="Arial" w:hAnsi="Arial"/>
          <w:sz w:val="20"/>
          <w:szCs w:val="20"/>
          <w:color w:val="auto"/>
        </w:rPr>
      </w:pPr>
    </w:p>
    <w:p>
      <w:pPr>
        <w:ind w:left="1880" w:hanging="749"/>
        <w:spacing w:after="0"/>
        <w:tabs>
          <w:tab w:leader="none" w:pos="18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updates regarding any prior material disclosure that has materially changed; and</w:t>
      </w:r>
    </w:p>
    <w:p>
      <w:pPr>
        <w:spacing w:after="0" w:line="214" w:lineRule="exact"/>
        <w:rPr>
          <w:rFonts w:ascii="Arial" w:cs="Arial" w:eastAsia="Arial" w:hAnsi="Arial"/>
          <w:sz w:val="20"/>
          <w:szCs w:val="20"/>
          <w:color w:val="auto"/>
        </w:rPr>
      </w:pPr>
    </w:p>
    <w:p>
      <w:pPr>
        <w:ind w:left="1880" w:hanging="749"/>
        <w:spacing w:after="0"/>
        <w:tabs>
          <w:tab w:leader="none" w:pos="18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existence of a special blackout period.</w:t>
      </w:r>
    </w:p>
    <w:p>
      <w:pPr>
        <w:spacing w:after="0" w:line="20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nonpublic information</w:t>
      </w:r>
      <w:r>
        <w:rPr>
          <w:rFonts w:ascii="Arial" w:cs="Arial" w:eastAsia="Arial" w:hAnsi="Arial"/>
          <w:sz w:val="20"/>
          <w:szCs w:val="20"/>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After the release of information, a reasonable period of time must elapse in order to provide the public an opportunity to absorb and evaluate the information provided. As a general rule, at least one full trading day must pass after the dissemination of information before such information is considered public.</w:t>
      </w:r>
    </w:p>
    <w:p>
      <w:pPr>
        <w:spacing w:after="0" w:line="18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As a rule of thumb, if you think something might be material nonpublic information, it probably is. You can always reach out to the Compliance Officer if you have questions.</w:t>
      </w:r>
    </w:p>
    <w:p>
      <w:pPr>
        <w:spacing w:after="0" w:line="170" w:lineRule="exact"/>
        <w:rPr>
          <w:sz w:val="20"/>
          <w:szCs w:val="20"/>
          <w:color w:val="auto"/>
        </w:rPr>
      </w:pPr>
    </w:p>
    <w:p>
      <w:pPr>
        <w:ind w:left="760" w:hanging="752"/>
        <w:spacing w:after="0"/>
        <w:tabs>
          <w:tab w:leader="none" w:pos="760"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PERSONS COVERED BY THIS POLICY</w:t>
      </w:r>
    </w:p>
    <w:p>
      <w:pPr>
        <w:spacing w:after="0" w:line="221"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provided, however, that the Policy shall not apply to any such entity that engages in the investment of securities in the ordinary course of its business (</w:t>
      </w:r>
      <w:r>
        <w:rPr>
          <w:rFonts w:ascii="Arial" w:cs="Arial" w:eastAsia="Arial" w:hAnsi="Arial"/>
          <w:sz w:val="20"/>
          <w:szCs w:val="20"/>
          <w:i w:val="1"/>
          <w:iCs w:val="1"/>
          <w:color w:val="auto"/>
        </w:rPr>
        <w:t>e.g.</w:t>
      </w:r>
      <w:r>
        <w:rPr>
          <w:rFonts w:ascii="Arial" w:cs="Arial" w:eastAsia="Arial" w:hAnsi="Arial"/>
          <w:sz w:val="20"/>
          <w:szCs w:val="20"/>
          <w:color w:val="auto"/>
        </w:rPr>
        <w:t>, an investment fund or partnership) if such entity has established its own insider trading controls and procedures in compliance with applicable securities laws. You are responsible for making sure that these other individuals and entities comply with this Policy.</w:t>
      </w:r>
    </w:p>
    <w:p>
      <w:pPr>
        <w:spacing w:after="0" w:line="19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spacing w:after="0" w:line="184" w:lineRule="exact"/>
        <w:rPr>
          <w:sz w:val="20"/>
          <w:szCs w:val="20"/>
          <w:color w:val="auto"/>
        </w:rPr>
      </w:pPr>
    </w:p>
    <w:p>
      <w:pPr>
        <w:ind w:left="760" w:hanging="752"/>
        <w:spacing w:after="0"/>
        <w:tabs>
          <w:tab w:leader="none" w:pos="760"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TRADING COVERED BY THIS POLICY</w:t>
      </w:r>
    </w:p>
    <w:p>
      <w:pPr>
        <w:spacing w:after="0" w:line="221"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Except as discussed in Section H (</w:t>
      </w:r>
      <w:r>
        <w:rPr>
          <w:rFonts w:ascii="Arial" w:cs="Arial" w:eastAsia="Arial" w:hAnsi="Arial"/>
          <w:sz w:val="20"/>
          <w:szCs w:val="20"/>
          <w:i w:val="1"/>
          <w:iCs w:val="1"/>
          <w:color w:val="auto"/>
        </w:rPr>
        <w:t>Exceptions to Trading Restrictions</w:t>
      </w:r>
      <w:r>
        <w:rPr>
          <w:rFonts w:ascii="Arial" w:cs="Arial" w:eastAsia="Arial" w:hAnsi="Arial"/>
          <w:sz w:val="20"/>
          <w:szCs w:val="20"/>
          <w:color w:val="auto"/>
        </w:rPr>
        <w:t>), this Policy applies to all transactions involving the Company’s securities or other companies’ securities for which you possess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color w:val="auto"/>
        </w:rPr>
        <w:t>Exhibit 20.1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material nonpublic information obtained in connection with your service with the Company. This Policy therefore applies to:</w:t>
      </w:r>
    </w:p>
    <w:p>
      <w:pPr>
        <w:spacing w:after="0" w:line="215" w:lineRule="exact"/>
        <w:rPr>
          <w:sz w:val="20"/>
          <w:szCs w:val="20"/>
          <w:color w:val="auto"/>
        </w:rPr>
      </w:pPr>
    </w:p>
    <w:p>
      <w:pPr>
        <w:jc w:val="both"/>
        <w:ind w:left="1140" w:hanging="383"/>
        <w:spacing w:after="0" w:line="246" w:lineRule="auto"/>
        <w:tabs>
          <w:tab w:leader="none" w:pos="11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spacing w:after="0" w:line="189" w:lineRule="exact"/>
        <w:rPr>
          <w:rFonts w:ascii="Arial" w:cs="Arial" w:eastAsia="Arial" w:hAnsi="Arial"/>
          <w:sz w:val="20"/>
          <w:szCs w:val="20"/>
          <w:color w:val="auto"/>
        </w:rPr>
      </w:pPr>
    </w:p>
    <w:p>
      <w:pPr>
        <w:ind w:left="1140" w:hanging="383"/>
        <w:spacing w:after="0"/>
        <w:tabs>
          <w:tab w:leader="none" w:pos="11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disposition in the form of a gift of any securities of the Company;</w:t>
      </w:r>
    </w:p>
    <w:p>
      <w:pPr>
        <w:spacing w:after="0" w:line="214" w:lineRule="exact"/>
        <w:rPr>
          <w:rFonts w:ascii="Arial" w:cs="Arial" w:eastAsia="Arial" w:hAnsi="Arial"/>
          <w:sz w:val="20"/>
          <w:szCs w:val="20"/>
          <w:color w:val="auto"/>
        </w:rPr>
      </w:pPr>
    </w:p>
    <w:p>
      <w:pPr>
        <w:ind w:left="1140" w:hanging="383"/>
        <w:spacing w:after="0"/>
        <w:tabs>
          <w:tab w:leader="none" w:pos="11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distribution to holders of interests in an entity if the entity is subject to this Policy; and</w:t>
      </w:r>
    </w:p>
    <w:p>
      <w:pPr>
        <w:spacing w:after="0" w:line="214" w:lineRule="exact"/>
        <w:rPr>
          <w:rFonts w:ascii="Arial" w:cs="Arial" w:eastAsia="Arial" w:hAnsi="Arial"/>
          <w:sz w:val="20"/>
          <w:szCs w:val="20"/>
          <w:color w:val="auto"/>
        </w:rPr>
      </w:pPr>
    </w:p>
    <w:p>
      <w:pPr>
        <w:jc w:val="both"/>
        <w:ind w:left="1140" w:hanging="383"/>
        <w:spacing w:after="0" w:line="234" w:lineRule="exact"/>
        <w:tabs>
          <w:tab w:leader="none" w:pos="11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other arrangement that generates gains or losses from or based on changes in the prices of such securities including derivative securities (for example, exchange</w:t>
      </w:r>
      <w:r>
        <w:rPr>
          <w:rFonts w:ascii="MS PGothic" w:cs="MS PGothic" w:eastAsia="MS PGothic" w:hAnsi="MS PGothic"/>
          <w:sz w:val="20"/>
          <w:szCs w:val="20"/>
          <w:color w:val="auto"/>
        </w:rPr>
        <w:t>‑</w:t>
      </w:r>
      <w:r>
        <w:rPr>
          <w:rFonts w:ascii="Arial" w:cs="Arial" w:eastAsia="Arial" w:hAnsi="Arial"/>
          <w:sz w:val="20"/>
          <w:szCs w:val="20"/>
          <w:color w:val="auto"/>
        </w:rPr>
        <w:t>traded put or call options, swaps, caps and collars), hedging and pledging transactions, short sales and certain arrangements regarding participation in benefit plans, and any offer to engage in the foregoing transactions.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no exceptions from insider trading laws or this Policy based on the size of the transaction or the type of consideration</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received.</w:t>
      </w:r>
    </w:p>
    <w:p>
      <w:pPr>
        <w:spacing w:after="0" w:line="193" w:lineRule="exact"/>
        <w:rPr>
          <w:sz w:val="20"/>
          <w:szCs w:val="20"/>
          <w:color w:val="auto"/>
        </w:rPr>
      </w:pPr>
    </w:p>
    <w:p>
      <w:pPr>
        <w:ind w:left="760" w:hanging="752"/>
        <w:spacing w:after="0"/>
        <w:tabs>
          <w:tab w:leader="none" w:pos="760"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TRADING RESTRICTIONS</w:t>
      </w:r>
    </w:p>
    <w:p>
      <w:pPr>
        <w:spacing w:after="0" w:line="220" w:lineRule="exact"/>
        <w:rPr>
          <w:rFonts w:ascii="Arial" w:cs="Arial" w:eastAsia="Arial" w:hAnsi="Arial"/>
          <w:sz w:val="20"/>
          <w:szCs w:val="20"/>
          <w:b w:val="1"/>
          <w:bCs w:val="1"/>
          <w:color w:val="auto"/>
        </w:rPr>
      </w:pPr>
    </w:p>
    <w:p>
      <w:pPr>
        <w:ind w:left="760"/>
        <w:spacing w:after="0"/>
        <w:rPr>
          <w:rFonts w:ascii="Arial" w:cs="Arial" w:eastAsia="Arial" w:hAnsi="Arial"/>
          <w:sz w:val="20"/>
          <w:szCs w:val="20"/>
          <w:b w:val="1"/>
          <w:bCs w:val="1"/>
          <w:color w:val="auto"/>
        </w:rPr>
      </w:pPr>
      <w:r>
        <w:rPr>
          <w:rFonts w:ascii="Arial" w:cs="Arial" w:eastAsia="Arial" w:hAnsi="Arial"/>
          <w:sz w:val="19"/>
          <w:szCs w:val="19"/>
          <w:color w:val="auto"/>
        </w:rPr>
        <w:t>Subject to the exceptions set forth below, this Policy restricts trading during certain periods and by certain people as follows:</w:t>
      </w:r>
    </w:p>
    <w:p>
      <w:pPr>
        <w:spacing w:after="0" w:line="226" w:lineRule="exact"/>
        <w:rPr>
          <w:rFonts w:ascii="Arial" w:cs="Arial" w:eastAsia="Arial" w:hAnsi="Arial"/>
          <w:sz w:val="20"/>
          <w:szCs w:val="20"/>
          <w:b w:val="1"/>
          <w:bCs w:val="1"/>
          <w:color w:val="auto"/>
        </w:rPr>
      </w:pPr>
    </w:p>
    <w:p>
      <w:pPr>
        <w:jc w:val="both"/>
        <w:ind w:firstLine="757"/>
        <w:spacing w:after="0" w:line="242" w:lineRule="auto"/>
        <w:tabs>
          <w:tab w:leader="none" w:pos="1237" w:val="left"/>
        </w:tabs>
        <w:numPr>
          <w:ilvl w:val="1"/>
          <w:numId w:val="100"/>
        </w:numPr>
        <w:rPr>
          <w:rFonts w:ascii="Arial" w:cs="Arial" w:eastAsia="Arial" w:hAnsi="Arial"/>
          <w:sz w:val="20"/>
          <w:szCs w:val="20"/>
          <w:color w:val="auto"/>
        </w:rPr>
      </w:pPr>
      <w:r>
        <w:rPr>
          <w:rFonts w:ascii="Arial" w:cs="Arial" w:eastAsia="Arial" w:hAnsi="Arial"/>
          <w:sz w:val="20"/>
          <w:szCs w:val="20"/>
          <w:u w:val="single" w:color="auto"/>
          <w:color w:val="auto"/>
        </w:rPr>
        <w:t>Quarterly Blackout Periods</w:t>
      </w:r>
      <w:r>
        <w:rPr>
          <w:rFonts w:ascii="Arial" w:cs="Arial" w:eastAsia="Arial" w:hAnsi="Arial"/>
          <w:sz w:val="20"/>
          <w:szCs w:val="20"/>
          <w:color w:val="auto"/>
        </w:rPr>
        <w:t>. Except as discussed in Section H (</w:t>
      </w:r>
      <w:r>
        <w:rPr>
          <w:rFonts w:ascii="Arial" w:cs="Arial" w:eastAsia="Arial" w:hAnsi="Arial"/>
          <w:sz w:val="20"/>
          <w:szCs w:val="20"/>
          <w:i w:val="1"/>
          <w:iCs w:val="1"/>
          <w:color w:val="auto"/>
        </w:rPr>
        <w:t>Exceptions to Trading Restrictions</w:t>
      </w:r>
      <w:r>
        <w:rPr>
          <w:rFonts w:ascii="Arial" w:cs="Arial" w:eastAsia="Arial" w:hAnsi="Arial"/>
          <w:sz w:val="20"/>
          <w:szCs w:val="20"/>
          <w:color w:val="auto"/>
        </w:rPr>
        <w:t>), all directors, officers and employees of the Company must refrain from conducting transactions involving the Company’s securities during quarterly blackout periods. Individuals subject to quarterly blackout periods will be informed by the Compliance Officer that they are listed on the covered persons list maintained by the Compliance Officer (the “</w:t>
      </w:r>
      <w:r>
        <w:rPr>
          <w:rFonts w:ascii="Arial" w:cs="Arial" w:eastAsia="Arial" w:hAnsi="Arial"/>
          <w:sz w:val="20"/>
          <w:szCs w:val="20"/>
          <w:b w:val="1"/>
          <w:bCs w:val="1"/>
          <w:color w:val="auto"/>
        </w:rPr>
        <w:t>Covered Persons List</w:t>
      </w:r>
      <w:r>
        <w:rPr>
          <w:rFonts w:ascii="Arial" w:cs="Arial" w:eastAsia="Arial" w:hAnsi="Arial"/>
          <w:sz w:val="20"/>
          <w:szCs w:val="20"/>
          <w:color w:val="auto"/>
        </w:rPr>
        <w:t>”).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94" w:lineRule="exact"/>
        <w:rPr>
          <w:sz w:val="20"/>
          <w:szCs w:val="20"/>
          <w:color w:val="auto"/>
        </w:rPr>
      </w:pPr>
    </w:p>
    <w:p>
      <w:pPr>
        <w:jc w:val="both"/>
        <w:ind w:firstLine="749"/>
        <w:spacing w:after="0" w:line="315" w:lineRule="auto"/>
        <w:rPr>
          <w:sz w:val="20"/>
          <w:szCs w:val="20"/>
          <w:color w:val="auto"/>
        </w:rPr>
      </w:pPr>
      <w:r>
        <w:rPr>
          <w:rFonts w:ascii="Arial" w:cs="Arial" w:eastAsia="Arial" w:hAnsi="Arial"/>
          <w:sz w:val="18"/>
          <w:szCs w:val="18"/>
          <w:color w:val="auto"/>
        </w:rPr>
        <w:t>Quarterly blackout periods will start at the end of the fifteenth day of the third month of each fiscal quarter (</w:t>
      </w:r>
      <w:r>
        <w:rPr>
          <w:rFonts w:ascii="Arial" w:cs="Arial" w:eastAsia="Arial" w:hAnsi="Arial"/>
          <w:sz w:val="18"/>
          <w:szCs w:val="18"/>
          <w:i w:val="1"/>
          <w:iCs w:val="1"/>
          <w:color w:val="auto"/>
        </w:rPr>
        <w:t>i.e.</w:t>
      </w:r>
      <w:r>
        <w:rPr>
          <w:rFonts w:ascii="Arial" w:cs="Arial" w:eastAsia="Arial" w:hAnsi="Arial"/>
          <w:sz w:val="18"/>
          <w:szCs w:val="18"/>
          <w:color w:val="auto"/>
        </w:rPr>
        <w:t>, March 15, June 15, September 15 and December 15) and will end at the start of the second full trading day following the Company’s earnings release.</w:t>
      </w:r>
    </w:p>
    <w:p>
      <w:pPr>
        <w:spacing w:after="0" w:line="13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2" w:name="page143"/>
    <w:bookmarkEnd w:id="142"/>
    <w:p>
      <w:pPr>
        <w:ind w:left="10260"/>
        <w:spacing w:after="0"/>
        <w:rPr>
          <w:sz w:val="20"/>
          <w:szCs w:val="20"/>
          <w:color w:val="auto"/>
        </w:rPr>
      </w:pPr>
      <w:r>
        <w:rPr>
          <w:rFonts w:ascii="Arial" w:cs="Arial" w:eastAsia="Arial" w:hAnsi="Arial"/>
          <w:sz w:val="18"/>
          <w:szCs w:val="18"/>
          <w:color w:val="auto"/>
        </w:rPr>
        <w:t>Exhibit 20.1</w:t>
      </w:r>
    </w:p>
    <w:p>
      <w:pPr>
        <w:spacing w:after="0" w:line="23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From time to time, the Company may identify other persons who should be subject to quarterly blackout periods, and the Compliance Officer may update and revise the Covered Persons List as appropriate.</w:t>
      </w:r>
    </w:p>
    <w:p>
      <w:pPr>
        <w:spacing w:after="0" w:line="176" w:lineRule="exact"/>
        <w:rPr>
          <w:sz w:val="20"/>
          <w:szCs w:val="20"/>
          <w:color w:val="auto"/>
        </w:rPr>
      </w:pPr>
    </w:p>
    <w:p>
      <w:pPr>
        <w:jc w:val="both"/>
        <w:ind w:firstLine="757"/>
        <w:spacing w:after="0" w:line="274" w:lineRule="auto"/>
        <w:tabs>
          <w:tab w:leader="none" w:pos="1237"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Special Blackout Periods</w:t>
      </w:r>
      <w:r>
        <w:rPr>
          <w:rFonts w:ascii="Arial" w:cs="Arial" w:eastAsia="Arial" w:hAnsi="Arial"/>
          <w:sz w:val="18"/>
          <w:szCs w:val="18"/>
          <w:color w:val="auto"/>
        </w:rPr>
        <w:t>. The Company always retains the right to impose additional or longer trading blackout periods at any time on any or all of its directors, officers, employees, consultants, contractors and advisors. The Compliance Officer will notify you in writing (or by e-mail) if you are subject to a special blackout period.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spacing w:after="0" w:line="166" w:lineRule="exact"/>
        <w:rPr>
          <w:rFonts w:ascii="Arial" w:cs="Arial" w:eastAsia="Arial" w:hAnsi="Arial"/>
          <w:sz w:val="18"/>
          <w:szCs w:val="18"/>
          <w:color w:val="auto"/>
        </w:rPr>
      </w:pPr>
    </w:p>
    <w:p>
      <w:pPr>
        <w:jc w:val="both"/>
        <w:ind w:firstLine="757"/>
        <w:spacing w:after="0" w:line="272" w:lineRule="auto"/>
        <w:tabs>
          <w:tab w:leader="none" w:pos="1237"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Regulation BTR Blackouts</w:t>
      </w:r>
      <w:r>
        <w:rPr>
          <w:rFonts w:ascii="Arial" w:cs="Arial" w:eastAsia="Arial" w:hAnsi="Arial"/>
          <w:sz w:val="18"/>
          <w:szCs w:val="18"/>
          <w:color w:val="auto"/>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66" w:lineRule="exact"/>
        <w:rPr>
          <w:rFonts w:ascii="Arial" w:cs="Arial" w:eastAsia="Arial" w:hAnsi="Arial"/>
          <w:sz w:val="18"/>
          <w:szCs w:val="18"/>
          <w:color w:val="auto"/>
        </w:rPr>
      </w:pPr>
    </w:p>
    <w:p>
      <w:pPr>
        <w:ind w:left="760" w:hanging="752"/>
        <w:spacing w:after="0"/>
        <w:tabs>
          <w:tab w:leader="none" w:pos="760"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PROHIBITED TRANSACTIONS</w:t>
      </w:r>
    </w:p>
    <w:p>
      <w:pPr>
        <w:spacing w:after="0" w:line="221"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You may not engage in any of the following types of transactions other than as noted below, regardless of whether you have material nonpublic information or not.</w:t>
      </w:r>
    </w:p>
    <w:p>
      <w:pPr>
        <w:spacing w:after="0" w:line="176" w:lineRule="exact"/>
        <w:rPr>
          <w:sz w:val="20"/>
          <w:szCs w:val="20"/>
          <w:color w:val="auto"/>
        </w:rPr>
      </w:pPr>
    </w:p>
    <w:p>
      <w:pPr>
        <w:ind w:firstLine="757"/>
        <w:spacing w:after="0" w:line="315" w:lineRule="auto"/>
        <w:tabs>
          <w:tab w:leader="none" w:pos="1237"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Short Sales</w:t>
      </w:r>
      <w:r>
        <w:rPr>
          <w:rFonts w:ascii="Arial" w:cs="Arial" w:eastAsia="Arial" w:hAnsi="Arial"/>
          <w:sz w:val="18"/>
          <w:szCs w:val="18"/>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130" w:lineRule="exact"/>
        <w:rPr>
          <w:rFonts w:ascii="Arial" w:cs="Arial" w:eastAsia="Arial" w:hAnsi="Arial"/>
          <w:sz w:val="18"/>
          <w:szCs w:val="18"/>
          <w:color w:val="auto"/>
        </w:rPr>
      </w:pPr>
    </w:p>
    <w:p>
      <w:pPr>
        <w:jc w:val="both"/>
        <w:ind w:firstLine="757"/>
        <w:spacing w:after="0" w:line="243" w:lineRule="auto"/>
        <w:tabs>
          <w:tab w:leader="none" w:pos="1237"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Derivative Securities and Hedging Transactions</w:t>
      </w:r>
      <w:r>
        <w:rPr>
          <w:rFonts w:ascii="Arial" w:cs="Arial" w:eastAsia="Arial" w:hAnsi="Arial"/>
          <w:sz w:val="20"/>
          <w:szCs w:val="20"/>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spacing w:after="0" w:line="194" w:lineRule="exact"/>
        <w:rPr>
          <w:rFonts w:ascii="Arial" w:cs="Arial" w:eastAsia="Arial" w:hAnsi="Arial"/>
          <w:sz w:val="20"/>
          <w:szCs w:val="20"/>
          <w:color w:val="auto"/>
        </w:rPr>
      </w:pPr>
    </w:p>
    <w:p>
      <w:pPr>
        <w:ind w:right="20" w:firstLine="757"/>
        <w:spacing w:after="0" w:line="286" w:lineRule="auto"/>
        <w:tabs>
          <w:tab w:leader="none" w:pos="1237"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Pledging Transactions</w:t>
      </w:r>
      <w:r>
        <w:rPr>
          <w:rFonts w:ascii="Arial" w:cs="Arial" w:eastAsia="Arial" w:hAnsi="Arial"/>
          <w:sz w:val="19"/>
          <w:szCs w:val="19"/>
          <w:color w:val="auto"/>
        </w:rPr>
        <w:t>. If you are required to comply with the blackout periods or pre-clearance requirements under this Policy, you may not pledge the Company’s securities as collateral for any loan or as part of any other pledging transaction.</w:t>
      </w:r>
    </w:p>
    <w:p>
      <w:pPr>
        <w:spacing w:after="0" w:line="153" w:lineRule="exact"/>
        <w:rPr>
          <w:rFonts w:ascii="Arial" w:cs="Arial" w:eastAsia="Arial" w:hAnsi="Arial"/>
          <w:sz w:val="19"/>
          <w:szCs w:val="19"/>
          <w:color w:val="auto"/>
        </w:rPr>
      </w:pPr>
    </w:p>
    <w:p>
      <w:pPr>
        <w:ind w:left="1240" w:hanging="483"/>
        <w:spacing w:after="0"/>
        <w:tabs>
          <w:tab w:leader="none" w:pos="124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Margin Accounts</w:t>
      </w:r>
      <w:r>
        <w:rPr>
          <w:rFonts w:ascii="Arial" w:cs="Arial" w:eastAsia="Arial" w:hAnsi="Arial"/>
          <w:sz w:val="20"/>
          <w:szCs w:val="20"/>
          <w:color w:val="auto"/>
        </w:rPr>
        <w:t>. You may not hold the Company’s common stock in margin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348615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color w:val="auto"/>
        </w:rPr>
        <w:t>Exhibit 20.1</w:t>
      </w:r>
    </w:p>
    <w:p>
      <w:pPr>
        <w:spacing w:after="0" w:line="210" w:lineRule="exact"/>
        <w:rPr>
          <w:sz w:val="20"/>
          <w:szCs w:val="20"/>
          <w:color w:val="auto"/>
        </w:rPr>
      </w:pPr>
    </w:p>
    <w:p>
      <w:pPr>
        <w:ind w:left="760" w:hanging="752"/>
        <w:spacing w:after="0"/>
        <w:tabs>
          <w:tab w:leader="none" w:pos="76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PRE-CLEARANCE OF TRADES</w:t>
      </w:r>
    </w:p>
    <w:p>
      <w:pPr>
        <w:spacing w:after="0" w:line="22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The Company’s directors, executive officers and certain employees identified on the Covered Persons List must obtain pre-clearance prior to trading the Company’s securities. If you are subject to pre-clearance requirements, you must submit a pre-clearance request to the Compliance Officer at least two business days prior to your desired trade date. The pre-clearance request must be made on the form provided by the Compliance Officer.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spacing w:after="0" w:line="19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If the Compliance Officer is the requester, then the Company’s Chief Executive Officer, Chief Financial Officer or their delegate must pre-clear or deny any trade. All trades must be executed within two business days of any pre-clearance.</w:t>
      </w:r>
    </w:p>
    <w:p>
      <w:pPr>
        <w:spacing w:after="0" w:line="17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Even after pre-clearance, a person may not trade the Company’s securities if they become subject to a blackout period or aware of material nonpublic information prior to the trade being executed.</w:t>
      </w:r>
    </w:p>
    <w:p>
      <w:pPr>
        <w:spacing w:after="0" w:line="17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From time to time, the Company may identify other persons who should be subject to the pre-clearance requirements set forth above, and the Compliance Officer may update and revise the Covered Persons List as appropriate.</w:t>
      </w:r>
    </w:p>
    <w:p>
      <w:pPr>
        <w:spacing w:after="0" w:line="170" w:lineRule="exact"/>
        <w:rPr>
          <w:sz w:val="20"/>
          <w:szCs w:val="20"/>
          <w:color w:val="auto"/>
        </w:rPr>
      </w:pPr>
    </w:p>
    <w:p>
      <w:pPr>
        <w:ind w:left="760" w:hanging="752"/>
        <w:spacing w:after="0"/>
        <w:tabs>
          <w:tab w:leader="none" w:pos="760"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color w:val="auto"/>
        </w:rPr>
        <w:t>EXCEPTIONS TO TRADING RESTRICTIONS</w:t>
      </w:r>
    </w:p>
    <w:p>
      <w:pPr>
        <w:spacing w:after="0" w:line="22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9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The following are certain limited exceptions to the quarterly and special blackout period restrictions and pre-clearance requirements imposed by the Company under this Policy:</w:t>
      </w:r>
    </w:p>
    <w:p>
      <w:pPr>
        <w:spacing w:after="0" w:line="176" w:lineRule="exact"/>
        <w:rPr>
          <w:sz w:val="20"/>
          <w:szCs w:val="20"/>
          <w:color w:val="auto"/>
        </w:rPr>
      </w:pPr>
    </w:p>
    <w:p>
      <w:pPr>
        <w:jc w:val="both"/>
        <w:ind w:left="1140" w:right="20" w:hanging="383"/>
        <w:spacing w:after="0" w:line="236" w:lineRule="exact"/>
        <w:tabs>
          <w:tab w:leader="none" w:pos="114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Transactions made pursuant to a valid 10b5</w:t>
      </w:r>
      <w:r>
        <w:rPr>
          <w:rFonts w:ascii="MS PGothic" w:cs="MS PGothic" w:eastAsia="MS PGothic" w:hAnsi="MS PGothic"/>
          <w:sz w:val="20"/>
          <w:szCs w:val="20"/>
          <w:color w:val="auto"/>
        </w:rPr>
        <w:t>‑</w:t>
      </w:r>
      <w:r>
        <w:rPr>
          <w:rFonts w:ascii="Arial" w:cs="Arial" w:eastAsia="Arial" w:hAnsi="Arial"/>
          <w:sz w:val="20"/>
          <w:szCs w:val="20"/>
          <w:color w:val="auto"/>
        </w:rPr>
        <w:t>1 trading plan approved by the Company. These plans allow for individuals to enter into a prearranged trading plan as long as the plan is not established or modified during a blackout period or when the individual is otherwise in possession of material nonpublic information.</w:t>
      </w:r>
    </w:p>
    <w:p>
      <w:pPr>
        <w:spacing w:after="0" w:line="196" w:lineRule="exact"/>
        <w:rPr>
          <w:rFonts w:ascii="Arial" w:cs="Arial" w:eastAsia="Arial" w:hAnsi="Arial"/>
          <w:sz w:val="20"/>
          <w:szCs w:val="20"/>
          <w:color w:val="auto"/>
        </w:rPr>
      </w:pPr>
    </w:p>
    <w:p>
      <w:pPr>
        <w:ind w:left="1140" w:hanging="383"/>
        <w:spacing w:after="0" w:line="260" w:lineRule="auto"/>
        <w:tabs>
          <w:tab w:leader="none" w:pos="114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Stock option exercises where the exercise price of such stock options is paid in cash and there is no other associated market activity.</w:t>
      </w:r>
    </w:p>
    <w:p>
      <w:pPr>
        <w:spacing w:after="0" w:line="175" w:lineRule="exact"/>
        <w:rPr>
          <w:rFonts w:ascii="Arial" w:cs="Arial" w:eastAsia="Arial" w:hAnsi="Arial"/>
          <w:sz w:val="20"/>
          <w:szCs w:val="20"/>
          <w:color w:val="auto"/>
        </w:rPr>
      </w:pPr>
    </w:p>
    <w:p>
      <w:pPr>
        <w:ind w:left="1140" w:right="20" w:hanging="383"/>
        <w:spacing w:after="0" w:line="260" w:lineRule="auto"/>
        <w:tabs>
          <w:tab w:leader="none" w:pos="114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Receipt and vesting of stock options, restricted stock units, restricted stock or other equity compensation awards from the Company.</w:t>
      </w:r>
    </w:p>
    <w:p>
      <w:pPr>
        <w:spacing w:after="0" w:line="175" w:lineRule="exact"/>
        <w:rPr>
          <w:rFonts w:ascii="Arial" w:cs="Arial" w:eastAsia="Arial" w:hAnsi="Arial"/>
          <w:sz w:val="20"/>
          <w:szCs w:val="20"/>
          <w:color w:val="auto"/>
        </w:rPr>
      </w:pPr>
    </w:p>
    <w:p>
      <w:pPr>
        <w:ind w:left="1140" w:hanging="383"/>
        <w:spacing w:after="0" w:line="260" w:lineRule="auto"/>
        <w:tabs>
          <w:tab w:leader="none" w:pos="114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Purchases pursuant to the employee stock purchase plan; however, this exception does not apply to subsequent sales of the shares.</w:t>
      </w:r>
    </w:p>
    <w:p>
      <w:pPr>
        <w:spacing w:after="0" w:line="175" w:lineRule="exact"/>
        <w:rPr>
          <w:rFonts w:ascii="Arial" w:cs="Arial" w:eastAsia="Arial" w:hAnsi="Arial"/>
          <w:sz w:val="20"/>
          <w:szCs w:val="20"/>
          <w:color w:val="auto"/>
        </w:rPr>
      </w:pPr>
    </w:p>
    <w:p>
      <w:pPr>
        <w:jc w:val="both"/>
        <w:ind w:left="1140" w:hanging="383"/>
        <w:spacing w:after="0" w:line="246" w:lineRule="auto"/>
        <w:tabs>
          <w:tab w:leader="none" w:pos="114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Net share withholding with respect to equity awards where shares are withheld by the Company in order to satisfy tax withholding requirements, (x) as required by either the Company’s Board of Directors (or a committee thereof) or the award agreement governing such equity award or (y) as you elect, if permitted by the Company, so long as the election is irrevocable and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ind w:left="10260"/>
        <w:spacing w:after="0"/>
        <w:rPr>
          <w:sz w:val="20"/>
          <w:szCs w:val="20"/>
          <w:color w:val="auto"/>
        </w:rPr>
      </w:pPr>
      <w:r>
        <w:rPr>
          <w:rFonts w:ascii="Arial" w:cs="Arial" w:eastAsia="Arial" w:hAnsi="Arial"/>
          <w:sz w:val="18"/>
          <w:szCs w:val="18"/>
          <w:color w:val="auto"/>
        </w:rPr>
        <w:t>Exhibit 20.1</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writing at a time when a trading blackout is not in place and you are not in possession of material nonpublic information.</w:t>
      </w:r>
    </w:p>
    <w:p>
      <w:pPr>
        <w:spacing w:after="0" w:line="238" w:lineRule="exact"/>
        <w:rPr>
          <w:sz w:val="20"/>
          <w:szCs w:val="20"/>
          <w:color w:val="auto"/>
        </w:rPr>
      </w:pPr>
    </w:p>
    <w:p>
      <w:pPr>
        <w:jc w:val="both"/>
        <w:ind w:left="1140" w:hanging="383"/>
        <w:spacing w:after="0" w:line="244" w:lineRule="auto"/>
        <w:tabs>
          <w:tab w:leader="none" w:pos="114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Sell-to-cover transactions where shares are sold on your behalf upon vesting of equity awards to satisfy tax withholding requirements. Persons included on the Covered Persons List will be deemed to have elected sell-to-cover transactions upon vesting of equity awards unless they make a prior irrevocable election otherwise for that calendar year, so long as such election is made in writing at a time when a trading blackout is not in place and you are not in possession of material nonpublic information.</w:t>
      </w:r>
    </w:p>
    <w:p>
      <w:pPr>
        <w:spacing w:after="0" w:line="192" w:lineRule="exact"/>
        <w:rPr>
          <w:rFonts w:ascii="Arial" w:cs="Arial" w:eastAsia="Arial" w:hAnsi="Arial"/>
          <w:sz w:val="20"/>
          <w:szCs w:val="20"/>
          <w:color w:val="auto"/>
        </w:rPr>
      </w:pPr>
    </w:p>
    <w:p>
      <w:pPr>
        <w:ind w:left="1140" w:hanging="383"/>
        <w:spacing w:after="0"/>
        <w:tabs>
          <w:tab w:leader="none" w:pos="114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Distributions to limited partners by limited partnerships subject to this Policy.</w:t>
      </w:r>
    </w:p>
    <w:p>
      <w:pPr>
        <w:spacing w:after="0" w:line="214" w:lineRule="exact"/>
        <w:rPr>
          <w:rFonts w:ascii="Arial" w:cs="Arial" w:eastAsia="Arial" w:hAnsi="Arial"/>
          <w:sz w:val="20"/>
          <w:szCs w:val="20"/>
          <w:color w:val="auto"/>
        </w:rPr>
      </w:pPr>
    </w:p>
    <w:p>
      <w:pPr>
        <w:jc w:val="both"/>
        <w:ind w:left="1140" w:hanging="383"/>
        <w:spacing w:after="0" w:line="256" w:lineRule="auto"/>
        <w:tabs>
          <w:tab w:leader="none" w:pos="11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Purchases of the Company’s stock in the 401(k) plan resulting from periodic contributions to the plan based on your payroll contribution election; provided, however, that the blackout period restrictions and pre-clearance requirements do apply to elections you make under the 401(k) plan to (a) increase or decrease the amount of your contributions under the 401(k) plan if such increase or decrease will increase or decrease the amount of your contributions that will be allocated to a Company stock fund, (b) increase or decrease the percentage of your contributions that will be allocated to a Company stock fund, (c) move balances into or out of a Company stock fund, (d) borrow money against your 401(k) plan account if the loan will result in liquidation of some or all of your Company stock fund balance, and (e) prepay a plan loan if the pre-payment will result in the allocation of loan proceeds to a Company stock fund.</w:t>
      </w:r>
    </w:p>
    <w:p>
      <w:pPr>
        <w:spacing w:after="0" w:line="185" w:lineRule="exact"/>
        <w:rPr>
          <w:rFonts w:ascii="Arial" w:cs="Arial" w:eastAsia="Arial" w:hAnsi="Arial"/>
          <w:sz w:val="19"/>
          <w:szCs w:val="19"/>
          <w:color w:val="auto"/>
        </w:rPr>
      </w:pPr>
    </w:p>
    <w:p>
      <w:pPr>
        <w:jc w:val="both"/>
        <w:ind w:left="1140" w:hanging="383"/>
        <w:spacing w:after="0" w:line="269" w:lineRule="auto"/>
        <w:tabs>
          <w:tab w:leader="none" w:pos="11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Transfers by will or the laws of descent and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w:t>
      </w:r>
    </w:p>
    <w:p>
      <w:pPr>
        <w:spacing w:after="0" w:line="169" w:lineRule="exact"/>
        <w:rPr>
          <w:sz w:val="20"/>
          <w:szCs w:val="20"/>
          <w:color w:val="auto"/>
        </w:rPr>
      </w:pPr>
    </w:p>
    <w:p>
      <w:pPr>
        <w:ind w:right="80" w:firstLine="749"/>
        <w:spacing w:after="0" w:line="260" w:lineRule="auto"/>
        <w:rPr>
          <w:sz w:val="20"/>
          <w:szCs w:val="20"/>
          <w:color w:val="auto"/>
        </w:rPr>
      </w:pPr>
      <w:r>
        <w:rPr>
          <w:rFonts w:ascii="Arial" w:cs="Arial" w:eastAsia="Arial" w:hAnsi="Arial"/>
          <w:sz w:val="20"/>
          <w:szCs w:val="20"/>
          <w:color w:val="auto"/>
        </w:rPr>
        <w:t>24. Changes in the number of the Company’s securities you hold due to a stock split or a stock dividend that applies equally to all securities of a class, or similar transactions.</w:t>
      </w:r>
    </w:p>
    <w:p>
      <w:pPr>
        <w:spacing w:after="0" w:line="176" w:lineRule="exact"/>
        <w:rPr>
          <w:sz w:val="20"/>
          <w:szCs w:val="20"/>
          <w:color w:val="auto"/>
        </w:rPr>
      </w:pPr>
    </w:p>
    <w:p>
      <w:pPr>
        <w:jc w:val="both"/>
        <w:ind w:firstLine="749"/>
        <w:spacing w:after="0" w:line="232" w:lineRule="exact"/>
        <w:rPr>
          <w:sz w:val="20"/>
          <w:szCs w:val="20"/>
          <w:color w:val="auto"/>
        </w:rPr>
      </w:pPr>
      <w:r>
        <w:rPr>
          <w:rFonts w:ascii="Arial" w:cs="Arial" w:eastAsia="Arial" w:hAnsi="Arial"/>
          <w:sz w:val="18"/>
          <w:szCs w:val="18"/>
          <w:color w:val="auto"/>
        </w:rPr>
        <w:t>Unless an exception is granted in writing by the Compliance Officer, the chairperson of the Audit Committee or the Company’s Chief Executive Officer, certain persons identified on the Covered Persons List are not permitted to trade in the Company’s securities outside of a valid 10b5</w:t>
      </w:r>
      <w:r>
        <w:rPr>
          <w:rFonts w:ascii="MS PGothic" w:cs="MS PGothic" w:eastAsia="MS PGothic" w:hAnsi="MS PGothic"/>
          <w:sz w:val="18"/>
          <w:szCs w:val="18"/>
          <w:color w:val="auto"/>
        </w:rPr>
        <w:t>‑</w:t>
      </w:r>
      <w:r>
        <w:rPr>
          <w:rFonts w:ascii="Arial" w:cs="Arial" w:eastAsia="Arial" w:hAnsi="Arial"/>
          <w:sz w:val="18"/>
          <w:szCs w:val="18"/>
          <w:color w:val="auto"/>
        </w:rPr>
        <w:t>1 trading plan approved by the Company. In addition, the Company permits other employees to adopt written 10b5</w:t>
      </w:r>
      <w:r>
        <w:rPr>
          <w:rFonts w:ascii="MS PGothic" w:cs="MS PGothic" w:eastAsia="MS PGothic" w:hAnsi="MS PGothic"/>
          <w:sz w:val="18"/>
          <w:szCs w:val="18"/>
          <w:color w:val="auto"/>
        </w:rPr>
        <w:t>‑</w:t>
      </w:r>
      <w:r>
        <w:rPr>
          <w:rFonts w:ascii="Arial" w:cs="Arial" w:eastAsia="Arial" w:hAnsi="Arial"/>
          <w:sz w:val="18"/>
          <w:szCs w:val="18"/>
          <w:color w:val="auto"/>
        </w:rPr>
        <w:t>1 trading plans in order to mitigate the risk of trading on material nonpublic information. To be approved by the Company and qualify for the exception to this Policy, any 10b5</w:t>
      </w:r>
      <w:r>
        <w:rPr>
          <w:rFonts w:ascii="MS PGothic" w:cs="MS PGothic" w:eastAsia="MS PGothic" w:hAnsi="MS PGothic"/>
          <w:sz w:val="18"/>
          <w:szCs w:val="18"/>
          <w:color w:val="auto"/>
        </w:rPr>
        <w:t>‑</w:t>
      </w:r>
      <w:r>
        <w:rPr>
          <w:rFonts w:ascii="Arial" w:cs="Arial" w:eastAsia="Arial" w:hAnsi="Arial"/>
          <w:sz w:val="18"/>
          <w:szCs w:val="18"/>
          <w:color w:val="auto"/>
        </w:rPr>
        <w:t xml:space="preserve">1 trading plan adopted by a director, officer or employee must be submitted to the Compliance Officer for approval and comply with the requirements set forth in the </w:t>
      </w:r>
      <w:r>
        <w:rPr>
          <w:rFonts w:ascii="Arial" w:cs="Arial" w:eastAsia="Arial" w:hAnsi="Arial"/>
          <w:sz w:val="18"/>
          <w:szCs w:val="18"/>
          <w:i w:val="1"/>
          <w:iCs w:val="1"/>
          <w:color w:val="auto"/>
        </w:rPr>
        <w:t>Requirements for Trading Plans</w:t>
      </w:r>
      <w:r>
        <w:rPr>
          <w:rFonts w:ascii="Arial" w:cs="Arial" w:eastAsia="Arial" w:hAnsi="Arial"/>
          <w:sz w:val="18"/>
          <w:szCs w:val="18"/>
          <w:color w:val="auto"/>
        </w:rPr>
        <w:t xml:space="preserve">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If the Compliance Officer is the requester, then the Company’s Chief Executive Officer, Chief Financial Officer, or their delegate, must approve the 10b5-1 trading plan.</w:t>
      </w:r>
    </w:p>
    <w:p>
      <w:pPr>
        <w:spacing w:after="0" w:line="19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If there is a Regulation BTR blackout (and no quarterly or special blackout period), then the limited exceptions set forth in Regulation BTR will apply.</w:t>
      </w:r>
    </w:p>
    <w:p>
      <w:pPr>
        <w:spacing w:after="0" w:line="17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Please be aware that even if a transaction is subject to an exception to this Policy, you will need to separately assess whether the transaction complies with applicable law. Any other Policy exceptions must be approved by the Compliance Officer, in consultation with the Company’s Board of Directors or an independent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color w:val="auto"/>
        </w:rPr>
        <w:t>Exhibit 20.1</w:t>
      </w:r>
    </w:p>
    <w:p>
      <w:pPr>
        <w:spacing w:after="0" w:line="210" w:lineRule="exact"/>
        <w:rPr>
          <w:sz w:val="20"/>
          <w:szCs w:val="20"/>
          <w:color w:val="auto"/>
        </w:rPr>
      </w:pPr>
    </w:p>
    <w:p>
      <w:pPr>
        <w:ind w:left="760" w:hanging="752"/>
        <w:spacing w:after="0"/>
        <w:tabs>
          <w:tab w:leader="none" w:pos="760"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SECTION 16 COMPLIANCE</w:t>
      </w:r>
    </w:p>
    <w:p>
      <w:pPr>
        <w:spacing w:after="0" w:line="22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All of the Company’s directors, executive officers and greater than 10% stockholders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19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Arial" w:cs="Arial" w:eastAsia="Arial" w:hAnsi="Arial"/>
          <w:sz w:val="20"/>
          <w:szCs w:val="20"/>
          <w:i w:val="1"/>
          <w:iCs w:val="1"/>
          <w:color w:val="auto"/>
        </w:rPr>
        <w:t>etc.</w:t>
      </w:r>
      <w:r>
        <w:rPr>
          <w:rFonts w:ascii="Arial" w:cs="Arial" w:eastAsia="Arial" w:hAnsi="Arial"/>
          <w:sz w:val="20"/>
          <w:szCs w:val="20"/>
          <w:color w:val="auto"/>
        </w:rPr>
        <w:t>) about his or her transactions involving the Company’s securities.</w:t>
      </w:r>
    </w:p>
    <w:p>
      <w:pPr>
        <w:spacing w:after="0" w:line="188"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20"/>
          <w:szCs w:val="20"/>
          <w:color w:val="auto"/>
        </w:rPr>
        <w:t>The Company is available to assist in filing Section 16 reports, but the obligation to comply with Section 16 is personal. If you have any questions, you should check with the Compliance Officer.</w:t>
      </w:r>
    </w:p>
    <w:p>
      <w:pPr>
        <w:spacing w:after="0" w:line="170" w:lineRule="exact"/>
        <w:rPr>
          <w:sz w:val="20"/>
          <w:szCs w:val="20"/>
          <w:color w:val="auto"/>
        </w:rPr>
      </w:pPr>
    </w:p>
    <w:p>
      <w:pPr>
        <w:ind w:left="760" w:hanging="752"/>
        <w:spacing w:after="0"/>
        <w:tabs>
          <w:tab w:leader="none" w:pos="760"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color w:val="auto"/>
        </w:rPr>
        <w:t>VIOLATIONS OF THIS POLICY</w:t>
      </w:r>
    </w:p>
    <w:p>
      <w:pPr>
        <w:spacing w:after="0" w:line="22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9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19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It is your responsibility to manage your economic interests and to consider potential trading restrictions when determining whether to exercise your options. In such instances, the Company cannot extend the term of your options and has no obligation or liability to replace the economic value or lost benefit to you.</w:t>
      </w:r>
    </w:p>
    <w:p>
      <w:pPr>
        <w:spacing w:after="0" w:line="165" w:lineRule="exact"/>
        <w:rPr>
          <w:sz w:val="20"/>
          <w:szCs w:val="20"/>
          <w:color w:val="auto"/>
        </w:rPr>
      </w:pPr>
    </w:p>
    <w:p>
      <w:pPr>
        <w:ind w:left="760" w:hanging="752"/>
        <w:spacing w:after="0"/>
        <w:tabs>
          <w:tab w:leader="none" w:pos="76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PROTECTED ACTIVITY NOT PROHIBITED</w:t>
      </w:r>
    </w:p>
    <w:p>
      <w:pPr>
        <w:spacing w:after="0" w:line="22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color w:val="auto"/>
        </w:rPr>
        <w:t>Exhibit 20.1</w:t>
      </w:r>
    </w:p>
    <w:p>
      <w:pPr>
        <w:spacing w:after="0" w:line="210" w:lineRule="exact"/>
        <w:rPr>
          <w:sz w:val="20"/>
          <w:szCs w:val="20"/>
          <w:color w:val="auto"/>
        </w:rPr>
      </w:pPr>
    </w:p>
    <w:p>
      <w:pPr>
        <w:ind w:left="760" w:hanging="752"/>
        <w:spacing w:after="0"/>
        <w:tabs>
          <w:tab w:leader="none" w:pos="76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REPORTING</w:t>
      </w:r>
    </w:p>
    <w:p>
      <w:pPr>
        <w:spacing w:after="0" w:line="22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w:t>
      </w:r>
    </w:p>
    <w:p>
      <w:pPr>
        <w:spacing w:after="0" w:line="182" w:lineRule="exact"/>
        <w:rPr>
          <w:sz w:val="20"/>
          <w:szCs w:val="20"/>
          <w:color w:val="auto"/>
        </w:rPr>
      </w:pPr>
    </w:p>
    <w:p>
      <w:pPr>
        <w:ind w:left="760" w:hanging="752"/>
        <w:spacing w:after="0"/>
        <w:tabs>
          <w:tab w:leader="none" w:pos="76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w:t>
      </w:r>
    </w:p>
    <w:p>
      <w:pPr>
        <w:spacing w:after="0" w:line="22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(Adopted on May 15, 2021; effective May 25, 2021; amended February 3, 2022, April 18, 2022 and 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color w:val="auto"/>
        </w:rPr>
        <w:t>Exhibit 20.1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REQUIREMENTS FOR TRADING PLANS</w:t>
      </w:r>
    </w:p>
    <w:p>
      <w:pPr>
        <w:spacing w:after="0" w:line="215" w:lineRule="exact"/>
        <w:rPr>
          <w:sz w:val="20"/>
          <w:szCs w:val="20"/>
          <w:color w:val="auto"/>
        </w:rPr>
      </w:pPr>
    </w:p>
    <w:p>
      <w:pPr>
        <w:jc w:val="both"/>
        <w:ind w:firstLine="749"/>
        <w:spacing w:after="0" w:line="236" w:lineRule="exact"/>
        <w:rPr>
          <w:sz w:val="20"/>
          <w:szCs w:val="20"/>
          <w:color w:val="auto"/>
        </w:rPr>
      </w:pPr>
      <w:r>
        <w:rPr>
          <w:rFonts w:ascii="Arial" w:cs="Arial" w:eastAsia="Arial" w:hAnsi="Arial"/>
          <w:sz w:val="18"/>
          <w:szCs w:val="18"/>
          <w:color w:val="auto"/>
        </w:rPr>
        <w:t>For transactions under a trading plan to be exempt from (A) the prohibitions in the Company’s Insider Trading Policy (the “</w:t>
      </w:r>
      <w:r>
        <w:rPr>
          <w:rFonts w:ascii="Arial" w:cs="Arial" w:eastAsia="Arial" w:hAnsi="Arial"/>
          <w:sz w:val="18"/>
          <w:szCs w:val="18"/>
          <w:b w:val="1"/>
          <w:bCs w:val="1"/>
          <w:color w:val="auto"/>
        </w:rPr>
        <w:t>Policy</w:t>
      </w:r>
      <w:r>
        <w:rPr>
          <w:rFonts w:ascii="Arial" w:cs="Arial" w:eastAsia="Arial" w:hAnsi="Arial"/>
          <w:sz w:val="18"/>
          <w:szCs w:val="18"/>
          <w:color w:val="auto"/>
        </w:rPr>
        <w:t>”) of Paymentus Holdings, Inc. (together with any subsidiaries, collectively the “</w:t>
      </w:r>
      <w:r>
        <w:rPr>
          <w:rFonts w:ascii="Arial" w:cs="Arial" w:eastAsia="Arial" w:hAnsi="Arial"/>
          <w:sz w:val="18"/>
          <w:szCs w:val="18"/>
          <w:b w:val="1"/>
          <w:bCs w:val="1"/>
          <w:color w:val="auto"/>
        </w:rPr>
        <w:t>Company</w:t>
      </w:r>
      <w:r>
        <w:rPr>
          <w:rFonts w:ascii="Arial" w:cs="Arial" w:eastAsia="Arial" w:hAnsi="Arial"/>
          <w:sz w:val="18"/>
          <w:szCs w:val="18"/>
          <w:color w:val="auto"/>
        </w:rPr>
        <w:t>”) with respect to transactions made while aware of material nonpublic information and (B) the pre-clearance procedures and blackout periods established under the Policy, the trading plan must comply with the affirmative defense set forth in Exchange Act Rule 10b5</w:t>
      </w:r>
      <w:r>
        <w:rPr>
          <w:rFonts w:ascii="MS PGothic" w:cs="MS PGothic" w:eastAsia="MS PGothic" w:hAnsi="MS PGothic"/>
          <w:sz w:val="18"/>
          <w:szCs w:val="18"/>
          <w:color w:val="auto"/>
        </w:rPr>
        <w:t>‑</w:t>
      </w:r>
      <w:r>
        <w:rPr>
          <w:rFonts w:ascii="Arial" w:cs="Arial" w:eastAsia="Arial" w:hAnsi="Arial"/>
          <w:sz w:val="18"/>
          <w:szCs w:val="18"/>
          <w:color w:val="auto"/>
        </w:rPr>
        <w:t>1 and must meet the following requirements:</w:t>
      </w:r>
    </w:p>
    <w:p>
      <w:pPr>
        <w:spacing w:after="0" w:line="197" w:lineRule="exact"/>
        <w:rPr>
          <w:sz w:val="20"/>
          <w:szCs w:val="20"/>
          <w:color w:val="auto"/>
        </w:rPr>
      </w:pPr>
    </w:p>
    <w:p>
      <w:pPr>
        <w:ind w:left="1160" w:hanging="403"/>
        <w:spacing w:after="0"/>
        <w:tabs>
          <w:tab w:leader="none" w:pos="11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trading plan must be in writing and signed by the person adopting the trading plan.</w:t>
      </w:r>
    </w:p>
    <w:p>
      <w:pPr>
        <w:spacing w:after="0" w:line="214" w:lineRule="exact"/>
        <w:rPr>
          <w:rFonts w:ascii="Arial" w:cs="Arial" w:eastAsia="Arial" w:hAnsi="Arial"/>
          <w:sz w:val="20"/>
          <w:szCs w:val="20"/>
          <w:color w:val="auto"/>
        </w:rPr>
      </w:pPr>
    </w:p>
    <w:p>
      <w:pPr>
        <w:ind w:left="1160" w:hanging="403"/>
        <w:spacing w:after="0"/>
        <w:tabs>
          <w:tab w:leader="none" w:pos="11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trading plan must be adopted at a time when:</w:t>
      </w:r>
    </w:p>
    <w:p>
      <w:pPr>
        <w:spacing w:after="0" w:line="214" w:lineRule="exact"/>
        <w:rPr>
          <w:rFonts w:ascii="Arial" w:cs="Arial" w:eastAsia="Arial" w:hAnsi="Arial"/>
          <w:sz w:val="20"/>
          <w:szCs w:val="20"/>
          <w:color w:val="auto"/>
        </w:rPr>
      </w:pPr>
    </w:p>
    <w:p>
      <w:pPr>
        <w:ind w:left="1880" w:hanging="749"/>
        <w:spacing w:after="0"/>
        <w:tabs>
          <w:tab w:leader="none" w:pos="188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person adopting the trading plan is not aware of any material nonpublic information; and</w:t>
      </w:r>
    </w:p>
    <w:p>
      <w:pPr>
        <w:spacing w:after="0" w:line="214" w:lineRule="exact"/>
        <w:rPr>
          <w:rFonts w:ascii="Arial" w:cs="Arial" w:eastAsia="Arial" w:hAnsi="Arial"/>
          <w:sz w:val="20"/>
          <w:szCs w:val="20"/>
          <w:color w:val="auto"/>
        </w:rPr>
      </w:pPr>
    </w:p>
    <w:p>
      <w:pPr>
        <w:ind w:left="1880" w:hanging="749"/>
        <w:spacing w:after="0"/>
        <w:tabs>
          <w:tab w:leader="none" w:pos="188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there is no quarterly, special or other trading blackout in effect with respect to the person adopting the plan.</w:t>
      </w:r>
    </w:p>
    <w:p>
      <w:pPr>
        <w:spacing w:after="0" w:line="226" w:lineRule="exact"/>
        <w:rPr>
          <w:rFonts w:ascii="Arial" w:cs="Arial" w:eastAsia="Arial" w:hAnsi="Arial"/>
          <w:sz w:val="19"/>
          <w:szCs w:val="19"/>
          <w:color w:val="auto"/>
        </w:rPr>
      </w:pPr>
    </w:p>
    <w:p>
      <w:pPr>
        <w:ind w:left="1140" w:hanging="383"/>
        <w:spacing w:after="0" w:line="240" w:lineRule="exact"/>
        <w:tabs>
          <w:tab w:leader="none" w:pos="114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trading plan must be entered in good faith and not as part of a plan or scheme to evade the prohibitions of Rule 10b5</w:t>
      </w:r>
      <w:r>
        <w:rPr>
          <w:rFonts w:ascii="MS PGothic" w:cs="MS PGothic" w:eastAsia="MS PGothic" w:hAnsi="MS PGothic"/>
          <w:sz w:val="20"/>
          <w:szCs w:val="20"/>
          <w:color w:val="auto"/>
        </w:rPr>
        <w:t>‑</w:t>
      </w:r>
      <w:r>
        <w:rPr>
          <w:rFonts w:ascii="Arial" w:cs="Arial" w:eastAsia="Arial" w:hAnsi="Arial"/>
          <w:sz w:val="20"/>
          <w:szCs w:val="20"/>
          <w:color w:val="auto"/>
        </w:rPr>
        <w:t>1, and the person adopting the trading plan must act in good faith with respect to the trading plan.</w:t>
      </w:r>
    </w:p>
    <w:p>
      <w:pPr>
        <w:spacing w:after="0" w:line="195" w:lineRule="exact"/>
        <w:rPr>
          <w:rFonts w:ascii="Arial" w:cs="Arial" w:eastAsia="Arial" w:hAnsi="Arial"/>
          <w:sz w:val="20"/>
          <w:szCs w:val="20"/>
          <w:color w:val="auto"/>
        </w:rPr>
      </w:pPr>
    </w:p>
    <w:p>
      <w:pPr>
        <w:ind w:left="1140" w:hanging="383"/>
        <w:spacing w:after="0" w:line="260" w:lineRule="auto"/>
        <w:tabs>
          <w:tab w:leader="none" w:pos="114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trading plan must include representations that, on the date of adoption of the trading plan, the person adopting the trading plan:</w:t>
      </w:r>
    </w:p>
    <w:p>
      <w:pPr>
        <w:spacing w:after="0" w:line="175" w:lineRule="exact"/>
        <w:rPr>
          <w:rFonts w:ascii="Arial" w:cs="Arial" w:eastAsia="Arial" w:hAnsi="Arial"/>
          <w:sz w:val="20"/>
          <w:szCs w:val="20"/>
          <w:color w:val="auto"/>
        </w:rPr>
      </w:pPr>
    </w:p>
    <w:p>
      <w:pPr>
        <w:ind w:left="1140"/>
        <w:spacing w:after="0"/>
        <w:rPr>
          <w:rFonts w:ascii="Arial" w:cs="Arial" w:eastAsia="Arial" w:hAnsi="Arial"/>
          <w:sz w:val="20"/>
          <w:szCs w:val="20"/>
          <w:color w:val="auto"/>
        </w:rPr>
      </w:pPr>
      <w:r>
        <w:rPr>
          <w:rFonts w:ascii="Arial" w:cs="Arial" w:eastAsia="Arial" w:hAnsi="Arial"/>
          <w:sz w:val="20"/>
          <w:szCs w:val="20"/>
          <w:color w:val="auto"/>
        </w:rPr>
        <w:t>•   is not aware of material nonpublic information about the securities or the Company; and</w:t>
      </w:r>
    </w:p>
    <w:p>
      <w:pPr>
        <w:spacing w:after="0" w:line="214" w:lineRule="exact"/>
        <w:rPr>
          <w:rFonts w:ascii="Arial" w:cs="Arial" w:eastAsia="Arial" w:hAnsi="Arial"/>
          <w:sz w:val="20"/>
          <w:szCs w:val="20"/>
          <w:color w:val="auto"/>
        </w:rPr>
      </w:pPr>
    </w:p>
    <w:p>
      <w:pPr>
        <w:ind w:left="1140"/>
        <w:spacing w:after="0"/>
        <w:rPr>
          <w:rFonts w:ascii="Arial" w:cs="Arial" w:eastAsia="Arial" w:hAnsi="Arial"/>
          <w:sz w:val="20"/>
          <w:szCs w:val="20"/>
          <w:color w:val="auto"/>
        </w:rPr>
      </w:pPr>
      <w:r>
        <w:rPr>
          <w:rFonts w:ascii="Arial" w:cs="Arial" w:eastAsia="Arial" w:hAnsi="Arial"/>
          <w:sz w:val="18"/>
          <w:szCs w:val="18"/>
          <w:color w:val="auto"/>
        </w:rPr>
        <w:t>•   is adopting the trading plan in good faith and not as part of a plan or scheme to evade the prohibitions of Rule 10b5-1.</w:t>
      </w:r>
    </w:p>
    <w:p>
      <w:pPr>
        <w:spacing w:after="0" w:line="237" w:lineRule="exact"/>
        <w:rPr>
          <w:rFonts w:ascii="Arial" w:cs="Arial" w:eastAsia="Arial" w:hAnsi="Arial"/>
          <w:sz w:val="20"/>
          <w:szCs w:val="20"/>
          <w:color w:val="auto"/>
        </w:rPr>
      </w:pPr>
    </w:p>
    <w:p>
      <w:pPr>
        <w:jc w:val="both"/>
        <w:ind w:left="1140" w:hanging="383"/>
        <w:spacing w:after="0" w:line="249" w:lineRule="auto"/>
        <w:tabs>
          <w:tab w:leader="none" w:pos="114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87" w:lineRule="exact"/>
        <w:rPr>
          <w:rFonts w:ascii="Arial" w:cs="Arial" w:eastAsia="Arial" w:hAnsi="Arial"/>
          <w:sz w:val="20"/>
          <w:szCs w:val="20"/>
          <w:color w:val="auto"/>
        </w:rPr>
      </w:pPr>
    </w:p>
    <w:p>
      <w:pPr>
        <w:jc w:val="both"/>
        <w:ind w:left="1140" w:hanging="383"/>
        <w:spacing w:after="0" w:line="258" w:lineRule="auto"/>
        <w:tabs>
          <w:tab w:leader="none" w:pos="114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first trade under the trading plan for directors and officers (as defined in Rule 16a-1(f) of the Securities Exchange Act of 1934) may not occur until after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 The first trade under the trading plan for all other persons may not occur until after 30 calendar days after adoption of the trading plan.</w:t>
      </w:r>
    </w:p>
    <w:p>
      <w:pPr>
        <w:spacing w:after="0" w:line="181" w:lineRule="exact"/>
        <w:rPr>
          <w:rFonts w:ascii="Arial" w:cs="Arial" w:eastAsia="Arial" w:hAnsi="Arial"/>
          <w:sz w:val="19"/>
          <w:szCs w:val="19"/>
          <w:color w:val="auto"/>
        </w:rPr>
      </w:pPr>
    </w:p>
    <w:p>
      <w:pPr>
        <w:ind w:left="1140" w:hanging="383"/>
        <w:spacing w:after="0"/>
        <w:tabs>
          <w:tab w:leader="none" w:pos="114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trading plan must have a minimum term of one year (starting from the date of adoption of the trading plan).</w:t>
      </w:r>
    </w:p>
    <w:p>
      <w:pPr>
        <w:spacing w:after="0" w:line="214" w:lineRule="exact"/>
        <w:rPr>
          <w:rFonts w:ascii="Arial" w:cs="Arial" w:eastAsia="Arial" w:hAnsi="Arial"/>
          <w:sz w:val="20"/>
          <w:szCs w:val="20"/>
          <w:color w:val="auto"/>
        </w:rPr>
      </w:pPr>
    </w:p>
    <w:p>
      <w:pPr>
        <w:ind w:left="1140" w:hanging="383"/>
        <w:spacing w:after="0" w:line="260" w:lineRule="auto"/>
        <w:tabs>
          <w:tab w:leader="none" w:pos="114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All transactions during the term of the trading plan (except for the “</w:t>
      </w:r>
      <w:r>
        <w:rPr>
          <w:rFonts w:ascii="Arial" w:cs="Arial" w:eastAsia="Arial" w:hAnsi="Arial"/>
          <w:sz w:val="20"/>
          <w:szCs w:val="20"/>
          <w:i w:val="1"/>
          <w:iCs w:val="1"/>
          <w:color w:val="auto"/>
        </w:rPr>
        <w:t>Exceptions to Trading Restrictions</w:t>
      </w:r>
      <w:r>
        <w:rPr>
          <w:rFonts w:ascii="Arial" w:cs="Arial" w:eastAsia="Arial" w:hAnsi="Arial"/>
          <w:sz w:val="20"/>
          <w:szCs w:val="20"/>
          <w:color w:val="auto"/>
        </w:rPr>
        <w:t xml:space="preserve">” identified in the Policy and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gifts) must be conducted through the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ind w:left="10260"/>
        <w:spacing w:after="0"/>
        <w:rPr>
          <w:sz w:val="20"/>
          <w:szCs w:val="20"/>
          <w:color w:val="auto"/>
        </w:rPr>
      </w:pPr>
      <w:r>
        <w:rPr>
          <w:rFonts w:ascii="Arial" w:cs="Arial" w:eastAsia="Arial" w:hAnsi="Arial"/>
          <w:sz w:val="18"/>
          <w:szCs w:val="18"/>
          <w:color w:val="auto"/>
        </w:rPr>
        <w:t>Exhibit 20.1</w:t>
      </w:r>
    </w:p>
    <w:p>
      <w:pPr>
        <w:spacing w:after="0" w:line="239" w:lineRule="exact"/>
        <w:rPr>
          <w:sz w:val="20"/>
          <w:szCs w:val="20"/>
          <w:color w:val="auto"/>
        </w:rPr>
      </w:pPr>
    </w:p>
    <w:p>
      <w:pPr>
        <w:jc w:val="both"/>
        <w:ind w:left="1140"/>
        <w:spacing w:after="0" w:line="260" w:lineRule="auto"/>
        <w:rPr>
          <w:sz w:val="20"/>
          <w:szCs w:val="20"/>
          <w:color w:val="auto"/>
        </w:rPr>
      </w:pPr>
      <w:r>
        <w:rPr>
          <w:rFonts w:ascii="Arial" w:cs="Arial" w:eastAsia="Arial" w:hAnsi="Arial"/>
          <w:sz w:val="20"/>
          <w:szCs w:val="20"/>
          <w:color w:val="auto"/>
        </w:rPr>
        <w:t>plan. In addition, the person adopting the trading plan may not have an outstanding trading plan (and may not subsequently enter into any additional trading plan) except as permitted by Rule 10b5-1.</w:t>
      </w:r>
    </w:p>
    <w:p>
      <w:pPr>
        <w:spacing w:after="0" w:line="176" w:lineRule="exact"/>
        <w:rPr>
          <w:sz w:val="20"/>
          <w:szCs w:val="20"/>
          <w:color w:val="auto"/>
        </w:rPr>
      </w:pPr>
    </w:p>
    <w:p>
      <w:pPr>
        <w:jc w:val="both"/>
        <w:ind w:left="1140" w:hanging="383"/>
        <w:spacing w:after="0" w:line="249" w:lineRule="auto"/>
        <w:tabs>
          <w:tab w:leader="none" w:pos="11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Any modification or change to the amount, price or timing of transactions under the trading plan is deemed the termination of the trading plan, and the adoption of a new trading plan (“</w:t>
      </w:r>
      <w:r>
        <w:rPr>
          <w:rFonts w:ascii="Arial" w:cs="Arial" w:eastAsia="Arial" w:hAnsi="Arial"/>
          <w:sz w:val="20"/>
          <w:szCs w:val="20"/>
          <w:b w:val="1"/>
          <w:bCs w:val="1"/>
          <w:color w:val="auto"/>
        </w:rPr>
        <w:t>Modification</w:t>
      </w:r>
      <w:r>
        <w:rPr>
          <w:rFonts w:ascii="Arial" w:cs="Arial" w:eastAsia="Arial" w:hAnsi="Arial"/>
          <w:sz w:val="20"/>
          <w:szCs w:val="20"/>
          <w:color w:val="auto"/>
        </w:rPr>
        <w:t>”). Therefore, a Modification is subject to the same conditions as a new trading plan as set forth in Sections 1 through 8 herein.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ind w:left="1140" w:hanging="383"/>
        <w:spacing w:after="0" w:line="260" w:lineRule="auto"/>
        <w:tabs>
          <w:tab w:leader="none" w:pos="11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Within the one year preceding the adoption or a Modification of a trading plan, a person may not have otherwise adopted or done a Modification to a plan more than once.</w:t>
      </w:r>
    </w:p>
    <w:p>
      <w:pPr>
        <w:spacing w:after="0" w:line="175" w:lineRule="exact"/>
        <w:rPr>
          <w:rFonts w:ascii="Arial" w:cs="Arial" w:eastAsia="Arial" w:hAnsi="Arial"/>
          <w:sz w:val="20"/>
          <w:szCs w:val="20"/>
          <w:color w:val="auto"/>
        </w:rPr>
      </w:pPr>
    </w:p>
    <w:p>
      <w:pPr>
        <w:ind w:left="1140" w:right="20" w:hanging="383"/>
        <w:spacing w:after="0" w:line="260" w:lineRule="auto"/>
        <w:tabs>
          <w:tab w:leader="none" w:pos="11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 person may adopt a trading plan designed to cover a single trade only once in any consecutive 12-month period except as permitted by Rule 10b5-1.</w:t>
      </w:r>
    </w:p>
    <w:p>
      <w:pPr>
        <w:spacing w:after="0" w:line="175" w:lineRule="exact"/>
        <w:rPr>
          <w:rFonts w:ascii="Arial" w:cs="Arial" w:eastAsia="Arial" w:hAnsi="Arial"/>
          <w:sz w:val="20"/>
          <w:szCs w:val="20"/>
          <w:color w:val="auto"/>
        </w:rPr>
      </w:pPr>
    </w:p>
    <w:p>
      <w:pPr>
        <w:jc w:val="both"/>
        <w:ind w:left="1140" w:hanging="383"/>
        <w:spacing w:after="0" w:line="249" w:lineRule="auto"/>
        <w:tabs>
          <w:tab w:leader="none" w:pos="11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If the person that adopted the trading plan terminates the plan prior to its stated duration, he or she may not trade in the Company’s securities until after the expiration of 30 calendar days following termination, and then only in accordance with the Policy.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jc w:val="right"/>
              <w:spacing w:after="0"/>
              <w:rPr>
                <w:sz w:val="20"/>
                <w:szCs w:val="20"/>
                <w:color w:val="auto"/>
              </w:rPr>
            </w:pPr>
            <w:r>
              <w:rPr>
                <w:rFonts w:ascii="Arial" w:cs="Arial" w:eastAsia="Arial" w:hAnsi="Arial"/>
                <w:sz w:val="20"/>
                <w:szCs w:val="20"/>
                <w:color w:val="auto"/>
              </w:rPr>
              <w:t>13.</w:t>
            </w:r>
          </w:p>
        </w:tc>
        <w:tc>
          <w:tcPr>
            <w:tcW w:w="7900" w:type="dxa"/>
            <w:vAlign w:val="bottom"/>
          </w:tcPr>
          <w:p>
            <w:pPr>
              <w:ind w:left="80"/>
              <w:spacing w:after="0"/>
              <w:rPr>
                <w:sz w:val="20"/>
                <w:szCs w:val="20"/>
                <w:color w:val="auto"/>
              </w:rPr>
            </w:pPr>
            <w:r>
              <w:rPr>
                <w:rFonts w:ascii="Arial" w:cs="Arial" w:eastAsia="Arial" w:hAnsi="Arial"/>
                <w:sz w:val="20"/>
                <w:szCs w:val="20"/>
                <w:color w:val="auto"/>
                <w:w w:val="94"/>
              </w:rPr>
              <w:t>The Company must be promptly notified of any Modification or termination of the trading plan,</w:t>
            </w:r>
          </w:p>
        </w:tc>
        <w:tc>
          <w:tcPr>
            <w:tcW w:w="2200" w:type="dxa"/>
            <w:vAlign w:val="bottom"/>
          </w:tcPr>
          <w:p>
            <w:pPr>
              <w:ind w:left="80"/>
              <w:spacing w:after="0"/>
              <w:rPr>
                <w:sz w:val="20"/>
                <w:szCs w:val="20"/>
                <w:color w:val="auto"/>
              </w:rPr>
            </w:pPr>
            <w:r>
              <w:rPr>
                <w:rFonts w:ascii="Arial" w:cs="Arial" w:eastAsia="Arial" w:hAnsi="Arial"/>
                <w:sz w:val="20"/>
                <w:szCs w:val="20"/>
                <w:color w:val="auto"/>
                <w:w w:val="93"/>
              </w:rPr>
              <w:t>including any suspension</w:t>
            </w:r>
          </w:p>
        </w:tc>
      </w:tr>
      <w:tr>
        <w:trPr>
          <w:trHeight w:val="250"/>
        </w:trPr>
        <w:tc>
          <w:tcPr>
            <w:tcW w:w="8980" w:type="dxa"/>
            <w:vAlign w:val="bottom"/>
            <w:gridSpan w:val="2"/>
          </w:tcPr>
          <w:p>
            <w:pPr>
              <w:spacing w:after="0"/>
              <w:rPr>
                <w:sz w:val="20"/>
                <w:szCs w:val="20"/>
                <w:color w:val="auto"/>
              </w:rPr>
            </w:pPr>
            <w:r>
              <w:rPr>
                <w:rFonts w:ascii="Arial" w:cs="Arial" w:eastAsia="Arial" w:hAnsi="Arial"/>
                <w:sz w:val="20"/>
                <w:szCs w:val="20"/>
                <w:color w:val="auto"/>
              </w:rPr>
              <w:t>of trading under the trading plan.</w:t>
            </w:r>
          </w:p>
        </w:tc>
        <w:tc>
          <w:tcPr>
            <w:tcW w:w="2200" w:type="dxa"/>
            <w:vAlign w:val="bottom"/>
          </w:tcPr>
          <w:p>
            <w:pPr>
              <w:spacing w:after="0"/>
              <w:rPr>
                <w:sz w:val="21"/>
                <w:szCs w:val="21"/>
                <w:color w:val="auto"/>
              </w:rPr>
            </w:pPr>
          </w:p>
        </w:tc>
      </w:tr>
      <w:tr>
        <w:trPr>
          <w:trHeight w:val="445"/>
        </w:trPr>
        <w:tc>
          <w:tcPr>
            <w:tcW w:w="1080" w:type="dxa"/>
            <w:vAlign w:val="bottom"/>
          </w:tcPr>
          <w:p>
            <w:pPr>
              <w:jc w:val="right"/>
              <w:spacing w:after="0"/>
              <w:rPr>
                <w:sz w:val="20"/>
                <w:szCs w:val="20"/>
                <w:color w:val="auto"/>
              </w:rPr>
            </w:pPr>
            <w:r>
              <w:rPr>
                <w:rFonts w:ascii="Arial" w:cs="Arial" w:eastAsia="Arial" w:hAnsi="Arial"/>
                <w:sz w:val="20"/>
                <w:szCs w:val="20"/>
                <w:color w:val="auto"/>
              </w:rPr>
              <w:t>14.</w:t>
            </w:r>
          </w:p>
        </w:tc>
        <w:tc>
          <w:tcPr>
            <w:tcW w:w="7900" w:type="dxa"/>
            <w:vAlign w:val="bottom"/>
          </w:tcPr>
          <w:p>
            <w:pPr>
              <w:ind w:left="80"/>
              <w:spacing w:after="0"/>
              <w:rPr>
                <w:sz w:val="20"/>
                <w:szCs w:val="20"/>
                <w:color w:val="auto"/>
              </w:rPr>
            </w:pPr>
            <w:r>
              <w:rPr>
                <w:rFonts w:ascii="Arial" w:cs="Arial" w:eastAsia="Arial" w:hAnsi="Arial"/>
                <w:sz w:val="20"/>
                <w:szCs w:val="20"/>
                <w:color w:val="auto"/>
                <w:w w:val="93"/>
              </w:rPr>
              <w:t>The Company must have authority to require the suspension or cancellation of the trading plan</w:t>
            </w:r>
          </w:p>
        </w:tc>
        <w:tc>
          <w:tcPr>
            <w:tcW w:w="2200" w:type="dxa"/>
            <w:vAlign w:val="bottom"/>
          </w:tcPr>
          <w:p>
            <w:pPr>
              <w:ind w:left="80"/>
              <w:spacing w:after="0"/>
              <w:rPr>
                <w:sz w:val="20"/>
                <w:szCs w:val="20"/>
                <w:color w:val="auto"/>
              </w:rPr>
            </w:pPr>
            <w:r>
              <w:rPr>
                <w:rFonts w:ascii="Arial" w:cs="Arial" w:eastAsia="Arial" w:hAnsi="Arial"/>
                <w:sz w:val="20"/>
                <w:szCs w:val="20"/>
                <w:color w:val="auto"/>
              </w:rPr>
              <w:t>at any time.</w:t>
            </w:r>
          </w:p>
        </w:tc>
      </w:tr>
      <w:tr>
        <w:trPr>
          <w:trHeight w:val="424"/>
        </w:trPr>
        <w:tc>
          <w:tcPr>
            <w:tcW w:w="1080" w:type="dxa"/>
            <w:vAlign w:val="bottom"/>
          </w:tcPr>
          <w:p>
            <w:pPr>
              <w:jc w:val="right"/>
              <w:spacing w:after="0"/>
              <w:rPr>
                <w:sz w:val="20"/>
                <w:szCs w:val="20"/>
                <w:color w:val="auto"/>
              </w:rPr>
            </w:pPr>
            <w:r>
              <w:rPr>
                <w:rFonts w:ascii="Arial" w:cs="Arial" w:eastAsia="Arial" w:hAnsi="Arial"/>
                <w:sz w:val="20"/>
                <w:szCs w:val="20"/>
                <w:color w:val="auto"/>
              </w:rPr>
              <w:t>15.</w:t>
            </w:r>
          </w:p>
        </w:tc>
        <w:tc>
          <w:tcPr>
            <w:tcW w:w="10100" w:type="dxa"/>
            <w:vAlign w:val="bottom"/>
            <w:gridSpan w:val="2"/>
          </w:tcPr>
          <w:p>
            <w:pPr>
              <w:ind w:left="80"/>
              <w:spacing w:after="0"/>
              <w:rPr>
                <w:sz w:val="20"/>
                <w:szCs w:val="20"/>
                <w:color w:val="auto"/>
              </w:rPr>
            </w:pPr>
            <w:r>
              <w:rPr>
                <w:rFonts w:ascii="Arial" w:cs="Arial" w:eastAsia="Arial" w:hAnsi="Arial"/>
                <w:sz w:val="20"/>
                <w:szCs w:val="20"/>
                <w:color w:val="auto"/>
                <w:w w:val="90"/>
              </w:rPr>
              <w:t>If the trading plan grants discretion to a stockbroker or other person with respect to the  execution of trades under the trading</w:t>
            </w: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rPr>
              <w:t>plan:</w:t>
            </w:r>
          </w:p>
        </w:tc>
        <w:tc>
          <w:tcPr>
            <w:tcW w:w="7900" w:type="dxa"/>
            <w:vAlign w:val="bottom"/>
          </w:tcPr>
          <w:p>
            <w:pPr>
              <w:spacing w:after="0"/>
              <w:rPr>
                <w:sz w:val="21"/>
                <w:szCs w:val="21"/>
                <w:color w:val="auto"/>
              </w:rPr>
            </w:pPr>
          </w:p>
        </w:tc>
        <w:tc>
          <w:tcPr>
            <w:tcW w:w="2200" w:type="dxa"/>
            <w:vAlign w:val="bottom"/>
          </w:tcPr>
          <w:p>
            <w:pPr>
              <w:spacing w:after="0"/>
              <w:rPr>
                <w:sz w:val="21"/>
                <w:szCs w:val="21"/>
                <w:color w:val="auto"/>
              </w:rPr>
            </w:pPr>
          </w:p>
        </w:tc>
      </w:tr>
    </w:tbl>
    <w:p>
      <w:pPr>
        <w:spacing w:after="0" w:line="195" w:lineRule="exact"/>
        <w:rPr>
          <w:sz w:val="20"/>
          <w:szCs w:val="20"/>
          <w:color w:val="auto"/>
        </w:rPr>
      </w:pPr>
    </w:p>
    <w:p>
      <w:pPr>
        <w:ind w:left="1880" w:hanging="749"/>
        <w:spacing w:after="0" w:line="260" w:lineRule="auto"/>
        <w:tabs>
          <w:tab w:leader="none" w:pos="188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trades made under the trading plan must be executed by someone other than the stockbroker or other person that executes trades in other securities for the person adopting the trading plan;</w:t>
      </w:r>
    </w:p>
    <w:p>
      <w:pPr>
        <w:spacing w:after="0" w:line="175" w:lineRule="exact"/>
        <w:rPr>
          <w:rFonts w:ascii="Arial" w:cs="Arial" w:eastAsia="Arial" w:hAnsi="Arial"/>
          <w:sz w:val="20"/>
          <w:szCs w:val="20"/>
          <w:color w:val="auto"/>
        </w:rPr>
      </w:pPr>
    </w:p>
    <w:p>
      <w:pPr>
        <w:ind w:left="1880" w:hanging="749"/>
        <w:spacing w:after="0" w:line="260" w:lineRule="auto"/>
        <w:tabs>
          <w:tab w:leader="none" w:pos="188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the person adopting the trading plan may not confer with the person administering the trading plan regarding the Company or its securities; and</w:t>
      </w:r>
    </w:p>
    <w:p>
      <w:pPr>
        <w:spacing w:after="0" w:line="175" w:lineRule="exact"/>
        <w:rPr>
          <w:rFonts w:ascii="Arial" w:cs="Arial" w:eastAsia="Arial" w:hAnsi="Arial"/>
          <w:sz w:val="20"/>
          <w:szCs w:val="20"/>
          <w:color w:val="auto"/>
        </w:rPr>
      </w:pPr>
    </w:p>
    <w:p>
      <w:pPr>
        <w:ind w:left="1880" w:hanging="749"/>
        <w:spacing w:after="0" w:line="260" w:lineRule="auto"/>
        <w:tabs>
          <w:tab w:leader="none" w:pos="188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the person administering the trading plan must provide prompt notice to the Company of the execution of a transaction pursuant to the plan.</w:t>
      </w:r>
    </w:p>
    <w:p>
      <w:pPr>
        <w:spacing w:after="0" w:line="175" w:lineRule="exact"/>
        <w:rPr>
          <w:rFonts w:ascii="Arial" w:cs="Arial" w:eastAsia="Arial" w:hAnsi="Arial"/>
          <w:sz w:val="20"/>
          <w:szCs w:val="20"/>
          <w:color w:val="auto"/>
        </w:rPr>
      </w:pPr>
    </w:p>
    <w:p>
      <w:pPr>
        <w:ind w:left="1140" w:hanging="383"/>
        <w:spacing w:after="0"/>
        <w:tabs>
          <w:tab w:leader="none" w:pos="114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All transactions under the trading plan must be in accordance with applicable law.</w:t>
      </w:r>
    </w:p>
    <w:p>
      <w:pPr>
        <w:spacing w:after="0" w:line="214" w:lineRule="exact"/>
        <w:rPr>
          <w:rFonts w:ascii="Arial" w:cs="Arial" w:eastAsia="Arial" w:hAnsi="Arial"/>
          <w:sz w:val="20"/>
          <w:szCs w:val="20"/>
          <w:color w:val="auto"/>
        </w:rPr>
      </w:pPr>
    </w:p>
    <w:p>
      <w:pPr>
        <w:ind w:left="1140" w:hanging="383"/>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trading plan (including any Modification) must meet such other requirements as the Compliance Officer may determine.</w:t>
      </w:r>
    </w:p>
    <w:p>
      <w:pPr>
        <w:spacing w:after="0" w:line="231" w:lineRule="exact"/>
        <w:rPr>
          <w:rFonts w:ascii="Arial" w:cs="Arial" w:eastAsia="Arial" w:hAnsi="Arial"/>
          <w:sz w:val="18"/>
          <w:szCs w:val="18"/>
          <w:color w:val="auto"/>
        </w:rPr>
      </w:pPr>
    </w:p>
    <w:p>
      <w:pPr>
        <w:jc w:val="both"/>
        <w:ind w:left="1140" w:right="20" w:hanging="383"/>
        <w:spacing w:after="0" w:line="248" w:lineRule="auto"/>
        <w:tabs>
          <w:tab w:leader="none" w:pos="114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Any trading plans adopted or modified prior to February 27, 2023 (the “</w:t>
      </w:r>
      <w:r>
        <w:rPr>
          <w:rFonts w:ascii="Arial" w:cs="Arial" w:eastAsia="Arial" w:hAnsi="Arial"/>
          <w:sz w:val="20"/>
          <w:szCs w:val="20"/>
          <w:b w:val="1"/>
          <w:bCs w:val="1"/>
          <w:color w:val="auto"/>
        </w:rPr>
        <w:t>Effective Date</w:t>
      </w:r>
      <w:r>
        <w:rPr>
          <w:rFonts w:ascii="Arial" w:cs="Arial" w:eastAsia="Arial" w:hAnsi="Arial"/>
          <w:sz w:val="20"/>
          <w:szCs w:val="20"/>
          <w:color w:val="auto"/>
        </w:rPr>
        <w:t>”) are permitted to continue in place until all trades are executed thereunder or they expire by their terms (“</w:t>
      </w:r>
      <w:r>
        <w:rPr>
          <w:rFonts w:ascii="Arial" w:cs="Arial" w:eastAsia="Arial" w:hAnsi="Arial"/>
          <w:sz w:val="20"/>
          <w:szCs w:val="20"/>
          <w:b w:val="1"/>
          <w:bCs w:val="1"/>
          <w:color w:val="auto"/>
        </w:rPr>
        <w:t>Grandfathered Plans</w:t>
      </w:r>
      <w:r>
        <w:rPr>
          <w:rFonts w:ascii="Arial" w:cs="Arial" w:eastAsia="Arial" w:hAnsi="Arial"/>
          <w:sz w:val="20"/>
          <w:szCs w:val="20"/>
          <w:color w:val="auto"/>
        </w:rPr>
        <w:t>”). If the person undertakes a Modification of a Grandfathered Plan on or after the Effective Date, then the Modification must meet all of the requirements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720" w:type="dxa"/>
            <w:vAlign w:val="bottom"/>
            <w:gridSpan w:val="2"/>
          </w:tcPr>
          <w:p>
            <w:pPr>
              <w:ind w:left="3720"/>
              <w:spacing w:after="0"/>
              <w:rPr>
                <w:sz w:val="20"/>
                <w:szCs w:val="20"/>
                <w:color w:val="auto"/>
              </w:rPr>
            </w:pPr>
            <w:r>
              <w:rPr>
                <w:rFonts w:ascii="Arial" w:cs="Arial" w:eastAsia="Arial" w:hAnsi="Arial"/>
                <w:sz w:val="18"/>
                <w:szCs w:val="18"/>
                <w:b w:val="1"/>
                <w:bCs w:val="1"/>
                <w:color w:val="auto"/>
                <w:w w:val="97"/>
              </w:rPr>
              <w:t>Exhibit 21.1</w:t>
            </w:r>
          </w:p>
        </w:tc>
      </w:tr>
      <w:tr>
        <w:trPr>
          <w:trHeight w:val="418"/>
        </w:trPr>
        <w:tc>
          <w:tcPr>
            <w:tcW w:w="2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40" w:type="dxa"/>
            <w:vAlign w:val="bottom"/>
            <w:gridSpan w:val="3"/>
          </w:tcPr>
          <w:p>
            <w:pPr>
              <w:ind w:left="240"/>
              <w:spacing w:after="0"/>
              <w:rPr>
                <w:sz w:val="20"/>
                <w:szCs w:val="20"/>
                <w:color w:val="auto"/>
              </w:rPr>
            </w:pPr>
            <w:r>
              <w:rPr>
                <w:rFonts w:ascii="Arial" w:cs="Arial" w:eastAsia="Arial" w:hAnsi="Arial"/>
                <w:sz w:val="18"/>
                <w:szCs w:val="18"/>
                <w:b w:val="1"/>
                <w:bCs w:val="1"/>
                <w:color w:val="auto"/>
              </w:rPr>
              <w:t>SUBSIDIARIES OF PAYMENTUS HOLDINGS, INC.</w:t>
            </w:r>
          </w:p>
        </w:tc>
      </w:tr>
      <w:tr>
        <w:trPr>
          <w:trHeight w:val="377"/>
        </w:trPr>
        <w:tc>
          <w:tcPr>
            <w:tcW w:w="3200" w:type="dxa"/>
            <w:vAlign w:val="bottom"/>
            <w:gridSpan w:val="3"/>
          </w:tcPr>
          <w:p>
            <w:pPr>
              <w:ind w:left="2480"/>
              <w:spacing w:after="0"/>
              <w:rPr>
                <w:sz w:val="20"/>
                <w:szCs w:val="20"/>
                <w:color w:val="auto"/>
              </w:rPr>
            </w:pPr>
            <w:r>
              <w:rPr>
                <w:rFonts w:ascii="Arial" w:cs="Arial" w:eastAsia="Arial" w:hAnsi="Arial"/>
                <w:sz w:val="18"/>
                <w:szCs w:val="18"/>
                <w:b w:val="1"/>
                <w:bCs w:val="1"/>
                <w:color w:val="auto"/>
              </w:rPr>
              <w:t>Name</w:t>
            </w:r>
          </w:p>
        </w:tc>
        <w:tc>
          <w:tcPr>
            <w:tcW w:w="7940" w:type="dxa"/>
            <w:vAlign w:val="bottom"/>
            <w:gridSpan w:val="3"/>
          </w:tcPr>
          <w:p>
            <w:pPr>
              <w:jc w:val="center"/>
              <w:ind w:left="2230"/>
              <w:spacing w:after="0"/>
              <w:rPr>
                <w:sz w:val="20"/>
                <w:szCs w:val="20"/>
                <w:color w:val="auto"/>
              </w:rPr>
            </w:pPr>
            <w:r>
              <w:rPr>
                <w:rFonts w:ascii="Arial" w:cs="Arial" w:eastAsia="Arial" w:hAnsi="Arial"/>
                <w:sz w:val="18"/>
                <w:szCs w:val="18"/>
                <w:b w:val="1"/>
                <w:bCs w:val="1"/>
                <w:color w:val="auto"/>
                <w:w w:val="99"/>
              </w:rPr>
              <w:t>Jurisdiction of Incorporation or Organization</w:t>
            </w:r>
          </w:p>
        </w:tc>
      </w:tr>
      <w:tr>
        <w:trPr>
          <w:trHeight w:val="250"/>
        </w:trPr>
        <w:tc>
          <w:tcPr>
            <w:tcW w:w="2480" w:type="dxa"/>
            <w:vAlign w:val="bottom"/>
          </w:tcPr>
          <w:p>
            <w:pPr>
              <w:spacing w:after="0"/>
              <w:rPr>
                <w:sz w:val="20"/>
                <w:szCs w:val="20"/>
                <w:color w:val="auto"/>
              </w:rPr>
            </w:pPr>
            <w:r>
              <w:rPr>
                <w:rFonts w:ascii="Arial" w:cs="Arial" w:eastAsia="Arial" w:hAnsi="Arial"/>
                <w:sz w:val="18"/>
                <w:szCs w:val="18"/>
                <w:color w:val="auto"/>
              </w:rPr>
              <w:t>Paymentus Group, Inc. (1)</w:t>
            </w:r>
          </w:p>
        </w:tc>
        <w:tc>
          <w:tcPr>
            <w:tcW w:w="4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900" w:type="dxa"/>
            <w:vAlign w:val="bottom"/>
          </w:tcPr>
          <w:p>
            <w:pPr>
              <w:spacing w:after="0"/>
              <w:rPr>
                <w:sz w:val="21"/>
                <w:szCs w:val="21"/>
                <w:color w:val="auto"/>
              </w:rPr>
            </w:pPr>
          </w:p>
        </w:tc>
      </w:tr>
      <w:tr>
        <w:trPr>
          <w:trHeight w:val="243"/>
        </w:trPr>
        <w:tc>
          <w:tcPr>
            <w:tcW w:w="3200" w:type="dxa"/>
            <w:vAlign w:val="bottom"/>
            <w:gridSpan w:val="3"/>
          </w:tcPr>
          <w:p>
            <w:pPr>
              <w:spacing w:after="0"/>
              <w:rPr>
                <w:sz w:val="20"/>
                <w:szCs w:val="20"/>
                <w:color w:val="auto"/>
              </w:rPr>
            </w:pPr>
            <w:r>
              <w:rPr>
                <w:rFonts w:ascii="Arial" w:cs="Arial" w:eastAsia="Arial" w:hAnsi="Arial"/>
                <w:sz w:val="18"/>
                <w:szCs w:val="18"/>
                <w:color w:val="auto"/>
              </w:rPr>
              <w:t>Paymentus Acquisition Corp. (2)</w:t>
            </w:r>
          </w:p>
        </w:tc>
        <w:tc>
          <w:tcPr>
            <w:tcW w:w="3220" w:type="dxa"/>
            <w:vAlign w:val="bottom"/>
          </w:tcPr>
          <w:p>
            <w:pPr>
              <w:spacing w:after="0"/>
              <w:rPr>
                <w:sz w:val="21"/>
                <w:szCs w:val="21"/>
                <w:color w:val="auto"/>
              </w:rPr>
            </w:pPr>
          </w:p>
        </w:tc>
        <w:tc>
          <w:tcPr>
            <w:tcW w:w="472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Delaware</w:t>
            </w:r>
          </w:p>
        </w:tc>
      </w:tr>
      <w:tr>
        <w:trPr>
          <w:trHeight w:val="229"/>
        </w:trPr>
        <w:tc>
          <w:tcPr>
            <w:tcW w:w="3200" w:type="dxa"/>
            <w:vAlign w:val="bottom"/>
            <w:gridSpan w:val="3"/>
          </w:tcPr>
          <w:p>
            <w:pPr>
              <w:spacing w:after="0"/>
              <w:rPr>
                <w:sz w:val="20"/>
                <w:szCs w:val="20"/>
                <w:color w:val="auto"/>
              </w:rPr>
            </w:pPr>
            <w:r>
              <w:rPr>
                <w:rFonts w:ascii="Arial" w:cs="Arial" w:eastAsia="Arial" w:hAnsi="Arial"/>
                <w:sz w:val="18"/>
                <w:szCs w:val="18"/>
                <w:color w:val="auto"/>
              </w:rPr>
              <w:t>Paymentus (Canada) Corporation (3)</w:t>
            </w:r>
          </w:p>
        </w:tc>
        <w:tc>
          <w:tcPr>
            <w:tcW w:w="3220" w:type="dxa"/>
            <w:vAlign w:val="bottom"/>
          </w:tcPr>
          <w:p>
            <w:pPr>
              <w:spacing w:after="0"/>
              <w:rPr>
                <w:sz w:val="19"/>
                <w:szCs w:val="19"/>
                <w:color w:val="auto"/>
              </w:rPr>
            </w:pPr>
          </w:p>
        </w:tc>
        <w:tc>
          <w:tcPr>
            <w:tcW w:w="4720" w:type="dxa"/>
            <w:vAlign w:val="bottom"/>
            <w:gridSpan w:val="2"/>
          </w:tcPr>
          <w:p>
            <w:pPr>
              <w:jc w:val="center"/>
              <w:ind w:right="900"/>
              <w:spacing w:after="0"/>
              <w:rPr>
                <w:sz w:val="20"/>
                <w:szCs w:val="20"/>
                <w:color w:val="auto"/>
              </w:rPr>
            </w:pPr>
            <w:r>
              <w:rPr>
                <w:rFonts w:ascii="Arial" w:cs="Arial" w:eastAsia="Arial" w:hAnsi="Arial"/>
                <w:sz w:val="18"/>
                <w:szCs w:val="18"/>
                <w:color w:val="auto"/>
                <w:w w:val="99"/>
              </w:rPr>
              <w:t>Nova Scotia, Canada</w:t>
            </w:r>
          </w:p>
        </w:tc>
      </w:tr>
      <w:tr>
        <w:trPr>
          <w:trHeight w:val="229"/>
        </w:trPr>
        <w:tc>
          <w:tcPr>
            <w:tcW w:w="3200" w:type="dxa"/>
            <w:vAlign w:val="bottom"/>
            <w:gridSpan w:val="3"/>
          </w:tcPr>
          <w:p>
            <w:pPr>
              <w:spacing w:after="0"/>
              <w:rPr>
                <w:sz w:val="20"/>
                <w:szCs w:val="20"/>
                <w:color w:val="auto"/>
              </w:rPr>
            </w:pPr>
            <w:r>
              <w:rPr>
                <w:rFonts w:ascii="Arial" w:cs="Arial" w:eastAsia="Arial" w:hAnsi="Arial"/>
                <w:sz w:val="18"/>
                <w:szCs w:val="18"/>
                <w:color w:val="auto"/>
              </w:rPr>
              <w:t>Paymentus Corporation (2)</w:t>
            </w:r>
          </w:p>
        </w:tc>
        <w:tc>
          <w:tcPr>
            <w:tcW w:w="3220" w:type="dxa"/>
            <w:vAlign w:val="bottom"/>
          </w:tcPr>
          <w:p>
            <w:pPr>
              <w:spacing w:after="0"/>
              <w:rPr>
                <w:sz w:val="19"/>
                <w:szCs w:val="19"/>
                <w:color w:val="auto"/>
              </w:rPr>
            </w:pPr>
          </w:p>
        </w:tc>
        <w:tc>
          <w:tcPr>
            <w:tcW w:w="472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Delaware</w:t>
            </w:r>
          </w:p>
        </w:tc>
      </w:tr>
      <w:tr>
        <w:trPr>
          <w:trHeight w:val="229"/>
        </w:trPr>
        <w:tc>
          <w:tcPr>
            <w:tcW w:w="3200" w:type="dxa"/>
            <w:vAlign w:val="bottom"/>
            <w:gridSpan w:val="3"/>
          </w:tcPr>
          <w:p>
            <w:pPr>
              <w:spacing w:after="0"/>
              <w:rPr>
                <w:sz w:val="20"/>
                <w:szCs w:val="20"/>
                <w:color w:val="auto"/>
              </w:rPr>
            </w:pPr>
            <w:r>
              <w:rPr>
                <w:rFonts w:ascii="Arial" w:cs="Arial" w:eastAsia="Arial" w:hAnsi="Arial"/>
                <w:sz w:val="18"/>
                <w:szCs w:val="18"/>
                <w:color w:val="auto"/>
              </w:rPr>
              <w:t>Paymentus Financial, LLC (4)</w:t>
            </w:r>
          </w:p>
        </w:tc>
        <w:tc>
          <w:tcPr>
            <w:tcW w:w="3220" w:type="dxa"/>
            <w:vAlign w:val="bottom"/>
          </w:tcPr>
          <w:p>
            <w:pPr>
              <w:spacing w:after="0"/>
              <w:rPr>
                <w:sz w:val="19"/>
                <w:szCs w:val="19"/>
                <w:color w:val="auto"/>
              </w:rPr>
            </w:pPr>
          </w:p>
        </w:tc>
        <w:tc>
          <w:tcPr>
            <w:tcW w:w="472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Delaware</w:t>
            </w:r>
          </w:p>
        </w:tc>
      </w:tr>
      <w:tr>
        <w:trPr>
          <w:trHeight w:val="229"/>
        </w:trPr>
        <w:tc>
          <w:tcPr>
            <w:tcW w:w="3200" w:type="dxa"/>
            <w:vAlign w:val="bottom"/>
            <w:gridSpan w:val="3"/>
          </w:tcPr>
          <w:p>
            <w:pPr>
              <w:spacing w:after="0"/>
              <w:rPr>
                <w:sz w:val="20"/>
                <w:szCs w:val="20"/>
                <w:color w:val="auto"/>
              </w:rPr>
            </w:pPr>
            <w:r>
              <w:rPr>
                <w:rFonts w:ascii="Arial" w:cs="Arial" w:eastAsia="Arial" w:hAnsi="Arial"/>
                <w:sz w:val="18"/>
                <w:szCs w:val="18"/>
                <w:color w:val="auto"/>
              </w:rPr>
              <w:t>Paxcom India Private Limited (2)</w:t>
            </w:r>
          </w:p>
        </w:tc>
        <w:tc>
          <w:tcPr>
            <w:tcW w:w="3220" w:type="dxa"/>
            <w:vAlign w:val="bottom"/>
          </w:tcPr>
          <w:p>
            <w:pPr>
              <w:spacing w:after="0"/>
              <w:rPr>
                <w:sz w:val="19"/>
                <w:szCs w:val="19"/>
                <w:color w:val="auto"/>
              </w:rPr>
            </w:pPr>
          </w:p>
        </w:tc>
        <w:tc>
          <w:tcPr>
            <w:tcW w:w="4720" w:type="dxa"/>
            <w:vAlign w:val="bottom"/>
            <w:gridSpan w:val="2"/>
          </w:tcPr>
          <w:p>
            <w:pPr>
              <w:jc w:val="center"/>
              <w:ind w:right="880"/>
              <w:spacing w:after="0"/>
              <w:rPr>
                <w:sz w:val="20"/>
                <w:szCs w:val="20"/>
                <w:color w:val="auto"/>
              </w:rPr>
            </w:pPr>
            <w:r>
              <w:rPr>
                <w:rFonts w:ascii="Arial" w:cs="Arial" w:eastAsia="Arial" w:hAnsi="Arial"/>
                <w:sz w:val="18"/>
                <w:szCs w:val="18"/>
                <w:color w:val="auto"/>
              </w:rPr>
              <w:t>India</w:t>
            </w:r>
          </w:p>
        </w:tc>
      </w:tr>
      <w:tr>
        <w:trPr>
          <w:trHeight w:val="229"/>
        </w:trPr>
        <w:tc>
          <w:tcPr>
            <w:tcW w:w="3200" w:type="dxa"/>
            <w:vAlign w:val="bottom"/>
            <w:gridSpan w:val="3"/>
          </w:tcPr>
          <w:p>
            <w:pPr>
              <w:spacing w:after="0"/>
              <w:rPr>
                <w:sz w:val="20"/>
                <w:szCs w:val="20"/>
                <w:color w:val="auto"/>
              </w:rPr>
            </w:pPr>
            <w:r>
              <w:rPr>
                <w:rFonts w:ascii="Arial" w:cs="Arial" w:eastAsia="Arial" w:hAnsi="Arial"/>
                <w:sz w:val="18"/>
                <w:szCs w:val="18"/>
                <w:color w:val="auto"/>
              </w:rPr>
              <w:t>PayVeris, LLC (2)</w:t>
            </w:r>
          </w:p>
        </w:tc>
        <w:tc>
          <w:tcPr>
            <w:tcW w:w="3220" w:type="dxa"/>
            <w:vAlign w:val="bottom"/>
          </w:tcPr>
          <w:p>
            <w:pPr>
              <w:spacing w:after="0"/>
              <w:rPr>
                <w:sz w:val="19"/>
                <w:szCs w:val="19"/>
                <w:color w:val="auto"/>
              </w:rPr>
            </w:pPr>
          </w:p>
        </w:tc>
        <w:tc>
          <w:tcPr>
            <w:tcW w:w="472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Delaware</w:t>
            </w:r>
          </w:p>
        </w:tc>
      </w:tr>
      <w:tr>
        <w:trPr>
          <w:trHeight w:val="229"/>
        </w:trPr>
        <w:tc>
          <w:tcPr>
            <w:tcW w:w="3200" w:type="dxa"/>
            <w:vAlign w:val="bottom"/>
            <w:gridSpan w:val="3"/>
          </w:tcPr>
          <w:p>
            <w:pPr>
              <w:spacing w:after="0"/>
              <w:rPr>
                <w:sz w:val="20"/>
                <w:szCs w:val="20"/>
                <w:color w:val="auto"/>
              </w:rPr>
            </w:pPr>
            <w:r>
              <w:rPr>
                <w:rFonts w:ascii="Arial" w:cs="Arial" w:eastAsia="Arial" w:hAnsi="Arial"/>
                <w:sz w:val="18"/>
                <w:szCs w:val="18"/>
                <w:color w:val="auto"/>
              </w:rPr>
              <w:t>PROFIT Financial, Inc. (2)</w:t>
            </w:r>
          </w:p>
        </w:tc>
        <w:tc>
          <w:tcPr>
            <w:tcW w:w="3220" w:type="dxa"/>
            <w:vAlign w:val="bottom"/>
          </w:tcPr>
          <w:p>
            <w:pPr>
              <w:spacing w:after="0"/>
              <w:rPr>
                <w:sz w:val="19"/>
                <w:szCs w:val="19"/>
                <w:color w:val="auto"/>
              </w:rPr>
            </w:pPr>
          </w:p>
        </w:tc>
        <w:tc>
          <w:tcPr>
            <w:tcW w:w="472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Delaware</w:t>
            </w:r>
          </w:p>
        </w:tc>
      </w:tr>
      <w:tr>
        <w:trPr>
          <w:trHeight w:val="229"/>
        </w:trPr>
        <w:tc>
          <w:tcPr>
            <w:tcW w:w="3200" w:type="dxa"/>
            <w:vAlign w:val="bottom"/>
            <w:gridSpan w:val="3"/>
          </w:tcPr>
          <w:p>
            <w:pPr>
              <w:spacing w:after="0"/>
              <w:rPr>
                <w:sz w:val="20"/>
                <w:szCs w:val="20"/>
                <w:color w:val="auto"/>
              </w:rPr>
            </w:pPr>
            <w:r>
              <w:rPr>
                <w:rFonts w:ascii="Arial" w:cs="Arial" w:eastAsia="Arial" w:hAnsi="Arial"/>
                <w:sz w:val="18"/>
                <w:szCs w:val="18"/>
                <w:color w:val="auto"/>
              </w:rPr>
              <w:t>Fiport Software India Pvt Ltd (5)</w:t>
            </w:r>
          </w:p>
        </w:tc>
        <w:tc>
          <w:tcPr>
            <w:tcW w:w="3220" w:type="dxa"/>
            <w:vAlign w:val="bottom"/>
          </w:tcPr>
          <w:p>
            <w:pPr>
              <w:spacing w:after="0"/>
              <w:rPr>
                <w:sz w:val="19"/>
                <w:szCs w:val="19"/>
                <w:color w:val="auto"/>
              </w:rPr>
            </w:pPr>
          </w:p>
        </w:tc>
        <w:tc>
          <w:tcPr>
            <w:tcW w:w="4720" w:type="dxa"/>
            <w:vAlign w:val="bottom"/>
            <w:gridSpan w:val="2"/>
          </w:tcPr>
          <w:p>
            <w:pPr>
              <w:jc w:val="center"/>
              <w:ind w:right="880"/>
              <w:spacing w:after="0"/>
              <w:rPr>
                <w:sz w:val="20"/>
                <w:szCs w:val="20"/>
                <w:color w:val="auto"/>
              </w:rPr>
            </w:pPr>
            <w:r>
              <w:rPr>
                <w:rFonts w:ascii="Arial" w:cs="Arial" w:eastAsia="Arial" w:hAnsi="Arial"/>
                <w:sz w:val="18"/>
                <w:szCs w:val="18"/>
                <w:color w:val="auto"/>
              </w:rPr>
              <w:t>India</w:t>
            </w:r>
          </w:p>
        </w:tc>
      </w:tr>
    </w:tbl>
    <w:p>
      <w:pPr>
        <w:spacing w:after="0" w:line="197" w:lineRule="exact"/>
        <w:rPr>
          <w:sz w:val="20"/>
          <w:szCs w:val="20"/>
          <w:color w:val="auto"/>
        </w:rPr>
      </w:pPr>
    </w:p>
    <w:p>
      <w:pPr>
        <w:ind w:left="660" w:hanging="378"/>
        <w:spacing w:after="0"/>
        <w:tabs>
          <w:tab w:leader="none" w:pos="660" w:val="left"/>
        </w:tabs>
        <w:numPr>
          <w:ilvl w:val="0"/>
          <w:numId w:val="117"/>
        </w:numPr>
        <w:rPr>
          <w:rFonts w:ascii="Arial" w:cs="Arial" w:eastAsia="Arial" w:hAnsi="Arial"/>
          <w:sz w:val="18"/>
          <w:szCs w:val="18"/>
          <w:u w:val="single" w:color="auto"/>
          <w:color w:val="auto"/>
        </w:rPr>
      </w:pPr>
      <w:r>
        <w:rPr>
          <w:rFonts w:ascii="Arial" w:cs="Arial" w:eastAsia="Arial" w:hAnsi="Arial"/>
          <w:sz w:val="18"/>
          <w:szCs w:val="18"/>
          <w:color w:val="auto"/>
        </w:rPr>
        <w:t>Wholly owned by Paymentus Holdings, Inc.</w:t>
      </w:r>
    </w:p>
    <w:p>
      <w:pPr>
        <w:ind w:left="660" w:hanging="378"/>
        <w:spacing w:after="0" w:line="234" w:lineRule="auto"/>
        <w:tabs>
          <w:tab w:leader="none" w:pos="660" w:val="left"/>
        </w:tabs>
        <w:numPr>
          <w:ilvl w:val="0"/>
          <w:numId w:val="117"/>
        </w:numPr>
        <w:rPr>
          <w:rFonts w:ascii="Arial" w:cs="Arial" w:eastAsia="Arial" w:hAnsi="Arial"/>
          <w:sz w:val="18"/>
          <w:szCs w:val="18"/>
          <w:u w:val="single" w:color="auto"/>
          <w:color w:val="auto"/>
        </w:rPr>
      </w:pPr>
      <w:r>
        <w:rPr>
          <w:rFonts w:ascii="Arial" w:cs="Arial" w:eastAsia="Arial" w:hAnsi="Arial"/>
          <w:sz w:val="18"/>
          <w:szCs w:val="18"/>
          <w:color w:val="auto"/>
        </w:rPr>
        <w:t>Wholly owned by Paymentus Group, Inc.</w:t>
      </w:r>
    </w:p>
    <w:p>
      <w:pPr>
        <w:ind w:left="660" w:hanging="378"/>
        <w:spacing w:after="0" w:line="234" w:lineRule="auto"/>
        <w:tabs>
          <w:tab w:leader="none" w:pos="660" w:val="left"/>
        </w:tabs>
        <w:numPr>
          <w:ilvl w:val="0"/>
          <w:numId w:val="117"/>
        </w:numPr>
        <w:rPr>
          <w:rFonts w:ascii="Arial" w:cs="Arial" w:eastAsia="Arial" w:hAnsi="Arial"/>
          <w:sz w:val="18"/>
          <w:szCs w:val="18"/>
          <w:u w:val="single" w:color="auto"/>
          <w:color w:val="auto"/>
        </w:rPr>
      </w:pPr>
      <w:r>
        <w:rPr>
          <w:rFonts w:ascii="Arial" w:cs="Arial" w:eastAsia="Arial" w:hAnsi="Arial"/>
          <w:sz w:val="18"/>
          <w:szCs w:val="18"/>
          <w:color w:val="auto"/>
        </w:rPr>
        <w:t>Wholly owned by Paymentus Acquisition Corp.</w:t>
      </w:r>
    </w:p>
    <w:p>
      <w:pPr>
        <w:ind w:left="660" w:hanging="378"/>
        <w:spacing w:after="0" w:line="234" w:lineRule="auto"/>
        <w:tabs>
          <w:tab w:leader="none" w:pos="660" w:val="left"/>
        </w:tabs>
        <w:numPr>
          <w:ilvl w:val="0"/>
          <w:numId w:val="117"/>
        </w:numPr>
        <w:rPr>
          <w:rFonts w:ascii="Arial" w:cs="Arial" w:eastAsia="Arial" w:hAnsi="Arial"/>
          <w:sz w:val="18"/>
          <w:szCs w:val="18"/>
          <w:u w:val="single" w:color="auto"/>
          <w:color w:val="auto"/>
        </w:rPr>
      </w:pPr>
      <w:r>
        <w:rPr>
          <w:rFonts w:ascii="Arial" w:cs="Arial" w:eastAsia="Arial" w:hAnsi="Arial"/>
          <w:sz w:val="18"/>
          <w:szCs w:val="18"/>
          <w:color w:val="auto"/>
        </w:rPr>
        <w:t>Wholly owned by Paymentus Corporation.</w:t>
      </w:r>
    </w:p>
    <w:p>
      <w:pPr>
        <w:ind w:left="660" w:hanging="378"/>
        <w:spacing w:after="0"/>
        <w:tabs>
          <w:tab w:leader="none" w:pos="660" w:val="left"/>
        </w:tabs>
        <w:numPr>
          <w:ilvl w:val="0"/>
          <w:numId w:val="117"/>
        </w:numPr>
        <w:rPr>
          <w:rFonts w:ascii="Arial" w:cs="Arial" w:eastAsia="Arial" w:hAnsi="Arial"/>
          <w:sz w:val="18"/>
          <w:szCs w:val="18"/>
          <w:u w:val="single" w:color="auto"/>
          <w:color w:val="auto"/>
        </w:rPr>
      </w:pPr>
      <w:r>
        <w:rPr>
          <w:rFonts w:ascii="Arial" w:cs="Arial" w:eastAsia="Arial" w:hAnsi="Arial"/>
          <w:sz w:val="18"/>
          <w:szCs w:val="18"/>
          <w:color w:val="auto"/>
        </w:rPr>
        <w:t>Wholly owned by PayVeris,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190500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18"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ind w:right="660"/>
        <w:spacing w:after="0" w:line="307"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333-256505 and 333-263274) of Paymentus Holdings, Inc. of our report dated March 3, 2023, relating to the financial statements, which appears in this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6089015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ind w:left="9200"/>
        <w:spacing w:after="0"/>
        <w:rPr>
          <w:sz w:val="20"/>
          <w:szCs w:val="20"/>
          <w:color w:val="auto"/>
        </w:rPr>
      </w:pPr>
      <w:r>
        <w:rPr>
          <w:rFonts w:ascii="Arial" w:cs="Arial" w:eastAsia="Arial" w:hAnsi="Arial"/>
          <w:sz w:val="16"/>
          <w:szCs w:val="16"/>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361315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52" w:name="page153"/>
    <w:bookmarkEnd w:id="152"/>
    <w:p>
      <w:pPr>
        <w:ind w:left="1030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77"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Dushyant Sharma, certify that:</w:t>
      </w:r>
    </w:p>
    <w:p>
      <w:pPr>
        <w:spacing w:after="0" w:line="221" w:lineRule="exact"/>
        <w:rPr>
          <w:sz w:val="20"/>
          <w:szCs w:val="20"/>
          <w:color w:val="auto"/>
        </w:rPr>
      </w:pPr>
    </w:p>
    <w:p>
      <w:pPr>
        <w:ind w:left="380" w:hanging="372"/>
        <w:spacing w:after="0"/>
        <w:tabs>
          <w:tab w:leader="none" w:pos="3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Paymentus Holdings, Inc.;</w:t>
      </w:r>
    </w:p>
    <w:p>
      <w:pPr>
        <w:spacing w:after="0" w:line="220" w:lineRule="exact"/>
        <w:rPr>
          <w:rFonts w:ascii="Arial" w:cs="Arial" w:eastAsia="Arial" w:hAnsi="Arial"/>
          <w:sz w:val="16"/>
          <w:szCs w:val="16"/>
          <w:color w:val="auto"/>
        </w:rPr>
      </w:pPr>
    </w:p>
    <w:p>
      <w:pPr>
        <w:jc w:val="both"/>
        <w:ind w:left="380" w:right="400" w:hanging="372"/>
        <w:spacing w:after="0" w:line="253" w:lineRule="auto"/>
        <w:tabs>
          <w:tab w:leader="none" w:pos="3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left="380" w:right="520" w:hanging="372"/>
        <w:spacing w:after="0" w:line="259" w:lineRule="auto"/>
        <w:tabs>
          <w:tab w:leader="none" w:pos="3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left="380" w:right="140" w:hanging="372"/>
        <w:spacing w:after="0" w:line="253" w:lineRule="auto"/>
        <w:tabs>
          <w:tab w:leader="none" w:pos="3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6"/>
          <w:szCs w:val="16"/>
          <w:color w:val="auto"/>
        </w:rPr>
      </w:pPr>
    </w:p>
    <w:p>
      <w:pPr>
        <w:ind w:left="1060" w:hanging="633"/>
        <w:spacing w:after="0" w:line="253" w:lineRule="auto"/>
        <w:tabs>
          <w:tab w:leader="none" w:pos="944" w:val="left"/>
        </w:tabs>
        <w:numPr>
          <w:ilvl w:val="2"/>
          <w:numId w:val="1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6"/>
          <w:szCs w:val="16"/>
          <w:color w:val="auto"/>
        </w:rPr>
      </w:pPr>
    </w:p>
    <w:p>
      <w:pPr>
        <w:ind w:left="1060" w:right="420" w:hanging="678"/>
        <w:spacing w:after="0" w:line="253" w:lineRule="auto"/>
        <w:tabs>
          <w:tab w:leader="none" w:pos="98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6"/>
          <w:szCs w:val="16"/>
          <w:color w:val="auto"/>
        </w:rPr>
      </w:pPr>
    </w:p>
    <w:p>
      <w:pPr>
        <w:ind w:left="1060" w:right="420" w:hanging="678"/>
        <w:spacing w:after="0" w:line="259" w:lineRule="auto"/>
        <w:tabs>
          <w:tab w:leader="none" w:pos="98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60" w:right="20" w:hanging="678"/>
        <w:spacing w:after="0" w:line="253" w:lineRule="auto"/>
        <w:tabs>
          <w:tab w:leader="none" w:pos="746"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6"/>
          <w:szCs w:val="16"/>
          <w:color w:val="auto"/>
        </w:rPr>
      </w:pPr>
    </w:p>
    <w:p>
      <w:pPr>
        <w:ind w:left="380" w:right="460" w:hanging="372"/>
        <w:spacing w:after="0" w:line="259" w:lineRule="auto"/>
        <w:tabs>
          <w:tab w:leader="none" w:pos="3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1060" w:right="380" w:hanging="678"/>
        <w:spacing w:after="0" w:line="259" w:lineRule="auto"/>
        <w:tabs>
          <w:tab w:leader="none" w:pos="746"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left="1060" w:right="320" w:hanging="678"/>
        <w:spacing w:after="0" w:line="259" w:lineRule="auto"/>
        <w:tabs>
          <w:tab w:leader="none" w:pos="746"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ind w:left="20"/>
        <w:spacing w:after="0"/>
        <w:tabs>
          <w:tab w:leader="none" w:pos="5660" w:val="left"/>
          <w:tab w:leader="none" w:pos="7820" w:val="left"/>
        </w:tabs>
        <w:rPr>
          <w:sz w:val="20"/>
          <w:szCs w:val="20"/>
          <w:color w:val="auto"/>
        </w:rPr>
      </w:pPr>
      <w:r>
        <w:rPr>
          <w:rFonts w:ascii="Arial" w:cs="Arial" w:eastAsia="Arial" w:hAnsi="Arial"/>
          <w:sz w:val="16"/>
          <w:szCs w:val="16"/>
          <w:color w:val="auto"/>
        </w:rPr>
        <w:t>Date: March 3,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20320</wp:posOffset>
            </wp:positionV>
            <wp:extent cx="332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9">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20"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Dushyant Sharma</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Chairman, President and,</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Chief Executive Officer</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3" w:name="page154"/>
    <w:bookmarkEnd w:id="153"/>
    <w:p>
      <w:pPr>
        <w:ind w:left="1030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I, Paul Seamon, certify that:</w:t>
      </w:r>
    </w:p>
    <w:p>
      <w:pPr>
        <w:spacing w:after="0" w:line="221" w:lineRule="exact"/>
        <w:rPr>
          <w:sz w:val="20"/>
          <w:szCs w:val="20"/>
          <w:color w:val="auto"/>
        </w:rPr>
      </w:pPr>
    </w:p>
    <w:p>
      <w:pPr>
        <w:ind w:left="380" w:hanging="372"/>
        <w:spacing w:after="0"/>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Paymentus Holdings, Inc.;</w:t>
      </w:r>
    </w:p>
    <w:p>
      <w:pPr>
        <w:spacing w:after="0" w:line="220" w:lineRule="exact"/>
        <w:rPr>
          <w:rFonts w:ascii="Arial" w:cs="Arial" w:eastAsia="Arial" w:hAnsi="Arial"/>
          <w:sz w:val="16"/>
          <w:szCs w:val="16"/>
          <w:color w:val="auto"/>
        </w:rPr>
      </w:pPr>
    </w:p>
    <w:p>
      <w:pPr>
        <w:jc w:val="both"/>
        <w:ind w:left="380" w:right="380" w:hanging="372"/>
        <w:spacing w:after="0" w:line="253" w:lineRule="auto"/>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left="380" w:right="500" w:hanging="372"/>
        <w:spacing w:after="0" w:line="259" w:lineRule="auto"/>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left="380" w:right="120" w:hanging="372"/>
        <w:spacing w:after="0" w:line="253" w:lineRule="auto"/>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6"/>
          <w:szCs w:val="16"/>
          <w:color w:val="auto"/>
        </w:rPr>
      </w:pPr>
    </w:p>
    <w:p>
      <w:pPr>
        <w:ind w:left="1060" w:hanging="633"/>
        <w:spacing w:after="0" w:line="253" w:lineRule="auto"/>
        <w:tabs>
          <w:tab w:leader="none" w:pos="989" w:val="left"/>
        </w:tabs>
        <w:numPr>
          <w:ilvl w:val="2"/>
          <w:numId w:val="1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6"/>
          <w:szCs w:val="16"/>
          <w:color w:val="auto"/>
        </w:rPr>
      </w:pPr>
    </w:p>
    <w:p>
      <w:pPr>
        <w:ind w:left="1060" w:right="400" w:hanging="678"/>
        <w:spacing w:after="0" w:line="253" w:lineRule="auto"/>
        <w:tabs>
          <w:tab w:leader="none" w:pos="944"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6"/>
          <w:szCs w:val="16"/>
          <w:color w:val="auto"/>
        </w:rPr>
      </w:pPr>
    </w:p>
    <w:p>
      <w:pPr>
        <w:ind w:left="1060" w:right="400" w:hanging="633"/>
        <w:spacing w:after="0" w:line="259" w:lineRule="auto"/>
        <w:tabs>
          <w:tab w:leader="none" w:pos="980" w:val="left"/>
        </w:tabs>
        <w:numPr>
          <w:ilvl w:val="2"/>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sz w:val="20"/>
          <w:szCs w:val="20"/>
          <w:color w:val="auto"/>
        </w:rPr>
      </w:pPr>
    </w:p>
    <w:p>
      <w:pPr>
        <w:ind w:left="1060" w:hanging="678"/>
        <w:spacing w:after="0" w:line="253" w:lineRule="auto"/>
        <w:tabs>
          <w:tab w:leader="none" w:pos="746" w:val="left"/>
        </w:tabs>
        <w:numPr>
          <w:ilvl w:val="1"/>
          <w:numId w:val="1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6"/>
          <w:szCs w:val="16"/>
          <w:color w:val="auto"/>
        </w:rPr>
      </w:pPr>
    </w:p>
    <w:p>
      <w:pPr>
        <w:ind w:left="380" w:right="440" w:hanging="372"/>
        <w:spacing w:after="0" w:line="259" w:lineRule="auto"/>
        <w:tabs>
          <w:tab w:leader="none" w:pos="3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1060" w:right="360" w:hanging="678"/>
        <w:spacing w:after="0" w:line="259" w:lineRule="auto"/>
        <w:tabs>
          <w:tab w:leader="none" w:pos="74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left="1060" w:right="300" w:hanging="678"/>
        <w:spacing w:after="0" w:line="259" w:lineRule="auto"/>
        <w:tabs>
          <w:tab w:leader="none" w:pos="74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5640" w:val="left"/>
          <w:tab w:leader="none" w:pos="7980" w:val="left"/>
        </w:tabs>
        <w:rPr>
          <w:sz w:val="20"/>
          <w:szCs w:val="20"/>
          <w:color w:val="auto"/>
        </w:rPr>
      </w:pPr>
      <w:r>
        <w:rPr>
          <w:rFonts w:ascii="Arial" w:cs="Arial" w:eastAsia="Arial" w:hAnsi="Arial"/>
          <w:sz w:val="16"/>
          <w:szCs w:val="16"/>
          <w:color w:val="auto"/>
        </w:rPr>
        <w:t>Date: March 3,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Paul Seamon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10160</wp:posOffset>
            </wp:positionV>
            <wp:extent cx="332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1">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4"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Paul Seamon</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Interim Chief Financial Officer</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4" w:name="page155"/>
    <w:bookmarkEnd w:id="154"/>
    <w:p>
      <w:pPr>
        <w:jc w:val="right"/>
        <w:spacing w:after="0"/>
        <w:rPr>
          <w:sz w:val="20"/>
          <w:szCs w:val="20"/>
          <w:color w:val="auto"/>
        </w:rPr>
      </w:pPr>
      <w:r>
        <w:rPr>
          <w:rFonts w:ascii="Arial" w:cs="Arial" w:eastAsia="Arial" w:hAnsi="Arial"/>
          <w:sz w:val="16"/>
          <w:szCs w:val="16"/>
          <w:b w:val="1"/>
          <w:bCs w:val="1"/>
          <w:color w:val="auto"/>
        </w:rPr>
        <w:t>Exhibit 32.1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100" w:firstLine="578"/>
        <w:spacing w:after="0" w:line="253" w:lineRule="auto"/>
        <w:rPr>
          <w:sz w:val="20"/>
          <w:szCs w:val="20"/>
          <w:color w:val="auto"/>
        </w:rPr>
      </w:pPr>
      <w:r>
        <w:rPr>
          <w:rFonts w:ascii="Arial" w:cs="Arial" w:eastAsia="Arial" w:hAnsi="Arial"/>
          <w:sz w:val="16"/>
          <w:szCs w:val="16"/>
          <w:color w:val="auto"/>
        </w:rPr>
        <w:t>In connection with the Annual Report on Form 10-K of Paymentus Holdings, Inc. (the “Company”) for the year ended December 31, 2022 as filed with the Securities and Exchange Commission on the date hereof (the “Report”), I certify, pursuant to 18 U.S.C. § 1350, as adopted pursuant to § 906 of the Sarbanes-Oxley Act of 2002, that:</w:t>
      </w:r>
    </w:p>
    <w:p>
      <w:pPr>
        <w:spacing w:after="0" w:line="214" w:lineRule="exact"/>
        <w:rPr>
          <w:sz w:val="20"/>
          <w:szCs w:val="20"/>
          <w:color w:val="auto"/>
        </w:rPr>
      </w:pPr>
    </w:p>
    <w:p>
      <w:pPr>
        <w:ind w:left="1020" w:hanging="999"/>
        <w:spacing w:after="0"/>
        <w:tabs>
          <w:tab w:leader="none" w:pos="10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920" w:right="800" w:hanging="899"/>
        <w:spacing w:after="0" w:line="259" w:lineRule="auto"/>
        <w:tabs>
          <w:tab w:leader="none" w:pos="9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8" w:lineRule="exact"/>
        <w:rPr>
          <w:sz w:val="20"/>
          <w:szCs w:val="20"/>
          <w:color w:val="auto"/>
        </w:rPr>
      </w:pPr>
    </w:p>
    <w:p>
      <w:pPr>
        <w:ind w:left="20"/>
        <w:spacing w:after="0"/>
        <w:tabs>
          <w:tab w:leader="none" w:pos="5660" w:val="left"/>
          <w:tab w:leader="none" w:pos="7840" w:val="left"/>
        </w:tabs>
        <w:rPr>
          <w:sz w:val="20"/>
          <w:szCs w:val="20"/>
          <w:color w:val="auto"/>
        </w:rPr>
      </w:pPr>
      <w:r>
        <w:rPr>
          <w:rFonts w:ascii="Arial" w:cs="Arial" w:eastAsia="Arial" w:hAnsi="Arial"/>
          <w:sz w:val="16"/>
          <w:szCs w:val="16"/>
          <w:color w:val="auto"/>
        </w:rPr>
        <w:t>Date: March 3,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20320</wp:posOffset>
            </wp:positionV>
            <wp:extent cx="332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3">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20"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Dushyant Sharma</w:t>
      </w:r>
    </w:p>
    <w:p>
      <w:pPr>
        <w:spacing w:after="0" w:line="18"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Chairman, President and,</w:t>
      </w:r>
    </w:p>
    <w:p>
      <w:pPr>
        <w:spacing w:after="0" w:line="18"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Chief Executive Officer</w:t>
      </w:r>
    </w:p>
    <w:p>
      <w:pPr>
        <w:spacing w:after="0" w:line="18"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0" w:lineRule="exact"/>
        <w:rPr>
          <w:sz w:val="20"/>
          <w:szCs w:val="20"/>
          <w:color w:val="auto"/>
        </w:rPr>
      </w:pPr>
    </w:p>
    <w:p>
      <w:pPr>
        <w:spacing w:after="0" w:line="258" w:lineRule="exact"/>
        <w:rPr>
          <w:sz w:val="20"/>
          <w:szCs w:val="20"/>
          <w:color w:val="auto"/>
        </w:rPr>
      </w:pPr>
    </w:p>
    <w:p>
      <w:pPr>
        <w:ind w:firstLine="578"/>
        <w:spacing w:after="0" w:line="249" w:lineRule="auto"/>
        <w:rPr>
          <w:sz w:val="20"/>
          <w:szCs w:val="20"/>
          <w:color w:val="auto"/>
        </w:rPr>
      </w:pPr>
      <w:r>
        <w:rPr>
          <w:rFonts w:ascii="Arial" w:cs="Arial" w:eastAsia="Arial" w:hAnsi="Arial"/>
          <w:sz w:val="16"/>
          <w:szCs w:val="16"/>
          <w:color w:val="auto"/>
        </w:rPr>
        <w:t>A signed original of this written statement required by Section 906 has been provided to Paymentus Holdings, Inc. and will be retained by Paymentus Holdings, Inc. and furnished to the Securities and Exchange Commission or its staff upon request. This written statement shall not be deemed filed by Paymentus Holdings, Inc. for purposes of Section 18 of the Securities Exchange Act of 1934, as amended (the “Exchange Act”), or otherwise subject to liability under that section, and will not be deemed to be incorporated by reference into any filing under the Securities Act of 1933, as amended, or the Exchange Act, except to the extent that Paymentus Holdings, Inc.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6"/>
          <w:szCs w:val="16"/>
          <w:b w:val="1"/>
          <w:bCs w:val="1"/>
          <w:color w:val="auto"/>
        </w:rPr>
        <w:t>Exhibit 32.2</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100" w:firstLine="578"/>
        <w:spacing w:after="0" w:line="253" w:lineRule="auto"/>
        <w:rPr>
          <w:sz w:val="20"/>
          <w:szCs w:val="20"/>
          <w:color w:val="auto"/>
        </w:rPr>
      </w:pPr>
      <w:r>
        <w:rPr>
          <w:rFonts w:ascii="Arial" w:cs="Arial" w:eastAsia="Arial" w:hAnsi="Arial"/>
          <w:sz w:val="16"/>
          <w:szCs w:val="16"/>
          <w:color w:val="auto"/>
        </w:rPr>
        <w:t>In connection with the Annual Report on Form 10-K of Paymentus Holdings, Inc. (the “Company”) for the year ended December 31, 2022 as filed with the Securities and Exchange Commission on the date hereof (the “Report”), I certify, pursuant to 18 U.S.C. § 1350, as adopted pursuant to § 906 of the Sarbanes-Oxley Act of 2002, that:</w:t>
      </w:r>
    </w:p>
    <w:p>
      <w:pPr>
        <w:spacing w:after="0" w:line="214" w:lineRule="exact"/>
        <w:rPr>
          <w:sz w:val="20"/>
          <w:szCs w:val="20"/>
          <w:color w:val="auto"/>
        </w:rPr>
      </w:pPr>
    </w:p>
    <w:p>
      <w:pPr>
        <w:ind w:left="1020" w:hanging="999"/>
        <w:spacing w:after="0"/>
        <w:tabs>
          <w:tab w:leader="none" w:pos="10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040" w:right="700" w:hanging="1019"/>
        <w:spacing w:after="0" w:line="259" w:lineRule="auto"/>
        <w:tabs>
          <w:tab w:leader="none" w:pos="10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tabs>
          <w:tab w:leader="none" w:pos="5640" w:val="left"/>
          <w:tab w:leader="none" w:pos="8020" w:val="left"/>
        </w:tabs>
        <w:rPr>
          <w:sz w:val="20"/>
          <w:szCs w:val="20"/>
          <w:color w:val="auto"/>
        </w:rPr>
      </w:pPr>
      <w:r>
        <w:rPr>
          <w:rFonts w:ascii="Arial" w:cs="Arial" w:eastAsia="Arial" w:hAnsi="Arial"/>
          <w:sz w:val="16"/>
          <w:szCs w:val="16"/>
          <w:color w:val="auto"/>
        </w:rPr>
        <w:t>Date: March 3,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Paul Seamon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10160</wp:posOffset>
            </wp:positionV>
            <wp:extent cx="332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5">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4"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Paul Seamon</w:t>
      </w:r>
    </w:p>
    <w:p>
      <w:pPr>
        <w:spacing w:after="0" w:line="18"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Interim Chief Financial Officer</w:t>
      </w:r>
    </w:p>
    <w:p>
      <w:pPr>
        <w:spacing w:after="0" w:line="18"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0" w:lineRule="exact"/>
        <w:rPr>
          <w:sz w:val="20"/>
          <w:szCs w:val="20"/>
          <w:color w:val="auto"/>
        </w:rPr>
      </w:pPr>
    </w:p>
    <w:p>
      <w:pPr>
        <w:spacing w:after="0" w:line="258" w:lineRule="exact"/>
        <w:rPr>
          <w:sz w:val="20"/>
          <w:szCs w:val="20"/>
          <w:color w:val="auto"/>
        </w:rPr>
      </w:pPr>
    </w:p>
    <w:p>
      <w:pPr>
        <w:ind w:firstLine="578"/>
        <w:spacing w:after="0" w:line="249" w:lineRule="auto"/>
        <w:rPr>
          <w:sz w:val="20"/>
          <w:szCs w:val="20"/>
          <w:color w:val="auto"/>
        </w:rPr>
      </w:pPr>
      <w:r>
        <w:rPr>
          <w:rFonts w:ascii="Arial" w:cs="Arial" w:eastAsia="Arial" w:hAnsi="Arial"/>
          <w:sz w:val="16"/>
          <w:szCs w:val="16"/>
          <w:color w:val="auto"/>
        </w:rPr>
        <w:t>A signed original of this written statement required by Section 906 has been provided to Paymentus Holdings, Inc. and will be retained by Paymentus Holdings, Inc. and furnished to the Securities and Exchange Commission or its staff upon request. This written statement shall not be deemed filed by Paymentus Holdings, Inc. for purposes of Section 18 of the Securities Exchange Act of 1934, as amended (the “Exchange Act”), or otherwise subject to liability under that section, and will not be deemed to be incorporated by reference into any filing under the Securities Act of 1933, as amended, or the Exchange Act, except to the extent that Paymentus Holdings, Inc.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1)"/>
      <w:numFmt w:val="decimal"/>
      <w:start w:val="1"/>
    </w:lvl>
  </w:abstractNum>
  <w:abstractNum w:abstractNumId="32">
    <w:nsid w:val="8F2B15E"/>
    <w:multiLevelType w:val="hybridMultilevel"/>
    <w:lvl w:ilvl="0">
      <w:lvlJc w:val="left"/>
      <w:lvlText w:val="(%1)"/>
      <w:numFmt w:val="decimal"/>
      <w:start w:val="1"/>
    </w:lvl>
  </w:abstractNum>
  <w:abstractNum w:abstractNumId="33">
    <w:nsid w:val="1A32234B"/>
    <w:multiLevelType w:val="hybridMultilevel"/>
    <w:lvl w:ilvl="0">
      <w:lvlJc w:val="left"/>
      <w:lvlText w:val="(%1)"/>
      <w:numFmt w:val="decimal"/>
      <w:start w:val="1"/>
    </w:lvl>
  </w:abstractNum>
  <w:abstractNum w:abstractNumId="34">
    <w:nsid w:val="3B0FD379"/>
    <w:multiLevelType w:val="hybridMultilevel"/>
    <w:lvl w:ilvl="0">
      <w:lvlJc w:val="left"/>
      <w:lvlText w:val="(%1)"/>
      <w:numFmt w:val="decimal"/>
      <w:start w:val="1"/>
    </w:lvl>
  </w:abstractNum>
  <w:abstractNum w:abstractNumId="35">
    <w:nsid w:val="68EB2F63"/>
    <w:multiLevelType w:val="hybridMultilevel"/>
    <w:lvl w:ilvl="0">
      <w:lvlJc w:val="left"/>
      <w:lvlText w:val="%1."/>
      <w:numFmt w:val="decimal"/>
      <w:start w:val="1"/>
    </w:lvl>
    <w:lvl w:ilvl="1">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1)"/>
      <w:numFmt w:val="decimal"/>
      <w:start w:val="2"/>
    </w:lvl>
  </w:abstractNum>
  <w:abstractNum w:abstractNumId="39">
    <w:nsid w:val="14330624"/>
    <w:multiLevelType w:val="hybridMultilevel"/>
    <w:lvl w:ilvl="0">
      <w:lvlJc w:val="left"/>
      <w:lvlText w:val="%1."/>
      <w:numFmt w:val="decimal"/>
      <w:start w:val="3"/>
    </w:lvl>
  </w:abstractNum>
  <w:abstractNum w:abstractNumId="40">
    <w:nsid w:val="7FFFCA11"/>
    <w:multiLevelType w:val="hybridMultilevel"/>
    <w:lvl w:ilvl="0">
      <w:lvlJc w:val="left"/>
      <w:lvlText w:val="%1."/>
      <w:numFmt w:val="decimal"/>
      <w:start w:val="4"/>
    </w:lvl>
  </w:abstractNum>
  <w:abstractNum w:abstractNumId="41">
    <w:nsid w:val="1A27709E"/>
    <w:multiLevelType w:val="hybridMultilevel"/>
    <w:lvl w:ilvl="0">
      <w:lvlJc w:val="left"/>
      <w:lvlText w:val="%1."/>
      <w:numFmt w:val="decimal"/>
      <w:start w:val="6"/>
    </w:lvl>
  </w:abstractNum>
  <w:abstractNum w:abstractNumId="42">
    <w:nsid w:val="71EA1109"/>
    <w:multiLevelType w:val="hybridMultilevel"/>
    <w:lvl w:ilvl="0">
      <w:lvlJc w:val="left"/>
      <w:lvlText w:val="(%1)"/>
      <w:numFmt w:val="decimal"/>
      <w:start w:val="1"/>
    </w:lvl>
  </w:abstractNum>
  <w:abstractNum w:abstractNumId="43">
    <w:nsid w:val="100F59DC"/>
    <w:multiLevelType w:val="hybridMultilevel"/>
    <w:lvl w:ilvl="0">
      <w:lvlJc w:val="left"/>
      <w:lvlText w:val="%1."/>
      <w:numFmt w:val="decimal"/>
      <w:start w:val="7"/>
    </w:lvl>
  </w:abstractNum>
  <w:abstractNum w:abstractNumId="44">
    <w:nsid w:val="7FB7E0AA"/>
    <w:multiLevelType w:val="hybridMultilevel"/>
    <w:lvl w:ilvl="0">
      <w:lvlJc w:val="left"/>
      <w:lvlText w:val="%1."/>
      <w:numFmt w:val="decimal"/>
      <w:start w:val="9"/>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1)"/>
      <w:numFmt w:val="lowerLetter"/>
      <w:start w:val="1"/>
    </w:lvl>
    <w:lvl w:ilvl="1">
      <w:lvlJc w:val="left"/>
      <w:lvlText w:val="(%2)"/>
      <w:numFmt w:val="decimal"/>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1."/>
      <w:numFmt w:val="decimal"/>
      <w:start w:val="1"/>
    </w:lvl>
  </w:abstractNum>
  <w:abstractNum w:abstractNumId="57">
    <w:nsid w:val="46B7D447"/>
    <w:multiLevelType w:val="hybridMultilevel"/>
    <w:lvl w:ilvl="0">
      <w:lvlJc w:val="left"/>
      <w:lvlText w:val="(%1)"/>
      <w:numFmt w:val="lowerLetter"/>
      <w:start w:val="1"/>
    </w:lvl>
    <w:lvl w:ilvl="1">
      <w:lvlJc w:val="left"/>
      <w:lvlText w:val="-"/>
      <w:numFmt w:val="bullet"/>
      <w:start w:val="1"/>
    </w:lvl>
  </w:abstractNum>
  <w:abstractNum w:abstractNumId="58">
    <w:nsid w:val="4A2AC315"/>
    <w:multiLevelType w:val="hybridMultilevel"/>
    <w:lvl w:ilvl="0">
      <w:lvlJc w:val="left"/>
      <w:lvlText w:val="(%1)"/>
      <w:numFmt w:val="lowerLetter"/>
      <w:start w:val="2"/>
    </w:lvl>
  </w:abstractNum>
  <w:abstractNum w:abstractNumId="59">
    <w:nsid w:val="39EE015C"/>
    <w:multiLevelType w:val="hybridMultilevel"/>
    <w:lvl w:ilvl="0">
      <w:lvlJc w:val="left"/>
      <w:lvlText w:val="(%1)"/>
      <w:numFmt w:val="lowerLetter"/>
      <w:start w:val="3"/>
    </w:lvl>
  </w:abstractNum>
  <w:abstractNum w:abstractNumId="60">
    <w:nsid w:val="57FC4FBB"/>
    <w:multiLevelType w:val="hybridMultilevel"/>
    <w:lvl w:ilvl="0">
      <w:lvlJc w:val="left"/>
      <w:lvlText w:val="(%1)"/>
      <w:numFmt w:val="decimal"/>
      <w:start w:val="6"/>
    </w:lvl>
  </w:abstractNum>
  <w:abstractNum w:abstractNumId="61">
    <w:nsid w:val="CC1016F"/>
    <w:multiLevelType w:val="hybridMultilevel"/>
    <w:lvl w:ilvl="0">
      <w:lvlJc w:val="left"/>
      <w:lvlText w:val="%1."/>
      <w:numFmt w:val="decimal"/>
      <w:start w:val="5"/>
    </w:lvl>
  </w:abstractNum>
  <w:abstractNum w:abstractNumId="62">
    <w:nsid w:val="43F1842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3">
    <w:nsid w:val="60EF0119"/>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64">
    <w:nsid w:val="26F324BA"/>
    <w:multiLevelType w:val="hybridMultilevel"/>
    <w:lvl w:ilvl="0">
      <w:lvlJc w:val="left"/>
      <w:lvlText w:val="(%1)"/>
      <w:numFmt w:val="lowerLetter"/>
      <w:start w:val="2"/>
    </w:lvl>
  </w:abstractNum>
  <w:abstractNum w:abstractNumId="65">
    <w:nsid w:val="7F01579B"/>
    <w:multiLevelType w:val="hybridMultilevel"/>
    <w:lvl w:ilvl="0">
      <w:lvlJc w:val="left"/>
      <w:lvlText w:val="(%1)"/>
      <w:numFmt w:val="lowerLetter"/>
      <w:start w:val="3"/>
    </w:lvl>
    <w:lvl w:ilvl="1">
      <w:lvlJc w:val="left"/>
      <w:lvlText w:val="-"/>
      <w:numFmt w:val="bullet"/>
      <w:start w:val="1"/>
    </w:lvl>
  </w:abstractNum>
  <w:abstractNum w:abstractNumId="66">
    <w:nsid w:val="49DA307D"/>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67">
    <w:nsid w:val="7055A5F5"/>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68">
    <w:nsid w:val="5FB8370B"/>
    <w:multiLevelType w:val="hybridMultilevel"/>
    <w:lvl w:ilvl="0">
      <w:lvlJc w:val="left"/>
      <w:lvlText w:val="%1."/>
      <w:numFmt w:val="decimal"/>
      <w:start w:val="11"/>
    </w:lvl>
  </w:abstractNum>
  <w:abstractNum w:abstractNumId="69">
    <w:nsid w:val="50801EE1"/>
    <w:multiLevelType w:val="hybridMultilevel"/>
    <w:lvl w:ilvl="0">
      <w:lvlJc w:val="left"/>
      <w:lvlText w:val="(%1)"/>
      <w:numFmt w:val="lowerLetter"/>
      <w:start w:val="2"/>
    </w:lvl>
  </w:abstractNum>
  <w:abstractNum w:abstractNumId="70">
    <w:nsid w:val="488AC1A"/>
    <w:multiLevelType w:val="hybridMultilevel"/>
    <w:lvl w:ilvl="0">
      <w:lvlJc w:val="left"/>
      <w:lvlText w:val="(%1)"/>
      <w:numFmt w:val="lowerLetter"/>
      <w:start w:val="4"/>
    </w:lvl>
  </w:abstractNum>
  <w:abstractNum w:abstractNumId="71">
    <w:nsid w:val="5FB8011C"/>
    <w:multiLevelType w:val="hybridMultilevel"/>
    <w:lvl w:ilvl="0">
      <w:lvlJc w:val="left"/>
      <w:lvlText w:val="(%1)"/>
      <w:numFmt w:val="lowerLetter"/>
      <w:start w:val="7"/>
    </w:lvl>
    <w:lvl w:ilvl="1">
      <w:lvlJc w:val="left"/>
      <w:lvlText w:val="-"/>
      <w:numFmt w:val="bullet"/>
      <w:start w:val="1"/>
    </w:lvl>
  </w:abstractNum>
  <w:abstractNum w:abstractNumId="72">
    <w:nsid w:val="6AA78F7F"/>
    <w:multiLevelType w:val="hybridMultilevel"/>
    <w:lvl w:ilvl="0">
      <w:lvlJc w:val="left"/>
      <w:lvlText w:val="%1."/>
      <w:numFmt w:val="decimal"/>
      <w:start w:val="12"/>
    </w:lvl>
    <w:lvl w:ilvl="1">
      <w:lvlJc w:val="left"/>
      <w:lvlText w:val="-"/>
      <w:numFmt w:val="bullet"/>
      <w:start w:val="1"/>
    </w:lvl>
  </w:abstractNum>
  <w:abstractNum w:abstractNumId="73">
    <w:nsid w:val="7672BD23"/>
    <w:multiLevelType w:val="hybridMultilevel"/>
    <w:lvl w:ilvl="0">
      <w:lvlJc w:val="left"/>
      <w:lvlText w:val="%1."/>
      <w:numFmt w:val="decimal"/>
      <w:start w:val="13"/>
    </w:lvl>
  </w:abstractNum>
  <w:abstractNum w:abstractNumId="74">
    <w:nsid w:val="6FC75AF8"/>
    <w:multiLevelType w:val="hybridMultilevel"/>
    <w:lvl w:ilvl="0">
      <w:lvlJc w:val="left"/>
      <w:lvlText w:val="%1."/>
      <w:numFmt w:val="decimal"/>
      <w:start w:val="15"/>
    </w:lvl>
  </w:abstractNum>
  <w:abstractNum w:abstractNumId="75">
    <w:nsid w:val="6A5F7029"/>
    <w:multiLevelType w:val="hybridMultilevel"/>
    <w:lvl w:ilvl="0">
      <w:lvlJc w:val="left"/>
      <w:lvlText w:val="%1."/>
      <w:numFmt w:val="decimal"/>
      <w:start w:val="19"/>
    </w:lvl>
    <w:lvl w:ilvl="1">
      <w:lvlJc w:val="left"/>
      <w:lvlText w:val="-"/>
      <w:numFmt w:val="bullet"/>
      <w:start w:val="1"/>
    </w:lvl>
  </w:abstractNum>
  <w:abstractNum w:abstractNumId="76">
    <w:nsid w:val="7D5E18F8"/>
    <w:multiLevelType w:val="hybridMultilevel"/>
    <w:lvl w:ilvl="0">
      <w:lvlJc w:val="left"/>
      <w:lvlText w:val="%1."/>
      <w:numFmt w:val="decimal"/>
      <w:start w:val="20"/>
    </w:lvl>
    <w:lvl w:ilvl="1">
      <w:lvlJc w:val="left"/>
      <w:lvlText w:val="-"/>
      <w:numFmt w:val="bullet"/>
      <w:start w:val="1"/>
    </w:lvl>
  </w:abstractNum>
  <w:abstractNum w:abstractNumId="77">
    <w:nsid w:val="5F3534A4"/>
    <w:multiLevelType w:val="hybridMultilevel"/>
    <w:lvl w:ilvl="0">
      <w:lvlJc w:val="left"/>
      <w:lvlText w:val="%1."/>
      <w:numFmt w:val="decimal"/>
      <w:start w:val="26"/>
    </w:lvl>
  </w:abstractNum>
  <w:abstractNum w:abstractNumId="78">
    <w:nsid w:val="73A1821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9">
    <w:nsid w:val="7DE67713"/>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80">
    <w:nsid w:val="555C55B5"/>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81">
    <w:nsid w:val="3FA62ACA"/>
    <w:multiLevelType w:val="hybridMultilevel"/>
    <w:lvl w:ilvl="0">
      <w:lvlJc w:val="left"/>
      <w:lvlText w:val="%1."/>
      <w:numFmt w:val="decimal"/>
      <w:start w:val="4"/>
    </w:lvl>
    <w:lvl w:ilvl="1">
      <w:lvlJc w:val="left"/>
      <w:lvlText w:val="-"/>
      <w:numFmt w:val="bullet"/>
      <w:start w:val="1"/>
    </w:lvl>
  </w:abstractNum>
  <w:abstractNum w:abstractNumId="82">
    <w:nsid w:val="14FCE74E"/>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83">
    <w:nsid w:val="6A3DD3E8"/>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84">
    <w:nsid w:val="71C91298"/>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85">
    <w:nsid w:val="9DAF632"/>
    <w:multiLevelType w:val="hybridMultilevel"/>
    <w:lvl w:ilvl="0">
      <w:lvlJc w:val="left"/>
      <w:lvlText w:val="%1."/>
      <w:numFmt w:val="lowerLetter"/>
      <w:start w:val="6"/>
    </w:lvl>
    <w:lvl w:ilvl="1">
      <w:lvlJc w:val="left"/>
      <w:lvlText w:val="(%2)"/>
      <w:numFmt w:val="lowerRoman"/>
      <w:start w:val="2"/>
    </w:lvl>
    <w:lvl w:ilvl="2">
      <w:lvlJc w:val="left"/>
      <w:lvlText w:val="-"/>
      <w:numFmt w:val="bullet"/>
      <w:start w:val="1"/>
    </w:lvl>
  </w:abstractNum>
  <w:abstractNum w:abstractNumId="86">
    <w:nsid w:val="53299938"/>
    <w:multiLevelType w:val="hybridMultilevel"/>
    <w:lvl w:ilvl="0">
      <w:lvlJc w:val="left"/>
      <w:lvlText w:val="%1"/>
      <w:numFmt w:val="decimal"/>
      <w:start w:val="1"/>
    </w:lvl>
    <w:lvl w:ilvl="1">
      <w:lvlJc w:val="left"/>
      <w:lvlText w:val="%2."/>
      <w:numFmt w:val="lowerLetter"/>
      <w:start w:val="10"/>
    </w:lvl>
    <w:lvl w:ilvl="2">
      <w:lvlJc w:val="left"/>
      <w:lvlText w:val="(%3)"/>
      <w:numFmt w:val="decimal"/>
      <w:start w:val="12"/>
    </w:lvl>
    <w:lvl w:ilvl="3">
      <w:lvlJc w:val="left"/>
      <w:lvlText w:val="-"/>
      <w:numFmt w:val="bullet"/>
      <w:start w:val="1"/>
    </w:lvl>
  </w:abstractNum>
  <w:abstractNum w:abstractNumId="87">
    <w:nsid w:val="1FBFE8E0"/>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88">
    <w:nsid w:val="5092CA79"/>
    <w:multiLevelType w:val="hybridMultilevel"/>
    <w:lvl w:ilvl="0">
      <w:lvlJc w:val="left"/>
      <w:lvlText w:val="%1."/>
      <w:numFmt w:val="lowerLetter"/>
      <w:start w:val="1"/>
    </w:lvl>
    <w:lvl w:ilvl="1">
      <w:lvlJc w:val="left"/>
      <w:lvlText w:val="-"/>
      <w:numFmt w:val="bullet"/>
      <w:start w:val="1"/>
    </w:lvl>
  </w:abstractNum>
  <w:abstractNum w:abstractNumId="89">
    <w:nsid w:val="1D545C4D"/>
    <w:multiLevelType w:val="hybridMultilevel"/>
    <w:lvl w:ilvl="0">
      <w:lvlJc w:val="left"/>
      <w:lvlText w:val="%1."/>
      <w:numFmt w:val="lowerLetter"/>
      <w:start w:val="7"/>
    </w:lvl>
    <w:lvl w:ilvl="1">
      <w:lvlJc w:val="left"/>
      <w:lvlText w:val="-"/>
      <w:numFmt w:val="bullet"/>
      <w:start w:val="1"/>
    </w:lvl>
  </w:abstractNum>
  <w:abstractNum w:abstractNumId="90">
    <w:nsid w:val="59ADEA3D"/>
    <w:multiLevelType w:val="hybridMultilevel"/>
    <w:lvl w:ilvl="0">
      <w:lvlJc w:val="left"/>
      <w:lvlText w:val="%1."/>
      <w:numFmt w:val="upperLetter"/>
      <w:start w:val="1"/>
    </w:lvl>
  </w:abstractNum>
  <w:abstractNum w:abstractNumId="91">
    <w:nsid w:val="288F1A3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92">
    <w:nsid w:val="2A155DBC"/>
    <w:multiLevelType w:val="hybridMultilevel"/>
    <w:lvl w:ilvl="0">
      <w:lvlJc w:val="left"/>
      <w:lvlText w:val="%1."/>
      <w:numFmt w:val="decimal"/>
      <w:start w:val="2"/>
    </w:lvl>
  </w:abstractNum>
  <w:abstractNum w:abstractNumId="93">
    <w:nsid w:val="1D9F6E5F"/>
    <w:multiLevelType w:val="hybridMultilevel"/>
    <w:lvl w:ilvl="0">
      <w:lvlJc w:val="left"/>
      <w:lvlText w:val="%1."/>
      <w:numFmt w:val="decimal"/>
      <w:start w:val="3"/>
    </w:lvl>
  </w:abstractNum>
  <w:abstractNum w:abstractNumId="94">
    <w:nsid w:val="97E1B4E"/>
    <w:multiLevelType w:val="hybridMultilevel"/>
    <w:lvl w:ilvl="0">
      <w:lvlJc w:val="left"/>
      <w:lvlText w:val="%1."/>
      <w:numFmt w:val="lowerLetter"/>
      <w:start w:val="5"/>
    </w:lvl>
  </w:abstractNum>
  <w:abstractNum w:abstractNumId="95">
    <w:nsid w:val="51088277"/>
    <w:multiLevelType w:val="hybridMultilevel"/>
    <w:lvl w:ilvl="0">
      <w:lvlJc w:val="left"/>
      <w:lvlText w:val="%1."/>
      <w:numFmt w:val="lowerLetter"/>
      <w:start w:val="15"/>
    </w:lvl>
  </w:abstractNum>
  <w:abstractNum w:abstractNumId="96">
    <w:nsid w:val="1CA0C5FA"/>
    <w:multiLevelType w:val="hybridMultilevel"/>
    <w:lvl w:ilvl="0">
      <w:lvlJc w:val="left"/>
      <w:lvlText w:val="%1."/>
      <w:numFmt w:val="upperLetter"/>
      <w:start w:val="3"/>
    </w:lvl>
  </w:abstractNum>
  <w:abstractNum w:abstractNumId="97">
    <w:nsid w:val="53584BCB"/>
    <w:multiLevelType w:val="hybridMultilevel"/>
    <w:lvl w:ilvl="0">
      <w:lvlJc w:val="left"/>
      <w:lvlText w:val="%1."/>
      <w:numFmt w:val="upperLetter"/>
      <w:start w:val="4"/>
    </w:lvl>
  </w:abstractNum>
  <w:abstractNum w:abstractNumId="98">
    <w:nsid w:val="415E286C"/>
    <w:multiLevelType w:val="hybridMultilevel"/>
    <w:lvl w:ilvl="0">
      <w:lvlJc w:val="left"/>
      <w:lvlText w:val="%1."/>
      <w:numFmt w:val="decimal"/>
      <w:start w:val="4"/>
    </w:lvl>
  </w:abstractNum>
  <w:abstractNum w:abstractNumId="99">
    <w:nsid w:val="7C58FD05"/>
    <w:multiLevelType w:val="hybridMultilevel"/>
    <w:lvl w:ilvl="0">
      <w:lvlJc w:val="left"/>
      <w:lvlText w:val="%1."/>
      <w:numFmt w:val="upperLetter"/>
      <w:start w:val="5"/>
    </w:lvl>
    <w:lvl w:ilvl="1">
      <w:lvlJc w:val="left"/>
      <w:lvlText w:val="%2."/>
      <w:numFmt w:val="decimal"/>
      <w:start w:val="8"/>
    </w:lvl>
  </w:abstractNum>
  <w:abstractNum w:abstractNumId="100">
    <w:nsid w:val="23D86AAC"/>
    <w:multiLevelType w:val="hybridMultilevel"/>
    <w:lvl w:ilvl="0">
      <w:lvlJc w:val="left"/>
      <w:lvlText w:val="%1"/>
      <w:numFmt w:val="upperLetter"/>
      <w:start w:val="1"/>
    </w:lvl>
    <w:lvl w:ilvl="1">
      <w:lvlJc w:val="left"/>
      <w:lvlText w:val="%2."/>
      <w:numFmt w:val="decimal"/>
      <w:start w:val="9"/>
    </w:lvl>
  </w:abstractNum>
  <w:abstractNum w:abstractNumId="101">
    <w:nsid w:val="45E6D486"/>
    <w:multiLevelType w:val="hybridMultilevel"/>
    <w:lvl w:ilvl="0">
      <w:lvlJc w:val="left"/>
      <w:lvlText w:val="%1."/>
      <w:numFmt w:val="upperLetter"/>
      <w:start w:val="6"/>
    </w:lvl>
    <w:lvl w:ilvl="1">
      <w:lvlJc w:val="left"/>
      <w:lvlText w:val="%2"/>
      <w:numFmt w:val="decimal"/>
      <w:start w:val="1"/>
    </w:lvl>
  </w:abstractNum>
  <w:abstractNum w:abstractNumId="102">
    <w:nsid w:val="5C10FE21"/>
    <w:multiLevelType w:val="hybridMultilevel"/>
    <w:lvl w:ilvl="0">
      <w:lvlJc w:val="left"/>
      <w:lvlText w:val="%1."/>
      <w:numFmt w:val="decimal"/>
      <w:start w:val="11"/>
    </w:lvl>
  </w:abstractNum>
  <w:abstractNum w:abstractNumId="103">
    <w:nsid w:val="E7FFA2B"/>
    <w:multiLevelType w:val="hybridMultilevel"/>
    <w:lvl w:ilvl="0">
      <w:lvlJc w:val="left"/>
      <w:lvlText w:val="%1."/>
      <w:numFmt w:val="upperLetter"/>
      <w:start w:val="7"/>
    </w:lvl>
  </w:abstractNum>
  <w:abstractNum w:abstractNumId="104">
    <w:nsid w:val="3C5991AA"/>
    <w:multiLevelType w:val="hybridMultilevel"/>
    <w:lvl w:ilvl="0">
      <w:lvlJc w:val="left"/>
      <w:lvlText w:val="%1."/>
      <w:numFmt w:val="upperLetter"/>
      <w:start w:val="8"/>
    </w:lvl>
  </w:abstractNum>
  <w:abstractNum w:abstractNumId="105">
    <w:nsid w:val="4BD8591A"/>
    <w:multiLevelType w:val="hybridMultilevel"/>
    <w:lvl w:ilvl="0">
      <w:lvlJc w:val="left"/>
      <w:lvlText w:val="%1."/>
      <w:numFmt w:val="decimal"/>
      <w:start w:val="15"/>
    </w:lvl>
  </w:abstractNum>
  <w:abstractNum w:abstractNumId="106">
    <w:nsid w:val="78DF6A55"/>
    <w:multiLevelType w:val="hybridMultilevel"/>
    <w:lvl w:ilvl="0">
      <w:lvlJc w:val="left"/>
      <w:lvlText w:val="%1."/>
      <w:numFmt w:val="decimal"/>
      <w:start w:val="20"/>
    </w:lvl>
  </w:abstractNum>
  <w:abstractNum w:abstractNumId="107">
    <w:nsid w:val="39B7AAA2"/>
    <w:multiLevelType w:val="hybridMultilevel"/>
    <w:lvl w:ilvl="0">
      <w:lvlJc w:val="left"/>
      <w:lvlText w:val="%1."/>
      <w:numFmt w:val="upperLetter"/>
      <w:start w:val="9"/>
    </w:lvl>
  </w:abstractNum>
  <w:abstractNum w:abstractNumId="108">
    <w:nsid w:val="2B0D8DBE"/>
    <w:multiLevelType w:val="hybridMultilevel"/>
    <w:lvl w:ilvl="0">
      <w:lvlJc w:val="left"/>
      <w:lvlText w:val="%1."/>
      <w:numFmt w:val="upperLetter"/>
      <w:start w:val="10"/>
    </w:lvl>
  </w:abstractNum>
  <w:abstractNum w:abstractNumId="109">
    <w:nsid w:val="6C80EC70"/>
    <w:multiLevelType w:val="hybridMultilevel"/>
    <w:lvl w:ilvl="0">
      <w:lvlJc w:val="left"/>
      <w:lvlText w:val="%1."/>
      <w:numFmt w:val="upperLetter"/>
      <w:start w:val="11"/>
    </w:lvl>
  </w:abstractNum>
  <w:abstractNum w:abstractNumId="110">
    <w:nsid w:val="379E21B5"/>
    <w:multiLevelType w:val="hybridMultilevel"/>
    <w:lvl w:ilvl="0">
      <w:lvlJc w:val="left"/>
      <w:lvlText w:val="%1."/>
      <w:numFmt w:val="upperLetter"/>
      <w:start w:val="12"/>
    </w:lvl>
  </w:abstractNum>
  <w:abstractNum w:abstractNumId="111">
    <w:nsid w:val="69E373"/>
    <w:multiLevelType w:val="hybridMultilevel"/>
    <w:lvl w:ilvl="0">
      <w:lvlJc w:val="left"/>
      <w:lvlText w:val="%1."/>
      <w:numFmt w:val="upperLetter"/>
      <w:start w:val="13"/>
    </w:lvl>
  </w:abstractNum>
  <w:abstractNum w:abstractNumId="112">
    <w:nsid w:val="2C27173B"/>
    <w:multiLevelType w:val="hybridMultilevel"/>
    <w:lvl w:ilvl="0">
      <w:lvlJc w:val="left"/>
      <w:lvlText w:val="%1."/>
      <w:numFmt w:val="decimal"/>
      <w:start w:val="1"/>
    </w:lvl>
    <w:lvl w:ilvl="1">
      <w:lvlJc w:val="left"/>
      <w:lvlText w:val="%2."/>
      <w:numFmt w:val="lowerLetter"/>
      <w:start w:val="1"/>
    </w:lvl>
  </w:abstractNum>
  <w:abstractNum w:abstractNumId="113">
    <w:nsid w:val="4C9B0904"/>
    <w:multiLevelType w:val="hybridMultilevel"/>
    <w:lvl w:ilvl="0">
      <w:lvlJc w:val="left"/>
      <w:lvlText w:val="%1."/>
      <w:numFmt w:val="decimal"/>
      <w:start w:val="9"/>
    </w:lvl>
  </w:abstractNum>
  <w:abstractNum w:abstractNumId="114">
    <w:nsid w:val="6AA7B75C"/>
    <w:multiLevelType w:val="hybridMultilevel"/>
    <w:lvl w:ilvl="0">
      <w:lvlJc w:val="left"/>
      <w:lvlText w:val="%1"/>
      <w:numFmt w:val="decimal"/>
      <w:start w:val="1"/>
    </w:lvl>
    <w:lvl w:ilvl="1">
      <w:lvlJc w:val="left"/>
      <w:lvlText w:val="%2."/>
      <w:numFmt w:val="lowerLetter"/>
      <w:start w:val="1"/>
    </w:lvl>
  </w:abstractNum>
  <w:abstractNum w:abstractNumId="115">
    <w:nsid w:val="1DF029D3"/>
    <w:multiLevelType w:val="hybridMultilevel"/>
    <w:lvl w:ilvl="0">
      <w:lvlJc w:val="left"/>
      <w:lvlText w:val="%1."/>
      <w:numFmt w:val="decimal"/>
      <w:start w:val="16"/>
    </w:lvl>
    <w:lvl w:ilvl="1">
      <w:lvlJc w:val="left"/>
      <w:lvlText w:val="%2"/>
      <w:numFmt w:val="lowerLetter"/>
      <w:start w:val="1"/>
    </w:lvl>
  </w:abstractNum>
  <w:abstractNum w:abstractNumId="116">
    <w:nsid w:val="5675FF36"/>
    <w:multiLevelType w:val="hybridMultilevel"/>
    <w:lvl w:ilvl="0">
      <w:lvlJc w:val="left"/>
      <w:lvlText w:val="(%1)"/>
      <w:numFmt w:val="decimal"/>
      <w:start w:val="1"/>
    </w:lvl>
  </w:abstractNum>
  <w:abstractNum w:abstractNumId="117">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8">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9">
    <w:nsid w:val="2708C9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20">
    <w:nsid w:val="5B25ACE2"/>
    <w:multiLevelType w:val="hybridMultilevel"/>
    <w:lvl w:ilvl="0">
      <w:lvlJc w:val="left"/>
      <w:lvlText w:val="%1"/>
      <w:numFmt w:val="decimal"/>
      <w:start w:val="1"/>
    </w:lvl>
    <w:lvl w:ilvl="1">
      <w:lvlJc w:val="left"/>
      <w:lvlText w:val="(%2)"/>
      <w:numFmt w:val="lowerLetter"/>
      <w:start w:val="4"/>
    </w:lvl>
  </w:abstractNum>
  <w:abstractNum w:abstractNumId="121">
    <w:nsid w:val="175DFCF0"/>
    <w:multiLevelType w:val="hybridMultilevel"/>
    <w:lvl w:ilvl="0">
      <w:lvlJc w:val="left"/>
      <w:lvlText w:val="%1."/>
      <w:numFmt w:val="decimal"/>
      <w:start w:val="5"/>
    </w:lvl>
    <w:lvl w:ilvl="1">
      <w:lvlJc w:val="left"/>
      <w:lvlText w:val="(%2)"/>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60" Type="http://schemas.openxmlformats.org/officeDocument/2006/relationships/image" Target="media/image344.png"/><Relationship Id="rId361"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5" Type="http://schemas.openxmlformats.org/officeDocument/2006/relationships/image" Target="media/image354.png"/><Relationship Id="rId376"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6" Type="http://schemas.openxmlformats.org/officeDocument/2006/relationships/image" Target="media/image359.png"/><Relationship Id="rId387" Type="http://schemas.openxmlformats.org/officeDocument/2006/relationships/image" Target="media/image360.png"/><Relationship Id="rId388" Type="http://schemas.openxmlformats.org/officeDocument/2006/relationships/image" Target="media/image361.png"/><Relationship Id="rId389" Type="http://schemas.openxmlformats.org/officeDocument/2006/relationships/image" Target="media/image362.png"/><Relationship Id="rId390" Type="http://schemas.openxmlformats.org/officeDocument/2006/relationships/image" Target="media/image363.png"/><Relationship Id="rId391" Type="http://schemas.openxmlformats.org/officeDocument/2006/relationships/image" Target="media/image364.png"/><Relationship Id="rId392" Type="http://schemas.openxmlformats.org/officeDocument/2006/relationships/image" Target="media/image365.png"/><Relationship Id="rId393" Type="http://schemas.openxmlformats.org/officeDocument/2006/relationships/image" Target="media/image366.png"/><Relationship Id="rId394" Type="http://schemas.openxmlformats.org/officeDocument/2006/relationships/image" Target="media/image367.png"/><Relationship Id="rId395" Type="http://schemas.openxmlformats.org/officeDocument/2006/relationships/image" Target="media/image368.png"/><Relationship Id="rId396" Type="http://schemas.openxmlformats.org/officeDocument/2006/relationships/image" Target="media/image369.png"/><Relationship Id="rId397" Type="http://schemas.openxmlformats.org/officeDocument/2006/relationships/image" Target="media/image370.png"/><Relationship Id="rId398" Type="http://schemas.openxmlformats.org/officeDocument/2006/relationships/image" Target="media/image371.png"/><Relationship Id="rId399" Type="http://schemas.openxmlformats.org/officeDocument/2006/relationships/image" Target="media/image372.png"/><Relationship Id="rId400" Type="http://schemas.openxmlformats.org/officeDocument/2006/relationships/image" Target="media/image373.png"/><Relationship Id="rId401" Type="http://schemas.openxmlformats.org/officeDocument/2006/relationships/image" Target="media/image374.png"/><Relationship Id="rId402" Type="http://schemas.openxmlformats.org/officeDocument/2006/relationships/image" Target="media/image375.png"/><Relationship Id="rId403" Type="http://schemas.openxmlformats.org/officeDocument/2006/relationships/image" Target="media/image376.png"/><Relationship Id="rId404" Type="http://schemas.openxmlformats.org/officeDocument/2006/relationships/image" Target="media/image377.png"/><Relationship Id="rId405" Type="http://schemas.openxmlformats.org/officeDocument/2006/relationships/image" Target="media/image378.png"/><Relationship Id="rId406" Type="http://schemas.openxmlformats.org/officeDocument/2006/relationships/image" Target="media/image379.png"/><Relationship Id="rId407" Type="http://schemas.openxmlformats.org/officeDocument/2006/relationships/image" Target="media/image380.png"/><Relationship Id="rId408" Type="http://schemas.openxmlformats.org/officeDocument/2006/relationships/image" Target="media/image381.png"/><Relationship Id="rId409" Type="http://schemas.openxmlformats.org/officeDocument/2006/relationships/image" Target="media/image382.png"/><Relationship Id="rId410" Type="http://schemas.openxmlformats.org/officeDocument/2006/relationships/image" Target="media/image383.png"/><Relationship Id="rId411" Type="http://schemas.openxmlformats.org/officeDocument/2006/relationships/image" Target="media/image384.png"/><Relationship Id="rId412" Type="http://schemas.openxmlformats.org/officeDocument/2006/relationships/image" Target="media/image385.png"/><Relationship Id="rId413" Type="http://schemas.openxmlformats.org/officeDocument/2006/relationships/image" Target="media/image386.png"/><Relationship Id="rId414" Type="http://schemas.openxmlformats.org/officeDocument/2006/relationships/image" Target="media/image387.png"/><Relationship Id="rId415" Type="http://schemas.openxmlformats.org/officeDocument/2006/relationships/image" Target="media/image388.png"/><Relationship Id="rId416" Type="http://schemas.openxmlformats.org/officeDocument/2006/relationships/image" Target="media/image389.png"/><Relationship Id="rId417" Type="http://schemas.openxmlformats.org/officeDocument/2006/relationships/image" Target="media/image390.png"/><Relationship Id="rId418" Type="http://schemas.openxmlformats.org/officeDocument/2006/relationships/image" Target="media/image391.png"/><Relationship Id="rId419" Type="http://schemas.openxmlformats.org/officeDocument/2006/relationships/image" Target="media/image392.png"/><Relationship Id="rId420" Type="http://schemas.openxmlformats.org/officeDocument/2006/relationships/image" Target="media/image393.png"/><Relationship Id="rId421" Type="http://schemas.openxmlformats.org/officeDocument/2006/relationships/image" Target="media/image394.png"/><Relationship Id="rId422" Type="http://schemas.openxmlformats.org/officeDocument/2006/relationships/image" Target="media/image395.png"/><Relationship Id="rId423" Type="http://schemas.openxmlformats.org/officeDocument/2006/relationships/image" Target="media/image396.png"/><Relationship Id="rId424" Type="http://schemas.openxmlformats.org/officeDocument/2006/relationships/image" Target="media/image397.png"/><Relationship Id="rId425" Type="http://schemas.openxmlformats.org/officeDocument/2006/relationships/image" Target="media/image398.png"/><Relationship Id="rId426" Type="http://schemas.openxmlformats.org/officeDocument/2006/relationships/image" Target="media/image399.png"/><Relationship Id="rId427" Type="http://schemas.openxmlformats.org/officeDocument/2006/relationships/image" Target="media/image400.png"/><Relationship Id="rId428" Type="http://schemas.openxmlformats.org/officeDocument/2006/relationships/image" Target="media/image401.png"/><Relationship Id="rId429" Type="http://schemas.openxmlformats.org/officeDocument/2006/relationships/image" Target="media/image402.png"/><Relationship Id="rId430" Type="http://schemas.openxmlformats.org/officeDocument/2006/relationships/image" Target="media/image403.png"/><Relationship Id="rId431" Type="http://schemas.openxmlformats.org/officeDocument/2006/relationships/image" Target="media/image404.png"/><Relationship Id="rId432" Type="http://schemas.openxmlformats.org/officeDocument/2006/relationships/image" Target="media/image405.png"/><Relationship Id="rId433" Type="http://schemas.openxmlformats.org/officeDocument/2006/relationships/image" Target="media/image406.png"/><Relationship Id="rId434" Type="http://schemas.openxmlformats.org/officeDocument/2006/relationships/image" Target="media/image407.png"/><Relationship Id="rId435" Type="http://schemas.openxmlformats.org/officeDocument/2006/relationships/image" Target="media/image408.png"/><Relationship Id="rId436" Type="http://schemas.openxmlformats.org/officeDocument/2006/relationships/image" Target="media/image409.png"/><Relationship Id="rId437" Type="http://schemas.openxmlformats.org/officeDocument/2006/relationships/image" Target="media/image410.png"/><Relationship Id="rId438" Type="http://schemas.openxmlformats.org/officeDocument/2006/relationships/image" Target="media/image411.png"/><Relationship Id="rId439" Type="http://schemas.openxmlformats.org/officeDocument/2006/relationships/image" Target="media/image412.png"/><Relationship Id="rId440" Type="http://schemas.openxmlformats.org/officeDocument/2006/relationships/image" Target="media/image413.png"/><Relationship Id="rId441" Type="http://schemas.openxmlformats.org/officeDocument/2006/relationships/image" Target="media/image414.png"/><Relationship Id="rId442" Type="http://schemas.openxmlformats.org/officeDocument/2006/relationships/image" Target="media/image415.png"/><Relationship Id="rId443" Type="http://schemas.openxmlformats.org/officeDocument/2006/relationships/image" Target="media/image416.png"/><Relationship Id="rId444" Type="http://schemas.openxmlformats.org/officeDocument/2006/relationships/image" Target="media/image417.png"/><Relationship Id="rId445" Type="http://schemas.openxmlformats.org/officeDocument/2006/relationships/image" Target="media/image418.png"/><Relationship Id="rId446" Type="http://schemas.openxmlformats.org/officeDocument/2006/relationships/image" Target="media/image419.png"/><Relationship Id="rId349" Type="http://schemas.openxmlformats.org/officeDocument/2006/relationships/hyperlink" Target="https://www.sec.gov/Archives/edgar/data/1841156/000156459021030840/ck7045120534-ex31_9.htm" TargetMode="External"/><Relationship Id="rId350" Type="http://schemas.openxmlformats.org/officeDocument/2006/relationships/hyperlink" Target="https://www.sec.gov/Archives/edgar/data/1841156/000095017022025091/pay-ex3_2.htm" TargetMode="External"/><Relationship Id="rId351" Type="http://schemas.openxmlformats.org/officeDocument/2006/relationships/hyperlink" Target="https://www.sec.gov/Archives/edgar/data/1841156/000156459021027416/ck7045120534-ex41_105.htm" TargetMode="External"/><Relationship Id="rId352" Type="http://schemas.openxmlformats.org/officeDocument/2006/relationships/hyperlink" Target="https://www.sec.gov/Archives/edgar/data/1841156/000156459021030840/ck7045120534-ex41_7.htm" TargetMode="External"/><Relationship Id="rId353" Type="http://schemas.openxmlformats.org/officeDocument/2006/relationships/hyperlink" Target="https://www.sec.gov/Archives/edgar/data/1841156/000156459021027416/ck7045120534-ex101_15.htm" TargetMode="External"/><Relationship Id="rId354" Type="http://schemas.openxmlformats.org/officeDocument/2006/relationships/hyperlink" Target="https://www.sec.gov/Archives/edgar/data/1841156/000156459021028164/ck7045120534-ex102_397.htm" TargetMode="External"/><Relationship Id="rId355" Type="http://schemas.openxmlformats.org/officeDocument/2006/relationships/hyperlink" Target="https://www.sec.gov/Archives/edgar/data/1841156/000156459021028164/ck7045120534-ex104_394.htm" TargetMode="External"/><Relationship Id="rId356" Type="http://schemas.openxmlformats.org/officeDocument/2006/relationships/hyperlink" Target="https://www.sec.gov/Archives/edgar/data/1841156/000095017023002793/pay-ex10_2.htm" TargetMode="External"/><Relationship Id="rId359" Type="http://schemas.openxmlformats.org/officeDocument/2006/relationships/hyperlink" Target="https://www.sec.gov/Archives/edgar/data/1841156/000156459021028164/ck7045120534-ex106_274.htm" TargetMode="External"/><Relationship Id="rId362" Type="http://schemas.openxmlformats.org/officeDocument/2006/relationships/hyperlink" Target="https://www.sec.gov/Archives/edgar/data/1841156/000095017022024577/pay-ex10_2.htm" TargetMode="External"/><Relationship Id="rId365" Type="http://schemas.openxmlformats.org/officeDocument/2006/relationships/hyperlink" Target="https://www.sec.gov/Archives/edgar/data/1841156/000095017022002823/pay-ex10_9.htm" TargetMode="External"/><Relationship Id="rId368" Type="http://schemas.openxmlformats.org/officeDocument/2006/relationships/hyperlink" Target="https://www.sec.gov/Archives/edgar/data/1841156/000156459021028164/ck7045120534-ex109_277.htm" TargetMode="External"/><Relationship Id="rId371" Type="http://schemas.openxmlformats.org/officeDocument/2006/relationships/hyperlink" Target="https://www.sec.gov/Archives/edgar/data/1841156/000095017023002793/pay-ex10_1.htm" TargetMode="External"/><Relationship Id="rId374" Type="http://schemas.openxmlformats.org/officeDocument/2006/relationships/hyperlink" Target="https://www.sec.gov/Archives/edgar/data/1841156/000095017022002823/pay-ex10_13.htm" TargetMode="External"/><Relationship Id="rId377" Type="http://schemas.openxmlformats.org/officeDocument/2006/relationships/hyperlink" Target="https://www.sec.gov/Archives/edgar/data/1841156/000156459021030840/ck7045120534-ex101_6.htm" TargetMode="External"/><Relationship Id="rId381" Type="http://schemas.openxmlformats.org/officeDocument/2006/relationships/hyperlink" Target="https://www.sec.gov/Archives/edgar/data/1841156/000095017022002823/pay-ex10_16.htm" TargetMode="External"/><Relationship Id="rId382" Type="http://schemas.openxmlformats.org/officeDocument/2006/relationships/hyperlink" Target="https://www.sec.gov/Archives/edgar/data/1841156/000095017022002823/pay-ex10_17.htm" TargetMode="External"/><Relationship Id="rId383" Type="http://schemas.openxmlformats.org/officeDocument/2006/relationships/hyperlink" Target="https://www.sec.gov/Archives/edgar/data/1841156/000095017022008141/pay-ex10_1.htm" TargetMode="External"/><Relationship Id="rId384" Type="http://schemas.openxmlformats.org/officeDocument/2006/relationships/hyperlink" Target="https://www.sec.gov/Archives/edgar/data/1841156/000156459021028164/ck7045120534-ex1014_32.htm" TargetMode="External"/><Relationship Id="rId385" Type="http://schemas.openxmlformats.org/officeDocument/2006/relationships/hyperlink" Target="https://www.sec.gov/Archives/edgar/data/1841156/000095017022017910/pay-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2023-03-03T15:36:28Z</dcterms:created>
  <dcterms:modified xsi:type="dcterms:W3CDTF">2023-03-03T15:36:28Z</dcterms:modified>
</cp:coreProperties>
</file>