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3700" w:right="1540" w:hanging="3679"/>
        <w:spacing w:after="0" w:line="307" w:lineRule="auto"/>
        <w:tabs>
          <w:tab w:leader="none" w:pos="4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2" w:lineRule="exact"/>
        <w:rPr>
          <w:sz w:val="24"/>
          <w:szCs w:val="24"/>
          <w:color w:val="auto"/>
        </w:rPr>
      </w:pPr>
    </w:p>
    <w:p>
      <w:pPr>
        <w:ind w:left="352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39"/>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rPr>
              <w:t>Delaware</w:t>
            </w:r>
          </w:p>
        </w:tc>
        <w:tc>
          <w:tcPr>
            <w:tcW w:w="444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34"/>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 State or other jurisdiction of</w:t>
            </w:r>
          </w:p>
        </w:tc>
        <w:tc>
          <w:tcPr>
            <w:tcW w:w="444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(I.R.S. Employer</w:t>
            </w:r>
          </w:p>
        </w:tc>
      </w:tr>
      <w:tr>
        <w:trPr>
          <w:trHeight w:val="224"/>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incorporation or organization)</w:t>
            </w:r>
          </w:p>
        </w:tc>
        <w:tc>
          <w:tcPr>
            <w:tcW w:w="444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Identification No.)</w:t>
            </w:r>
          </w:p>
        </w:tc>
      </w:tr>
      <w:tr>
        <w:trPr>
          <w:trHeight w:val="249"/>
        </w:trPr>
        <w:tc>
          <w:tcPr>
            <w:tcW w:w="3620" w:type="dxa"/>
            <w:vAlign w:val="bottom"/>
          </w:tcPr>
          <w:p>
            <w:pPr>
              <w:jc w:val="center"/>
              <w:ind w:right="170"/>
              <w:spacing w:after="0" w:line="249" w:lineRule="exact"/>
              <w:rPr>
                <w:sz w:val="20"/>
                <w:szCs w:val="20"/>
                <w:color w:val="auto"/>
              </w:rPr>
            </w:pPr>
            <w:r>
              <w:rPr>
                <w:rFonts w:ascii="Arial" w:cs="Arial" w:eastAsia="Arial" w:hAnsi="Arial"/>
                <w:sz w:val="18"/>
                <w:szCs w:val="18"/>
                <w:b w:val="1"/>
                <w:bCs w:val="1"/>
                <w:color w:val="auto"/>
                <w:w w:val="97"/>
              </w:rPr>
              <w:t>18390 NE 68</w:t>
            </w:r>
            <w:r>
              <w:rPr>
                <w:rFonts w:ascii="Arial" w:cs="Arial" w:eastAsia="Arial" w:hAnsi="Arial"/>
                <w:sz w:val="24"/>
                <w:szCs w:val="24"/>
                <w:b w:val="1"/>
                <w:bCs w:val="1"/>
                <w:color w:val="auto"/>
                <w:w w:val="97"/>
                <w:vertAlign w:val="superscript"/>
              </w:rPr>
              <w:t>th</w:t>
            </w:r>
            <w:r>
              <w:rPr>
                <w:rFonts w:ascii="Arial" w:cs="Arial" w:eastAsia="Arial" w:hAnsi="Arial"/>
                <w:sz w:val="18"/>
                <w:szCs w:val="18"/>
                <w:b w:val="1"/>
                <w:bCs w:val="1"/>
                <w:color w:val="auto"/>
                <w:w w:val="97"/>
              </w:rPr>
              <w:t xml:space="preserve"> St.</w:t>
            </w:r>
          </w:p>
        </w:tc>
        <w:tc>
          <w:tcPr>
            <w:tcW w:w="4440" w:type="dxa"/>
            <w:vAlign w:val="bottom"/>
          </w:tcPr>
          <w:p>
            <w:pPr>
              <w:jc w:val="right"/>
              <w:ind w:right="430"/>
              <w:spacing w:after="0"/>
              <w:rPr>
                <w:sz w:val="20"/>
                <w:szCs w:val="20"/>
                <w:color w:val="auto"/>
              </w:rPr>
            </w:pPr>
            <w:r>
              <w:rPr>
                <w:rFonts w:ascii="Arial" w:cs="Arial" w:eastAsia="Arial" w:hAnsi="Arial"/>
                <w:sz w:val="18"/>
                <w:szCs w:val="18"/>
                <w:b w:val="1"/>
                <w:bCs w:val="1"/>
                <w:color w:val="auto"/>
              </w:rPr>
              <w:t>98052</w:t>
            </w:r>
          </w:p>
        </w:tc>
      </w:tr>
      <w:tr>
        <w:trPr>
          <w:trHeight w:val="239"/>
        </w:trPr>
        <w:tc>
          <w:tcPr>
            <w:tcW w:w="36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Redmond, WA</w:t>
            </w:r>
          </w:p>
        </w:tc>
        <w:tc>
          <w:tcPr>
            <w:tcW w:w="4440" w:type="dxa"/>
            <w:vAlign w:val="bottom"/>
          </w:tcPr>
          <w:p>
            <w:pPr>
              <w:spacing w:after="0"/>
              <w:rPr>
                <w:sz w:val="20"/>
                <w:szCs w:val="20"/>
                <w:color w:val="auto"/>
              </w:rPr>
            </w:pPr>
          </w:p>
        </w:tc>
      </w:tr>
      <w:tr>
        <w:trPr>
          <w:trHeight w:val="243"/>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440" w:type="dxa"/>
            <w:vAlign w:val="bottom"/>
          </w:tcPr>
          <w:p>
            <w:pPr>
              <w:jc w:val="center"/>
              <w:ind w:left="2810"/>
              <w:spacing w:after="0"/>
              <w:rPr>
                <w:sz w:val="20"/>
                <w:szCs w:val="20"/>
                <w:color w:val="auto"/>
              </w:rPr>
            </w:pPr>
            <w:r>
              <w:rPr>
                <w:rFonts w:ascii="Arial" w:cs="Arial" w:eastAsia="Arial" w:hAnsi="Arial"/>
                <w:sz w:val="18"/>
                <w:szCs w:val="18"/>
                <w:b w:val="1"/>
                <w:bCs w:val="1"/>
                <w:color w:val="auto"/>
              </w:rPr>
              <w:t>(Zip Code)</w:t>
            </w:r>
          </w:p>
        </w:tc>
      </w:tr>
      <w:tr>
        <w:trPr>
          <w:trHeight w:val="243"/>
        </w:trPr>
        <w:tc>
          <w:tcPr>
            <w:tcW w:w="3620" w:type="dxa"/>
            <w:vAlign w:val="bottom"/>
          </w:tcPr>
          <w:p>
            <w:pPr>
              <w:spacing w:after="0"/>
              <w:rPr>
                <w:sz w:val="21"/>
                <w:szCs w:val="21"/>
                <w:color w:val="auto"/>
              </w:rPr>
            </w:pPr>
          </w:p>
        </w:tc>
        <w:tc>
          <w:tcPr>
            <w:tcW w:w="4440" w:type="dxa"/>
            <w:vAlign w:val="bottom"/>
          </w:tcPr>
          <w:p>
            <w:pPr>
              <w:jc w:val="right"/>
              <w:ind w:right="2870"/>
              <w:spacing w:after="0"/>
              <w:rPr>
                <w:sz w:val="20"/>
                <w:szCs w:val="20"/>
                <w:color w:val="auto"/>
              </w:rPr>
            </w:pPr>
            <w:r>
              <w:rPr>
                <w:rFonts w:ascii="Arial" w:cs="Arial" w:eastAsia="Arial" w:hAnsi="Arial"/>
                <w:sz w:val="18"/>
                <w:szCs w:val="18"/>
                <w:b w:val="1"/>
                <w:bCs w:val="1"/>
                <w:color w:val="auto"/>
              </w:rPr>
              <w:t>(888) 440-4826</w:t>
            </w:r>
          </w:p>
        </w:tc>
      </w:tr>
    </w:tbl>
    <w:p>
      <w:pPr>
        <w:ind w:left="33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ind w:left="15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r>
      <w:tr>
        <w:trPr>
          <w:trHeight w:val="177"/>
        </w:trPr>
        <w:tc>
          <w:tcPr>
            <w:tcW w:w="430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33" w:lineRule="exact"/>
        <w:rPr>
          <w:sz w:val="24"/>
          <w:szCs w:val="24"/>
          <w:color w:val="auto"/>
        </w:rPr>
      </w:pPr>
    </w:p>
    <w:p>
      <w:pPr>
        <w:ind w:right="260" w:firstLine="494"/>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right="660" w:firstLine="494"/>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00" w:firstLine="494"/>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134" w:lineRule="exact"/>
        <w:rPr>
          <w:sz w:val="24"/>
          <w:szCs w:val="24"/>
          <w:color w:val="auto"/>
        </w:rPr>
      </w:pPr>
    </w:p>
    <w:p>
      <w:pPr>
        <w:ind w:right="560" w:firstLine="49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00"/>
        <w:spacing w:after="0" w:line="207" w:lineRule="exact"/>
        <w:tabs>
          <w:tab w:leader="none" w:pos="9720" w:val="left"/>
          <w:tab w:leader="none" w:pos="10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ind w:right="120" w:firstLine="494"/>
        <w:spacing w:after="0" w:line="277" w:lineRule="auto"/>
        <w:rPr>
          <w:sz w:val="20"/>
          <w:szCs w:val="20"/>
          <w:color w:val="auto"/>
        </w:rPr>
      </w:pPr>
      <w:r>
        <w:rPr>
          <w:rFonts w:ascii="Arial" w:cs="Arial" w:eastAsia="Arial" w:hAnsi="Arial"/>
          <w:sz w:val="18"/>
          <w:szCs w:val="18"/>
          <w:color w:val="auto"/>
        </w:rPr>
        <w:t>As of August 6, 2021, the registrant had 13,880,950 shares of Class A Common Stock, $0.0001 par value per share and 103,479,239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80" w:type="dxa"/>
            <w:vAlign w:val="bottom"/>
            <w:gridSpan w:val="9"/>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563C1"/>
            </w:tcBorders>
            <w:gridSpan w:val="7"/>
          </w:tcPr>
          <w:p>
            <w:pPr>
              <w:spacing w:after="0"/>
              <w:rPr>
                <w:rFonts w:ascii="Arial" w:cs="Arial" w:eastAsia="Arial" w:hAnsi="Arial"/>
                <w:sz w:val="18"/>
                <w:szCs w:val="18"/>
                <w:color w:val="0563C1"/>
                <w:w w:val="98"/>
              </w:rPr>
            </w:pPr>
            <w:hyperlink w:anchor="page5">
              <w:r>
                <w:rPr>
                  <w:rFonts w:ascii="Arial" w:cs="Arial" w:eastAsia="Arial" w:hAnsi="Arial"/>
                  <w:sz w:val="18"/>
                  <w:szCs w:val="18"/>
                  <w:color w:val="0563C1"/>
                  <w:w w:val="98"/>
                </w:rPr>
                <w:t>FINANCIAL INFORMATION</w:t>
              </w:r>
            </w:hyperlink>
          </w:p>
        </w:tc>
        <w:tc>
          <w:tcPr>
            <w:tcW w:w="706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0563C1"/>
              </w:rPr>
              <w:t>Item 1.</w:t>
            </w:r>
          </w:p>
        </w:tc>
        <w:tc>
          <w:tcPr>
            <w:tcW w:w="93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Statements (Unaudited)</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0563C1"/>
              </w:rPr>
              <w:t>7</w:t>
            </w: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Balance Sheets</w:t>
              </w:r>
            </w:hyperlink>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563C1"/>
              </w:rPr>
            </w:pPr>
            <w:hyperlink w:anchor="page6">
              <w:r>
                <w:rPr>
                  <w:rFonts w:ascii="Arial" w:cs="Arial" w:eastAsia="Arial" w:hAnsi="Arial"/>
                  <w:sz w:val="18"/>
                  <w:szCs w:val="18"/>
                  <w:color w:val="0563C1"/>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56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Borders>
              <w:bottom w:val="single" w:sz="8" w:color="0563C1"/>
            </w:tcBorders>
            <w:gridSpan w:val="17"/>
          </w:tcPr>
          <w:p>
            <w:pPr>
              <w:spacing w:after="0"/>
              <w:rPr>
                <w:rFonts w:ascii="Arial" w:cs="Arial" w:eastAsia="Arial" w:hAnsi="Arial"/>
                <w:sz w:val="18"/>
                <w:szCs w:val="18"/>
                <w:color w:val="0563C1"/>
                <w:w w:val="99"/>
              </w:rPr>
            </w:pPr>
            <w:hyperlink w:anchor="page7">
              <w:r>
                <w:rPr>
                  <w:rFonts w:ascii="Arial" w:cs="Arial" w:eastAsia="Arial" w:hAnsi="Arial"/>
                  <w:sz w:val="18"/>
                  <w:szCs w:val="18"/>
                  <w:color w:val="0563C1"/>
                  <w:w w:val="99"/>
                </w:rPr>
                <w:t>Condensed Consolidated Statements of Comprehensive Income (Loss)</w:t>
              </w:r>
            </w:hyperlink>
          </w:p>
        </w:tc>
        <w:tc>
          <w:tcPr>
            <w:tcW w:w="36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tcBorders>
              <w:bottom w:val="single" w:sz="8" w:color="0563C1"/>
            </w:tcBorders>
            <w:gridSpan w:val="15"/>
          </w:tcPr>
          <w:p>
            <w:pPr>
              <w:spacing w:after="0"/>
              <w:rPr>
                <w:rFonts w:ascii="Arial" w:cs="Arial" w:eastAsia="Arial" w:hAnsi="Arial"/>
                <w:sz w:val="18"/>
                <w:szCs w:val="18"/>
                <w:color w:val="0563C1"/>
                <w:w w:val="99"/>
              </w:rPr>
            </w:pPr>
            <w:hyperlink w:anchor="page8">
              <w:r>
                <w:rPr>
                  <w:rFonts w:ascii="Arial" w:cs="Arial" w:eastAsia="Arial" w:hAnsi="Arial"/>
                  <w:sz w:val="18"/>
                  <w:szCs w:val="18"/>
                  <w:color w:val="0563C1"/>
                  <w:w w:val="99"/>
                </w:rPr>
                <w:t>Condensed Consolidated Statements of Stockholders' Equity</w:t>
              </w:r>
            </w:hyperlink>
          </w:p>
        </w:tc>
        <w:tc>
          <w:tcPr>
            <w:tcW w:w="44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10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00" w:type="dxa"/>
            <w:vAlign w:val="bottom"/>
            <w:gridSpan w:val="19"/>
          </w:tcPr>
          <w:p>
            <w:pPr>
              <w:spacing w:after="0"/>
              <w:rPr>
                <w:rFonts w:ascii="Arial" w:cs="Arial" w:eastAsia="Arial" w:hAnsi="Arial"/>
                <w:sz w:val="18"/>
                <w:szCs w:val="18"/>
                <w:color w:val="0563C1"/>
              </w:rPr>
            </w:pPr>
            <w:hyperlink w:anchor="page9">
              <w:r>
                <w:rPr>
                  <w:rFonts w:ascii="Arial" w:cs="Arial" w:eastAsia="Arial" w:hAnsi="Arial"/>
                  <w:sz w:val="18"/>
                  <w:szCs w:val="18"/>
                  <w:color w:val="0563C1"/>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11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620" w:type="dxa"/>
            <w:vAlign w:val="bottom"/>
            <w:gridSpan w:val="4"/>
            <w:shd w:val="clear" w:color="auto" w:fill="0563C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0563C1"/>
              </w:rPr>
              <w:t>12</w:t>
            </w: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tcBorders>
              <w:bottom w:val="single" w:sz="8" w:color="0563C1"/>
            </w:tcBorders>
            <w:gridSpan w:val="16"/>
          </w:tcPr>
          <w:p>
            <w:pPr>
              <w:spacing w:after="0"/>
              <w:rPr>
                <w:rFonts w:ascii="Arial" w:cs="Arial" w:eastAsia="Arial" w:hAnsi="Arial"/>
                <w:sz w:val="18"/>
                <w:szCs w:val="18"/>
                <w:color w:val="0563C1"/>
                <w:w w:val="99"/>
              </w:rPr>
            </w:pPr>
            <w:hyperlink w:anchor="page10">
              <w:r>
                <w:rPr>
                  <w:rFonts w:ascii="Arial" w:cs="Arial" w:eastAsia="Arial" w:hAnsi="Arial"/>
                  <w:sz w:val="18"/>
                  <w:szCs w:val="18"/>
                  <w:color w:val="0563C1"/>
                  <w:w w:val="99"/>
                </w:rPr>
                <w:t>Notes to Unaudited Condensed Consolidated Financial Statements</w:t>
              </w:r>
            </w:hyperlink>
          </w:p>
        </w:tc>
        <w:tc>
          <w:tcPr>
            <w:tcW w:w="3960" w:type="dxa"/>
            <w:vAlign w:val="bottom"/>
            <w:gridSpan w:val="3"/>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2.</w:t>
            </w:r>
          </w:p>
        </w:tc>
        <w:tc>
          <w:tcPr>
            <w:tcW w:w="7080" w:type="dxa"/>
            <w:vAlign w:val="bottom"/>
            <w:tcBorders>
              <w:bottom w:val="single" w:sz="8" w:color="0563C1"/>
            </w:tcBorders>
            <w:gridSpan w:val="18"/>
          </w:tcPr>
          <w:p>
            <w:pPr>
              <w:spacing w:after="0"/>
              <w:rPr>
                <w:rFonts w:ascii="Arial" w:cs="Arial" w:eastAsia="Arial" w:hAnsi="Arial"/>
                <w:sz w:val="18"/>
                <w:szCs w:val="18"/>
                <w:color w:val="0563C1"/>
                <w:w w:val="99"/>
              </w:rPr>
            </w:pPr>
            <w:hyperlink w:anchor="page20">
              <w:r>
                <w:rPr>
                  <w:rFonts w:ascii="Arial" w:cs="Arial" w:eastAsia="Arial" w:hAnsi="Arial"/>
                  <w:sz w:val="18"/>
                  <w:szCs w:val="18"/>
                  <w:color w:val="0563C1"/>
                  <w:w w:val="99"/>
                </w:rPr>
                <w:t>Management’s Discussion and Analysis of Financial Condition and Results of Operations</w:t>
              </w:r>
            </w:hyperlink>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22</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3.</w:t>
            </w:r>
          </w:p>
        </w:tc>
        <w:tc>
          <w:tcPr>
            <w:tcW w:w="9300" w:type="dxa"/>
            <w:vAlign w:val="bottom"/>
            <w:gridSpan w:val="19"/>
          </w:tcPr>
          <w:p>
            <w:pPr>
              <w:spacing w:after="0"/>
              <w:rPr>
                <w:rFonts w:ascii="Arial" w:cs="Arial" w:eastAsia="Arial" w:hAnsi="Arial"/>
                <w:sz w:val="18"/>
                <w:szCs w:val="18"/>
                <w:color w:val="0563C1"/>
              </w:rPr>
            </w:pPr>
            <w:hyperlink w:anchor="page32">
              <w:r>
                <w:rPr>
                  <w:rFonts w:ascii="Arial" w:cs="Arial" w:eastAsia="Arial" w:hAnsi="Arial"/>
                  <w:sz w:val="18"/>
                  <w:szCs w:val="18"/>
                  <w:color w:val="0563C1"/>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34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4.</w:t>
            </w:r>
          </w:p>
        </w:tc>
        <w:tc>
          <w:tcPr>
            <w:tcW w:w="4700" w:type="dxa"/>
            <w:vAlign w:val="bottom"/>
            <w:tcBorders>
              <w:top w:val="single" w:sz="8" w:color="0563C1"/>
            </w:tcBorders>
            <w:gridSpan w:val="13"/>
          </w:tcPr>
          <w:p>
            <w:pPr>
              <w:spacing w:after="0"/>
              <w:rPr>
                <w:rFonts w:ascii="Arial" w:cs="Arial" w:eastAsia="Arial" w:hAnsi="Arial"/>
                <w:sz w:val="18"/>
                <w:szCs w:val="18"/>
                <w:color w:val="0563C1"/>
              </w:rPr>
            </w:pPr>
            <w:hyperlink w:anchor="page33">
              <w:r>
                <w:rPr>
                  <w:rFonts w:ascii="Arial" w:cs="Arial" w:eastAsia="Arial" w:hAnsi="Arial"/>
                  <w:sz w:val="18"/>
                  <w:szCs w:val="18"/>
                  <w:color w:val="0563C1"/>
                </w:rPr>
                <w:t>Controls and Procedures</w:t>
              </w:r>
            </w:hyperlink>
          </w:p>
        </w:tc>
        <w:tc>
          <w:tcPr>
            <w:tcW w:w="460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35</w:t>
            </w:r>
          </w:p>
        </w:tc>
        <w:tc>
          <w:tcPr>
            <w:tcW w:w="0" w:type="dxa"/>
            <w:vAlign w:val="bottom"/>
          </w:tcPr>
          <w:p>
            <w:pPr>
              <w:spacing w:after="0"/>
              <w:rPr>
                <w:sz w:val="1"/>
                <w:szCs w:val="1"/>
                <w:color w:val="auto"/>
              </w:rPr>
            </w:pPr>
          </w:p>
        </w:tc>
      </w:tr>
      <w:tr>
        <w:trPr>
          <w:trHeight w:val="50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563C1"/>
            </w:tcBorders>
            <w:gridSpan w:val="6"/>
          </w:tcPr>
          <w:p>
            <w:pPr>
              <w:spacing w:after="0"/>
              <w:rPr>
                <w:sz w:val="20"/>
                <w:szCs w:val="20"/>
                <w:color w:val="auto"/>
              </w:rPr>
            </w:pPr>
            <w:r>
              <w:rPr>
                <w:rFonts w:ascii="Arial" w:cs="Arial" w:eastAsia="Arial" w:hAnsi="Arial"/>
                <w:sz w:val="18"/>
                <w:szCs w:val="18"/>
                <w:color w:val="0563C1"/>
              </w:rPr>
              <w:t>OTHER INFORMATION</w:t>
            </w:r>
          </w:p>
        </w:tc>
        <w:tc>
          <w:tcPr>
            <w:tcW w:w="73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gridSpan w:val="2"/>
          </w:tcPr>
          <w:p>
            <w:pPr>
              <w:spacing w:after="0"/>
              <w:rPr>
                <w:sz w:val="20"/>
                <w:szCs w:val="20"/>
                <w:color w:val="auto"/>
              </w:rPr>
            </w:pPr>
            <w:r>
              <w:rPr>
                <w:rFonts w:ascii="Arial" w:cs="Arial" w:eastAsia="Arial" w:hAnsi="Arial"/>
                <w:sz w:val="18"/>
                <w:szCs w:val="18"/>
                <w:color w:val="0563C1"/>
              </w:rPr>
              <w:t>Item 1.</w:t>
            </w:r>
          </w:p>
        </w:tc>
        <w:tc>
          <w:tcPr>
            <w:tcW w:w="9300" w:type="dxa"/>
            <w:vAlign w:val="bottom"/>
            <w:gridSpan w:val="19"/>
          </w:tcPr>
          <w:p>
            <w:pPr>
              <w:spacing w:after="0"/>
              <w:rPr>
                <w:rFonts w:ascii="Arial" w:cs="Arial" w:eastAsia="Arial" w:hAnsi="Arial"/>
                <w:sz w:val="18"/>
                <w:szCs w:val="18"/>
                <w:color w:val="0563C1"/>
              </w:rPr>
            </w:pPr>
            <w:hyperlink w:anchor="page34">
              <w:r>
                <w:rPr>
                  <w:rFonts w:ascii="Arial" w:cs="Arial" w:eastAsia="Arial" w:hAnsi="Arial"/>
                  <w:sz w:val="18"/>
                  <w:szCs w:val="18"/>
                  <w:color w:val="0563C1"/>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36</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1A.</w:t>
            </w:r>
          </w:p>
        </w:tc>
        <w:tc>
          <w:tcPr>
            <w:tcW w:w="1000" w:type="dxa"/>
            <w:vAlign w:val="bottom"/>
            <w:tcBorders>
              <w:top w:val="single" w:sz="8" w:color="0563C1"/>
              <w:bottom w:val="single" w:sz="8" w:color="0563C1"/>
            </w:tcBorders>
            <w:gridSpan w:val="2"/>
          </w:tcPr>
          <w:p>
            <w:pPr>
              <w:spacing w:after="0"/>
              <w:rPr>
                <w:rFonts w:ascii="Arial" w:cs="Arial" w:eastAsia="Arial" w:hAnsi="Arial"/>
                <w:sz w:val="18"/>
                <w:szCs w:val="18"/>
                <w:color w:val="0563C1"/>
                <w:w w:val="97"/>
              </w:rPr>
            </w:pPr>
            <w:hyperlink w:anchor="page34">
              <w:r>
                <w:rPr>
                  <w:rFonts w:ascii="Arial" w:cs="Arial" w:eastAsia="Arial" w:hAnsi="Arial"/>
                  <w:sz w:val="18"/>
                  <w:szCs w:val="18"/>
                  <w:color w:val="0563C1"/>
                  <w:w w:val="97"/>
                </w:rPr>
                <w:t>Risk Factors</w:t>
              </w:r>
            </w:hyperlink>
          </w:p>
        </w:tc>
        <w:tc>
          <w:tcPr>
            <w:tcW w:w="480" w:type="dxa"/>
            <w:vAlign w:val="bottom"/>
            <w:tcBorders>
              <w:top w:val="single" w:sz="8" w:color="0563C1"/>
            </w:tcBorders>
            <w:gridSpan w:val="2"/>
          </w:tcPr>
          <w:p>
            <w:pPr>
              <w:spacing w:after="0"/>
              <w:rPr>
                <w:sz w:val="19"/>
                <w:szCs w:val="19"/>
                <w:color w:val="auto"/>
              </w:rPr>
            </w:pPr>
          </w:p>
        </w:tc>
        <w:tc>
          <w:tcPr>
            <w:tcW w:w="782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36</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2.</w:t>
            </w:r>
          </w:p>
        </w:tc>
        <w:tc>
          <w:tcPr>
            <w:tcW w:w="9300" w:type="dxa"/>
            <w:vAlign w:val="bottom"/>
            <w:gridSpan w:val="19"/>
          </w:tcPr>
          <w:p>
            <w:pPr>
              <w:spacing w:after="0"/>
              <w:rPr>
                <w:rFonts w:ascii="Arial" w:cs="Arial" w:eastAsia="Arial" w:hAnsi="Arial"/>
                <w:sz w:val="18"/>
                <w:szCs w:val="18"/>
                <w:color w:val="0563C1"/>
              </w:rPr>
            </w:pPr>
            <w:hyperlink w:anchor="page67">
              <w:r>
                <w:rPr>
                  <w:rFonts w:ascii="Arial" w:cs="Arial" w:eastAsia="Arial" w:hAnsi="Arial"/>
                  <w:sz w:val="18"/>
                  <w:szCs w:val="18"/>
                  <w:color w:val="0563C1"/>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69</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3.</w:t>
            </w:r>
          </w:p>
        </w:tc>
        <w:tc>
          <w:tcPr>
            <w:tcW w:w="4840" w:type="dxa"/>
            <w:vAlign w:val="bottom"/>
            <w:tcBorders>
              <w:top w:val="single" w:sz="8" w:color="0563C1"/>
            </w:tcBorders>
            <w:gridSpan w:val="14"/>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Defaults Upon Senior Securities</w:t>
              </w:r>
            </w:hyperlink>
          </w:p>
        </w:tc>
        <w:tc>
          <w:tcPr>
            <w:tcW w:w="446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70</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4.</w:t>
            </w:r>
          </w:p>
        </w:tc>
        <w:tc>
          <w:tcPr>
            <w:tcW w:w="2540" w:type="dxa"/>
            <w:vAlign w:val="bottom"/>
            <w:tcBorders>
              <w:top w:val="single" w:sz="8" w:color="0563C1"/>
            </w:tcBorders>
            <w:gridSpan w:val="8"/>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Mine Safety Disclosures</w:t>
              </w:r>
            </w:hyperlink>
          </w:p>
        </w:tc>
        <w:tc>
          <w:tcPr>
            <w:tcW w:w="67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70</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5.</w:t>
            </w:r>
          </w:p>
        </w:tc>
        <w:tc>
          <w:tcPr>
            <w:tcW w:w="1400" w:type="dxa"/>
            <w:vAlign w:val="bottom"/>
            <w:tcBorders>
              <w:top w:val="single" w:sz="8" w:color="0563C1"/>
              <w:bottom w:val="single" w:sz="8" w:color="0563C1"/>
            </w:tcBorders>
            <w:gridSpan w:val="3"/>
          </w:tcPr>
          <w:p>
            <w:pPr>
              <w:spacing w:after="0"/>
              <w:rPr>
                <w:rFonts w:ascii="Arial" w:cs="Arial" w:eastAsia="Arial" w:hAnsi="Arial"/>
                <w:sz w:val="18"/>
                <w:szCs w:val="18"/>
                <w:color w:val="0563C1"/>
                <w:w w:val="98"/>
              </w:rPr>
            </w:pPr>
            <w:hyperlink w:anchor="page68">
              <w:r>
                <w:rPr>
                  <w:rFonts w:ascii="Arial" w:cs="Arial" w:eastAsia="Arial" w:hAnsi="Arial"/>
                  <w:sz w:val="18"/>
                  <w:szCs w:val="18"/>
                  <w:color w:val="0563C1"/>
                  <w:w w:val="98"/>
                </w:rPr>
                <w:t>Other Information</w:t>
              </w:r>
            </w:hyperlink>
          </w:p>
        </w:tc>
        <w:tc>
          <w:tcPr>
            <w:tcW w:w="520" w:type="dxa"/>
            <w:vAlign w:val="bottom"/>
            <w:tcBorders>
              <w:top w:val="single" w:sz="8" w:color="0563C1"/>
            </w:tcBorders>
            <w:gridSpan w:val="2"/>
          </w:tcPr>
          <w:p>
            <w:pPr>
              <w:spacing w:after="0"/>
              <w:rPr>
                <w:sz w:val="19"/>
                <w:szCs w:val="19"/>
                <w:color w:val="auto"/>
              </w:rPr>
            </w:pPr>
          </w:p>
        </w:tc>
        <w:tc>
          <w:tcPr>
            <w:tcW w:w="73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70</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0563C1"/>
              </w:rPr>
              <w:t>Item 6.</w:t>
            </w:r>
          </w:p>
        </w:tc>
        <w:tc>
          <w:tcPr>
            <w:tcW w:w="9300" w:type="dxa"/>
            <w:vAlign w:val="bottom"/>
            <w:gridSpan w:val="19"/>
          </w:tcPr>
          <w:p>
            <w:pPr>
              <w:spacing w:after="0"/>
              <w:rPr>
                <w:rFonts w:ascii="Arial" w:cs="Arial" w:eastAsia="Arial" w:hAnsi="Arial"/>
                <w:sz w:val="18"/>
                <w:szCs w:val="18"/>
                <w:color w:val="0563C1"/>
              </w:rPr>
            </w:pPr>
            <w:hyperlink w:anchor="page68">
              <w:r>
                <w:rPr>
                  <w:rFonts w:ascii="Arial" w:cs="Arial" w:eastAsia="Arial" w:hAnsi="Arial"/>
                  <w:sz w:val="18"/>
                  <w:szCs w:val="18"/>
                  <w:color w:val="0563C1"/>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0563C1"/>
              </w:rPr>
              <w:t>70</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563C1"/>
              </w:rPr>
            </w:pPr>
            <w:hyperlink w:anchor="page70">
              <w:r>
                <w:rPr>
                  <w:rFonts w:ascii="Arial" w:cs="Arial" w:eastAsia="Arial" w:hAnsi="Arial"/>
                  <w:sz w:val="18"/>
                  <w:szCs w:val="18"/>
                  <w:color w:val="0563C1"/>
                </w:rPr>
                <w:t>Signatures</w:t>
              </w:r>
            </w:hyperlink>
          </w:p>
        </w:tc>
        <w:tc>
          <w:tcPr>
            <w:tcW w:w="620" w:type="dxa"/>
            <w:vAlign w:val="bottom"/>
            <w:tcBorders>
              <w:top w:val="single" w:sz="8" w:color="0563C1"/>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0563C1"/>
              </w:rPr>
              <w:t>72</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5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95"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Our rapid growth may not be sustainable or indicative of future growth, and our business could be harmed if we fail to manage our infrastructure to support future growth.</w:t>
      </w:r>
    </w:p>
    <w:p>
      <w:pPr>
        <w:spacing w:after="0" w:line="89"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If we are unsuccessful in establishing, growing or maintaining partnerships, our ability to compete could be impaired, and our operating results may suffer.</w:t>
      </w:r>
    </w:p>
    <w:p>
      <w:pPr>
        <w:spacing w:after="0" w:line="89" w:lineRule="exact"/>
        <w:rPr>
          <w:sz w:val="20"/>
          <w:szCs w:val="20"/>
          <w:color w:val="auto"/>
        </w:rPr>
      </w:pPr>
    </w:p>
    <w:p>
      <w:pPr>
        <w:ind w:left="960" w:right="340"/>
        <w:spacing w:after="0" w:line="271" w:lineRule="auto"/>
        <w:rPr>
          <w:sz w:val="20"/>
          <w:szCs w:val="20"/>
          <w:color w:val="auto"/>
        </w:rPr>
      </w:pPr>
      <w:r>
        <w:rPr>
          <w:rFonts w:ascii="Arial" w:cs="Arial" w:eastAsia="Arial" w:hAnsi="Arial"/>
          <w:sz w:val="18"/>
          <w:szCs w:val="18"/>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sales efforts to large enterprises involve considerable time and expense with long and unpredictable sales cycles.</w:t>
      </w:r>
    </w:p>
    <w:p>
      <w:pPr>
        <w:spacing w:after="0" w:line="131"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The COVID-19 pandemic could have a material adverse impact on our employees, billers, partners, consumers and other key stakeholders, which could materially and adversely impact our business, operating results and financial condition.</w:t>
      </w:r>
    </w:p>
    <w:p>
      <w:pPr>
        <w:spacing w:after="0" w:line="89" w:lineRule="exact"/>
        <w:rPr>
          <w:sz w:val="20"/>
          <w:szCs w:val="20"/>
          <w:color w:val="auto"/>
        </w:rPr>
      </w:pPr>
    </w:p>
    <w:p>
      <w:pPr>
        <w:ind w:left="960" w:right="220"/>
        <w:spacing w:after="0" w:line="271" w:lineRule="auto"/>
        <w:rPr>
          <w:sz w:val="20"/>
          <w:szCs w:val="20"/>
          <w:color w:val="auto"/>
        </w:rPr>
      </w:pPr>
      <w:r>
        <w:rPr>
          <w:rFonts w:ascii="Arial" w:cs="Arial" w:eastAsia="Arial" w:hAnsi="Arial"/>
          <w:sz w:val="18"/>
          <w:szCs w:val="18"/>
          <w:color w:val="auto"/>
        </w:rPr>
        <w:t>We are subject to economic and geopolitical risk, the business cycles and credit risk of our billers and partners and their consumers, and the overall level of consumer, business and government spending, which could negatively affect our business, operating results and financial condition.</w:t>
      </w:r>
    </w:p>
    <w:p>
      <w:pPr>
        <w:spacing w:after="0" w:line="95"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The markets in which we participate are competitive, and if we do not compete effectively, our business, operating results and financial condition could be harmed.</w:t>
      </w:r>
    </w:p>
    <w:p>
      <w:pPr>
        <w:spacing w:after="0" w:line="89"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Our revenue is sensitive to shifts in payment mix and if more consumers start paying their bills by payment methods with lower transaction fees, it could materially impact our operating results.</w:t>
      </w:r>
    </w:p>
    <w:p>
      <w:pPr>
        <w:spacing w:after="0" w:line="89" w:lineRule="exact"/>
        <w:rPr>
          <w:sz w:val="20"/>
          <w:szCs w:val="20"/>
          <w:color w:val="auto"/>
        </w:rPr>
      </w:pPr>
    </w:p>
    <w:p>
      <w:pPr>
        <w:ind w:left="960" w:right="180"/>
        <w:spacing w:after="0" w:line="271" w:lineRule="auto"/>
        <w:rPr>
          <w:sz w:val="20"/>
          <w:szCs w:val="20"/>
          <w:color w:val="auto"/>
        </w:rPr>
      </w:pPr>
      <w:r>
        <w:rPr>
          <w:rFonts w:ascii="Arial" w:cs="Arial" w:eastAsia="Arial" w:hAnsi="Arial"/>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Class A common stock could decline.</w:t>
      </w:r>
    </w:p>
    <w:p>
      <w:pPr>
        <w:spacing w:after="0" w:line="95" w:lineRule="exact"/>
        <w:rPr>
          <w:sz w:val="20"/>
          <w:szCs w:val="20"/>
          <w:color w:val="auto"/>
        </w:rPr>
      </w:pPr>
    </w:p>
    <w:p>
      <w:pPr>
        <w:ind w:left="960" w:right="580"/>
        <w:spacing w:after="0" w:line="308" w:lineRule="auto"/>
        <w:rPr>
          <w:sz w:val="20"/>
          <w:szCs w:val="20"/>
          <w:color w:val="auto"/>
        </w:rPr>
      </w:pPr>
      <w:r>
        <w:rPr>
          <w:rFonts w:ascii="Arial" w:cs="Arial" w:eastAsia="Arial" w:hAnsi="Arial"/>
          <w:sz w:val="17"/>
          <w:szCs w:val="17"/>
          <w:color w:val="auto"/>
        </w:rPr>
        <w:t>We depend on third-party payment processors to process bill payments made on our platform and our business, operating results and reputation could be harmed if we experience service interruptions related to our payment processors.</w:t>
      </w:r>
    </w:p>
    <w:p>
      <w:pPr>
        <w:spacing w:after="0" w:line="65" w:lineRule="exact"/>
        <w:rPr>
          <w:sz w:val="20"/>
          <w:szCs w:val="20"/>
          <w:color w:val="auto"/>
        </w:rPr>
      </w:pPr>
    </w:p>
    <w:p>
      <w:pPr>
        <w:ind w:left="960" w:right="200"/>
        <w:spacing w:after="0" w:line="271" w:lineRule="auto"/>
        <w:rPr>
          <w:sz w:val="20"/>
          <w:szCs w:val="20"/>
          <w:color w:val="auto"/>
        </w:rPr>
      </w:pPr>
      <w:r>
        <w:rPr>
          <w:rFonts w:ascii="Arial" w:cs="Arial" w:eastAsia="Arial" w:hAnsi="Arial"/>
          <w:sz w:val="18"/>
          <w:szCs w:val="18"/>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95"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Our risk management efforts may not be effective to prevent fraudulent activities, which could expose us to material financial losses and liability and otherwise harm our business.</w:t>
      </w:r>
    </w:p>
    <w:p>
      <w:pPr>
        <w:spacing w:after="0" w:line="89" w:lineRule="exact"/>
        <w:rPr>
          <w:sz w:val="20"/>
          <w:szCs w:val="20"/>
          <w:color w:val="auto"/>
        </w:rPr>
      </w:pPr>
    </w:p>
    <w:p>
      <w:pPr>
        <w:ind w:left="960" w:right="20"/>
        <w:spacing w:after="0" w:line="271" w:lineRule="auto"/>
        <w:rPr>
          <w:sz w:val="20"/>
          <w:szCs w:val="20"/>
          <w:color w:val="auto"/>
        </w:rPr>
      </w:pPr>
      <w:r>
        <w:rPr>
          <w:rFonts w:ascii="Arial" w:cs="Arial" w:eastAsia="Arial" w:hAnsi="Arial"/>
          <w:sz w:val="18"/>
          <w:szCs w:val="18"/>
          <w:color w:val="auto"/>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spacing w:after="0" w:line="95" w:lineRule="exact"/>
        <w:rPr>
          <w:sz w:val="20"/>
          <w:szCs w:val="20"/>
          <w:color w:val="auto"/>
        </w:rPr>
      </w:pPr>
    </w:p>
    <w:p>
      <w:pPr>
        <w:jc w:val="both"/>
        <w:ind w:left="960" w:right="580"/>
        <w:spacing w:after="0" w:line="271" w:lineRule="auto"/>
        <w:rPr>
          <w:sz w:val="20"/>
          <w:szCs w:val="20"/>
          <w:color w:val="auto"/>
        </w:rPr>
      </w:pPr>
      <w:r>
        <w:rPr>
          <w:rFonts w:ascii="Arial" w:cs="Arial" w:eastAsia="Arial" w:hAnsi="Arial"/>
          <w:sz w:val="18"/>
          <w:szCs w:val="18"/>
          <w:color w:val="auto"/>
        </w:rPr>
        <w:t>We identified material weaknesses in our internal control over financial reporting, and if we fail to remediate these material weaknesses or if we otherwise fail to establish and maintain effective internal control over financial reporting, our ability to accurately and timely report our financial results could be adversely affected.</w:t>
      </w:r>
    </w:p>
    <w:p>
      <w:pPr>
        <w:spacing w:after="0" w:line="95" w:lineRule="exact"/>
        <w:rPr>
          <w:sz w:val="20"/>
          <w:szCs w:val="20"/>
          <w:color w:val="auto"/>
        </w:rPr>
      </w:pPr>
    </w:p>
    <w:p>
      <w:pPr>
        <w:ind w:left="960" w:right="140"/>
        <w:spacing w:after="0" w:line="271" w:lineRule="auto"/>
        <w:rPr>
          <w:sz w:val="20"/>
          <w:szCs w:val="20"/>
          <w:color w:val="auto"/>
        </w:rPr>
      </w:pPr>
      <w:r>
        <w:rPr>
          <w:rFonts w:ascii="Arial" w:cs="Arial" w:eastAsia="Arial" w:hAnsi="Arial"/>
          <w:sz w:val="18"/>
          <w:szCs w:val="18"/>
          <w:color w:val="auto"/>
        </w:rPr>
        <w:t>We may experience software and technology defects, undetected errors, development delays or other performance problems in our software and other technology used as part of our platform, which could damage biller and partner relations, harm our reputation, result in significant costs to us, decrease our potential profitability and expose us to substantial liability.</w:t>
      </w:r>
    </w:p>
    <w:p>
      <w:pPr>
        <w:spacing w:after="0" w:line="95"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95" w:lineRule="exact"/>
        <w:rPr>
          <w:sz w:val="20"/>
          <w:szCs w:val="20"/>
          <w:color w:val="auto"/>
        </w:rPr>
      </w:pPr>
    </w:p>
    <w:p>
      <w:pPr>
        <w:ind w:left="960" w:right="180"/>
        <w:spacing w:after="0" w:line="258" w:lineRule="auto"/>
        <w:rPr>
          <w:sz w:val="20"/>
          <w:szCs w:val="20"/>
          <w:color w:val="auto"/>
        </w:rPr>
      </w:pPr>
      <w:r>
        <w:rPr>
          <w:rFonts w:ascii="Arial" w:cs="Arial" w:eastAsia="Arial" w:hAnsi="Arial"/>
          <w:sz w:val="18"/>
          <w:szCs w:val="18"/>
          <w:color w:val="auto"/>
        </w:rPr>
        <w:t>We and our billers and partners and their consumers and other third parties that use our platform obtain, provide and process a large amount of sensitive and personal data. Any real or perceived improper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right="660"/>
        <w:spacing w:after="0" w:line="277" w:lineRule="auto"/>
        <w:rPr>
          <w:sz w:val="20"/>
          <w:szCs w:val="20"/>
          <w:color w:val="auto"/>
        </w:rPr>
      </w:pPr>
      <w:r>
        <w:rPr>
          <w:rFonts w:ascii="Arial" w:cs="Arial" w:eastAsia="Arial" w:hAnsi="Arial"/>
          <w:sz w:val="18"/>
          <w:szCs w:val="18"/>
          <w:color w:val="auto"/>
        </w:rPr>
        <w:t>unauthorized use of, disclosure of or access to such data could harm our reputation as a trusted brand, as well as have a material adverse effect on our business, operating results and financial condition.</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dual class structure of our common stock and our stockholders agreement have the effect of concentrating voting control with Accel-KKR, or AKKR, and our founder and chief executive officer, which limits or precludes your ability to influence corporate matters for the foreseeable future and may depress the market price of our Class A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AKKR controls us and its interests may conflict with ours or yours in the future.</w:t>
      </w:r>
    </w:p>
    <w:p>
      <w:pPr>
        <w:spacing w:after="0" w:line="1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1280" w:top="4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77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FF0FC"/>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266,390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46,666</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Accounts and other receivables, net of allowance of $95 and $100</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32,967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28,034</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 receivable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7,234</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306,854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79,828</w:t>
            </w:r>
          </w:p>
        </w:tc>
        <w:tc>
          <w:tcPr>
            <w:tcW w:w="100" w:type="dxa"/>
            <w:vAlign w:val="bottom"/>
            <w:shd w:val="clear" w:color="auto" w:fill="CFF0FC"/>
          </w:tcPr>
          <w:p>
            <w:pPr>
              <w:spacing w:after="0"/>
              <w:rPr>
                <w:sz w:val="17"/>
                <w:szCs w:val="17"/>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 of accumulated depreciation and</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ind w:left="140"/>
              <w:spacing w:after="0"/>
              <w:rPr>
                <w:sz w:val="20"/>
                <w:szCs w:val="20"/>
                <w:color w:val="auto"/>
              </w:rPr>
            </w:pPr>
            <w:r>
              <w:rPr>
                <w:rFonts w:ascii="Arial" w:cs="Arial" w:eastAsia="Arial" w:hAnsi="Arial"/>
                <w:sz w:val="14"/>
                <w:szCs w:val="14"/>
                <w:color w:val="auto"/>
              </w:rPr>
              <w:t>amortization of $4,347 and $3,760</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2,056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15"/>
                <w:szCs w:val="15"/>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25,366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20,963</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13,205</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9,506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8,322</w:t>
            </w: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assets</w:t>
            </w:r>
          </w:p>
        </w:tc>
        <w:tc>
          <w:tcPr>
            <w:tcW w:w="1040" w:type="dxa"/>
            <w:vAlign w:val="bottom"/>
            <w:shd w:val="clear" w:color="auto" w:fill="CFF0FC"/>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360,800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124,874</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40" w:type="dxa"/>
            <w:vAlign w:val="bottom"/>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21,705</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16,825</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3,010</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37,114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31,111</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5,775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3,499</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5,476</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50,608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0"/>
        </w:trPr>
        <w:tc>
          <w:tcPr>
            <w:tcW w:w="7740" w:type="dxa"/>
            <w:vAlign w:val="bottom"/>
          </w:tcPr>
          <w:p>
            <w:pPr>
              <w:ind w:left="200"/>
              <w:spacing w:after="0"/>
              <w:rPr>
                <w:sz w:val="20"/>
                <w:szCs w:val="20"/>
                <w:color w:val="auto"/>
              </w:rPr>
            </w:pPr>
            <w:r>
              <w:rPr>
                <w:rFonts w:ascii="Arial" w:cs="Arial" w:eastAsia="Arial" w:hAnsi="Arial"/>
                <w:sz w:val="14"/>
                <w:szCs w:val="14"/>
                <w:color w:val="auto"/>
              </w:rPr>
              <w:t>Preferred stock, $0.0001 par value per share, 5,000,000 and zero shares authorized at June 30, 2021 and</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December 31, 2020, respectively, none issued and outstanding at June 30, 2021 and December 31, 2020,</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74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Class A common stock, $0.0001 par value per share, 883,950,000 and zero shares authorized as of June 30, 2021</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and December 31, 2020, respectively; 13,880,950 and zero shares issued and outstanding as of June 30, 2021</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and December 31, 2020, respectively</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1"/>
        </w:trPr>
        <w:tc>
          <w:tcPr>
            <w:tcW w:w="7740" w:type="dxa"/>
            <w:vAlign w:val="bottom"/>
          </w:tcPr>
          <w:p>
            <w:pPr>
              <w:ind w:left="200"/>
              <w:spacing w:after="0"/>
              <w:rPr>
                <w:sz w:val="20"/>
                <w:szCs w:val="20"/>
                <w:color w:val="auto"/>
              </w:rPr>
            </w:pPr>
            <w:r>
              <w:rPr>
                <w:rFonts w:ascii="Arial" w:cs="Arial" w:eastAsia="Arial" w:hAnsi="Arial"/>
                <w:sz w:val="14"/>
                <w:szCs w:val="14"/>
                <w:color w:val="auto"/>
              </w:rPr>
              <w:t>Class B common stock, $0.0001 par value per share, 111,050,000 and zero shares authorized as of June 30, 2021</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and December 31, 2020, respectively; 103,479,239 and zero shares issued and outstanding as of June 30, 2021</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40" w:type="dxa"/>
            <w:vAlign w:val="bottom"/>
          </w:tcPr>
          <w:p>
            <w:pPr>
              <w:ind w:left="200"/>
              <w:spacing w:after="0"/>
              <w:rPr>
                <w:sz w:val="20"/>
                <w:szCs w:val="20"/>
                <w:color w:val="auto"/>
              </w:rPr>
            </w:pPr>
            <w:r>
              <w:rPr>
                <w:rFonts w:ascii="Arial" w:cs="Arial" w:eastAsia="Arial" w:hAnsi="Arial"/>
                <w:sz w:val="14"/>
                <w:szCs w:val="14"/>
                <w:color w:val="auto"/>
              </w:rPr>
              <w:t>and December 31, 2020, respectively</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Series A preferred stock, par value $0.01 per share; zero and 50,000 shares authorized as of June 30, 2021 and</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2020, respectively; zero and 23,333 shares issued as of June 30, 2021 and December 31, 2020,</w:t>
            </w:r>
          </w:p>
        </w:tc>
        <w:tc>
          <w:tcPr>
            <w:tcW w:w="10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respectively; zero and 23,013 shares outstanding as of June 30, 2021 and December 31, 2020, respectively</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7740" w:type="dxa"/>
            <w:vAlign w:val="bottom"/>
          </w:tcPr>
          <w:p>
            <w:pPr>
              <w:ind w:left="200"/>
              <w:spacing w:after="0"/>
              <w:rPr>
                <w:sz w:val="20"/>
                <w:szCs w:val="20"/>
                <w:color w:val="auto"/>
              </w:rPr>
            </w:pPr>
            <w:r>
              <w:rPr>
                <w:rFonts w:ascii="Arial" w:cs="Arial" w:eastAsia="Arial" w:hAnsi="Arial"/>
                <w:sz w:val="14"/>
                <w:szCs w:val="14"/>
                <w:color w:val="auto"/>
              </w:rPr>
              <w:t>Common stock, $0.005 par value per share; zero and 150,000,000 shares authorized as of June 30, 2021 and</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7740" w:type="dxa"/>
            <w:vAlign w:val="bottom"/>
          </w:tcPr>
          <w:p>
            <w:pPr>
              <w:ind w:left="200"/>
              <w:spacing w:after="0"/>
              <w:rPr>
                <w:sz w:val="20"/>
                <w:szCs w:val="20"/>
                <w:color w:val="auto"/>
              </w:rPr>
            </w:pPr>
            <w:r>
              <w:rPr>
                <w:rFonts w:ascii="Arial" w:cs="Arial" w:eastAsia="Arial" w:hAnsi="Arial"/>
                <w:sz w:val="14"/>
                <w:szCs w:val="14"/>
                <w:color w:val="auto"/>
              </w:rPr>
              <w:t>December 31, 2020, respectively; zero and 104,785,651 shares issued as of June 30, 2021 and December 31,</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2020, respectively; and zero and 103,479,239 shares outstanding as of June 30, 2021 and December 31, 2020,</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4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Treasury stock at cost, zero and 320 Series A preferred shares; and zero and</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8"/>
        </w:trPr>
        <w:tc>
          <w:tcPr>
            <w:tcW w:w="7740" w:type="dxa"/>
            <w:vAlign w:val="bottom"/>
            <w:shd w:val="clear" w:color="auto" w:fill="CFF0FC"/>
          </w:tcPr>
          <w:p>
            <w:pPr>
              <w:ind w:left="320"/>
              <w:spacing w:after="0"/>
              <w:rPr>
                <w:sz w:val="20"/>
                <w:szCs w:val="20"/>
                <w:color w:val="auto"/>
              </w:rPr>
            </w:pPr>
            <w:r>
              <w:rPr>
                <w:rFonts w:ascii="Arial" w:cs="Arial" w:eastAsia="Arial" w:hAnsi="Arial"/>
                <w:sz w:val="14"/>
                <w:szCs w:val="14"/>
                <w:color w:val="auto"/>
              </w:rPr>
              <w:t>1,306,412 common shares as of June 30, 2021 and December 31, 2020, respectively</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(579 )</w:t>
            </w: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285,164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29,175</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55,047</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10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310,192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84,376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040" w:type="dxa"/>
            <w:vAlign w:val="bottom"/>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360,800</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124,874</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-4645660</wp:posOffset>
            </wp:positionV>
            <wp:extent cx="171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-4628515</wp:posOffset>
            </wp:positionV>
            <wp:extent cx="171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-3056890</wp:posOffset>
            </wp:positionV>
            <wp:extent cx="1714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-3056890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1714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93,495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185,717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141,327</w:t>
            </w:r>
          </w:p>
        </w:tc>
        <w:tc>
          <w:tcPr>
            <w:tcW w:w="100" w:type="dxa"/>
            <w:vAlign w:val="bottom"/>
            <w:shd w:val="clear" w:color="auto" w:fill="CFF0FC"/>
          </w:tcPr>
          <w:p>
            <w:pPr>
              <w:spacing w:after="0"/>
              <w:rPr>
                <w:sz w:val="18"/>
                <w:szCs w:val="18"/>
                <w:color w:val="auto"/>
              </w:rPr>
            </w:pP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64,567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48,332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129,242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97,148</w:t>
            </w:r>
          </w:p>
        </w:tc>
        <w:tc>
          <w:tcPr>
            <w:tcW w:w="100" w:type="dxa"/>
            <w:vAlign w:val="bottom"/>
          </w:tcPr>
          <w:p>
            <w:pPr>
              <w:spacing w:after="0"/>
              <w:rPr>
                <w:sz w:val="17"/>
                <w:szCs w:val="17"/>
                <w:color w:val="auto"/>
              </w:rPr>
            </w:pPr>
          </w:p>
        </w:tc>
      </w:tr>
      <w:tr>
        <w:trPr>
          <w:trHeight w:val="196"/>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28,928</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23,402</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56,475</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44,179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11,749</w:t>
            </w:r>
          </w:p>
        </w:tc>
        <w:tc>
          <w:tcPr>
            <w:tcW w:w="100" w:type="dxa"/>
            <w:vAlign w:val="bottom"/>
            <w:shd w:val="clear" w:color="auto" w:fill="CFF0FC"/>
          </w:tcPr>
          <w:p>
            <w:pPr>
              <w:spacing w:after="0"/>
              <w:rPr>
                <w:sz w:val="18"/>
                <w:szCs w:val="18"/>
                <w:color w:val="auto"/>
              </w:rPr>
            </w:pP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9,505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15,244</w:t>
            </w:r>
          </w:p>
        </w:tc>
        <w:tc>
          <w:tcPr>
            <w:tcW w:w="100" w:type="dxa"/>
            <w:vAlign w:val="bottom"/>
          </w:tcPr>
          <w:p>
            <w:pPr>
              <w:spacing w:after="0"/>
              <w:rPr>
                <w:sz w:val="17"/>
                <w:szCs w:val="17"/>
                <w:color w:val="auto"/>
              </w:rPr>
            </w:pPr>
          </w:p>
        </w:tc>
      </w:tr>
      <w:tr>
        <w:trPr>
          <w:trHeight w:val="203"/>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47,541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34,150</w:t>
            </w:r>
          </w:p>
        </w:tc>
        <w:tc>
          <w:tcPr>
            <w:tcW w:w="100" w:type="dxa"/>
            <w:vAlign w:val="bottom"/>
          </w:tcPr>
          <w:p>
            <w:pPr>
              <w:spacing w:after="0"/>
              <w:rPr>
                <w:sz w:val="17"/>
                <w:szCs w:val="17"/>
                <w:color w:val="auto"/>
              </w:rPr>
            </w:pPr>
          </w:p>
        </w:tc>
      </w:tr>
      <w:tr>
        <w:trPr>
          <w:trHeight w:val="202"/>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operations</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8,934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10,029</w:t>
            </w:r>
          </w:p>
        </w:tc>
        <w:tc>
          <w:tcPr>
            <w:tcW w:w="100" w:type="dxa"/>
            <w:vAlign w:val="bottom"/>
            <w:shd w:val="clear" w:color="auto" w:fill="CFF0FC"/>
          </w:tcPr>
          <w:p>
            <w:pPr>
              <w:spacing w:after="0"/>
              <w:rPr>
                <w:sz w:val="17"/>
                <w:szCs w:val="17"/>
                <w:color w:val="auto"/>
              </w:rPr>
            </w:pP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 (expense), net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(4 )</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(7 )</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8"/>
                <w:szCs w:val="18"/>
                <w:color w:val="auto"/>
              </w:rPr>
            </w:pPr>
          </w:p>
        </w:tc>
      </w:tr>
      <w:tr>
        <w:trPr>
          <w:trHeight w:val="197"/>
        </w:trPr>
        <w:tc>
          <w:tcPr>
            <w:tcW w:w="5860" w:type="dxa"/>
            <w:vAlign w:val="bottom"/>
          </w:tcPr>
          <w:p>
            <w:pPr>
              <w:ind w:left="200"/>
              <w:spacing w:after="0"/>
              <w:rPr>
                <w:sz w:val="20"/>
                <w:szCs w:val="20"/>
                <w:color w:val="auto"/>
              </w:rPr>
            </w:pPr>
            <w:r>
              <w:rPr>
                <w:rFonts w:ascii="Arial" w:cs="Arial" w:eastAsia="Arial" w:hAnsi="Arial"/>
                <w:sz w:val="14"/>
                <w:szCs w:val="14"/>
                <w:color w:val="auto"/>
              </w:rPr>
              <w:t>Foreign exchange (loss) gain</w:t>
            </w: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(1 )</w:t>
            </w: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(24 )</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(90 )</w:t>
            </w:r>
          </w:p>
        </w:tc>
      </w:tr>
      <w:tr>
        <w:trPr>
          <w:trHeight w:val="202"/>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before income taxes</w:t>
            </w: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6,299</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8,935</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9,984</w:t>
            </w:r>
          </w:p>
        </w:tc>
        <w:tc>
          <w:tcPr>
            <w:tcW w:w="100" w:type="dxa"/>
            <w:vAlign w:val="bottom"/>
            <w:shd w:val="clear" w:color="auto" w:fill="CFF0FC"/>
          </w:tcPr>
          <w:p>
            <w:pPr>
              <w:spacing w:after="0"/>
              <w:rPr>
                <w:sz w:val="17"/>
                <w:szCs w:val="17"/>
                <w:color w:val="auto"/>
              </w:rPr>
            </w:pPr>
          </w:p>
        </w:tc>
      </w:tr>
      <w:tr>
        <w:trPr>
          <w:trHeight w:val="196"/>
        </w:trPr>
        <w:tc>
          <w:tcPr>
            <w:tcW w:w="5860" w:type="dxa"/>
            <w:vAlign w:val="bottom"/>
          </w:tcPr>
          <w:p>
            <w:pPr>
              <w:ind w:left="200"/>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(3,501 )</w:t>
            </w: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(1,614 )</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(4,722 )</w:t>
            </w: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(2,520 )</w:t>
            </w:r>
          </w:p>
        </w:tc>
      </w:tr>
      <w:tr>
        <w:trPr>
          <w:trHeight w:val="202"/>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4,213</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7,464</w:t>
            </w:r>
          </w:p>
        </w:tc>
        <w:tc>
          <w:tcPr>
            <w:tcW w:w="100" w:type="dxa"/>
            <w:vAlign w:val="bottom"/>
            <w:shd w:val="clear" w:color="auto" w:fill="CFF0FC"/>
          </w:tcPr>
          <w:p>
            <w:pPr>
              <w:spacing w:after="0"/>
              <w:rPr>
                <w:sz w:val="17"/>
                <w:szCs w:val="17"/>
                <w:color w:val="auto"/>
              </w:rPr>
            </w:pPr>
          </w:p>
        </w:tc>
      </w:tr>
      <w:tr>
        <w:trPr>
          <w:trHeight w:val="197"/>
        </w:trPr>
        <w:tc>
          <w:tcPr>
            <w:tcW w:w="586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1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(898 )</w:t>
            </w:r>
          </w:p>
        </w:tc>
        <w:tc>
          <w:tcPr>
            <w:tcW w:w="2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(1,273 )</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(2,258 )</w:t>
            </w: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(2,515 )</w:t>
            </w:r>
          </w:p>
        </w:tc>
      </w:tr>
      <w:tr>
        <w:trPr>
          <w:trHeight w:val="20"/>
        </w:trPr>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 (loss) attributable to common stock</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(323 )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CFF0FC"/>
          </w:tcPr>
          <w:p>
            <w:pPr>
              <w:spacing w:after="0"/>
              <w:rPr>
                <w:sz w:val="20"/>
                <w:szCs w:val="20"/>
                <w:color w:val="auto"/>
              </w:rPr>
            </w:pPr>
          </w:p>
        </w:tc>
      </w:tr>
      <w:tr>
        <w:trPr>
          <w:trHeight w:val="183"/>
        </w:trPr>
        <w:tc>
          <w:tcPr>
            <w:tcW w:w="586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Net income (loss) per share attributable to common stock</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9"/>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FF0FC"/>
          </w:tcPr>
          <w:p>
            <w:pPr>
              <w:spacing w:after="0"/>
              <w:rPr>
                <w:sz w:val="18"/>
                <w:szCs w:val="18"/>
                <w:color w:val="auto"/>
              </w:rPr>
            </w:pP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0.03</w:t>
            </w:r>
          </w:p>
        </w:tc>
        <w:tc>
          <w:tcPr>
            <w:tcW w:w="24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r>
      <w:tr>
        <w:trPr>
          <w:trHeight w:val="197"/>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number of shares used to compute net income per share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8"/>
        </w:trPr>
        <w:tc>
          <w:tcPr>
            <w:tcW w:w="5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attributable to common stock</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6"/>
        </w:trPr>
        <w:tc>
          <w:tcPr>
            <w:tcW w:w="5860" w:type="dxa"/>
            <w:vAlign w:val="bottom"/>
          </w:tcPr>
          <w:p>
            <w:pPr>
              <w:ind w:left="38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108,970,604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106,240,091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100" w:type="dxa"/>
            <w:vAlign w:val="bottom"/>
          </w:tcPr>
          <w:p>
            <w:pPr>
              <w:spacing w:after="0"/>
              <w:rPr>
                <w:sz w:val="17"/>
                <w:szCs w:val="17"/>
                <w:color w:val="auto"/>
              </w:rPr>
            </w:pPr>
          </w:p>
        </w:tc>
      </w:tr>
      <w:tr>
        <w:trPr>
          <w:trHeight w:val="209"/>
        </w:trPr>
        <w:tc>
          <w:tcPr>
            <w:tcW w:w="5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108,970,604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106,151,678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112,244,054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106,135,251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-2756535</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-2756535</wp:posOffset>
            </wp:positionV>
            <wp:extent cx="1460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-2756535</wp:posOffset>
            </wp:positionV>
            <wp:extent cx="1460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-2233930</wp:posOffset>
            </wp:positionV>
            <wp:extent cx="1631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-2233930</wp:posOffset>
            </wp:positionV>
            <wp:extent cx="1460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-2233930</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-908050</wp:posOffset>
            </wp:positionV>
            <wp:extent cx="163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-890905</wp:posOffset>
            </wp:positionV>
            <wp:extent cx="1631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-908050</wp:posOffset>
            </wp:positionV>
            <wp:extent cx="146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-890905</wp:posOffset>
            </wp:positionV>
            <wp:extent cx="1460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-908050</wp:posOffset>
            </wp:positionV>
            <wp:extent cx="1460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-890905</wp:posOffset>
            </wp:positionV>
            <wp:extent cx="1460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254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6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4,685</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7,464</w:t>
            </w:r>
          </w:p>
        </w:tc>
        <w:tc>
          <w:tcPr>
            <w:tcW w:w="100" w:type="dxa"/>
            <w:vAlign w:val="bottom"/>
            <w:shd w:val="clear" w:color="auto" w:fill="CFF0FC"/>
          </w:tcPr>
          <w:p>
            <w:pPr>
              <w:spacing w:after="0"/>
              <w:rPr>
                <w:sz w:val="20"/>
                <w:szCs w:val="20"/>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 of $0 and $0</w:t>
            </w:r>
          </w:p>
        </w:tc>
        <w:tc>
          <w:tcPr>
            <w:tcW w:w="8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(69 )</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w:t>
            </w:r>
          </w:p>
        </w:tc>
      </w:tr>
      <w:tr>
        <w:trPr>
          <w:trHeight w:val="226"/>
        </w:trPr>
        <w:tc>
          <w:tcPr>
            <w:tcW w:w="586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Comprehensive income</w:t>
            </w:r>
          </w:p>
        </w:tc>
        <w:tc>
          <w:tcPr>
            <w:tcW w:w="80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4,696</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4,165</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7,452</w:t>
            </w:r>
          </w:p>
        </w:tc>
        <w:tc>
          <w:tcPr>
            <w:tcW w:w="100" w:type="dxa"/>
            <w:vAlign w:val="bottom"/>
            <w:tcBorders>
              <w:top w:val="single" w:sz="8" w:color="CFF0FC"/>
            </w:tcBorders>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-176530</wp:posOffset>
            </wp:positionV>
            <wp:extent cx="16319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-176530</wp:posOffset>
            </wp:positionV>
            <wp:extent cx="1460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-176530</wp:posOffset>
            </wp:positionV>
            <wp:extent cx="14605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Addition</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3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34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Treasur</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5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 of related party loan</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receivable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103,479,23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23,013</w:t>
            </w:r>
          </w:p>
        </w:tc>
        <w:tc>
          <w:tcPr>
            <w:tcW w:w="2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30,551</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(579 )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58,685</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89,411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 initial public</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and private placement, net</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offering costs, underwriting</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discounts and commissions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13,880,950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Conversion of common stock to</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Class B common stock in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Arial" w:cs="Arial" w:eastAsia="Arial" w:hAnsi="Arial"/>
                <w:sz w:val="14"/>
                <w:szCs w:val="14"/>
                <w:color w:val="auto"/>
              </w:rPr>
              <w:t>connection with initial public</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(506 )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Redemption of Series A preferred</w:t>
            </w: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in connection with initial</w:t>
            </w: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public offering</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(23,013 )</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(23,013 )</w:t>
            </w:r>
          </w:p>
        </w:tc>
        <w:tc>
          <w:tcPr>
            <w:tcW w:w="1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(23,013 )</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Payment of dividends on Series A</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preferred stock in connection with</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Arial" w:cs="Arial" w:eastAsia="Arial" w:hAnsi="Arial"/>
                <w:sz w:val="14"/>
                <w:szCs w:val="14"/>
                <w:color w:val="auto"/>
              </w:rPr>
              <w:t>redemption upon initial public</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(34,412 )</w:t>
            </w: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(34,412 )</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warrant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Retirement of treasury stock in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connection with initial public</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(579 )</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(69 )</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117,360,18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285,164</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24,848</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310,192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Addition</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3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34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Treasur</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5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27,181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41,336</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(23 )</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27,656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Related party loan receivable</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103,479,23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23,013</w:t>
            </w:r>
          </w:p>
        </w:tc>
        <w:tc>
          <w:tcPr>
            <w:tcW w:w="2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28,118</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(579 )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48,800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76,993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-6263005</wp:posOffset>
            </wp:positionV>
            <wp:extent cx="1460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-6263005</wp:posOffset>
            </wp:positionV>
            <wp:extent cx="1460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-6263005</wp:posOffset>
            </wp:positionV>
            <wp:extent cx="1460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-6263005</wp:posOffset>
            </wp:positionV>
            <wp:extent cx="12890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-6263005</wp:posOffset>
            </wp:positionV>
            <wp:extent cx="1289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-6263005</wp:posOffset>
            </wp:positionV>
            <wp:extent cx="1289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-6263005</wp:posOffset>
            </wp:positionV>
            <wp:extent cx="1289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-6263005</wp:posOffset>
            </wp:positionV>
            <wp:extent cx="1289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-6263005</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-3270885</wp:posOffset>
            </wp:positionV>
            <wp:extent cx="146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-3270885</wp:posOffset>
            </wp:positionV>
            <wp:extent cx="1460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-3270885</wp:posOffset>
            </wp:positionV>
            <wp:extent cx="14605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-3270885</wp:posOffset>
            </wp:positionV>
            <wp:extent cx="1289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-3270885</wp:posOffset>
            </wp:positionV>
            <wp:extent cx="1289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-3270885</wp:posOffset>
            </wp:positionV>
            <wp:extent cx="1289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-3270885</wp:posOffset>
            </wp:positionV>
            <wp:extent cx="1289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-3270885</wp:posOffset>
            </wp:positionV>
            <wp:extent cx="1289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-3270885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-813435</wp:posOffset>
            </wp:positionV>
            <wp:extent cx="1460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-796290</wp:posOffset>
            </wp:positionV>
            <wp:extent cx="1460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-813435</wp:posOffset>
            </wp:positionV>
            <wp:extent cx="146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-796290</wp:posOffset>
            </wp:positionV>
            <wp:extent cx="1460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-813435</wp:posOffset>
            </wp:positionV>
            <wp:extent cx="146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-796290</wp:posOffset>
            </wp:positionV>
            <wp:extent cx="1460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-813435</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-796290</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-813435</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-796290</wp:posOffset>
            </wp:positionV>
            <wp:extent cx="128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-813435</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-796290</wp:posOffset>
            </wp:positionV>
            <wp:extent cx="128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-813435</wp:posOffset>
            </wp:positionV>
            <wp:extent cx="128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-796290</wp:posOffset>
            </wp:positionV>
            <wp:extent cx="128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-813435</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-796290</wp:posOffset>
            </wp:positionV>
            <wp:extent cx="128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-270510</wp:posOffset>
            </wp:positionV>
            <wp:extent cx="1460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-270510</wp:posOffset>
            </wp:positionV>
            <wp:extent cx="1460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-270510</wp:posOffset>
            </wp:positionV>
            <wp:extent cx="1460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-270510</wp:posOffset>
            </wp:positionV>
            <wp:extent cx="1289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-270510</wp:posOffset>
            </wp:positionV>
            <wp:extent cx="12890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-270510</wp:posOffset>
            </wp:positionV>
            <wp:extent cx="1289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-270510</wp:posOffset>
            </wp:positionV>
            <wp:extent cx="1289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-270510</wp:posOffset>
            </wp:positionV>
            <wp:extent cx="1289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4,213</w:t>
            </w:r>
          </w:p>
        </w:tc>
        <w:tc>
          <w:tcPr>
            <w:tcW w:w="26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7,464</w:t>
            </w:r>
          </w:p>
        </w:tc>
        <w:tc>
          <w:tcPr>
            <w:tcW w:w="100" w:type="dxa"/>
            <w:vAlign w:val="bottom"/>
          </w:tcPr>
          <w:p>
            <w:pPr>
              <w:spacing w:after="0"/>
              <w:rPr>
                <w:sz w:val="19"/>
                <w:szCs w:val="19"/>
                <w:color w:val="auto"/>
              </w:rPr>
            </w:pPr>
          </w:p>
        </w:tc>
      </w:tr>
      <w:tr>
        <w:trPr>
          <w:trHeight w:val="22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4,940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4,015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Amortization of contract asset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operating assets and liabilities, net of impact of business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7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combination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Accounts and other receivables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(4,944 )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(4,269 )</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and long-term assets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(905 )</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3,541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5,151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(1,573 )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(1,209 )</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liabilities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6"/>
                <w:szCs w:val="16"/>
                <w:color w:val="auto"/>
              </w:rPr>
              <w:t>Income taxes receivable, net of payable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12,757</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(564 )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(309 )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Capitalized internal-use software development costs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(8,736 )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(7,185 )</w:t>
            </w:r>
          </w:p>
        </w:tc>
      </w:tr>
      <w:tr>
        <w:trPr>
          <w:trHeight w:val="23"/>
        </w:trPr>
        <w:tc>
          <w:tcPr>
            <w:tcW w:w="7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(9,300 )</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(7,494 )</w:t>
            </w:r>
          </w:p>
        </w:tc>
      </w:tr>
      <w:tr>
        <w:trPr>
          <w:trHeight w:val="22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initial public offering, net of underwriter's discounts and commissions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224,595</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private placement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Redemption of Series A preferred stock</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(23,013 )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Payment of dividends on Series A preferred stock</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(34,412 )</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repayment of related party loan</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Payments of deferred offering costs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(856 )</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other financing obligations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(767 )</w:t>
            </w: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(521 )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Payments on finance leases</w:t>
            </w:r>
          </w:p>
        </w:tc>
        <w:tc>
          <w:tcPr>
            <w:tcW w:w="9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(136 )</w:t>
            </w: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(169 )</w:t>
            </w:r>
          </w:p>
        </w:tc>
      </w:tr>
      <w:tr>
        <w:trPr>
          <w:trHeight w:val="23"/>
        </w:trPr>
        <w:tc>
          <w:tcPr>
            <w:tcW w:w="7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216,224</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(690 )</w:t>
            </w:r>
          </w:p>
        </w:tc>
      </w:tr>
      <w:tr>
        <w:trPr>
          <w:trHeight w:val="23"/>
        </w:trPr>
        <w:tc>
          <w:tcPr>
            <w:tcW w:w="774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Foreign currency effect on cash and cash equivalents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r>
      <w:tr>
        <w:trPr>
          <w:trHeight w:val="22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219,724</w:t>
            </w:r>
          </w:p>
        </w:tc>
        <w:tc>
          <w:tcPr>
            <w:tcW w:w="26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7,709</w:t>
            </w:r>
          </w:p>
        </w:tc>
        <w:tc>
          <w:tcPr>
            <w:tcW w:w="100" w:type="dxa"/>
            <w:vAlign w:val="bottom"/>
            <w:shd w:val="clear" w:color="auto" w:fill="CFF0FC"/>
          </w:tcPr>
          <w:p>
            <w:pPr>
              <w:spacing w:after="0"/>
              <w:rPr>
                <w:sz w:val="19"/>
                <w:szCs w:val="19"/>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46,666</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Arial" w:cs="Arial" w:eastAsia="Arial" w:hAnsi="Arial"/>
                <w:sz w:val="16"/>
                <w:szCs w:val="16"/>
                <w:color w:val="auto"/>
              </w:rPr>
              <w:t>End of period</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266,390</w:t>
            </w:r>
          </w:p>
        </w:tc>
        <w:tc>
          <w:tcPr>
            <w:tcW w:w="26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35,136</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950</w:t>
            </w:r>
          </w:p>
        </w:tc>
        <w:tc>
          <w:tcPr>
            <w:tcW w:w="26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Property and equipment purchases in accounts payable and other</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740" w:type="dxa"/>
            <w:vAlign w:val="bottom"/>
          </w:tcPr>
          <w:p>
            <w:pPr>
              <w:ind w:left="160"/>
              <w:spacing w:after="0"/>
              <w:rPr>
                <w:sz w:val="20"/>
                <w:szCs w:val="20"/>
                <w:color w:val="auto"/>
              </w:rPr>
            </w:pPr>
            <w:r>
              <w:rPr>
                <w:rFonts w:ascii="Arial" w:cs="Arial" w:eastAsia="Arial" w:hAnsi="Arial"/>
                <w:sz w:val="16"/>
                <w:szCs w:val="16"/>
                <w:color w:val="auto"/>
              </w:rPr>
              <w:t>payables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18"/>
                <w:szCs w:val="18"/>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Prepaid insurance funded through short-term borrowings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2,135</w:t>
            </w:r>
          </w:p>
        </w:tc>
        <w:tc>
          <w:tcPr>
            <w:tcW w:w="260" w:type="dxa"/>
            <w:vAlign w:val="bottom"/>
          </w:tcPr>
          <w:p>
            <w:pPr>
              <w:spacing w:after="0"/>
              <w:rPr>
                <w:sz w:val="19"/>
                <w:szCs w:val="19"/>
                <w:color w:val="auto"/>
              </w:rPr>
            </w:pP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4,498</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Property and equipment acquired through finance lease liabilities</w:t>
            </w:r>
          </w:p>
        </w:tc>
        <w:tc>
          <w:tcPr>
            <w:tcW w:w="9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Intangibles acquired through other financing obligations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Unpaid deferred offering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1,105</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-4424680</wp:posOffset>
            </wp:positionV>
            <wp:extent cx="1714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-4424680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-3824605</wp:posOffset>
            </wp:positionV>
            <wp:extent cx="1714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-3824605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-2350135</wp:posOffset>
            </wp:positionV>
            <wp:extent cx="1714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-2350135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-1750060</wp:posOffset>
            </wp:positionV>
            <wp:extent cx="1714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-1750060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53" w:lineRule="exact"/>
        <w:rPr>
          <w:sz w:val="20"/>
          <w:szCs w:val="20"/>
          <w:color w:val="auto"/>
        </w:rPr>
      </w:pPr>
    </w:p>
    <w:p>
      <w:pPr>
        <w:ind w:right="160" w:firstLine="427"/>
        <w:spacing w:after="0" w:line="267" w:lineRule="auto"/>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Blacksburg, Virginia, Redmond, Washington and Delhi (India). The Company was headquartered in Charlotte, North Carolina until 2020 when the Company moved its headquarters to Redmond, Washington.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53" w:lineRule="exact"/>
        <w:rPr>
          <w:sz w:val="20"/>
          <w:szCs w:val="20"/>
          <w:color w:val="auto"/>
        </w:rPr>
      </w:pPr>
    </w:p>
    <w:p>
      <w:pPr>
        <w:ind w:right="160" w:firstLine="427"/>
        <w:spacing w:after="0" w:line="269"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IPO:</w:t>
      </w:r>
    </w:p>
    <w:p>
      <w:pPr>
        <w:spacing w:after="0" w:line="131" w:lineRule="exact"/>
        <w:rPr>
          <w:sz w:val="20"/>
          <w:szCs w:val="20"/>
          <w:color w:val="auto"/>
        </w:rPr>
      </w:pPr>
    </w:p>
    <w:p>
      <w:pPr>
        <w:ind w:left="880" w:right="40"/>
        <w:spacing w:after="0" w:line="277" w:lineRule="auto"/>
        <w:rPr>
          <w:sz w:val="20"/>
          <w:szCs w:val="20"/>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89" w:lineRule="exact"/>
        <w:rPr>
          <w:sz w:val="20"/>
          <w:szCs w:val="20"/>
          <w:color w:val="auto"/>
        </w:rPr>
      </w:pPr>
    </w:p>
    <w:p>
      <w:pPr>
        <w:ind w:left="880" w:right="20"/>
        <w:spacing w:after="0" w:line="269" w:lineRule="auto"/>
        <w:rPr>
          <w:sz w:val="20"/>
          <w:szCs w:val="20"/>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3" w:lineRule="exact"/>
        <w:rPr>
          <w:sz w:val="20"/>
          <w:szCs w:val="20"/>
          <w:color w:val="auto"/>
        </w:rPr>
      </w:pPr>
    </w:p>
    <w:p>
      <w:pPr>
        <w:ind w:firstLine="427"/>
        <w:spacing w:after="0" w:line="268" w:lineRule="auto"/>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final prospectus dated May 25, 2021 and filed with the SEC pursuant to Rule 424(b)(4) on May 26, 2021 (“Final Prospectus”).</w:t>
      </w:r>
    </w:p>
    <w:p>
      <w:pPr>
        <w:spacing w:after="0" w:line="97" w:lineRule="exact"/>
        <w:rPr>
          <w:sz w:val="20"/>
          <w:szCs w:val="20"/>
          <w:color w:val="auto"/>
        </w:rPr>
      </w:pPr>
    </w:p>
    <w:p>
      <w:pPr>
        <w:ind w:firstLine="427"/>
        <w:spacing w:after="0" w:line="268" w:lineRule="auto"/>
        <w:rPr>
          <w:sz w:val="20"/>
          <w:szCs w:val="20"/>
          <w:color w:val="auto"/>
        </w:rPr>
      </w:pPr>
      <w:r>
        <w:rPr>
          <w:rFonts w:ascii="Arial" w:cs="Arial" w:eastAsia="Arial" w:hAnsi="Arial"/>
          <w:sz w:val="18"/>
          <w:szCs w:val="18"/>
          <w:color w:val="auto"/>
        </w:rPr>
        <w:t>These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comprehensive income, changes in stockholders' equity and cash flows for the periods presented. The results of operations for the three and six months ended June 30, 2021 are not necessarily indicative of the results to be expected for the full year or any other future interim or annual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53" w:lineRule="exact"/>
        <w:rPr>
          <w:sz w:val="20"/>
          <w:szCs w:val="20"/>
          <w:color w:val="auto"/>
        </w:rPr>
      </w:pPr>
    </w:p>
    <w:p>
      <w:pPr>
        <w:ind w:right="20" w:firstLine="427"/>
        <w:spacing w:after="0" w:line="263"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unaudited interim condensed consolidated financial statements and accompanying notes have been retroactively adjusted, where applicable, to reflect the impact of the stock split.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3" w:lineRule="exact"/>
        <w:rPr>
          <w:sz w:val="20"/>
          <w:szCs w:val="20"/>
          <w:color w:val="auto"/>
        </w:rPr>
      </w:pPr>
    </w:p>
    <w:p>
      <w:pPr>
        <w:ind w:right="140" w:firstLine="427"/>
        <w:spacing w:after="0" w:line="269"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Paymentus Group Inc. (Delaware), Paymentus Canada Corporation, Paymentus Corporation (Delaware), Paymentus Acquisition Corp. (Delaware), Tele-Works Inc. and Paxcom India Private Limited (“Paxcom”). All intercompany accounts and balances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3" w:lineRule="exact"/>
        <w:rPr>
          <w:sz w:val="20"/>
          <w:szCs w:val="20"/>
          <w:color w:val="auto"/>
        </w:rPr>
      </w:pPr>
    </w:p>
    <w:p>
      <w:pPr>
        <w:ind w:right="100" w:firstLine="427"/>
        <w:spacing w:after="0" w:line="26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ind w:right="180" w:firstLine="427"/>
        <w:spacing w:after="0" w:line="26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internal-use software development costs, goodwill,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98" w:lineRule="exact"/>
        <w:rPr>
          <w:sz w:val="20"/>
          <w:szCs w:val="20"/>
          <w:color w:val="auto"/>
        </w:rPr>
      </w:pPr>
    </w:p>
    <w:p>
      <w:pPr>
        <w:ind w:firstLine="427"/>
        <w:spacing w:after="0" w:line="268"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The pandemic is causing major disruptions to businesses and markets worldwide as the virus continues to spread. A number of countries as well as many states and cities within the United States and Canada have in the past and may in the future enact temporary closures of businesses, issued quarantine orders and taken other restrictive measures in response to COVID-19. The Company is closely monitoring the effects of the COVID-19 pandemic and implemented a work from home plan early in the pandemic, with limited individuals allowed in the Company’s office locations.</w:t>
      </w:r>
    </w:p>
    <w:p>
      <w:pPr>
        <w:spacing w:after="0" w:line="98" w:lineRule="exact"/>
        <w:rPr>
          <w:sz w:val="20"/>
          <w:szCs w:val="20"/>
          <w:color w:val="auto"/>
        </w:rPr>
      </w:pPr>
    </w:p>
    <w:p>
      <w:pPr>
        <w:ind w:right="20" w:firstLine="427"/>
        <w:spacing w:after="0" w:line="267" w:lineRule="auto"/>
        <w:rPr>
          <w:sz w:val="20"/>
          <w:szCs w:val="20"/>
          <w:color w:val="auto"/>
        </w:rPr>
      </w:pPr>
      <w:r>
        <w:rPr>
          <w:rFonts w:ascii="Arial" w:cs="Arial" w:eastAsia="Arial" w:hAnsi="Arial"/>
          <w:sz w:val="18"/>
          <w:szCs w:val="18"/>
          <w:color w:val="auto"/>
        </w:rPr>
        <w:t>The actions taken by governments in North America to encourage social distancing and implement quarantine directives resulted in a delay in certain of the Company’s sales cycles as well as delays in certain of the Company’s customer implementation timelines. However, these delays did not affect the Company’s results in any material fashion. There has been no material deterioration in the Company’s financial results even as the pandemic spread further and the number of countries and localities adopting restrictive measures increased. The Company does not expect the COVID-19 pandemic to have any material effect on the Company’s revenues and financial results, although the magnitude and duration of the ultimate effects of the COVID-19 pandemic will depend on future developments, including the duration, spread and severity of the pandemic, the availability, effectiveness and uptake of vaccines for COVID-19, the emergence of new variants of COVID-19 and whether existing vaccines are effective with respect to such variants, the actions to contain the disease or mitigate its impact, and the duration, timing and severity of the impact on consumer behavior, including any recession resulting from the pandemic, all of which are unpredictable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53" w:lineRule="exact"/>
        <w:rPr>
          <w:sz w:val="20"/>
          <w:szCs w:val="20"/>
          <w:color w:val="auto"/>
        </w:rPr>
      </w:pPr>
    </w:p>
    <w:p>
      <w:pPr>
        <w:ind w:right="80" w:firstLine="427"/>
        <w:spacing w:after="0" w:line="287" w:lineRule="auto"/>
        <w:rPr>
          <w:sz w:val="20"/>
          <w:szCs w:val="20"/>
          <w:color w:val="auto"/>
        </w:rPr>
      </w:pPr>
      <w:r>
        <w:rPr>
          <w:rFonts w:ascii="Arial" w:cs="Arial" w:eastAsia="Arial" w:hAnsi="Arial"/>
          <w:sz w:val="17"/>
          <w:szCs w:val="17"/>
          <w:color w:val="auto"/>
        </w:rPr>
        <w:t>The Company has established a relationship with its merchant processors to act as collection and paying agents, whereby a merchant processor receives funds from customers and forwarding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$23.7 million and $20.5 million as of June 30, 2021 and December 31,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ind w:right="120" w:firstLine="427"/>
        <w:spacing w:after="0" w:line="250"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1" w:name="page12"/>
    <w:bookmarkEnd w:id="11"/>
    <w:p>
      <w:pPr>
        <w:ind w:right="440"/>
        <w:spacing w:after="0" w:line="261" w:lineRule="auto"/>
        <w:rPr>
          <w:sz w:val="20"/>
          <w:szCs w:val="20"/>
          <w:color w:val="auto"/>
        </w:rPr>
      </w:pPr>
      <w:r>
        <w:rPr>
          <w:rFonts w:ascii="Arial" w:cs="Arial" w:eastAsia="Arial" w:hAnsi="Arial"/>
          <w:sz w:val="18"/>
          <w:szCs w:val="18"/>
          <w:color w:val="auto"/>
        </w:rPr>
        <w:t>than 10% of revenue for either of the three or six months ended June 30, 2021 and 2020. No customer accounted for more than 10% of accounts receivable as of June 30, 2021 or December 31,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3" w:lineRule="exact"/>
        <w:rPr>
          <w:sz w:val="20"/>
          <w:szCs w:val="20"/>
          <w:color w:val="auto"/>
        </w:rPr>
      </w:pPr>
    </w:p>
    <w:p>
      <w:pPr>
        <w:ind w:right="40" w:firstLine="427"/>
        <w:spacing w:after="0" w:line="269"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2020 and 2019 and for the years ended December 31, 2020 and 2019 included in the Final Prospectus. There have been no significant changes to these policies during the six months ended June 30, 2021, except as noted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ind w:right="80" w:firstLine="427"/>
        <w:spacing w:after="0" w:line="254" w:lineRule="auto"/>
        <w:rPr>
          <w:sz w:val="20"/>
          <w:szCs w:val="20"/>
          <w:color w:val="auto"/>
        </w:rPr>
      </w:pPr>
      <w:r>
        <w:rPr>
          <w:rFonts w:ascii="Arial" w:cs="Arial" w:eastAsia="Arial" w:hAnsi="Arial"/>
          <w:sz w:val="18"/>
          <w:szCs w:val="18"/>
          <w:color w:val="auto"/>
        </w:rPr>
        <w:t>Deferred offering costs, which consist of direct incremental legal and accounting fees, relating to the Company’s IPO, were initially capitalized and included in prepaid expenses and other current assets on the condensed consolidated balance sheets. Upon consummation of the IPO in May 2021, the Company reclassified $2.0 million of deferred offering costs to additional-paid-in capital offsetting the IPO proceeds. There were no material deferred offering costs recorded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39" w:lineRule="exact"/>
        <w:rPr>
          <w:sz w:val="20"/>
          <w:szCs w:val="20"/>
          <w:color w:val="auto"/>
        </w:rPr>
      </w:pPr>
    </w:p>
    <w:p>
      <w:pPr>
        <w:ind w:right="140" w:firstLine="441"/>
        <w:spacing w:after="0" w:line="265" w:lineRule="auto"/>
        <w:rPr>
          <w:sz w:val="20"/>
          <w:szCs w:val="20"/>
          <w:color w:val="auto"/>
        </w:rPr>
      </w:pPr>
      <w:r>
        <w:rPr>
          <w:rFonts w:ascii="Arial" w:cs="Arial" w:eastAsia="Arial" w:hAnsi="Arial"/>
          <w:sz w:val="17"/>
          <w:szCs w:val="17"/>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ind w:right="120" w:firstLine="8"/>
        <w:spacing w:after="0" w:line="25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21" w:lineRule="exact"/>
        <w:rPr>
          <w:sz w:val="20"/>
          <w:szCs w:val="20"/>
          <w:color w:val="auto"/>
        </w:rPr>
      </w:pPr>
    </w:p>
    <w:p>
      <w:pPr>
        <w:ind w:right="200" w:firstLine="494"/>
        <w:spacing w:after="0" w:line="277"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simplifies the accounting for income taxes by eliminating some exceptions to the general approach in ASC 740, Income Taxes in order to reduce cost and complexity of its application. The guidance is effective for financial statements issued for fiscal years beginning after December 15, 2020, and interim periods within those fiscal years, with early adoption permitted. The Company elected to early adopt this standard on January 1, 2021. Adoption of this standard did not have a material impact on its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ind w:right="120" w:firstLine="427"/>
        <w:spacing w:after="0" w:line="253" w:lineRule="auto"/>
        <w:rPr>
          <w:sz w:val="20"/>
          <w:szCs w:val="20"/>
          <w:color w:val="auto"/>
        </w:rPr>
      </w:pPr>
      <w:r>
        <w:rPr>
          <w:rFonts w:ascii="Arial" w:cs="Arial" w:eastAsia="Arial" w:hAnsi="Arial"/>
          <w:sz w:val="18"/>
          <w:szCs w:val="18"/>
          <w:color w:val="auto"/>
        </w:rPr>
        <w:t>The Company does not have any capitalized contract costs as the Company’s sales compensation paid to the sales force is earned based on the margins earned from the contract over the contract term, contingent on continued employment with the Company by the salesperson. Sales commissions tied to key operating metrics other than new sales, are not considered incremental costs of obtaining a customer and are expensed in the same period as they are earned. The Company records commission expense within sales and marketing expense in the condensed consolidated statements of operations.</w:t>
      </w:r>
    </w:p>
    <w:p>
      <w:pPr>
        <w:spacing w:after="0" w:line="97" w:lineRule="exact"/>
        <w:rPr>
          <w:sz w:val="20"/>
          <w:szCs w:val="20"/>
          <w:color w:val="auto"/>
        </w:rPr>
      </w:pPr>
    </w:p>
    <w:p>
      <w:pPr>
        <w:ind w:right="60" w:firstLine="427"/>
        <w:spacing w:after="0" w:line="252" w:lineRule="auto"/>
        <w:rPr>
          <w:sz w:val="20"/>
          <w:szCs w:val="20"/>
          <w:color w:val="auto"/>
        </w:rPr>
      </w:pPr>
      <w:r>
        <w:rPr>
          <w:rFonts w:ascii="Arial" w:cs="Arial" w:eastAsia="Arial" w:hAnsi="Arial"/>
          <w:sz w:val="18"/>
          <w:szCs w:val="18"/>
          <w:color w:val="auto"/>
        </w:rPr>
        <w:t>The Company recorded a contract asset in connection with a warrant agreement with a customer that was signed in May 2021. Following the guidance in ASC 606, the Company accounts for consideration payable in the form of warrants to a customer as a reduction of the transaction price and therefore, of revenue. The Company has estimated the transaction price related to the revenue for this customer inclusive of the estimated value of the warrants earned and expected to be earned over the term of the contract. During the period the Company reduced revenue and the related contract asset by $0.2 million for the three and six months ended June 30, 2021.The contract asset balance at June 30, 2021 was $4.3 million of which $1.1 million was included in prepaid expenses and other current assets and $3.2 million was included in other long-term assets in the condensed consolidated balance sheets.</w:t>
      </w:r>
    </w:p>
    <w:p>
      <w:pPr>
        <w:spacing w:after="0" w:line="99" w:lineRule="exact"/>
        <w:rPr>
          <w:sz w:val="20"/>
          <w:szCs w:val="20"/>
          <w:color w:val="auto"/>
        </w:rPr>
      </w:pPr>
    </w:p>
    <w:p>
      <w:pPr>
        <w:ind w:firstLine="427"/>
        <w:spacing w:after="0" w:line="250" w:lineRule="auto"/>
        <w:rPr>
          <w:sz w:val="20"/>
          <w:szCs w:val="20"/>
          <w:color w:val="auto"/>
        </w:rPr>
      </w:pPr>
      <w:r>
        <w:rPr>
          <w:rFonts w:ascii="Arial" w:cs="Arial" w:eastAsia="Arial" w:hAnsi="Arial"/>
          <w:sz w:val="18"/>
          <w:szCs w:val="18"/>
          <w:color w:val="auto"/>
        </w:rPr>
        <w:t>The Company recorded $0.9 million and $0.6 million of contract liabilities in the condensed consolidated balance sheets as of June 30, 2021 and December 31, 2020, respectively, related to legacy contracts obtained from prior acquisitions associated with the Company’s insignificant other revenue stream and other payments the Company received in advance for services. The change in the contract liabilities is primarily the result of a timing difference between payment from the customer and the Company’s satisfaction of each performance obligation. The revenue recognized during the three and six months ended June 31, 2021 and 2020 that was included in the contract liabilities at the beginning of each respective period was not material.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2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r>
      <w:tr>
        <w:trPr>
          <w:trHeight w:val="290"/>
        </w:trPr>
        <w:tc>
          <w:tcPr>
            <w:tcW w:w="60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92,446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70,915</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183,646</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139,744</w:t>
            </w: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r>
      <w:tr>
        <w:trPr>
          <w:trHeight w:val="29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71,734</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185,717</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141,327</w:t>
            </w:r>
          </w:p>
        </w:tc>
        <w:tc>
          <w:tcPr>
            <w:tcW w:w="100" w:type="dxa"/>
            <w:vAlign w:val="bottom"/>
            <w:shd w:val="clear" w:color="auto" w:fill="CFF0FC"/>
          </w:tcPr>
          <w:p>
            <w:pPr>
              <w:spacing w:after="0"/>
              <w:rPr>
                <w:sz w:val="24"/>
                <w:szCs w:val="24"/>
                <w:color w:val="auto"/>
              </w:rPr>
            </w:pPr>
          </w:p>
        </w:tc>
      </w:tr>
      <w:tr>
        <w:trPr>
          <w:trHeight w:val="662"/>
        </w:trPr>
        <w:tc>
          <w:tcPr>
            <w:tcW w:w="60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4. Property and Equipment, Net</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38"/>
        </w:trPr>
        <w:tc>
          <w:tcPr>
            <w:tcW w:w="606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4,829</w:t>
            </w:r>
          </w:p>
        </w:tc>
        <w:tc>
          <w:tcPr>
            <w:tcW w:w="66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1,386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r>
      <w:tr>
        <w:trPr>
          <w:trHeight w:val="26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6,403</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gridSpan w:val="3"/>
          </w:tcPr>
          <w:p>
            <w:pPr>
              <w:jc w:val="right"/>
              <w:ind w:right="114"/>
              <w:spacing w:after="0"/>
              <w:rPr>
                <w:sz w:val="20"/>
                <w:szCs w:val="20"/>
                <w:color w:val="auto"/>
              </w:rPr>
            </w:pPr>
            <w:r>
              <w:rPr>
                <w:rFonts w:ascii="Arial" w:cs="Arial" w:eastAsia="Arial" w:hAnsi="Arial"/>
                <w:sz w:val="18"/>
                <w:szCs w:val="18"/>
                <w:color w:val="auto"/>
              </w:rPr>
              <w:t>(4,347 )</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(3,760 )</w:t>
            </w:r>
          </w:p>
        </w:tc>
      </w:tr>
      <w:tr>
        <w:trPr>
          <w:trHeight w:val="290"/>
        </w:trPr>
        <w:tc>
          <w:tcPr>
            <w:tcW w:w="60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-2322195</wp:posOffset>
            </wp:positionV>
            <wp:extent cx="1631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-2305685</wp:posOffset>
            </wp:positionV>
            <wp:extent cx="1631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-2322195</wp:posOffset>
            </wp:positionV>
            <wp:extent cx="154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-2305685</wp:posOffset>
            </wp:positionV>
            <wp:extent cx="1543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-2322195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-2305685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714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714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ind w:right="100" w:firstLine="427"/>
        <w:spacing w:after="0" w:line="277" w:lineRule="auto"/>
        <w:rPr>
          <w:sz w:val="20"/>
          <w:szCs w:val="20"/>
          <w:color w:val="auto"/>
        </w:rPr>
      </w:pPr>
      <w:r>
        <w:rPr>
          <w:rFonts w:ascii="Arial" w:cs="Arial" w:eastAsia="Arial" w:hAnsi="Arial"/>
          <w:sz w:val="18"/>
          <w:szCs w:val="18"/>
          <w:color w:val="auto"/>
        </w:rPr>
        <w:t>Depreciation and amortization expense recorded for property and equipment was $0.3 million for each of the three months ended June 30, 2021 and 2020 and $0.5 million for each of the six months ended June 30,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Internal-use Software Development Costs and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United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States</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56"/>
        </w:trPr>
        <w:tc>
          <w:tcPr>
            <w:tcW w:w="6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12,303</w:t>
            </w: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shd w:val="clear" w:color="auto" w:fill="CFF0FC"/>
          </w:tcPr>
          <w:p>
            <w:pPr>
              <w:spacing w:after="0"/>
              <w:rPr>
                <w:sz w:val="22"/>
                <w:szCs w:val="22"/>
                <w:color w:val="auto"/>
              </w:rPr>
            </w:pPr>
          </w:p>
        </w:tc>
      </w:tr>
      <w:tr>
        <w:trPr>
          <w:trHeight w:val="250"/>
        </w:trPr>
        <w:tc>
          <w:tcPr>
            <w:tcW w:w="66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97"/>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12,303</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1714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171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543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20" w:firstLine="427"/>
        <w:spacing w:after="0" w:line="254" w:lineRule="auto"/>
        <w:rPr>
          <w:sz w:val="20"/>
          <w:szCs w:val="20"/>
          <w:color w:val="auto"/>
        </w:rPr>
      </w:pPr>
      <w:r>
        <w:rPr>
          <w:rFonts w:ascii="Arial" w:cs="Arial" w:eastAsia="Arial" w:hAnsi="Arial"/>
          <w:sz w:val="18"/>
          <w:szCs w:val="18"/>
          <w:color w:val="auto"/>
        </w:rPr>
        <w:t>The Company capitalizes qualifying internal-use software development costs related to its platform</w:t>
      </w:r>
      <w:r>
        <w:rPr>
          <w:rFonts w:ascii="Arial" w:cs="Arial" w:eastAsia="Arial" w:hAnsi="Arial"/>
          <w:sz w:val="18"/>
          <w:szCs w:val="18"/>
          <w:b w:val="1"/>
          <w:bCs w:val="1"/>
          <w:color w:val="auto"/>
        </w:rPr>
        <w:t>.</w:t>
      </w:r>
      <w:r>
        <w:rPr>
          <w:rFonts w:ascii="Arial" w:cs="Arial" w:eastAsia="Arial" w:hAnsi="Arial"/>
          <w:sz w:val="18"/>
          <w:szCs w:val="18"/>
          <w:color w:val="auto"/>
        </w:rPr>
        <w:t xml:space="preserve">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 During the three months ended June 30, 2021 and 2020, the Company capitalized $4.4 million and $3.8 million in software development costs, respectively and during the six months ended June 30, 2021 and 2020, the Company capitalized $8.7 million and $7.2 million in software development costs, respectively.</w:t>
      </w:r>
    </w:p>
    <w:p>
      <w:pPr>
        <w:spacing w:after="0" w:line="113" w:lineRule="exact"/>
        <w:rPr>
          <w:sz w:val="20"/>
          <w:szCs w:val="20"/>
          <w:color w:val="auto"/>
        </w:rPr>
      </w:pPr>
    </w:p>
    <w:p>
      <w:pPr>
        <w:ind w:right="60" w:firstLine="427"/>
        <w:spacing w:after="0" w:line="263"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condensed consolidated statement of operations aligned with the internal organizations that are the primary beneficiaries of such assets. During the three months ended June 30, 2021 and 2020, the Company recorded $1.1 million and $0.9 million of amortization expense in cost of revenue, and $1.1 million and $0.8 million of amortization expense in operating expenses,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right="480"/>
        <w:spacing w:after="0" w:line="277" w:lineRule="auto"/>
        <w:rPr>
          <w:sz w:val="20"/>
          <w:szCs w:val="20"/>
          <w:color w:val="auto"/>
        </w:rPr>
      </w:pPr>
      <w:r>
        <w:rPr>
          <w:rFonts w:ascii="Arial" w:cs="Arial" w:eastAsia="Arial" w:hAnsi="Arial"/>
          <w:sz w:val="18"/>
          <w:szCs w:val="18"/>
          <w:color w:val="auto"/>
        </w:rPr>
        <w:t>respectively. During the six months ended June 30, 2021 and 2020, the Company recorded $2.2 million and $1.7 million of amortization expense in cost of revenue, and $2.1 million and $1.5 million of amortization expense in operating expenses,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r>
      <w:tr>
        <w:trPr>
          <w:trHeight w:val="176"/>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r>
      <w:tr>
        <w:trPr>
          <w:trHeight w:val="175"/>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r>
      <w:tr>
        <w:trPr>
          <w:trHeight w:val="25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(7,544 )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(2,758 )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(6,813 )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(395 )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(343 )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6"/>
        </w:trPr>
        <w:tc>
          <w:tcPr>
            <w:tcW w:w="5860" w:type="dxa"/>
            <w:vAlign w:val="bottom"/>
          </w:tcPr>
          <w:p>
            <w:pPr>
              <w:ind w:left="20"/>
              <w:spacing w:after="0"/>
              <w:rPr>
                <w:sz w:val="20"/>
                <w:szCs w:val="20"/>
                <w:color w:val="auto"/>
              </w:rPr>
            </w:pPr>
            <w:r>
              <w:rPr>
                <w:rFonts w:ascii="Arial" w:cs="Arial" w:eastAsia="Arial" w:hAnsi="Arial"/>
                <w:sz w:val="18"/>
                <w:szCs w:val="18"/>
                <w:color w:val="auto"/>
              </w:rPr>
              <w:t>Trademark</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(200 )</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18,248</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(18,053 )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r>
      <w:tr>
        <w:trPr>
          <w:trHeight w:val="175"/>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r>
      <w:tr>
        <w:trPr>
          <w:trHeight w:val="176"/>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r>
      <w:tr>
        <w:trPr>
          <w:trHeight w:val="25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(7,460 )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License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(2,652 )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(6,782 )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860" w:type="dxa"/>
            <w:vAlign w:val="bottom"/>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(355 )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Trademark</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(200 )</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260" w:type="dxa"/>
            <w:vAlign w:val="bottom"/>
            <w:tcBorders>
              <w:lef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(17,779 )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-1979930</wp:posOffset>
            </wp:positionV>
            <wp:extent cx="154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-1962150</wp:posOffset>
            </wp:positionV>
            <wp:extent cx="154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-1979930</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-1962150</wp:posOffset>
            </wp:positionV>
            <wp:extent cx="1460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-1979930</wp:posOffset>
            </wp:positionV>
            <wp:extent cx="197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-1962150</wp:posOffset>
            </wp:positionV>
            <wp:extent cx="1974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1631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1631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1460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197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1974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63" w:lineRule="exact"/>
        <w:rPr>
          <w:sz w:val="20"/>
          <w:szCs w:val="20"/>
          <w:color w:val="auto"/>
        </w:rPr>
      </w:pPr>
    </w:p>
    <w:p>
      <w:pPr>
        <w:ind w:right="80" w:firstLine="427"/>
        <w:spacing w:after="0" w:line="277" w:lineRule="auto"/>
        <w:rPr>
          <w:sz w:val="20"/>
          <w:szCs w:val="20"/>
          <w:color w:val="auto"/>
        </w:rPr>
      </w:pPr>
      <w:r>
        <w:rPr>
          <w:rFonts w:ascii="Arial" w:cs="Arial" w:eastAsia="Arial" w:hAnsi="Arial"/>
          <w:sz w:val="18"/>
          <w:szCs w:val="18"/>
          <w:color w:val="auto"/>
        </w:rPr>
        <w:t>Amortization expense of intangible assets was $0.1 million for the three and six months ended June 30, 2021 and $0.1 million and $0.4 million for the three and six months ended June 30, 2020, respectively.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2021, future amortization expense is expected to be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8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2021 (remaining six months)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r>
      <w:tr>
        <w:trPr>
          <w:trHeight w:val="26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2"/>
                <w:szCs w:val="22"/>
                <w:color w:val="auto"/>
              </w:rPr>
            </w:pPr>
          </w:p>
        </w:tc>
      </w:tr>
      <w:tr>
        <w:trPr>
          <w:trHeight w:val="25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5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future amortization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FF0FC"/>
            </w:tcBorders>
          </w:tcPr>
          <w:p>
            <w:pPr>
              <w:spacing w:after="0"/>
              <w:rPr>
                <w:sz w:val="21"/>
                <w:szCs w:val="21"/>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53" w:lineRule="exact"/>
        <w:rPr>
          <w:sz w:val="20"/>
          <w:szCs w:val="20"/>
          <w:color w:val="auto"/>
        </w:rPr>
      </w:pPr>
    </w:p>
    <w:p>
      <w:pPr>
        <w:ind w:right="120" w:firstLine="432"/>
        <w:spacing w:after="0" w:line="268"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ten years, and often include one or more renewal or termination options. These options are not included in the determination of the lease term at commencement unless it is reasonably certain that the Company will exercise the option. During the three months ended June 30 ,2021, the Company recorded approximately $2.5 million for an additional right-of-use asset and related operating lease liability for an office lease that commenced in April 2021.</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37"/>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FF0FC"/>
          </w:tcPr>
          <w:p>
            <w:pPr>
              <w:spacing w:after="0"/>
              <w:rPr>
                <w:sz w:val="22"/>
                <w:szCs w:val="22"/>
                <w:color w:val="auto"/>
              </w:rPr>
            </w:pPr>
          </w:p>
        </w:tc>
      </w:tr>
      <w:tr>
        <w:trPr>
          <w:trHeight w:val="250"/>
        </w:trPr>
        <w:tc>
          <w:tcPr>
            <w:tcW w:w="56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2"/>
                <w:szCs w:val="22"/>
                <w:color w:val="auto"/>
              </w:rPr>
            </w:pPr>
          </w:p>
        </w:tc>
      </w:tr>
      <w:tr>
        <w:trPr>
          <w:trHeight w:val="257"/>
        </w:trPr>
        <w:tc>
          <w:tcPr>
            <w:tcW w:w="5680" w:type="dxa"/>
            <w:vAlign w:val="bottom"/>
          </w:tcPr>
          <w:p>
            <w:pPr>
              <w:ind w:left="140"/>
              <w:spacing w:after="0"/>
              <w:rPr>
                <w:sz w:val="20"/>
                <w:szCs w:val="20"/>
                <w:color w:val="auto"/>
              </w:rPr>
            </w:pPr>
            <w:r>
              <w:rPr>
                <w:rFonts w:ascii="Arial" w:cs="Arial" w:eastAsia="Arial" w:hAnsi="Arial"/>
                <w:sz w:val="18"/>
                <w:szCs w:val="18"/>
                <w:color w:val="auto"/>
              </w:rPr>
              <w:t>Interest on finance lease liabilities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r>
      <w:tr>
        <w:trPr>
          <w:trHeight w:val="250"/>
        </w:trPr>
        <w:tc>
          <w:tcPr>
            <w:tcW w:w="5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finance lease cost</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21"/>
                <w:szCs w:val="21"/>
                <w:color w:val="auto"/>
              </w:rPr>
            </w:pP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r>
      <w:tr>
        <w:trPr>
          <w:trHeight w:val="29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1631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163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45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1454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46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46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50"/>
        </w:trPr>
        <w:tc>
          <w:tcPr>
            <w:tcW w:w="5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70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r>
      <w:tr>
        <w:trPr>
          <w:trHeight w:val="263"/>
        </w:trPr>
        <w:tc>
          <w:tcPr>
            <w:tcW w:w="5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2"/>
                <w:szCs w:val="22"/>
                <w:color w:val="auto"/>
              </w:rPr>
            </w:pPr>
          </w:p>
        </w:tc>
      </w:tr>
      <w:tr>
        <w:trPr>
          <w:trHeight w:val="250"/>
        </w:trPr>
        <w:tc>
          <w:tcPr>
            <w:tcW w:w="570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of operating lease</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ind w:right="660" w:firstLine="427"/>
        <w:spacing w:after="0" w:line="277" w:lineRule="auto"/>
        <w:rPr>
          <w:sz w:val="20"/>
          <w:szCs w:val="20"/>
          <w:color w:val="auto"/>
        </w:rPr>
      </w:pPr>
      <w:r>
        <w:rPr>
          <w:rFonts w:ascii="Arial" w:cs="Arial" w:eastAsia="Arial" w:hAnsi="Arial"/>
          <w:sz w:val="18"/>
          <w:szCs w:val="18"/>
          <w:color w:val="auto"/>
        </w:rPr>
        <w:t>The total remaining lease payments under non-cancelable operating and finance leases as of June 30, 2021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six months)</w:t>
            </w:r>
          </w:p>
        </w:tc>
        <w:tc>
          <w:tcPr>
            <w:tcW w:w="2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 including interest</w:t>
            </w:r>
          </w:p>
        </w:tc>
        <w:tc>
          <w:tcPr>
            <w:tcW w:w="2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21"/>
                <w:szCs w:val="21"/>
                <w:color w:val="auto"/>
              </w:rPr>
            </w:pPr>
          </w:p>
        </w:tc>
      </w:tr>
      <w:tr>
        <w:trPr>
          <w:trHeight w:val="256"/>
        </w:trPr>
        <w:tc>
          <w:tcPr>
            <w:tcW w:w="76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(1,041 )</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(14 )</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9,751</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88"/>
        </w:trPr>
        <w:tc>
          <w:tcPr>
            <w:tcW w:w="764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64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7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7,178</w:t>
            </w:r>
          </w:p>
        </w:tc>
        <w:tc>
          <w:tcPr>
            <w:tcW w:w="24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2,518</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r>
      <w:tr>
        <w:trPr>
          <w:trHeight w:val="26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2,489</w:t>
            </w:r>
          </w:p>
        </w:tc>
        <w:tc>
          <w:tcPr>
            <w:tcW w:w="2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76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12,185</w:t>
            </w:r>
          </w:p>
        </w:tc>
        <w:tc>
          <w:tcPr>
            <w:tcW w:w="24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-1704975</wp:posOffset>
            </wp:positionV>
            <wp:extent cx="171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-1687830</wp:posOffset>
            </wp:positionV>
            <wp:extent cx="171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7145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420" w:firstLine="499"/>
        <w:spacing w:after="0" w:line="277" w:lineRule="auto"/>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53" w:lineRule="exact"/>
        <w:rPr>
          <w:sz w:val="20"/>
          <w:szCs w:val="20"/>
          <w:color w:val="auto"/>
        </w:rPr>
      </w:pPr>
    </w:p>
    <w:p>
      <w:pPr>
        <w:ind w:right="300" w:firstLine="427"/>
        <w:spacing w:after="0" w:line="261"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Future minimum payments under other non-cancellable agreements as of June 30, 2021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4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Years Ending December 31,</w:t>
            </w:r>
          </w:p>
        </w:tc>
        <w:tc>
          <w:tcPr>
            <w:tcW w:w="8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140" w:type="dxa"/>
            <w:vAlign w:val="bottom"/>
          </w:tcPr>
          <w:p>
            <w:pPr>
              <w:ind w:left="20"/>
              <w:spacing w:after="0"/>
              <w:rPr>
                <w:sz w:val="20"/>
                <w:szCs w:val="20"/>
                <w:color w:val="auto"/>
              </w:rPr>
            </w:pPr>
            <w:r>
              <w:rPr>
                <w:rFonts w:ascii="Arial" w:cs="Arial" w:eastAsia="Arial" w:hAnsi="Arial"/>
                <w:sz w:val="18"/>
                <w:szCs w:val="18"/>
                <w:color w:val="auto"/>
              </w:rPr>
              <w:t>2021 (remaining six months)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FF0FC"/>
          </w:tcPr>
          <w:p>
            <w:pPr>
              <w:spacing w:after="0"/>
              <w:rPr>
                <w:sz w:val="22"/>
                <w:szCs w:val="22"/>
                <w:color w:val="auto"/>
              </w:rPr>
            </w:pPr>
          </w:p>
        </w:tc>
      </w:tr>
      <w:tr>
        <w:trPr>
          <w:trHeight w:val="250"/>
        </w:trPr>
        <w:tc>
          <w:tcPr>
            <w:tcW w:w="9140" w:type="dxa"/>
            <w:vAlign w:val="bottom"/>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2"/>
                <w:szCs w:val="22"/>
                <w:color w:val="auto"/>
              </w:rPr>
            </w:pPr>
          </w:p>
        </w:tc>
      </w:tr>
      <w:tr>
        <w:trPr>
          <w:trHeight w:val="250"/>
        </w:trPr>
        <w:tc>
          <w:tcPr>
            <w:tcW w:w="9140" w:type="dxa"/>
            <w:vAlign w:val="bottom"/>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6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4"/>
        </w:trPr>
        <w:tc>
          <w:tcPr>
            <w:tcW w:w="9140" w:type="dxa"/>
            <w:vAlign w:val="bottom"/>
            <w:tcBorders>
              <w:top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top w:val="single" w:sz="8" w:color="CFF0FC"/>
            </w:tcBorders>
          </w:tcPr>
          <w:p>
            <w:pPr>
              <w:spacing w:after="0"/>
              <w:rPr>
                <w:sz w:val="21"/>
                <w:szCs w:val="21"/>
                <w:color w:val="auto"/>
              </w:rPr>
            </w:pPr>
          </w:p>
        </w:tc>
      </w:tr>
      <w:tr>
        <w:trPr>
          <w:trHeight w:val="20"/>
        </w:trPr>
        <w:tc>
          <w:tcPr>
            <w:tcW w:w="9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53" w:lineRule="exact"/>
        <w:rPr>
          <w:sz w:val="20"/>
          <w:szCs w:val="20"/>
          <w:color w:val="auto"/>
        </w:rPr>
      </w:pPr>
    </w:p>
    <w:p>
      <w:pPr>
        <w:ind w:right="260" w:firstLine="427"/>
        <w:spacing w:after="0" w:line="271"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did not make any matching contributions to the 401(k) plan for the three and six months ended June 30,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53" w:lineRule="exact"/>
        <w:rPr>
          <w:sz w:val="20"/>
          <w:szCs w:val="20"/>
          <w:color w:val="auto"/>
        </w:rPr>
      </w:pPr>
    </w:p>
    <w:p>
      <w:pPr>
        <w:ind w:right="40" w:firstLine="427"/>
        <w:spacing w:after="0" w:line="269" w:lineRule="auto"/>
        <w:rPr>
          <w:sz w:val="20"/>
          <w:szCs w:val="20"/>
          <w:color w:val="auto"/>
        </w:rPr>
      </w:pPr>
      <w:r>
        <w:rPr>
          <w:rFonts w:ascii="Arial" w:cs="Arial" w:eastAsia="Arial" w:hAnsi="Arial"/>
          <w:sz w:val="18"/>
          <w:szCs w:val="18"/>
          <w:color w:val="auto"/>
        </w:rPr>
        <w:t>The Company is involved from time to time in various claims and legal actions arising in the ordinary course of business. While it is not feasible to predict or determine the ultimate outcome of these matters, the Company believes that none of its current legal proceedings will have a material adverse effect on its financial position, results of operations, or cash flows as of and for the three and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3"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53" w:lineRule="exact"/>
        <w:rPr>
          <w:sz w:val="20"/>
          <w:szCs w:val="20"/>
          <w:color w:val="auto"/>
        </w:rPr>
      </w:pPr>
    </w:p>
    <w:p>
      <w:pPr>
        <w:ind w:right="60" w:firstLine="427"/>
        <w:spacing w:after="0" w:line="269"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98" w:lineRule="exact"/>
        <w:rPr>
          <w:sz w:val="20"/>
          <w:szCs w:val="20"/>
          <w:color w:val="auto"/>
        </w:rPr>
      </w:pPr>
    </w:p>
    <w:p>
      <w:pPr>
        <w:ind w:right="100" w:firstLine="427"/>
        <w:spacing w:after="0" w:line="267" w:lineRule="auto"/>
        <w:rPr>
          <w:sz w:val="20"/>
          <w:szCs w:val="20"/>
          <w:color w:val="auto"/>
        </w:rPr>
      </w:pPr>
      <w:r>
        <w:rPr>
          <w:rFonts w:ascii="Arial" w:cs="Arial" w:eastAsia="Arial" w:hAnsi="Arial"/>
          <w:sz w:val="18"/>
          <w:szCs w:val="18"/>
          <w:color w:val="auto"/>
        </w:rPr>
        <w:t>On September 6, 2011, the Company issued a loan to the Company’s Chief Executive Officer for $0.8 million at an interest rate of 2% per annum. The Company recorded the principal amount of $0.8 million as a reduction to additional paid-in capital in the consolidated statements of stockholders’ equity. The Chief Executive Officer and an entity affiliated with him pledged 805 shares of the Company's Series A preferred shares and 1,788,205 common shares as security for the loan. The loan principal and interest were due and payable on September 6, 2026. During the three and six months ended June 30, 2020 and the six months ended June 30, 2021, the Company recognized an immaterial amount of interest income relating to the loan. At December 31, 2020, the Company had recorded a receivable for accrued interest of $0.2 million, which is included in prepaid expenses and other current assets in the condensed consolidated balance sheets. On March 16, 2021, the Company’s Chief Executive Officer paid in full the loan outstanding in the amount of $0.8 million, plus accrued interest of $0.2 million for a total payment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ind w:right="260" w:firstLine="427"/>
        <w:spacing w:after="0" w:line="261"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5,000,000 shares of undesignated preferred stock with a par value of $0.0001 per share with rights and preferences, including voting rights, designated from time to time by the board of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condensed consolidated financial statements, unless otherwise noted. Holders of common stock are entitled to receive any dividends as may be declared from time to time by the board of directors.</w:t>
      </w:r>
    </w:p>
    <w:p>
      <w:pPr>
        <w:spacing w:after="0" w:line="97"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53" w:lineRule="exact"/>
        <w:rPr>
          <w:sz w:val="20"/>
          <w:szCs w:val="20"/>
          <w:color w:val="auto"/>
        </w:rPr>
      </w:pPr>
    </w:p>
    <w:p>
      <w:pPr>
        <w:ind w:right="180" w:firstLine="324"/>
        <w:spacing w:after="0" w:line="271" w:lineRule="auto"/>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June 30, 2021, there were no shares of Series A preferred stock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53" w:lineRule="exact"/>
        <w:rPr>
          <w:sz w:val="20"/>
          <w:szCs w:val="20"/>
          <w:color w:val="auto"/>
        </w:rPr>
      </w:pPr>
    </w:p>
    <w:p>
      <w:pPr>
        <w:ind w:firstLine="389"/>
        <w:spacing w:after="0" w:line="267" w:lineRule="auto"/>
        <w:rPr>
          <w:sz w:val="20"/>
          <w:szCs w:val="20"/>
          <w:color w:val="auto"/>
        </w:rPr>
      </w:pPr>
      <w:r>
        <w:rPr>
          <w:rFonts w:ascii="Arial" w:cs="Arial" w:eastAsia="Arial" w:hAnsi="Arial"/>
          <w:sz w:val="18"/>
          <w:szCs w:val="18"/>
          <w:color w:val="auto"/>
        </w:rPr>
        <w:t>On May 13, 2021, the Company entered into a warrant agreement with an affiliate of J.P. Morgan Securities LLC, an underwriter in the IPO, whereas the Company agreed to issue a warrant to such affiliate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Consistent with classification guidance in ASC 606, the Company accounts for the consideration payable in the form of warrants to a customer as a reduction of the transaction price and, therefore, of revenue as the revenue is earned. The warrant fair value was determined using the Black-Scholes pricing model in accordance with Topic 718. The warrant was recorded as additional paid-in capital and as a contract asset included in prepaid expenses and other current assets and other long-term assets in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53" w:lineRule="exact"/>
        <w:rPr>
          <w:sz w:val="20"/>
          <w:szCs w:val="20"/>
          <w:color w:val="auto"/>
        </w:rPr>
      </w:pPr>
    </w:p>
    <w:p>
      <w:pPr>
        <w:ind w:right="20" w:firstLine="427"/>
        <w:spacing w:after="0" w:line="267"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At June 30, 2021, there were 10,453,048 remaining shares available for the Company to grant under the 2021 Plan</w:t>
      </w:r>
    </w:p>
    <w:p>
      <w:pPr>
        <w:spacing w:after="0" w:line="100" w:lineRule="exact"/>
        <w:rPr>
          <w:sz w:val="20"/>
          <w:szCs w:val="20"/>
          <w:color w:val="auto"/>
        </w:rPr>
      </w:pPr>
    </w:p>
    <w:p>
      <w:pPr>
        <w:ind w:right="320" w:firstLine="427"/>
        <w:spacing w:after="0" w:line="258" w:lineRule="auto"/>
        <w:rPr>
          <w:sz w:val="20"/>
          <w:szCs w:val="20"/>
          <w:color w:val="auto"/>
        </w:rPr>
      </w:pPr>
      <w:r>
        <w:rPr>
          <w:rFonts w:ascii="Arial" w:cs="Arial" w:eastAsia="Arial" w:hAnsi="Arial"/>
          <w:sz w:val="18"/>
          <w:szCs w:val="18"/>
          <w:color w:val="auto"/>
        </w:rPr>
        <w:t>A summary of the Company’s option activity during the six months ended June 30, 2021 was as follows (in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1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7"/>
                <w:szCs w:val="17"/>
                <w:color w:val="auto"/>
              </w:rPr>
            </w:pPr>
          </w:p>
        </w:tc>
        <w:tc>
          <w:tcPr>
            <w:tcW w:w="1320" w:type="dxa"/>
            <w:vAlign w:val="bottom"/>
          </w:tcPr>
          <w:p>
            <w:pPr>
              <w:jc w:val="center"/>
              <w:ind w:right="98"/>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7"/>
                <w:szCs w:val="17"/>
                <w:color w:val="auto"/>
              </w:rPr>
            </w:pPr>
          </w:p>
        </w:tc>
      </w:tr>
      <w:tr>
        <w:trPr>
          <w:trHeight w:val="208"/>
        </w:trPr>
        <w:tc>
          <w:tcPr>
            <w:tcW w:w="4400" w:type="dxa"/>
            <w:vAlign w:val="bottom"/>
          </w:tcPr>
          <w:p>
            <w:pPr>
              <w:spacing w:after="0"/>
              <w:rPr>
                <w:sz w:val="18"/>
                <w:szCs w:val="18"/>
                <w:color w:val="auto"/>
              </w:rPr>
            </w:pPr>
          </w:p>
        </w:tc>
        <w:tc>
          <w:tcPr>
            <w:tcW w:w="15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Life </w:t>
            </w:r>
            <w:r>
              <w:rPr>
                <w:rFonts w:ascii="Arial" w:cs="Arial" w:eastAsia="Arial" w:hAnsi="Arial"/>
                <w:sz w:val="14"/>
                <w:szCs w:val="14"/>
                <w:b w:val="1"/>
                <w:bCs w:val="1"/>
                <w:i w:val="1"/>
                <w:iCs w:val="1"/>
                <w:color w:val="auto"/>
              </w:rPr>
              <w:t>(years)</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r>
      <w:tr>
        <w:trPr>
          <w:trHeight w:val="256"/>
        </w:trPr>
        <w:tc>
          <w:tcPr>
            <w:tcW w:w="4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50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7,509,210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67,397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exercised</w:t>
            </w: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440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(9,835 )</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7,566,772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5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232,825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Exercisable at June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5,122,975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167,248</w:t>
            </w:r>
          </w:p>
        </w:tc>
        <w:tc>
          <w:tcPr>
            <w:tcW w:w="10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-213995</wp:posOffset>
            </wp:positionV>
            <wp:extent cx="1803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-196215</wp:posOffset>
            </wp:positionV>
            <wp:extent cx="1803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8"/>
          <w:szCs w:val="18"/>
          <w:color w:val="auto"/>
        </w:rPr>
        <w:t>The weighted average grant date fair value of options granted during the three and six months ended June 30, 2021, was $7.21 and $3.39, respectively. The weighted average grant date fair value of options granted during the three and six months ended June 30, 2020 was $3.72. Aggregate intrinsic value represents the difference between the exercise price of the options and the fair value of the Company’s common stock.</w:t>
      </w:r>
    </w:p>
    <w:p>
      <w:pPr>
        <w:spacing w:after="0" w:line="98" w:lineRule="exact"/>
        <w:rPr>
          <w:sz w:val="20"/>
          <w:szCs w:val="20"/>
          <w:color w:val="auto"/>
        </w:rPr>
      </w:pPr>
    </w:p>
    <w:p>
      <w:pPr>
        <w:ind w:right="140" w:firstLine="427"/>
        <w:spacing w:after="0" w:line="277" w:lineRule="auto"/>
        <w:rPr>
          <w:sz w:val="20"/>
          <w:szCs w:val="20"/>
          <w:color w:val="auto"/>
        </w:rPr>
      </w:pPr>
      <w:r>
        <w:rPr>
          <w:rFonts w:ascii="Arial" w:cs="Arial" w:eastAsia="Arial" w:hAnsi="Arial"/>
          <w:sz w:val="18"/>
          <w:szCs w:val="18"/>
          <w:color w:val="auto"/>
        </w:rPr>
        <w:t>The fair value of options granted during the three and six months ended June 30, 2021 was estimated using the Black-Scholes option-pricing model with the following weighted-average assumptions for the 2021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31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7"/>
                <w:szCs w:val="17"/>
                <w:color w:val="auto"/>
              </w:rPr>
            </w:pPr>
          </w:p>
        </w:tc>
      </w:tr>
      <w:tr>
        <w:trPr>
          <w:trHeight w:val="250"/>
        </w:trPr>
        <w:tc>
          <w:tcPr>
            <w:tcW w:w="4400" w:type="dxa"/>
            <w:vAlign w:val="bottom"/>
          </w:tcPr>
          <w:p>
            <w:pPr>
              <w:spacing w:after="0"/>
              <w:rPr>
                <w:sz w:val="21"/>
                <w:szCs w:val="21"/>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1"/>
                <w:szCs w:val="21"/>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1"/>
                <w:szCs w:val="21"/>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r>
      <w:tr>
        <w:trPr>
          <w:trHeight w:val="256"/>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0.0 %</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0.0 %</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0.0 %</w:t>
            </w:r>
          </w:p>
        </w:tc>
      </w:tr>
      <w:tr>
        <w:trPr>
          <w:trHeight w:val="25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0.8 %</w:t>
            </w:r>
          </w:p>
        </w:tc>
        <w:tc>
          <w:tcPr>
            <w:tcW w:w="1360" w:type="dxa"/>
            <w:vAlign w:val="bottom"/>
          </w:tcPr>
          <w:p>
            <w:pPr>
              <w:jc w:val="right"/>
              <w:spacing w:after="0"/>
              <w:rPr>
                <w:sz w:val="20"/>
                <w:szCs w:val="20"/>
                <w:color w:val="auto"/>
              </w:rPr>
            </w:pPr>
            <w:r>
              <w:rPr>
                <w:rFonts w:ascii="Arial" w:cs="Arial" w:eastAsia="Arial" w:hAnsi="Arial"/>
                <w:sz w:val="18"/>
                <w:szCs w:val="18"/>
                <w:color w:val="auto"/>
              </w:rPr>
              <w:t>0.3 % - 0.4%</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0.3 % - 0.8%</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0.3 % - 0.4%</w:t>
            </w:r>
          </w:p>
        </w:tc>
        <w:tc>
          <w:tcPr>
            <w:tcW w:w="220" w:type="dxa"/>
            <w:vAlign w:val="bottom"/>
          </w:tcPr>
          <w:p>
            <w:pPr>
              <w:spacing w:after="0"/>
              <w:rPr>
                <w:sz w:val="21"/>
                <w:szCs w:val="21"/>
                <w:color w:val="auto"/>
              </w:rPr>
            </w:pPr>
          </w:p>
        </w:tc>
      </w:tr>
      <w:tr>
        <w:trPr>
          <w:trHeight w:val="263"/>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3 - 5</w:t>
            </w: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3 - 5</w:t>
            </w:r>
          </w:p>
        </w:tc>
        <w:tc>
          <w:tcPr>
            <w:tcW w:w="220" w:type="dxa"/>
            <w:vAlign w:val="bottom"/>
            <w:shd w:val="clear" w:color="auto" w:fill="CFF0FC"/>
          </w:tcPr>
          <w:p>
            <w:pPr>
              <w:spacing w:after="0"/>
              <w:rPr>
                <w:sz w:val="22"/>
                <w:szCs w:val="22"/>
                <w:color w:val="auto"/>
              </w:rPr>
            </w:pP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38.0 %</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50.0 %</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38.0 %</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50.0 %</w:t>
            </w:r>
          </w:p>
        </w:tc>
      </w:tr>
    </w:tbl>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50"/>
        </w:trPr>
        <w:tc>
          <w:tcPr>
            <w:tcW w:w="4400" w:type="dxa"/>
            <w:vAlign w:val="bottom"/>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196"/>
        </w:trPr>
        <w:tc>
          <w:tcPr>
            <w:tcW w:w="4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44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63"/>
        </w:trPr>
        <w:tc>
          <w:tcPr>
            <w:tcW w:w="4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40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568</w:t>
            </w:r>
          </w:p>
        </w:tc>
        <w:tc>
          <w:tcPr>
            <w:tcW w:w="12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1,131</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-193675</wp:posOffset>
            </wp:positionV>
            <wp:extent cx="1803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-193675</wp:posOffset>
            </wp:positionV>
            <wp:extent cx="1625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-193675</wp:posOffset>
            </wp:positionV>
            <wp:extent cx="16256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At June 30, 2021, there was $6.6 million of total unrecognized compensation cost related to unvested stock options granted under the 2021 Plan, which is expected to be recognized over a remaining weighted-average period of 3.0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5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computes its tax provision for interim periods by applying the estimated annual effective tax rate to year-to-date income from recurring operations and adjusting for discrete items arising in that quarter.</w:t>
      </w:r>
    </w:p>
    <w:p>
      <w:pPr>
        <w:spacing w:after="0" w:line="89" w:lineRule="exact"/>
        <w:rPr>
          <w:sz w:val="20"/>
          <w:szCs w:val="20"/>
          <w:color w:val="auto"/>
        </w:rPr>
      </w:pPr>
    </w:p>
    <w:p>
      <w:pPr>
        <w:ind w:right="80" w:firstLine="427"/>
        <w:spacing w:after="0" w:line="268" w:lineRule="auto"/>
        <w:rPr>
          <w:sz w:val="20"/>
          <w:szCs w:val="20"/>
          <w:color w:val="auto"/>
        </w:rPr>
      </w:pPr>
      <w:r>
        <w:rPr>
          <w:rFonts w:ascii="Arial" w:cs="Arial" w:eastAsia="Arial" w:hAnsi="Arial"/>
          <w:sz w:val="18"/>
          <w:szCs w:val="18"/>
          <w:color w:val="auto"/>
        </w:rPr>
        <w:t>The Company’s effective tax rate for the three months ended June 30, 2021 and 2020 was 85.9% and 25.4%, respectively, and 52.8% and 25.2% for the six months ended June 30, 2021 and 2020, respectively. The difference between the Company’s effective tax rate and the U.S. federal statutory rate of 21% in the above periods was primarily the result of state taxes, foreign income taxed at different rates and permanent and discrete tax adjustments related to nondeductible executive compensation and nondeductible expenses incurred in connection with the IPO.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 Attributable to Common Stock</w:t>
      </w:r>
    </w:p>
    <w:p>
      <w:pPr>
        <w:spacing w:after="0" w:line="153" w:lineRule="exact"/>
        <w:rPr>
          <w:sz w:val="20"/>
          <w:szCs w:val="20"/>
          <w:color w:val="auto"/>
        </w:rPr>
      </w:pPr>
    </w:p>
    <w:p>
      <w:pPr>
        <w:jc w:val="both"/>
        <w:ind w:right="440" w:firstLine="427"/>
        <w:spacing w:after="0" w:line="261" w:lineRule="auto"/>
        <w:rPr>
          <w:sz w:val="20"/>
          <w:szCs w:val="20"/>
          <w:color w:val="auto"/>
        </w:rPr>
      </w:pPr>
      <w:r>
        <w:rPr>
          <w:rFonts w:ascii="Arial" w:cs="Arial" w:eastAsia="Arial" w:hAnsi="Arial"/>
          <w:sz w:val="18"/>
          <w:szCs w:val="18"/>
          <w:color w:val="auto"/>
        </w:rPr>
        <w:t>Basic net income (loss) per share attributable to common stockholders is computed by deducting the undeclared dividends on the Series A preferred shares from net income to arrive at net income (loss) attributable to common stock and dividing the net income (loss) attributable to common stockholders by the weighted-average number of common shares outstanding during the period.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8" w:name="page19"/>
    <w:bookmarkEnd w:id="18"/>
    <w:p>
      <w:pPr>
        <w:ind w:right="140" w:firstLine="427"/>
        <w:spacing w:after="0" w:line="269" w:lineRule="auto"/>
        <w:rPr>
          <w:sz w:val="20"/>
          <w:szCs w:val="20"/>
          <w:color w:val="auto"/>
        </w:rPr>
      </w:pPr>
      <w:r>
        <w:rPr>
          <w:rFonts w:ascii="Arial" w:cs="Arial" w:eastAsia="Arial" w:hAnsi="Arial"/>
          <w:sz w:val="18"/>
          <w:szCs w:val="18"/>
          <w:color w:val="auto"/>
        </w:rPr>
        <w:t>Diluted net income (loss) per share attributable to common stock is computed by giving effect to all potentially dilutive common stock equivalents to the extent they are dilutive. The dilutive effect of outstanding options and warrants is reflected in diluted net income (loss) per share attributable to common stock by application of the treasury stock method. The calculation of diluted net income (loss) per share attributable to common stock excludes all anti-dilutive common shares.</w:t>
      </w:r>
    </w:p>
    <w:p>
      <w:pPr>
        <w:spacing w:after="0" w:line="98" w:lineRule="exact"/>
        <w:rPr>
          <w:sz w:val="20"/>
          <w:szCs w:val="20"/>
          <w:color w:val="auto"/>
        </w:rPr>
      </w:pPr>
    </w:p>
    <w:p>
      <w:pPr>
        <w:ind w:right="40" w:firstLine="427"/>
        <w:spacing w:after="0" w:line="269"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Class A and Class B common stock on both an individual and combined basis.</w:t>
      </w:r>
    </w:p>
    <w:p>
      <w:pPr>
        <w:spacing w:after="0" w:line="98" w:lineRule="exact"/>
        <w:rPr>
          <w:sz w:val="20"/>
          <w:szCs w:val="20"/>
          <w:color w:val="auto"/>
        </w:rPr>
      </w:pPr>
    </w:p>
    <w:p>
      <w:pPr>
        <w:ind w:right="760" w:firstLine="427"/>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7"/>
                <w:szCs w:val="17"/>
                <w:color w:val="auto"/>
              </w:rPr>
            </w:pPr>
          </w:p>
        </w:tc>
        <w:tc>
          <w:tcPr>
            <w:tcW w:w="2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58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4,685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7,464</w:t>
            </w:r>
          </w:p>
        </w:tc>
        <w:tc>
          <w:tcPr>
            <w:tcW w:w="120" w:type="dxa"/>
            <w:vAlign w:val="bottom"/>
          </w:tcPr>
          <w:p>
            <w:pPr>
              <w:spacing w:after="0"/>
              <w:rPr>
                <w:sz w:val="21"/>
                <w:szCs w:val="21"/>
                <w:color w:val="auto"/>
              </w:rPr>
            </w:pPr>
          </w:p>
        </w:tc>
      </w:tr>
      <w:tr>
        <w:trPr>
          <w:trHeight w:val="25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Undeclared dividends on Series A preferred stock</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(898 )</w:t>
            </w:r>
          </w:p>
        </w:tc>
        <w:tc>
          <w:tcPr>
            <w:tcW w:w="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(1,273 )</w:t>
            </w:r>
          </w:p>
        </w:tc>
        <w:tc>
          <w:tcPr>
            <w:tcW w:w="1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(2,258 )</w:t>
            </w:r>
          </w:p>
        </w:tc>
        <w:tc>
          <w:tcPr>
            <w:tcW w:w="1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(2,515 )</w:t>
            </w: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Net income (loss) attributable to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(323 )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 basic</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108,970,60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103,479,23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106,240,09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103,479,239</w:t>
            </w:r>
          </w:p>
        </w:tc>
        <w:tc>
          <w:tcPr>
            <w:tcW w:w="120" w:type="dxa"/>
            <w:vAlign w:val="bottom"/>
          </w:tcPr>
          <w:p>
            <w:pPr>
              <w:spacing w:after="0"/>
              <w:rPr>
                <w:sz w:val="20"/>
                <w:szCs w:val="20"/>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stock options to purchase common stock</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2,672,439</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5,973,878</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2,656,012</w:t>
            </w:r>
          </w:p>
        </w:tc>
        <w:tc>
          <w:tcPr>
            <w:tcW w:w="12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Dilutive effect of warrants</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30,085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Weighted-average shares of common stock - diluted</w:t>
            </w: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108,970,60</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106,151,67</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112,244,05</w:t>
            </w: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106,135,251</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stock</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22"/>
                <w:szCs w:val="22"/>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-2485390</wp:posOffset>
            </wp:positionV>
            <wp:extent cx="171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-1813560</wp:posOffset>
            </wp:positionV>
            <wp:extent cx="16319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-1813560</wp:posOffset>
            </wp:positionV>
            <wp:extent cx="14541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-1813560</wp:posOffset>
            </wp:positionV>
            <wp:extent cx="14541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-1813560</wp:posOffset>
            </wp:positionV>
            <wp:extent cx="857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-504825</wp:posOffset>
            </wp:positionV>
            <wp:extent cx="1631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-488315</wp:posOffset>
            </wp:positionV>
            <wp:extent cx="1631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-504825</wp:posOffset>
            </wp:positionV>
            <wp:extent cx="145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-488315</wp:posOffset>
            </wp:positionV>
            <wp:extent cx="145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-504825</wp:posOffset>
            </wp:positionV>
            <wp:extent cx="1454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-488315</wp:posOffset>
            </wp:positionV>
            <wp:extent cx="1454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equivalents excluded from income (loss) per diluted share because their effect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50"/>
        </w:trPr>
        <w:tc>
          <w:tcPr>
            <w:tcW w:w="5840" w:type="dxa"/>
            <w:vAlign w:val="bottom"/>
          </w:tcPr>
          <w:p>
            <w:pPr>
              <w:spacing w:after="0"/>
              <w:rPr>
                <w:sz w:val="21"/>
                <w:szCs w:val="21"/>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6"/>
        </w:trPr>
        <w:tc>
          <w:tcPr>
            <w:tcW w:w="5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7,564,643</w:t>
            </w: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151,132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Information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37"/>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91,458</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70,404</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181,765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138,527</w:t>
            </w:r>
          </w:p>
        </w:tc>
        <w:tc>
          <w:tcPr>
            <w:tcW w:w="100" w:type="dxa"/>
            <w:vAlign w:val="bottom"/>
            <w:shd w:val="clear" w:color="auto" w:fill="CFF0FC"/>
          </w:tcPr>
          <w:p>
            <w:pPr>
              <w:spacing w:after="0"/>
              <w:rPr>
                <w:sz w:val="22"/>
                <w:szCs w:val="22"/>
                <w:color w:val="auto"/>
              </w:rPr>
            </w:pP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2"/>
                <w:szCs w:val="22"/>
                <w:color w:val="auto"/>
              </w:rPr>
            </w:pPr>
          </w:p>
        </w:tc>
      </w:tr>
      <w:tr>
        <w:trPr>
          <w:trHeight w:val="290"/>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71,734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1631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1631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1460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146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46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460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r>
      <w:tr>
        <w:trPr>
          <w:trHeight w:val="237"/>
        </w:trPr>
        <w:tc>
          <w:tcPr>
            <w:tcW w:w="33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5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FF0FC"/>
          </w:tcPr>
          <w:p>
            <w:pPr>
              <w:spacing w:after="0"/>
              <w:rPr>
                <w:sz w:val="22"/>
                <w:szCs w:val="22"/>
                <w:color w:val="auto"/>
              </w:rPr>
            </w:pP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color w:val="auto"/>
              </w:rPr>
              <w:t>Other</w:t>
            </w:r>
          </w:p>
        </w:tc>
        <w:tc>
          <w:tcPr>
            <w:tcW w:w="5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2"/>
                <w:szCs w:val="22"/>
                <w:color w:val="auto"/>
              </w:rPr>
            </w:pPr>
          </w:p>
        </w:tc>
      </w:tr>
      <w:tr>
        <w:trPr>
          <w:trHeight w:val="290"/>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5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5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FF0FC"/>
          </w:tcPr>
          <w:p>
            <w:pPr>
              <w:spacing w:after="0"/>
              <w:rPr>
                <w:sz w:val="24"/>
                <w:szCs w:val="24"/>
                <w:color w:val="auto"/>
              </w:rPr>
            </w:pPr>
          </w:p>
        </w:tc>
      </w:tr>
      <w:tr>
        <w:trPr>
          <w:trHeight w:val="439"/>
        </w:trPr>
        <w:tc>
          <w:tcPr>
            <w:tcW w:w="3320" w:type="dxa"/>
            <w:vAlign w:val="bottom"/>
            <w:tcBorders>
              <w:top w:val="single" w:sz="8" w:color="CFF0FC"/>
            </w:tcBorders>
          </w:tcPr>
          <w:p>
            <w:pPr>
              <w:spacing w:after="0"/>
              <w:rPr>
                <w:sz w:val="24"/>
                <w:szCs w:val="24"/>
                <w:color w:val="auto"/>
              </w:rPr>
            </w:pPr>
          </w:p>
        </w:tc>
        <w:tc>
          <w:tcPr>
            <w:tcW w:w="5320" w:type="dxa"/>
            <w:vAlign w:val="bottom"/>
            <w:tcBorders>
              <w:top w:val="single" w:sz="8" w:color="CFF0FC"/>
            </w:tcBorders>
          </w:tcPr>
          <w:p>
            <w:pPr>
              <w:jc w:val="right"/>
              <w:ind w:right="283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-402590</wp:posOffset>
            </wp:positionV>
            <wp:extent cx="146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-385445</wp:posOffset>
            </wp:positionV>
            <wp:extent cx="146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Subsequent Events</w:t>
      </w:r>
    </w:p>
    <w:p>
      <w:pPr>
        <w:spacing w:after="0" w:line="153" w:lineRule="exact"/>
        <w:rPr>
          <w:sz w:val="20"/>
          <w:szCs w:val="20"/>
          <w:color w:val="auto"/>
        </w:rPr>
      </w:pPr>
    </w:p>
    <w:p>
      <w:pPr>
        <w:ind w:right="140" w:firstLine="427"/>
        <w:spacing w:after="0" w:line="267" w:lineRule="auto"/>
        <w:rPr>
          <w:sz w:val="20"/>
          <w:szCs w:val="20"/>
          <w:color w:val="auto"/>
        </w:rPr>
      </w:pPr>
      <w:r>
        <w:rPr>
          <w:rFonts w:ascii="Arial" w:cs="Arial" w:eastAsia="Arial" w:hAnsi="Arial"/>
          <w:sz w:val="18"/>
          <w:szCs w:val="18"/>
          <w:color w:val="auto"/>
        </w:rPr>
        <w:t>On August 9, 2021, the Company entered into a definitive agreement to acquire Payveris LLC (“Payveris”), a leading payments processing company for financial institutions. Pursuant to the terms of, and subject to the conditions set forth in the definitive agreement, including customary purchase price adjustments, the Company will pay an aggregate consideration of approximately $152.2 million in exchange for all of the outstanding equity interests of Payveris, with approximately $85.7 million payable in cash, subject to adjustment, and the remainder issuable in shares of the Company’s Class A common stock, (“Share Consideration”). The Share Consideration will be calculated based on a fixed value per share, which will represent the average daily volume-weighted average price per share of the Company’s Class A common stock for each of the thirty consecutive trading days ending two business days prior to closing of the transaction.</w:t>
      </w:r>
    </w:p>
    <w:p>
      <w:pPr>
        <w:spacing w:after="0" w:line="102" w:lineRule="exact"/>
        <w:rPr>
          <w:sz w:val="20"/>
          <w:szCs w:val="20"/>
          <w:color w:val="auto"/>
        </w:rPr>
      </w:pPr>
    </w:p>
    <w:p>
      <w:pPr>
        <w:ind w:right="260" w:firstLine="427"/>
        <w:spacing w:after="0" w:line="268" w:lineRule="auto"/>
        <w:rPr>
          <w:sz w:val="20"/>
          <w:szCs w:val="20"/>
          <w:color w:val="auto"/>
        </w:rPr>
      </w:pPr>
      <w:r>
        <w:rPr>
          <w:rFonts w:ascii="Arial" w:cs="Arial" w:eastAsia="Arial" w:hAnsi="Arial"/>
          <w:sz w:val="18"/>
          <w:szCs w:val="18"/>
          <w:color w:val="auto"/>
        </w:rPr>
        <w:t>In addition, on August 9, 2021, the Company entered into a definitive agreement to acquire Finovera, Inc. ("Finovera"), a leading bill aggregation technology provider for financial institutions. Pursuant to the terms of, and subject to the conditions set forth in the definitive agreement, including customary purchase price adjustments, the Company will pay an aggregate consideration of approximately $13.5 million, subject to adjustment, in exchange for all of the outstanding equity interests of Finovera, with approximately $5.0 million payable in cash and the remainder consists of an estimated 293,611 shares of the Company’s Class A common stock.</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both of these acquisitions to close in the third quarter of 2021.</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35" w:lineRule="exact"/>
        <w:rPr>
          <w:sz w:val="20"/>
          <w:szCs w:val="20"/>
          <w:color w:val="auto"/>
        </w:rPr>
      </w:pPr>
    </w:p>
    <w:p>
      <w:pPr>
        <w:ind w:firstLine="494"/>
        <w:spacing w:after="0" w:line="272" w:lineRule="auto"/>
        <w:rPr>
          <w:sz w:val="20"/>
          <w:szCs w:val="20"/>
          <w:color w:val="auto"/>
        </w:rPr>
      </w:pPr>
      <w:r>
        <w:rPr>
          <w:rFonts w:ascii="Arial" w:cs="Arial" w:eastAsia="Arial" w:hAnsi="Arial"/>
          <w:sz w:val="18"/>
          <w:szCs w:val="18"/>
          <w:i w:val="1"/>
          <w:iCs w:val="1"/>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effectively manage our growth and expand our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further attract, retain and expand our biller, partner and consumer base;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expectations regarding our revenue, expenses and other operating results;</w:t>
      </w:r>
    </w:p>
    <w:p>
      <w:pPr>
        <w:spacing w:after="0" w:line="131" w:lineRule="exact"/>
        <w:rPr>
          <w:sz w:val="20"/>
          <w:szCs w:val="20"/>
          <w:color w:val="auto"/>
        </w:rPr>
      </w:pPr>
    </w:p>
    <w:p>
      <w:pPr>
        <w:ind w:left="960" w:right="60"/>
        <w:spacing w:after="0" w:line="298" w:lineRule="auto"/>
        <w:rPr>
          <w:sz w:val="20"/>
          <w:szCs w:val="20"/>
          <w:color w:val="auto"/>
        </w:rPr>
      </w:pPr>
      <w:r>
        <w:rPr>
          <w:rFonts w:ascii="Arial" w:cs="Arial" w:eastAsia="Arial" w:hAnsi="Arial"/>
          <w:sz w:val="18"/>
          <w:szCs w:val="18"/>
          <w:i w:val="1"/>
          <w:iCs w:val="1"/>
          <w:color w:val="auto"/>
        </w:rPr>
        <w:t>the continued impact of the COVID-19 pandemic on our operating results, liquidity and financial condition and on our employees, billers, partners, consumers and other key stakeholders;</w:t>
      </w:r>
    </w:p>
    <w:p>
      <w:pPr>
        <w:spacing w:after="0" w:line="53"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market opportunity and anticipated trends in our business and industry;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remain competitive as we continue to scale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develop new product features and enhance our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hire and retain experienced and talented employees as we grow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general economic conditions and their impact on consumer demand;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future acquisitions or strategic investments in complementary companies, products or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maintain and enhance our brand;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plan to expand into new channels and industry verticals across different markets;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international expansion plans and ability to expand internationally.</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report.</w:t>
      </w:r>
    </w:p>
    <w:p>
      <w:pPr>
        <w:spacing w:after="0" w:line="131" w:lineRule="exact"/>
        <w:rPr>
          <w:sz w:val="20"/>
          <w:szCs w:val="20"/>
          <w:color w:val="auto"/>
        </w:rPr>
      </w:pPr>
    </w:p>
    <w:p>
      <w:pPr>
        <w:ind w:right="240" w:firstLine="494"/>
        <w:spacing w:after="0" w:line="267"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ind w:right="20"/>
        <w:spacing w:after="0" w:line="276" w:lineRule="auto"/>
        <w:rPr>
          <w:sz w:val="20"/>
          <w:szCs w:val="20"/>
          <w:color w:val="auto"/>
        </w:rPr>
      </w:pPr>
      <w:r>
        <w:rPr>
          <w:rFonts w:ascii="Arial" w:cs="Arial" w:eastAsia="Arial" w:hAnsi="Arial"/>
          <w:sz w:val="18"/>
          <w:szCs w:val="18"/>
          <w:i w:val="1"/>
          <w:iCs w:val="1"/>
          <w:color w:val="auto"/>
        </w:rPr>
        <w:t>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4" w:lineRule="exact"/>
        <w:rPr>
          <w:sz w:val="20"/>
          <w:szCs w:val="20"/>
          <w:color w:val="auto"/>
        </w:rPr>
      </w:pPr>
    </w:p>
    <w:p>
      <w:pPr>
        <w:ind w:right="160" w:firstLine="494"/>
        <w:spacing w:after="0" w:line="272" w:lineRule="auto"/>
        <w:rPr>
          <w:sz w:val="20"/>
          <w:szCs w:val="20"/>
          <w:color w:val="auto"/>
        </w:rPr>
      </w:pPr>
      <w:r>
        <w:rPr>
          <w:rFonts w:ascii="Arial" w:cs="Arial" w:eastAsia="Arial" w:hAnsi="Arial"/>
          <w:sz w:val="18"/>
          <w:szCs w:val="18"/>
          <w:i w:val="1"/>
          <w:iCs w:val="1"/>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firstLine="494"/>
        <w:spacing w:after="0" w:line="274"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ind w:firstLine="494"/>
        <w:spacing w:after="0" w:line="27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the related notes appearing elsewhere in this report and our audited consolidated financial statements and the related notes and the discussion under the heading “Management’s Discussion and Analysis of Financial Condition and Results of Operations” for the year ended December 31, 2020 included in the final prospectus for our initial public offering, or IPO, dated as of May 25, 2021 and filed with the United States Securities and Exchange Commission, or SEC, pursuant to Rule 424(b)(4) on May 26, 2021, or the final prospectus.</w:t>
      </w:r>
    </w:p>
    <w:p>
      <w:pPr>
        <w:spacing w:after="0" w:line="78" w:lineRule="exact"/>
        <w:rPr>
          <w:sz w:val="20"/>
          <w:szCs w:val="20"/>
          <w:color w:val="auto"/>
        </w:rPr>
      </w:pPr>
    </w:p>
    <w:p>
      <w:pPr>
        <w:ind w:right="620" w:firstLine="494"/>
        <w:spacing w:after="0" w:line="298" w:lineRule="auto"/>
        <w:rPr>
          <w:sz w:val="20"/>
          <w:szCs w:val="20"/>
          <w:color w:val="auto"/>
        </w:rPr>
      </w:pPr>
      <w:r>
        <w:rPr>
          <w:rFonts w:ascii="Arial" w:cs="Arial" w:eastAsia="Arial" w:hAnsi="Arial"/>
          <w:sz w:val="18"/>
          <w:szCs w:val="18"/>
          <w:i w:val="1"/>
          <w:iCs w:val="1"/>
          <w:color w:val="auto"/>
        </w:rPr>
        <w:t>In this report, unless the context requires otherwise, all references to “we,” “our,” “us,” “Paymentus,” and the “Company” refer to Paymentus Holdings, Inc., and where appropriate its consolidated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61" w:lineRule="exact"/>
        <w:rPr>
          <w:sz w:val="20"/>
          <w:szCs w:val="20"/>
          <w:color w:val="auto"/>
        </w:rPr>
      </w:pPr>
    </w:p>
    <w:p>
      <w:pPr>
        <w:ind w:right="20" w:firstLine="499"/>
        <w:spacing w:after="0" w:line="268" w:lineRule="auto"/>
        <w:rPr>
          <w:sz w:val="20"/>
          <w:szCs w:val="20"/>
          <w:color w:val="auto"/>
        </w:rPr>
      </w:pPr>
      <w:r>
        <w:rPr>
          <w:rFonts w:ascii="Arial" w:cs="Arial" w:eastAsia="Arial" w:hAnsi="Arial"/>
          <w:sz w:val="18"/>
          <w:szCs w:val="18"/>
          <w:color w:val="auto"/>
        </w:rPr>
        <w:t>Paymentus is a leading provider of cloud-based bill payment technology and solutions. We deliver our next-generation product suite through a modern technology stack to more than 1,300 business clients—our billers. Our platform was used by approximately 16 million consumers and businesses in North America in December 2020 to pay their bills and engage with our billers. We serve billers of all sizes that provide non-discretionary services across a variety of industry verticals, including utilities, financial services, insurance, government, telecommunications and healthcare. By powering this comprehensive network of billers, each with their own set of bill payment requirements, we have created an enviable feedback loop that enables us to continuously drive innovation, grow our business and uniquely improve the electronic bill payment experience for everyone in the bill payment ecosystem.</w:t>
      </w:r>
    </w:p>
    <w:p>
      <w:pPr>
        <w:spacing w:after="0" w:line="97"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Our platform provides our billers with easy-to-use, flexible and secure electronic bill payment experiences powered by an omni-channel payment infrastructure that allows consumers to pay their bills using their preferred payment type and channel. Because our platform is developed on a single code base and leverages a Software-as-a-Service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financial destiny.</w:t>
      </w:r>
    </w:p>
    <w:p>
      <w:pPr>
        <w:spacing w:after="0" w:line="98"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100" w:lineRule="exact"/>
        <w:rPr>
          <w:sz w:val="20"/>
          <w:szCs w:val="20"/>
          <w:color w:val="auto"/>
        </w:rPr>
      </w:pPr>
    </w:p>
    <w:p>
      <w:pPr>
        <w:ind w:right="60" w:firstLine="494"/>
        <w:spacing w:after="0" w:line="262" w:lineRule="auto"/>
        <w:rPr>
          <w:sz w:val="20"/>
          <w:szCs w:val="20"/>
          <w:color w:val="auto"/>
        </w:rPr>
      </w:pPr>
      <w:r>
        <w:rPr>
          <w:rFonts w:ascii="Arial" w:cs="Arial" w:eastAsia="Arial" w:hAnsi="Arial"/>
          <w:sz w:val="18"/>
          <w:szCs w:val="18"/>
          <w:color w:val="auto"/>
        </w:rPr>
        <w:t>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53"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On May 28, 2021, we completed our IPO, in which we issued and sold 11,500,000 shares of our Class A common stock at $21.00 per share, including 1,500,000 shares issued upon the exercise of the underwriters’ option to purchase additional shares. We received net proceeds of $224.6 million after deducting underwriting discounts and commissions of $16.9 million. Upon closing of the IPO all 103,479,239 shares of our previously outstanding common stock automatically converted into an equivalent number of shares of Class B common stock on a one-to-one basis; and entities affiliated with Accel-KKR, or AKKR purchased 2,380,950 shares of our Class A common stock at $21.00 per share in a concurrent private placement that closed immediately subsequent to the closing of the IPO. We received aggregate proceeds of $50.0 million in this concurrent private placement and there were no underwriting discounts or commissions with respect to the shares of Class A common stock that were sold in the private placement.</w:t>
      </w:r>
    </w:p>
    <w:p>
      <w:pPr>
        <w:spacing w:after="0" w:line="102" w:lineRule="exact"/>
        <w:rPr>
          <w:sz w:val="20"/>
          <w:szCs w:val="20"/>
          <w:color w:val="auto"/>
        </w:rPr>
      </w:pPr>
    </w:p>
    <w:p>
      <w:pPr>
        <w:ind w:right="120" w:firstLine="494"/>
        <w:spacing w:after="0" w:line="267" w:lineRule="auto"/>
        <w:rPr>
          <w:sz w:val="20"/>
          <w:szCs w:val="20"/>
          <w:color w:val="auto"/>
        </w:rPr>
      </w:pPr>
      <w:r>
        <w:rPr>
          <w:rFonts w:ascii="Arial" w:cs="Arial" w:eastAsia="Arial" w:hAnsi="Arial"/>
          <w:sz w:val="18"/>
          <w:szCs w:val="18"/>
          <w:color w:val="auto"/>
        </w:rPr>
        <w:t>On August 9, 2021, we entered into a definitive agreement to acquire Payveris LLC, or Payveris,, a leading payments processing company for financial institutions. Pursuant to the terms of, and subject to the conditions set forth in the definitive agreement, including customary purchase price adjustments, we have agreed to pay an aggregate consideration of approximately $152.2 million in exchange for all of the outstanding equity interests of Payveris, with approximately $85.7 million payable in cash, subject to adjustments, and the remainder issuable in shares of our Class A common stock, or the share consideration. The share consideration will be calculated based on the 30-day volume weighted average over the 30 trading days prior to second business day prior to the closing. The transaction has been approved by the boards of directors of both Paymentus and Payveris and is expected to close in the third quarter of 2021, subject to customary closing conditions.</w:t>
      </w:r>
    </w:p>
    <w:p>
      <w:pPr>
        <w:spacing w:after="0" w:line="102"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In addition, on August 9, 2021, we entered into a definitive agreement to acquire Finovera, Inc., or Finovera, a leading bill aggregation technology provider for financial institutions. Pursuant to the terms of, and subject to the conditions set forth in the definitive agreement, including customary purchase price adjustments, we have agreed to pay an aggregate consideration of approximately $13.5 million in exchange, subject to adjustment, for all of the outstanding equity interests of Finovera, with approximately $5.0 million payable in cash and the remainder consists of an estimated 293,611 shares of our Class A common stock. The transaction has been approved by the boards of directors of both Paymentus and Finovera and is expected to close in the third quarter of 2021, subject to customary closing conditions.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w:t>
      </w:r>
    </w:p>
    <w:p>
      <w:pPr>
        <w:spacing w:after="0" w:line="261" w:lineRule="exact"/>
        <w:rPr>
          <w:sz w:val="20"/>
          <w:szCs w:val="20"/>
          <w:color w:val="auto"/>
        </w:rPr>
      </w:pPr>
    </w:p>
    <w:p>
      <w:pPr>
        <w:ind w:firstLine="499"/>
        <w:spacing w:after="0" w:line="268"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magnitude and duration of the COVID-19 pandemic and the magnitude and duration of its effect on business activity cannot be predicted with any certainty.</w:t>
      </w:r>
    </w:p>
    <w:p>
      <w:pPr>
        <w:spacing w:after="0" w:line="100"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100" w:lineRule="exact"/>
        <w:rPr>
          <w:sz w:val="20"/>
          <w:szCs w:val="20"/>
          <w:color w:val="auto"/>
        </w:rPr>
      </w:pPr>
    </w:p>
    <w:p>
      <w:pPr>
        <w:ind w:right="260" w:firstLine="494"/>
        <w:spacing w:after="0" w:line="269"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8"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will continue to evaluate the nature and extent of the COVID-19 pandemic’s potential impact on our business, operating results and financial condition. See the section titled “Risk Factors—Risks Related to Our Business and Industry—The COVID-19 pandemic could have a material adverse impact on our employees, billers, partners, consumers and other key stakeholders, which could materially and adversely impact our business, operating results and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3"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payment, payment channel and industry vertical. However, irrespective of these factors, the transaction fees that we receive are generally consistent across payment types, payment channels and industry verticals. We receive such transaction fees directly from billers, partners or, in some cases, from consumers as a convenience fee.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53"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Cost of revenue consists of certain direct costs that are directly attributed to processing payment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We expect that cost of revenue will increase in absolute dollars, but it may fluctuate as a percentage of revenue from period to period, as our payment mix changes and we continue to invest in growing our business across all geographical segments.</w:t>
      </w:r>
    </w:p>
    <w:p>
      <w:pPr>
        <w:spacing w:after="0" w:line="97"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There are external factors that impact interchange fees, such as the average payment amount in a particular month or quarter. For example, hot summers and cold winters tend to increase utility bills, and property taxes result in two larger payments per year, each of which increases our interchange cost.</w:t>
      </w:r>
    </w:p>
    <w:p>
      <w:pPr>
        <w:spacing w:after="0" w:line="95" w:lineRule="exact"/>
        <w:rPr>
          <w:sz w:val="20"/>
          <w:szCs w:val="20"/>
          <w:color w:val="auto"/>
        </w:rPr>
      </w:pPr>
    </w:p>
    <w:p>
      <w:pPr>
        <w:jc w:val="both"/>
        <w:ind w:right="220" w:firstLine="494"/>
        <w:spacing w:after="0" w:line="271" w:lineRule="auto"/>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through our IPN.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49"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49" w:lineRule="exact"/>
        <w:rPr>
          <w:sz w:val="20"/>
          <w:szCs w:val="20"/>
          <w:color w:val="auto"/>
        </w:rPr>
      </w:pPr>
    </w:p>
    <w:p>
      <w:pPr>
        <w:ind w:right="80" w:firstLine="494"/>
        <w:spacing w:after="0" w:line="290" w:lineRule="auto"/>
        <w:rPr>
          <w:sz w:val="20"/>
          <w:szCs w:val="20"/>
          <w:color w:val="auto"/>
        </w:rPr>
      </w:pPr>
      <w:r>
        <w:rPr>
          <w:rFonts w:ascii="Arial" w:cs="Arial" w:eastAsia="Arial" w:hAnsi="Arial"/>
          <w:sz w:val="17"/>
          <w:szCs w:val="17"/>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We expect our sales and marketing expenses to increase in absolute dollars, but they may fluctuate as a percentage of revenue from period to period.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49"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14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53" w:lineRule="exact"/>
        <w:rPr>
          <w:sz w:val="20"/>
          <w:szCs w:val="20"/>
          <w:color w:val="auto"/>
        </w:rPr>
      </w:pPr>
    </w:p>
    <w:p>
      <w:pPr>
        <w:ind w:right="200" w:firstLine="494"/>
        <w:spacing w:after="0" w:line="261"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providing us with a greater opportunity to provide next-generation bill payment technology and power more transactions, further fueling our growth.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Billers</w:t>
      </w:r>
    </w:p>
    <w:p>
      <w:pPr>
        <w:spacing w:after="0" w:line="153"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Our future growth depends on the continued adoption of our platform by new billers. We intend to continue investing in our efficient go-to-market strategies, increase brand awareness and drive adoption of our platform and products. We had more than 1,100 billers and more than 1,300 billers as of December 31, 2019 and 2020, respectively, including billers of all sizes and across numerous vertical markets. Our ability to attract new billers and drive adoption of our platform will depend on a number of factors, including the effectiveness and pricing of our products, offerings of our competitors, and the effectiveness of our marketing efforts.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w:t>
      </w:r>
    </w:p>
    <w:p>
      <w:pPr>
        <w:spacing w:after="0" w:line="153" w:lineRule="exact"/>
        <w:rPr>
          <w:sz w:val="20"/>
          <w:szCs w:val="20"/>
          <w:color w:val="auto"/>
        </w:rPr>
      </w:pPr>
    </w:p>
    <w:p>
      <w:pPr>
        <w:jc w:val="both"/>
        <w:ind w:right="160" w:firstLine="494"/>
        <w:spacing w:after="0" w:line="269" w:lineRule="auto"/>
        <w:rPr>
          <w:sz w:val="20"/>
          <w:szCs w:val="20"/>
          <w:color w:val="auto"/>
        </w:rPr>
      </w:pPr>
      <w:r>
        <w:rPr>
          <w:rFonts w:ascii="Arial" w:cs="Arial" w:eastAsia="Arial" w:hAnsi="Arial"/>
          <w:sz w:val="18"/>
          <w:szCs w:val="18"/>
          <w:color w:val="auto"/>
        </w:rPr>
        <w:t>Our large base of existing billers represents a significant opportunity for further consumption of our platform. We believe our solutions create a superior experience for consumers and accelerate revenue realization for our billers, which drives increased usage of our platform. We intend to continue investing in this value proposition. Leveraging our platform to capture more transactions from our existing biller base will organically drive transaction growth at lower cost.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53"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53" w:lineRule="exact"/>
        <w:rPr>
          <w:sz w:val="20"/>
          <w:szCs w:val="20"/>
          <w:color w:val="auto"/>
        </w:rPr>
      </w:pPr>
    </w:p>
    <w:p>
      <w:pPr>
        <w:ind w:right="20" w:firstLine="494"/>
        <w:spacing w:after="0" w:line="269"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partners and consumers. Given the nature of our biller and partner base, our investment in sales and marketing in a given period may not impact results until subsequent periods. We approach sales and marketing spend strategically to maintain efficient biller and partner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53" w:lineRule="exact"/>
        <w:rPr>
          <w:sz w:val="20"/>
          <w:szCs w:val="20"/>
          <w:color w:val="auto"/>
        </w:rPr>
      </w:pPr>
    </w:p>
    <w:p>
      <w:pPr>
        <w:ind w:right="60" w:firstLine="494"/>
        <w:spacing w:after="0" w:line="269" w:lineRule="auto"/>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will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53" w:lineRule="exact"/>
        <w:rPr>
          <w:sz w:val="20"/>
          <w:szCs w:val="20"/>
          <w:color w:val="auto"/>
        </w:rPr>
      </w:pPr>
    </w:p>
    <w:p>
      <w:pPr>
        <w:ind w:right="60" w:firstLine="494"/>
        <w:spacing w:after="0" w:line="290" w:lineRule="auto"/>
        <w:rPr>
          <w:sz w:val="20"/>
          <w:szCs w:val="20"/>
          <w:color w:val="auto"/>
        </w:rPr>
      </w:pPr>
      <w:r>
        <w:rPr>
          <w:rFonts w:ascii="Arial" w:cs="Arial" w:eastAsia="Arial" w:hAnsi="Arial"/>
          <w:sz w:val="17"/>
          <w:szCs w:val="17"/>
          <w:color w:val="auto"/>
        </w:rPr>
        <w:t>We review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4280" w:type="dxa"/>
            <w:vAlign w:val="bottom"/>
          </w:tcPr>
          <w:p>
            <w:pPr>
              <w:spacing w:after="0"/>
              <w:rPr>
                <w:sz w:val="21"/>
                <w:szCs w:val="21"/>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21"/>
                <w:szCs w:val="21"/>
                <w:color w:val="auto"/>
              </w:rPr>
            </w:pPr>
          </w:p>
        </w:tc>
      </w:tr>
      <w:tr>
        <w:trPr>
          <w:trHeight w:val="250"/>
        </w:trPr>
        <w:tc>
          <w:tcPr>
            <w:tcW w:w="4280" w:type="dxa"/>
            <w:vAlign w:val="bottom"/>
          </w:tcPr>
          <w:p>
            <w:pPr>
              <w:spacing w:after="0"/>
              <w:rPr>
                <w:sz w:val="21"/>
                <w:szCs w:val="21"/>
                <w:color w:val="auto"/>
              </w:rPr>
            </w:pPr>
          </w:p>
        </w:tc>
        <w:tc>
          <w:tcPr>
            <w:tcW w:w="1540" w:type="dxa"/>
            <w:vAlign w:val="bottom"/>
            <w:gridSpan w:val="3"/>
          </w:tcPr>
          <w:p>
            <w:pPr>
              <w:jc w:val="center"/>
              <w:ind w:left="624"/>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 processed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60" w:firstLine="499"/>
        <w:spacing w:after="0" w:line="261" w:lineRule="auto"/>
        <w:rPr>
          <w:sz w:val="20"/>
          <w:szCs w:val="20"/>
          <w:color w:val="auto"/>
        </w:rPr>
      </w:pPr>
      <w:r>
        <w:rPr>
          <w:rFonts w:ascii="Arial" w:cs="Arial" w:eastAsia="Arial" w:hAnsi="Arial"/>
          <w:sz w:val="18"/>
          <w:szCs w:val="18"/>
          <w:color w:val="auto"/>
        </w:rPr>
        <w:t>We define transactions processed as the number of accepted payment transactions, such as checks, credit card and debit card transactions, automated clearing house, or ACH, items and emerging payment types, which are initiated and processed through our platform during a period. The increase in transactions processed during the three and six months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ended June 20, 2021 as compared to the same periods in 2020 was driven by the addition of new billers and increased transactions from our existing billers.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53" w:lineRule="exact"/>
        <w:rPr>
          <w:sz w:val="20"/>
          <w:szCs w:val="20"/>
          <w:color w:val="auto"/>
        </w:rPr>
      </w:pPr>
    </w:p>
    <w:p>
      <w:pPr>
        <w:ind w:right="160" w:firstLine="494"/>
        <w:spacing w:after="0" w:line="267"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supplemental non-GAAP measures include contribution profit, adjusted gross profit, adjusted EBITDA and free cash flow. We calculate contribution profit as gross profit plus other cost of revenue. Other cost of revenue equals cost of revenue less interchange and assessment fees paid by us to our payment processors. We calculate adjusted gross profit as gross profit adjusted for non-cash items, primarily stock-based compensation and amortization. We calculate adjusted EBITDA as net income before other income (expense) (which consists of interest income (expense), net and foreign exchange gain (loss)), amortization and depreciation and income taxes, adjusted to exclude the effects of stock-based compensation expense and certain nonrecurring expenses that management believes are not indicative of ongoing operations, consisting primarily of professional fees and other indirect charges associated with our preparation for an initial public offering. We calculate free cash flow as net cash provided by (used in) operating activities less capital expenditures and capitalized internal-use software development costs.</w:t>
      </w:r>
    </w:p>
    <w:p>
      <w:pPr>
        <w:spacing w:after="0" w:line="100" w:lineRule="exact"/>
        <w:rPr>
          <w:sz w:val="20"/>
          <w:szCs w:val="20"/>
          <w:color w:val="auto"/>
        </w:rPr>
      </w:pPr>
    </w:p>
    <w:p>
      <w:pPr>
        <w:ind w:right="20" w:firstLine="494"/>
        <w:spacing w:after="0" w:line="266"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r>
      <w:tr>
        <w:trPr>
          <w:trHeight w:val="237"/>
        </w:trPr>
        <w:tc>
          <w:tcPr>
            <w:tcW w:w="5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23,402</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44,179</w:t>
            </w:r>
          </w:p>
        </w:tc>
        <w:tc>
          <w:tcPr>
            <w:tcW w:w="100" w:type="dxa"/>
            <w:vAlign w:val="bottom"/>
            <w:shd w:val="clear" w:color="auto" w:fill="CFF0FC"/>
          </w:tcPr>
          <w:p>
            <w:pPr>
              <w:spacing w:after="0"/>
              <w:rPr>
                <w:sz w:val="22"/>
                <w:szCs w:val="22"/>
                <w:color w:val="auto"/>
              </w:rPr>
            </w:pPr>
          </w:p>
        </w:tc>
      </w:tr>
      <w:tr>
        <w:trPr>
          <w:trHeight w:val="257"/>
        </w:trPr>
        <w:tc>
          <w:tcPr>
            <w:tcW w:w="5380" w:type="dxa"/>
            <w:vAlign w:val="bottom"/>
          </w:tcPr>
          <w:p>
            <w:pPr>
              <w:ind w:left="140"/>
              <w:spacing w:after="0"/>
              <w:rPr>
                <w:sz w:val="20"/>
                <w:szCs w:val="20"/>
                <w:color w:val="auto"/>
              </w:rPr>
            </w:pPr>
            <w:r>
              <w:rPr>
                <w:rFonts w:ascii="Arial" w:cs="Arial" w:eastAsia="Arial" w:hAnsi="Arial"/>
                <w:sz w:val="18"/>
                <w:szCs w:val="18"/>
                <w:color w:val="auto"/>
              </w:rPr>
              <w:t>Plus: other cost of revenue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16,075</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100" w:type="dxa"/>
            <w:vAlign w:val="bottom"/>
          </w:tcPr>
          <w:p>
            <w:pPr>
              <w:spacing w:after="0"/>
              <w:rPr>
                <w:sz w:val="22"/>
                <w:szCs w:val="22"/>
                <w:color w:val="auto"/>
              </w:rPr>
            </w:pPr>
          </w:p>
        </w:tc>
      </w:tr>
      <w:tr>
        <w:trPr>
          <w:trHeight w:val="290"/>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Contribution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37,441</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29,991</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72,550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57,619</w:t>
            </w:r>
          </w:p>
        </w:tc>
        <w:tc>
          <w:tcPr>
            <w:tcW w:w="100" w:type="dxa"/>
            <w:vAlign w:val="bottom"/>
            <w:shd w:val="clear" w:color="auto" w:fill="CFF0FC"/>
          </w:tcPr>
          <w:p>
            <w:pPr>
              <w:spacing w:after="0"/>
              <w:rPr>
                <w:sz w:val="24"/>
                <w:szCs w:val="24"/>
                <w:color w:val="auto"/>
              </w:rPr>
            </w:pPr>
          </w:p>
        </w:tc>
      </w:tr>
      <w:tr>
        <w:trPr>
          <w:trHeight w:val="426"/>
        </w:trPr>
        <w:tc>
          <w:tcPr>
            <w:tcW w:w="5380" w:type="dxa"/>
            <w:vAlign w:val="bottom"/>
            <w:tcBorders>
              <w:top w:val="single" w:sz="8" w:color="CFF0FC"/>
            </w:tcBorders>
          </w:tcPr>
          <w:p>
            <w:pPr>
              <w:ind w:left="500"/>
              <w:spacing w:after="0"/>
              <w:rPr>
                <w:sz w:val="20"/>
                <w:szCs w:val="20"/>
                <w:color w:val="auto"/>
              </w:rPr>
            </w:pPr>
            <w:r>
              <w:rPr>
                <w:rFonts w:ascii="Arial" w:cs="Arial" w:eastAsia="Arial" w:hAnsi="Arial"/>
                <w:sz w:val="18"/>
                <w:szCs w:val="18"/>
                <w:i w:val="1"/>
                <w:iCs w:val="1"/>
                <w:color w:val="auto"/>
              </w:rPr>
              <w:t>Adjusted Gross Profit</w:t>
            </w: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7"/>
        </w:trPr>
        <w:tc>
          <w:tcPr>
            <w:tcW w:w="5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0"/>
                <w:szCs w:val="20"/>
                <w:color w:val="auto"/>
              </w:rPr>
            </w:pPr>
          </w:p>
        </w:tc>
      </w:tr>
      <w:tr>
        <w:trPr>
          <w:trHeight w:val="237"/>
        </w:trPr>
        <w:tc>
          <w:tcPr>
            <w:tcW w:w="5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23,402</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44,179</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3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3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3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30,092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24,260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58,687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45,839</w:t>
            </w:r>
          </w:p>
        </w:tc>
        <w:tc>
          <w:tcPr>
            <w:tcW w:w="100" w:type="dxa"/>
            <w:vAlign w:val="bottom"/>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796"/>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-1859280</wp:posOffset>
            </wp:positionV>
            <wp:extent cx="2228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-1842135</wp:posOffset>
            </wp:positionV>
            <wp:extent cx="2228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-1859280</wp:posOffset>
            </wp:positionV>
            <wp:extent cx="196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-1842135</wp:posOffset>
            </wp:positionV>
            <wp:extent cx="1968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-1859280</wp:posOffset>
            </wp:positionV>
            <wp:extent cx="1460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-1842135</wp:posOffset>
            </wp:positionV>
            <wp:extent cx="1460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-570865</wp:posOffset>
            </wp:positionV>
            <wp:extent cx="22288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-570865</wp:posOffset>
            </wp:positionV>
            <wp:extent cx="19685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-570865</wp:posOffset>
            </wp:positionV>
            <wp:extent cx="14605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236"/>
        </w:trPr>
        <w:tc>
          <w:tcPr>
            <w:tcW w:w="5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196"/>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2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7,464</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Excluding</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(3 )</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(45 )</w:t>
            </w: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3,501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4,940</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22"/>
                <w:szCs w:val="22"/>
                <w:color w:val="auto"/>
              </w:rPr>
            </w:pPr>
          </w:p>
        </w:tc>
      </w:tr>
      <w:tr>
        <w:trPr>
          <w:trHeight w:val="257"/>
        </w:trPr>
        <w:tc>
          <w:tcPr>
            <w:tcW w:w="5380" w:type="dxa"/>
            <w:vAlign w:val="bottom"/>
          </w:tcPr>
          <w:p>
            <w:pPr>
              <w:ind w:left="140"/>
              <w:spacing w:after="0"/>
              <w:rPr>
                <w:sz w:val="20"/>
                <w:szCs w:val="20"/>
                <w:color w:val="auto"/>
              </w:rPr>
            </w:pPr>
            <w:r>
              <w:rPr>
                <w:rFonts w:ascii="Arial" w:cs="Arial" w:eastAsia="Arial" w:hAnsi="Arial"/>
                <w:sz w:val="18"/>
                <w:szCs w:val="18"/>
                <w:color w:val="auto"/>
              </w:rPr>
              <w:t>Other nonrecurring expenses</w:t>
            </w: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1,115</w:t>
            </w:r>
          </w:p>
        </w:tc>
        <w:tc>
          <w:tcPr>
            <w:tcW w:w="2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28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8,777</w:t>
            </w:r>
          </w:p>
        </w:tc>
        <w:tc>
          <w:tcPr>
            <w:tcW w:w="28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shd w:val="clear" w:color="auto" w:fill="CFF0FC"/>
          </w:tcPr>
          <w:p>
            <w:pPr>
              <w:spacing w:after="0"/>
              <w:rPr>
                <w:sz w:val="24"/>
                <w:szCs w:val="24"/>
                <w:color w:val="auto"/>
              </w:rPr>
            </w:pPr>
          </w:p>
        </w:tc>
      </w:tr>
      <w:tr>
        <w:trPr>
          <w:trHeight w:val="426"/>
        </w:trPr>
        <w:tc>
          <w:tcPr>
            <w:tcW w:w="5380" w:type="dxa"/>
            <w:vAlign w:val="bottom"/>
            <w:tcBorders>
              <w:top w:val="single" w:sz="8" w:color="CFF0FC"/>
            </w:tcBorders>
          </w:tcPr>
          <w:p>
            <w:pPr>
              <w:ind w:left="500"/>
              <w:spacing w:after="0"/>
              <w:rPr>
                <w:sz w:val="20"/>
                <w:szCs w:val="20"/>
                <w:color w:val="auto"/>
              </w:rPr>
            </w:pPr>
            <w:r>
              <w:rPr>
                <w:rFonts w:ascii="Arial" w:cs="Arial" w:eastAsia="Arial" w:hAnsi="Arial"/>
                <w:sz w:val="18"/>
                <w:szCs w:val="18"/>
                <w:i w:val="1"/>
                <w:iCs w:val="1"/>
                <w:color w:val="auto"/>
              </w:rPr>
              <w:t>Free Cash Flow</w:t>
            </w: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37"/>
        </w:trPr>
        <w:tc>
          <w:tcPr>
            <w:tcW w:w="5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38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w:t>
            </w:r>
          </w:p>
        </w:tc>
        <w:tc>
          <w:tcPr>
            <w:tcW w:w="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2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12,757</w:t>
            </w:r>
          </w:p>
        </w:tc>
        <w:tc>
          <w:tcPr>
            <w:tcW w:w="22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15,916</w:t>
            </w:r>
          </w:p>
        </w:tc>
        <w:tc>
          <w:tcPr>
            <w:tcW w:w="100" w:type="dxa"/>
            <w:vAlign w:val="bottom"/>
            <w:shd w:val="clear" w:color="auto" w:fill="CFF0FC"/>
          </w:tcPr>
          <w:p>
            <w:pPr>
              <w:spacing w:after="0"/>
              <w:rPr>
                <w:sz w:val="22"/>
                <w:szCs w:val="22"/>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(408 )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(145 )</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(564 )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(309 )</w:t>
            </w: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internal-use software development costs</w:t>
            </w:r>
          </w:p>
        </w:tc>
        <w:tc>
          <w:tcPr>
            <w:tcW w:w="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(4,480 )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(3,731 )</w:t>
            </w: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(8,736 )</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(7,185 )</w:t>
            </w:r>
          </w:p>
        </w:tc>
      </w:tr>
      <w:tr>
        <w:trPr>
          <w:trHeight w:val="250"/>
        </w:trPr>
        <w:tc>
          <w:tcPr>
            <w:tcW w:w="5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Free cash flow</w:t>
            </w: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6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2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3,457</w:t>
            </w:r>
          </w:p>
        </w:tc>
        <w:tc>
          <w:tcPr>
            <w:tcW w:w="2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8,422</w:t>
            </w:r>
          </w:p>
        </w:tc>
        <w:tc>
          <w:tcPr>
            <w:tcW w:w="100" w:type="dxa"/>
            <w:vAlign w:val="bottom"/>
            <w:tcBorders>
              <w:top w:val="single" w:sz="8" w:color="CFF0FC"/>
            </w:tcBorders>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80" w:type="dxa"/>
            <w:vAlign w:val="bottom"/>
            <w:shd w:val="clear" w:color="auto" w:fill="CFF0FC"/>
          </w:tcPr>
          <w:p>
            <w:pPr>
              <w:ind w:left="20"/>
              <w:spacing w:after="0" w:line="237" w:lineRule="exact"/>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24"/>
                <w:szCs w:val="24"/>
                <w:color w:val="auto"/>
                <w:vertAlign w:val="superscript"/>
              </w:rPr>
              <w:t>(1)</w:t>
            </w: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(4,888 )</w:t>
            </w:r>
          </w:p>
        </w:tc>
        <w:tc>
          <w:tcPr>
            <w:tcW w:w="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(3,876 )</w:t>
            </w:r>
          </w:p>
        </w:tc>
        <w:tc>
          <w:tcPr>
            <w:tcW w:w="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(9,300 )</w:t>
            </w: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(7,494 )</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216,319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(373 )</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216,224</w:t>
            </w:r>
          </w:p>
        </w:tc>
        <w:tc>
          <w:tcPr>
            <w:tcW w:w="22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-1799590</wp:posOffset>
            </wp:positionV>
            <wp:extent cx="171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-1782445</wp:posOffset>
            </wp:positionV>
            <wp:extent cx="1714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-1799590</wp:posOffset>
            </wp:positionV>
            <wp:extent cx="1797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-1782445</wp:posOffset>
            </wp:positionV>
            <wp:extent cx="1797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-1799590</wp:posOffset>
            </wp:positionV>
            <wp:extent cx="1543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-1782445</wp:posOffset>
            </wp:positionV>
            <wp:extent cx="1543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-510540</wp:posOffset>
            </wp:positionV>
            <wp:extent cx="22288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-510540</wp:posOffset>
            </wp:positionV>
            <wp:extent cx="19685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-510540</wp:posOffset>
            </wp:positionV>
            <wp:extent cx="14605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-510540</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3" w:lineRule="exact"/>
        <w:rPr>
          <w:sz w:val="20"/>
          <w:szCs w:val="20"/>
          <w:color w:val="auto"/>
        </w:rPr>
      </w:pPr>
    </w:p>
    <w:p>
      <w:pPr>
        <w:ind w:left="960" w:right="240" w:hanging="443"/>
        <w:spacing w:after="0" w:line="278"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costs related to capitalized for internal-use software development, which is also included in our calculation of free cash flow.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4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71,734</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185,717</w:t>
            </w:r>
          </w:p>
        </w:tc>
        <w:tc>
          <w:tcPr>
            <w:tcW w:w="220" w:type="dxa"/>
            <w:vAlign w:val="bottom"/>
            <w:shd w:val="clear" w:color="auto" w:fill="CFF0FC"/>
          </w:tcPr>
          <w:p>
            <w:pPr>
              <w:spacing w:after="0"/>
              <w:rPr>
                <w:sz w:val="22"/>
                <w:szCs w:val="22"/>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141,327</w:t>
            </w:r>
          </w:p>
        </w:tc>
        <w:tc>
          <w:tcPr>
            <w:tcW w:w="100" w:type="dxa"/>
            <w:vAlign w:val="bottom"/>
            <w:shd w:val="clear" w:color="auto" w:fill="CFF0FC"/>
          </w:tcPr>
          <w:p>
            <w:pPr>
              <w:spacing w:after="0"/>
              <w:rPr>
                <w:sz w:val="22"/>
                <w:szCs w:val="22"/>
                <w:color w:val="auto"/>
              </w:rPr>
            </w:pPr>
          </w:p>
        </w:tc>
      </w:tr>
      <w:tr>
        <w:trPr>
          <w:trHeight w:val="257"/>
        </w:trPr>
        <w:tc>
          <w:tcPr>
            <w:tcW w:w="5520" w:type="dxa"/>
            <w:vAlign w:val="bottom"/>
          </w:tcPr>
          <w:p>
            <w:pPr>
              <w:ind w:left="20"/>
              <w:spacing w:after="0" w:line="257"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64,567</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129,242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97,148</w:t>
            </w:r>
          </w:p>
        </w:tc>
        <w:tc>
          <w:tcPr>
            <w:tcW w:w="100" w:type="dxa"/>
            <w:vAlign w:val="bottom"/>
          </w:tcPr>
          <w:p>
            <w:pPr>
              <w:spacing w:after="0"/>
              <w:rPr>
                <w:sz w:val="22"/>
                <w:szCs w:val="22"/>
                <w:color w:val="auto"/>
              </w:rPr>
            </w:pPr>
          </w:p>
        </w:tc>
      </w:tr>
      <w:tr>
        <w:trPr>
          <w:trHeight w:val="250"/>
        </w:trPr>
        <w:tc>
          <w:tcPr>
            <w:tcW w:w="5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56,475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44,179</w:t>
            </w:r>
          </w:p>
        </w:tc>
        <w:tc>
          <w:tcPr>
            <w:tcW w:w="100" w:type="dxa"/>
            <w:vAlign w:val="bottom"/>
            <w:shd w:val="clear" w:color="auto" w:fill="CFF0FC"/>
          </w:tcPr>
          <w:p>
            <w:pPr>
              <w:spacing w:after="0"/>
              <w:rPr>
                <w:sz w:val="21"/>
                <w:szCs w:val="21"/>
                <w:color w:val="auto"/>
              </w:rPr>
            </w:pPr>
          </w:p>
        </w:tc>
      </w:tr>
      <w:tr>
        <w:trPr>
          <w:trHeight w:val="250"/>
        </w:trPr>
        <w:tc>
          <w:tcPr>
            <w:tcW w:w="5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20" w:type="dxa"/>
            <w:vAlign w:val="bottom"/>
            <w:shd w:val="clear" w:color="auto" w:fill="CFF0FC"/>
          </w:tcPr>
          <w:p>
            <w:pPr>
              <w:ind w:left="140"/>
              <w:spacing w:after="0" w:line="26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7,921</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15,651</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11,749</w:t>
            </w:r>
          </w:p>
        </w:tc>
        <w:tc>
          <w:tcPr>
            <w:tcW w:w="100" w:type="dxa"/>
            <w:vAlign w:val="bottom"/>
            <w:shd w:val="clear" w:color="auto" w:fill="CFF0FC"/>
          </w:tcPr>
          <w:p>
            <w:pPr>
              <w:spacing w:after="0"/>
              <w:rPr>
                <w:sz w:val="22"/>
                <w:szCs w:val="22"/>
                <w:color w:val="auto"/>
              </w:rPr>
            </w:pPr>
          </w:p>
        </w:tc>
      </w:tr>
      <w:tr>
        <w:trPr>
          <w:trHeight w:val="256"/>
        </w:trPr>
        <w:tc>
          <w:tcPr>
            <w:tcW w:w="5520" w:type="dxa"/>
            <w:vAlign w:val="bottom"/>
          </w:tcPr>
          <w:p>
            <w:pPr>
              <w:ind w:left="140"/>
              <w:spacing w:after="0" w:line="257"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17,727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2"/>
                <w:szCs w:val="22"/>
                <w:color w:val="auto"/>
              </w:rPr>
            </w:pPr>
          </w:p>
        </w:tc>
      </w:tr>
      <w:tr>
        <w:trPr>
          <w:trHeight w:val="257"/>
        </w:trPr>
        <w:tc>
          <w:tcPr>
            <w:tcW w:w="5520" w:type="dxa"/>
            <w:vAlign w:val="bottom"/>
            <w:tcBorders>
              <w:bottom w:val="single" w:sz="8" w:color="CFF0FC"/>
            </w:tcBorders>
            <w:shd w:val="clear" w:color="auto" w:fill="CFF0FC"/>
          </w:tcPr>
          <w:p>
            <w:pPr>
              <w:ind w:left="140"/>
              <w:spacing w:after="0" w:line="257"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14,163</w:t>
            </w: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5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47,541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100" w:type="dxa"/>
            <w:vAlign w:val="bottom"/>
          </w:tcPr>
          <w:p>
            <w:pPr>
              <w:spacing w:after="0"/>
              <w:rPr>
                <w:sz w:val="21"/>
                <w:szCs w:val="21"/>
                <w:color w:val="auto"/>
              </w:rPr>
            </w:pPr>
          </w:p>
        </w:tc>
      </w:tr>
      <w:tr>
        <w:trPr>
          <w:trHeight w:val="250"/>
        </w:trPr>
        <w:tc>
          <w:tcPr>
            <w:tcW w:w="5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8,934</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shd w:val="clear" w:color="auto" w:fill="CFF0FC"/>
          </w:tcPr>
          <w:p>
            <w:pPr>
              <w:spacing w:after="0"/>
              <w:rPr>
                <w:sz w:val="21"/>
                <w:szCs w:val="21"/>
                <w:color w:val="auto"/>
              </w:rPr>
            </w:pPr>
          </w:p>
        </w:tc>
      </w:tr>
      <w:tr>
        <w:trPr>
          <w:trHeight w:val="250"/>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2"/>
                <w:szCs w:val="22"/>
                <w:color w:val="auto"/>
              </w:rPr>
            </w:pPr>
          </w:p>
        </w:tc>
      </w:tr>
      <w:tr>
        <w:trPr>
          <w:trHeight w:val="256"/>
        </w:trPr>
        <w:tc>
          <w:tcPr>
            <w:tcW w:w="552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26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(24 )</w:t>
            </w:r>
          </w:p>
        </w:tc>
        <w:tc>
          <w:tcPr>
            <w:tcW w:w="36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r>
      <w:tr>
        <w:trPr>
          <w:trHeight w:val="250"/>
        </w:trPr>
        <w:tc>
          <w:tcPr>
            <w:tcW w:w="5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6,299</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8,935</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5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(3,501 )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(1,614 )</w:t>
            </w:r>
          </w:p>
        </w:tc>
        <w:tc>
          <w:tcPr>
            <w:tcW w:w="36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(4,722 )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(2,520 )</w:t>
            </w:r>
          </w:p>
        </w:tc>
      </w:tr>
      <w:tr>
        <w:trPr>
          <w:trHeight w:val="290"/>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4,213</w:t>
            </w: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85"/>
        </w:trPr>
        <w:tc>
          <w:tcPr>
            <w:tcW w:w="8480" w:type="dxa"/>
            <w:vAlign w:val="bottom"/>
            <w:gridSpan w:val="10"/>
          </w:tcPr>
          <w:p>
            <w:pPr>
              <w:ind w:left="380"/>
              <w:spacing w:after="0"/>
              <w:rPr>
                <w:sz w:val="20"/>
                <w:szCs w:val="20"/>
                <w:color w:val="auto"/>
              </w:rPr>
            </w:pPr>
            <w:r>
              <w:rPr>
                <w:rFonts w:ascii="Arial" w:cs="Arial" w:eastAsia="Arial" w:hAnsi="Arial"/>
                <w:sz w:val="16"/>
                <w:szCs w:val="16"/>
                <w:color w:val="auto"/>
              </w:rPr>
              <w:t>(1)  Stock-based compensation expense was allocated in cost of revenue and operating expenses as follows: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24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6"/>
        </w:trPr>
        <w:tc>
          <w:tcPr>
            <w:tcW w:w="55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8"/>
                <w:szCs w:val="18"/>
                <w:color w:val="auto"/>
              </w:rPr>
            </w:pPr>
          </w:p>
        </w:tc>
      </w:tr>
      <w:tr>
        <w:trPr>
          <w:trHeight w:val="203"/>
        </w:trPr>
        <w:tc>
          <w:tcPr>
            <w:tcW w:w="55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534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7"/>
                <w:szCs w:val="17"/>
                <w:color w:val="auto"/>
              </w:rPr>
            </w:pPr>
          </w:p>
        </w:tc>
      </w:tr>
      <w:tr>
        <w:trPr>
          <w:trHeight w:val="236"/>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stock-based compensation</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568</w:t>
            </w: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FF0FC"/>
          </w:tcPr>
          <w:p>
            <w:pPr>
              <w:spacing w:after="0"/>
              <w:rPr>
                <w:sz w:val="20"/>
                <w:szCs w:val="20"/>
                <w:color w:val="auto"/>
              </w:rPr>
            </w:pPr>
          </w:p>
        </w:tc>
      </w:tr>
      <w:tr>
        <w:trPr>
          <w:trHeight w:val="440"/>
        </w:trPr>
        <w:tc>
          <w:tcPr>
            <w:tcW w:w="55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28</w:t>
            </w: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-3150870</wp:posOffset>
            </wp:positionV>
            <wp:extent cx="16256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-3150870</wp:posOffset>
            </wp:positionV>
            <wp:extent cx="16319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-3150870</wp:posOffset>
            </wp:positionV>
            <wp:extent cx="14605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-3150870</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-2148205</wp:posOffset>
            </wp:positionV>
            <wp:extent cx="16256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-2148205</wp:posOffset>
            </wp:positionV>
            <wp:extent cx="16319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-2148205</wp:posOffset>
            </wp:positionV>
            <wp:extent cx="14605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-2148205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-1807845</wp:posOffset>
            </wp:positionV>
            <wp:extent cx="1625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-1790700</wp:posOffset>
            </wp:positionV>
            <wp:extent cx="1625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-1807845</wp:posOffset>
            </wp:positionV>
            <wp:extent cx="1631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-1790700</wp:posOffset>
            </wp:positionV>
            <wp:extent cx="1631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-1807845</wp:posOffset>
            </wp:positionV>
            <wp:extent cx="1460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-1790700</wp:posOffset>
            </wp:positionV>
            <wp:extent cx="1460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-401955</wp:posOffset>
            </wp:positionV>
            <wp:extent cx="1625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-384810</wp:posOffset>
            </wp:positionV>
            <wp:extent cx="1625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-401955</wp:posOffset>
            </wp:positionV>
            <wp:extent cx="1454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-384810</wp:posOffset>
            </wp:positionV>
            <wp:extent cx="1454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-401955</wp:posOffset>
            </wp:positionV>
            <wp:extent cx="14605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-384810</wp:posOffset>
            </wp:positionV>
            <wp:extent cx="1460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298" w:gutter="0" w:footer="0" w:header="0"/>
        </w:sectPr>
      </w:pPr>
    </w:p>
    <w:bookmarkStart w:id="26" w:name="page27"/>
    <w:bookmarkEnd w:id="26"/>
    <w:p>
      <w:pPr>
        <w:ind w:right="180" w:firstLine="494"/>
        <w:spacing w:after="0" w:line="277"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40" w:type="dxa"/>
            <w:vAlign w:val="bottom"/>
            <w:gridSpan w:val="7"/>
          </w:tcPr>
          <w:p>
            <w:pPr>
              <w:jc w:val="right"/>
              <w:ind w:right="588"/>
              <w:spacing w:after="0"/>
              <w:rPr>
                <w:sz w:val="20"/>
                <w:szCs w:val="20"/>
                <w:color w:val="auto"/>
              </w:rPr>
            </w:pPr>
            <w:r>
              <w:rPr>
                <w:rFonts w:ascii="Arial" w:cs="Arial" w:eastAsia="Arial" w:hAnsi="Arial"/>
                <w:sz w:val="14"/>
                <w:szCs w:val="14"/>
                <w:b w:val="1"/>
                <w:bCs w:val="1"/>
                <w:color w:val="auto"/>
              </w:rPr>
              <w:t>Three Months Ended June 30,</w:t>
            </w:r>
          </w:p>
        </w:tc>
        <w:tc>
          <w:tcPr>
            <w:tcW w:w="27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3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100.0 %</w:t>
            </w:r>
          </w:p>
        </w:tc>
        <w:tc>
          <w:tcPr>
            <w:tcW w:w="340" w:type="dxa"/>
            <w:vAlign w:val="bottom"/>
            <w:shd w:val="clear" w:color="auto" w:fill="CFF0FC"/>
          </w:tcPr>
          <w:p>
            <w:pPr>
              <w:spacing w:after="0"/>
              <w:rPr>
                <w:sz w:val="22"/>
                <w:szCs w:val="22"/>
                <w:color w:val="auto"/>
              </w:rPr>
            </w:pPr>
          </w:p>
        </w:tc>
        <w:tc>
          <w:tcPr>
            <w:tcW w:w="11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100.0 %</w:t>
            </w:r>
          </w:p>
        </w:tc>
        <w:tc>
          <w:tcPr>
            <w:tcW w:w="1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100.0 %</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100.0 %</w:t>
            </w:r>
          </w:p>
        </w:tc>
      </w:tr>
      <w:tr>
        <w:trPr>
          <w:trHeight w:val="256"/>
        </w:trPr>
        <w:tc>
          <w:tcPr>
            <w:tcW w:w="38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FF0FC"/>
          </w:tcPr>
          <w:p>
            <w:pPr>
              <w:spacing w:after="0"/>
              <w:rPr>
                <w:sz w:val="22"/>
                <w:szCs w:val="22"/>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38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36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(expense), net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382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340" w:type="dxa"/>
            <w:vAlign w:val="bottom"/>
          </w:tcPr>
          <w:p>
            <w:pPr>
              <w:spacing w:after="0"/>
              <w:rPr>
                <w:sz w:val="21"/>
                <w:szCs w:val="21"/>
                <w:color w:val="auto"/>
              </w:rPr>
            </w:pPr>
          </w:p>
        </w:tc>
        <w:tc>
          <w:tcPr>
            <w:tcW w:w="1140" w:type="dxa"/>
            <w:vAlign w:val="bottom"/>
            <w:gridSpan w:val="3"/>
          </w:tcPr>
          <w:p>
            <w:pPr>
              <w:jc w:val="right"/>
              <w:ind w:right="228"/>
              <w:spacing w:after="0"/>
              <w:rPr>
                <w:sz w:val="20"/>
                <w:szCs w:val="20"/>
                <w:color w:val="auto"/>
              </w:rPr>
            </w:pPr>
            <w:r>
              <w:rPr>
                <w:rFonts w:ascii="Arial" w:cs="Arial" w:eastAsia="Arial" w:hAnsi="Arial"/>
                <w:sz w:val="18"/>
                <w:szCs w:val="18"/>
                <w:color w:val="auto"/>
              </w:rPr>
              <w:t>(2.2 )</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(2.5 )</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0.6 %</w:t>
            </w:r>
          </w:p>
        </w:tc>
        <w:tc>
          <w:tcPr>
            <w:tcW w:w="340" w:type="dxa"/>
            <w:vAlign w:val="bottom"/>
            <w:shd w:val="clear" w:color="auto" w:fill="CFF0FC"/>
          </w:tcPr>
          <w:p>
            <w:pPr>
              <w:spacing w:after="0"/>
              <w:rPr>
                <w:sz w:val="24"/>
                <w:szCs w:val="24"/>
                <w:color w:val="auto"/>
              </w:rPr>
            </w:pPr>
          </w:p>
        </w:tc>
        <w:tc>
          <w:tcPr>
            <w:tcW w:w="114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6.6 %</w:t>
            </w:r>
          </w:p>
        </w:tc>
        <w:tc>
          <w:tcPr>
            <w:tcW w:w="1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2.3 %</w:t>
            </w: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5.3 %</w:t>
            </w:r>
          </w:p>
        </w:tc>
      </w:tr>
      <w:tr>
        <w:trPr>
          <w:trHeight w:val="426"/>
        </w:trPr>
        <w:tc>
          <w:tcPr>
            <w:tcW w:w="5520" w:type="dxa"/>
            <w:vAlign w:val="bottom"/>
            <w:tcBorders>
              <w:top w:val="single" w:sz="8" w:color="CFF0FC"/>
            </w:tcBorders>
            <w:gridSpan w:val="4"/>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59"/>
        </w:trPr>
        <w:tc>
          <w:tcPr>
            <w:tcW w:w="3820" w:type="dxa"/>
            <w:vAlign w:val="bottom"/>
          </w:tcPr>
          <w:p>
            <w:pPr>
              <w:ind w:left="500"/>
              <w:spacing w:after="0"/>
              <w:rPr>
                <w:sz w:val="20"/>
                <w:szCs w:val="20"/>
                <w:color w:val="auto"/>
              </w:rPr>
            </w:pPr>
            <w:r>
              <w:rPr>
                <w:rFonts w:ascii="Arial" w:cs="Arial" w:eastAsia="Arial" w:hAnsi="Arial"/>
                <w:sz w:val="18"/>
                <w:szCs w:val="18"/>
                <w:i w:val="1"/>
                <w:iCs w:val="1"/>
                <w:color w:val="auto"/>
              </w:rPr>
              <w:t>Revenue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93,495</w:t>
            </w:r>
          </w:p>
        </w:tc>
        <w:tc>
          <w:tcPr>
            <w:tcW w:w="12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71,734</w:t>
            </w:r>
          </w:p>
        </w:tc>
        <w:tc>
          <w:tcPr>
            <w:tcW w:w="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21,761</w:t>
            </w:r>
          </w:p>
        </w:tc>
        <w:tc>
          <w:tcPr>
            <w:tcW w:w="360" w:type="dxa"/>
            <w:vAlign w:val="bottom"/>
            <w:tcBorders>
              <w:right w:val="single" w:sz="8" w:color="CFF0FC"/>
            </w:tcBorders>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-2542540</wp:posOffset>
            </wp:positionV>
            <wp:extent cx="16256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-2542540</wp:posOffset>
            </wp:positionV>
            <wp:extent cx="23177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-2542540</wp:posOffset>
            </wp:positionV>
            <wp:extent cx="21463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-2542540</wp:posOffset>
            </wp:positionV>
            <wp:extent cx="13716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-1539240</wp:posOffset>
            </wp:positionV>
            <wp:extent cx="16256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-1539240</wp:posOffset>
            </wp:positionV>
            <wp:extent cx="23177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-1539240</wp:posOffset>
            </wp:positionV>
            <wp:extent cx="21463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-1539240</wp:posOffset>
            </wp:positionV>
            <wp:extent cx="13716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-1199515</wp:posOffset>
            </wp:positionV>
            <wp:extent cx="1625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-1182370</wp:posOffset>
            </wp:positionV>
            <wp:extent cx="1625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-1199515</wp:posOffset>
            </wp:positionV>
            <wp:extent cx="2317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-1182370</wp:posOffset>
            </wp:positionV>
            <wp:extent cx="2317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-1199515</wp:posOffset>
            </wp:positionV>
            <wp:extent cx="2146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-1182370</wp:posOffset>
            </wp:positionV>
            <wp:extent cx="2146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-1199515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-1182370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right="740" w:firstLine="499"/>
        <w:spacing w:after="0" w:line="27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and increased transactions from our existing billers, offset by the decrease in revenue we received per transaction on a blended basis.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4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64,567</w:t>
            </w: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48,332</w:t>
            </w: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28,928</w:t>
            </w:r>
          </w:p>
        </w:tc>
        <w:tc>
          <w:tcPr>
            <w:tcW w:w="46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23,402</w:t>
            </w:r>
          </w:p>
        </w:tc>
        <w:tc>
          <w:tcPr>
            <w:tcW w:w="4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5,526</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30.9 %</w:t>
            </w:r>
          </w:p>
        </w:tc>
        <w:tc>
          <w:tcPr>
            <w:tcW w:w="9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32.6 %</w:t>
            </w: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180" w:firstLine="499"/>
        <w:spacing w:after="0" w:line="26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 The average payment amount of our transactions during the three months ended June 30, 2021 was flat as compared the same period in 2020, resulting in increased interchange fees due to the significant increase in transactions processed in the same quarter in the prior year.</w:t>
      </w:r>
    </w:p>
    <w:p>
      <w:pPr>
        <w:spacing w:after="0" w:line="98" w:lineRule="exact"/>
        <w:rPr>
          <w:sz w:val="20"/>
          <w:szCs w:val="20"/>
          <w:color w:val="auto"/>
        </w:rPr>
      </w:pPr>
    </w:p>
    <w:p>
      <w:pPr>
        <w:ind w:right="160" w:firstLine="494"/>
        <w:spacing w:after="0" w:line="277" w:lineRule="auto"/>
        <w:rPr>
          <w:sz w:val="20"/>
          <w:szCs w:val="20"/>
          <w:color w:val="auto"/>
        </w:rPr>
      </w:pPr>
      <w:r>
        <w:rPr>
          <w:rFonts w:ascii="Arial" w:cs="Arial" w:eastAsia="Arial" w:hAnsi="Arial"/>
          <w:sz w:val="18"/>
          <w:szCs w:val="18"/>
          <w:color w:val="auto"/>
        </w:rPr>
        <w:t>Gross margin decreased during the three months ended June 30, 2021 as compared to the same period in 2020 due to the decrease in revenue we received per transaction on a blended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2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7,921</w:t>
            </w:r>
          </w:p>
        </w:tc>
        <w:tc>
          <w:tcPr>
            <w:tcW w:w="13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5,981</w:t>
            </w:r>
          </w:p>
        </w:tc>
        <w:tc>
          <w:tcPr>
            <w:tcW w:w="154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1,940</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9,505</w:t>
            </w: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7,632</w:t>
            </w: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1,873</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7,421</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3,469</w:t>
            </w: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3,952</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r>
      <w:tr>
        <w:trPr>
          <w:trHeight w:val="263"/>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24,847</w:t>
            </w:r>
          </w:p>
        </w:tc>
        <w:tc>
          <w:tcPr>
            <w:tcW w:w="4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17,082</w:t>
            </w:r>
          </w:p>
        </w:tc>
        <w:tc>
          <w:tcPr>
            <w:tcW w:w="4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7,765</w:t>
            </w:r>
          </w:p>
        </w:tc>
        <w:tc>
          <w:tcPr>
            <w:tcW w:w="3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-5080</wp:posOffset>
            </wp:positionV>
            <wp:extent cx="29146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-5080</wp:posOffset>
            </wp:positionV>
            <wp:extent cx="29146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-5080</wp:posOffset>
            </wp:positionV>
            <wp:extent cx="2057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52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6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8.5 %</w:t>
            </w:r>
          </w:p>
        </w:tc>
        <w:tc>
          <w:tcPr>
            <w:tcW w:w="508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8.3 %</w:t>
            </w:r>
          </w:p>
        </w:tc>
      </w:tr>
      <w:tr>
        <w:trPr>
          <w:trHeight w:val="250"/>
        </w:trPr>
        <w:tc>
          <w:tcPr>
            <w:tcW w:w="36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520" w:type="dxa"/>
            <w:vAlign w:val="bottom"/>
          </w:tcPr>
          <w:p>
            <w:pPr>
              <w:jc w:val="right"/>
              <w:ind w:right="610"/>
              <w:spacing w:after="0"/>
              <w:rPr>
                <w:sz w:val="20"/>
                <w:szCs w:val="20"/>
                <w:color w:val="auto"/>
              </w:rPr>
            </w:pPr>
            <w:r>
              <w:rPr>
                <w:rFonts w:ascii="Arial" w:cs="Arial" w:eastAsia="Arial" w:hAnsi="Arial"/>
                <w:sz w:val="18"/>
                <w:szCs w:val="18"/>
                <w:color w:val="auto"/>
              </w:rPr>
              <w:t>10.2 %</w:t>
            </w:r>
          </w:p>
        </w:tc>
        <w:tc>
          <w:tcPr>
            <w:tcW w:w="5080" w:type="dxa"/>
            <w:vAlign w:val="bottom"/>
          </w:tcPr>
          <w:p>
            <w:pPr>
              <w:jc w:val="right"/>
              <w:ind w:right="3750"/>
              <w:spacing w:after="0"/>
              <w:rPr>
                <w:sz w:val="20"/>
                <w:szCs w:val="20"/>
                <w:color w:val="auto"/>
              </w:rPr>
            </w:pPr>
            <w:r>
              <w:rPr>
                <w:rFonts w:ascii="Arial" w:cs="Arial" w:eastAsia="Arial" w:hAnsi="Arial"/>
                <w:sz w:val="18"/>
                <w:szCs w:val="18"/>
                <w:color w:val="auto"/>
              </w:rPr>
              <w:t>10.6 %</w:t>
            </w:r>
          </w:p>
        </w:tc>
      </w:tr>
      <w:tr>
        <w:trPr>
          <w:trHeight w:val="26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7.9 %</w:t>
            </w:r>
          </w:p>
        </w:tc>
        <w:tc>
          <w:tcPr>
            <w:tcW w:w="508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4.9 %</w:t>
            </w:r>
          </w:p>
        </w:tc>
      </w:tr>
    </w:tbl>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ind w:right="120" w:firstLine="494"/>
        <w:spacing w:after="0" w:line="269"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as well as increased data center and hosting costs. Our average research and development headcount during the three months ended June 30, 2021 increased by approximately 28% compared to the same period in 2020.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49" w:lineRule="exact"/>
        <w:rPr>
          <w:sz w:val="20"/>
          <w:szCs w:val="20"/>
          <w:color w:val="auto"/>
        </w:rPr>
      </w:pPr>
    </w:p>
    <w:p>
      <w:pPr>
        <w:jc w:val="both"/>
        <w:ind w:right="240" w:firstLine="494"/>
        <w:spacing w:after="0" w:line="269"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Our average sales and marketing headcount increased by approximately 30% during the three months ended June 30, 2021 compared to the same period in 2020.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The increase in general and administrative expenses was primarily due to indirect costs incurred associated with completion of our IPO and operating as a public entity as well as an increase in employee-related costs, including benefits and stock-based compensation, due to an increase in general and administrative headcount. Our average general and administrative headcount increased by approximately 10% during the three months ended June 30, 2021 compared to the same period in 2020.</w:t>
      </w:r>
    </w:p>
    <w:p>
      <w:pPr>
        <w:spacing w:after="0" w:line="98" w:lineRule="exact"/>
        <w:rPr>
          <w:sz w:val="20"/>
          <w:szCs w:val="20"/>
          <w:color w:val="auto"/>
        </w:rPr>
      </w:pPr>
    </w:p>
    <w:p>
      <w:pPr>
        <w:ind w:right="120" w:firstLine="494"/>
        <w:spacing w:after="0" w:line="277" w:lineRule="auto"/>
        <w:rPr>
          <w:sz w:val="20"/>
          <w:szCs w:val="20"/>
          <w:color w:val="auto"/>
        </w:rPr>
      </w:pPr>
      <w:r>
        <w:rPr>
          <w:rFonts w:ascii="Arial" w:cs="Arial" w:eastAsia="Arial" w:hAnsi="Arial"/>
          <w:sz w:val="18"/>
          <w:szCs w:val="18"/>
          <w:color w:val="auto"/>
        </w:rPr>
        <w:t>The increase in general and administrative expenses as a percentage of revenue was primarily due to certain one-time and increased ongoing costs associated with completion of our IPO.</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820" w:type="dxa"/>
            <w:vAlign w:val="bottom"/>
          </w:tcPr>
          <w:p>
            <w:pPr>
              <w:spacing w:after="0"/>
              <w:rPr>
                <w:sz w:val="20"/>
                <w:szCs w:val="20"/>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r>
      <w:tr>
        <w:trPr>
          <w:trHeight w:val="250"/>
        </w:trPr>
        <w:tc>
          <w:tcPr>
            <w:tcW w:w="3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(4 )</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(7 )</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(233.3 )</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118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(1 )</w:t>
            </w:r>
          </w:p>
        </w:tc>
        <w:tc>
          <w:tcPr>
            <w:tcW w:w="9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(24 )</w:t>
            </w:r>
          </w:p>
        </w:tc>
        <w:tc>
          <w:tcPr>
            <w:tcW w:w="1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(95.8 )</w:t>
            </w:r>
          </w:p>
        </w:tc>
      </w:tr>
    </w:tbl>
    <w:p>
      <w:pPr>
        <w:spacing w:after="0" w:line="242" w:lineRule="exact"/>
        <w:rPr>
          <w:sz w:val="20"/>
          <w:szCs w:val="20"/>
          <w:color w:val="auto"/>
        </w:rPr>
      </w:pPr>
    </w:p>
    <w:p>
      <w:pPr>
        <w:ind w:right="260" w:firstLine="499"/>
        <w:spacing w:after="0" w:line="277" w:lineRule="auto"/>
        <w:rPr>
          <w:sz w:val="20"/>
          <w:szCs w:val="20"/>
          <w:color w:val="auto"/>
        </w:rPr>
      </w:pPr>
      <w:r>
        <w:rPr>
          <w:rFonts w:ascii="Arial" w:cs="Arial" w:eastAsia="Arial" w:hAnsi="Arial"/>
          <w:sz w:val="18"/>
          <w:szCs w:val="18"/>
          <w:color w:val="auto"/>
        </w:rPr>
        <w:t>The decrease in interest income (expense), net was primarily due to additional interest expense recorded for finance leases entered into during the second quarter of 2020, which was offset against interest income.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(3,501 )</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(1,614 )   $</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(1,887 )</w:t>
            </w: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280" w:firstLine="499"/>
        <w:spacing w:after="0" w:line="271"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was 85.9% for the three months ended June 30, 2021 as compared to 25.4% for the same period in the prior year, was primarily due to discrete tax adjustments related to nondeductible executive compensation and nondeductible direct IPO costs in connection with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40" w:type="dxa"/>
            <w:vAlign w:val="bottom"/>
            <w:gridSpan w:val="6"/>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185,717</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141,327</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44,390</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580" w:firstLine="499"/>
        <w:spacing w:after="0" w:line="27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and increased transactions from our existing billers, offset by a decrease in the revenue we received per transaction on a blended basis.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129,242</w:t>
            </w: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97,148</w:t>
            </w: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32,094</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56,475</w:t>
            </w:r>
          </w:p>
        </w:tc>
        <w:tc>
          <w:tcPr>
            <w:tcW w:w="46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44,179</w:t>
            </w:r>
          </w:p>
        </w:tc>
        <w:tc>
          <w:tcPr>
            <w:tcW w:w="4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12,296</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22"/>
                <w:szCs w:val="22"/>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30.4 %</w:t>
            </w:r>
          </w:p>
        </w:tc>
        <w:tc>
          <w:tcPr>
            <w:tcW w:w="9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31.3 %</w:t>
            </w: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20" w:firstLine="499"/>
        <w:spacing w:after="0" w:line="26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 The average payment amount of our transactions during the six months ended June 30, 2021 was flat as compared the same period in 2020, resulting in increased interchange fees.</w:t>
      </w:r>
    </w:p>
    <w:p>
      <w:pPr>
        <w:spacing w:after="0" w:line="98" w:lineRule="exact"/>
        <w:rPr>
          <w:sz w:val="20"/>
          <w:szCs w:val="20"/>
          <w:color w:val="auto"/>
        </w:rPr>
      </w:pPr>
    </w:p>
    <w:p>
      <w:pPr>
        <w:ind w:right="160" w:firstLine="494"/>
        <w:spacing w:after="0" w:line="277" w:lineRule="auto"/>
        <w:rPr>
          <w:sz w:val="20"/>
          <w:szCs w:val="20"/>
          <w:color w:val="auto"/>
        </w:rPr>
      </w:pPr>
      <w:r>
        <w:rPr>
          <w:rFonts w:ascii="Arial" w:cs="Arial" w:eastAsia="Arial" w:hAnsi="Arial"/>
          <w:sz w:val="18"/>
          <w:szCs w:val="18"/>
          <w:color w:val="auto"/>
        </w:rPr>
        <w:t>Gross margin decreased during the six months ended June 30, 2021 as compared to the same period in 2020 due to the decrease in revenue we received per transaction on a blended basis.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15,651</w:t>
            </w:r>
          </w:p>
        </w:tc>
        <w:tc>
          <w:tcPr>
            <w:tcW w:w="13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11,749</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3,902</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17,727</w:t>
            </w:r>
          </w:p>
        </w:tc>
        <w:tc>
          <w:tcPr>
            <w:tcW w:w="4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15,244</w:t>
            </w:r>
          </w:p>
        </w:tc>
        <w:tc>
          <w:tcPr>
            <w:tcW w:w="4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32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22"/>
                <w:szCs w:val="22"/>
                <w:color w:val="auto"/>
              </w:rPr>
            </w:pPr>
          </w:p>
        </w:tc>
      </w:tr>
      <w:tr>
        <w:trPr>
          <w:trHeight w:val="250"/>
        </w:trPr>
        <w:tc>
          <w:tcPr>
            <w:tcW w:w="38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14,163</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7,157</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7,006</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r>
      <w:tr>
        <w:trPr>
          <w:trHeight w:val="263"/>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47,541</w:t>
            </w:r>
          </w:p>
        </w:tc>
        <w:tc>
          <w:tcPr>
            <w:tcW w:w="4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34,150</w:t>
            </w:r>
          </w:p>
        </w:tc>
        <w:tc>
          <w:tcPr>
            <w:tcW w:w="4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w:t>
            </w:r>
          </w:p>
        </w:tc>
        <w:tc>
          <w:tcPr>
            <w:tcW w:w="3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-5080</wp:posOffset>
            </wp:positionV>
            <wp:extent cx="29146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-5080</wp:posOffset>
            </wp:positionV>
            <wp:extent cx="29146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-5080</wp:posOffset>
            </wp:positionV>
            <wp:extent cx="2057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48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63"/>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8.4 %</w:t>
            </w:r>
          </w:p>
        </w:tc>
        <w:tc>
          <w:tcPr>
            <w:tcW w:w="508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8.3 %</w:t>
            </w:r>
          </w:p>
        </w:tc>
      </w:tr>
      <w:tr>
        <w:trPr>
          <w:trHeight w:val="250"/>
        </w:trPr>
        <w:tc>
          <w:tcPr>
            <w:tcW w:w="36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480" w:type="dxa"/>
            <w:vAlign w:val="bottom"/>
          </w:tcPr>
          <w:p>
            <w:pPr>
              <w:jc w:val="right"/>
              <w:ind w:right="610"/>
              <w:spacing w:after="0"/>
              <w:rPr>
                <w:sz w:val="20"/>
                <w:szCs w:val="20"/>
                <w:color w:val="auto"/>
              </w:rPr>
            </w:pPr>
            <w:r>
              <w:rPr>
                <w:rFonts w:ascii="Arial" w:cs="Arial" w:eastAsia="Arial" w:hAnsi="Arial"/>
                <w:sz w:val="18"/>
                <w:szCs w:val="18"/>
                <w:color w:val="auto"/>
              </w:rPr>
              <w:t>9.5 %</w:t>
            </w:r>
          </w:p>
        </w:tc>
        <w:tc>
          <w:tcPr>
            <w:tcW w:w="5080" w:type="dxa"/>
            <w:vAlign w:val="bottom"/>
          </w:tcPr>
          <w:p>
            <w:pPr>
              <w:jc w:val="right"/>
              <w:ind w:right="3750"/>
              <w:spacing w:after="0"/>
              <w:rPr>
                <w:sz w:val="20"/>
                <w:szCs w:val="20"/>
                <w:color w:val="auto"/>
              </w:rPr>
            </w:pPr>
            <w:r>
              <w:rPr>
                <w:rFonts w:ascii="Arial" w:cs="Arial" w:eastAsia="Arial" w:hAnsi="Arial"/>
                <w:sz w:val="18"/>
                <w:szCs w:val="18"/>
                <w:color w:val="auto"/>
              </w:rPr>
              <w:t>10.8 %</w:t>
            </w:r>
          </w:p>
        </w:tc>
      </w:tr>
      <w:tr>
        <w:trPr>
          <w:trHeight w:val="263"/>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48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7.6 %</w:t>
            </w:r>
          </w:p>
        </w:tc>
        <w:tc>
          <w:tcPr>
            <w:tcW w:w="508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5.1 %</w:t>
            </w:r>
          </w:p>
        </w:tc>
      </w:tr>
    </w:tbl>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ind w:right="120" w:firstLine="494"/>
        <w:spacing w:after="0" w:line="269"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as well as increased data center and hosting costs. Our average research and development headcount during the six months ended June 30, 2021 was consistent with the percentage increase in expense compared to the same period in 2020.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49" w:lineRule="exact"/>
        <w:rPr>
          <w:sz w:val="20"/>
          <w:szCs w:val="20"/>
          <w:color w:val="auto"/>
        </w:rPr>
      </w:pPr>
    </w:p>
    <w:p>
      <w:pPr>
        <w:ind w:right="140" w:firstLine="494"/>
        <w:spacing w:after="0" w:line="269"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Our average sales and marketing headcount during the six months ended June 30, 2021 was consistent with the percentage increase in expense compared to the same period in 2020.</w:t>
      </w:r>
    </w:p>
    <w:p>
      <w:pPr>
        <w:spacing w:after="0" w:line="98" w:lineRule="exact"/>
        <w:rPr>
          <w:sz w:val="20"/>
          <w:szCs w:val="20"/>
          <w:color w:val="auto"/>
        </w:rPr>
      </w:pPr>
    </w:p>
    <w:p>
      <w:pPr>
        <w:ind w:right="220" w:firstLine="494"/>
        <w:spacing w:after="0" w:line="277" w:lineRule="auto"/>
        <w:rPr>
          <w:sz w:val="20"/>
          <w:szCs w:val="20"/>
          <w:color w:val="auto"/>
        </w:rPr>
      </w:pPr>
      <w:r>
        <w:rPr>
          <w:rFonts w:ascii="Arial" w:cs="Arial" w:eastAsia="Arial" w:hAnsi="Arial"/>
          <w:sz w:val="18"/>
          <w:szCs w:val="18"/>
          <w:color w:val="auto"/>
        </w:rPr>
        <w:t>The decrease in sales and marketing expenses as a percentage of revenue was primarily due to lower marketing expense related to events and lower travel-related costs as a result of the COVID-19 pandemic.</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firstLine="494"/>
        <w:spacing w:after="0" w:line="262" w:lineRule="auto"/>
        <w:rPr>
          <w:sz w:val="20"/>
          <w:szCs w:val="20"/>
          <w:color w:val="auto"/>
        </w:rPr>
      </w:pPr>
      <w:r>
        <w:rPr>
          <w:rFonts w:ascii="Arial" w:cs="Arial" w:eastAsia="Arial" w:hAnsi="Arial"/>
          <w:sz w:val="18"/>
          <w:szCs w:val="18"/>
          <w:color w:val="auto"/>
        </w:rPr>
        <w:t>The increase in general and administrative expenses was primarily due to indirect costs incurred associated with completion of our IPO and operating as a public entity as well as an increase in employee-related costs, including benefits and stock-based compensation, due to an increase in general and administrative headcount. Our average general and administrative headcount increased by approximately 10% during the six months ended June 30, 2021 compared to the same period in 2020.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ind w:right="120" w:firstLine="494"/>
        <w:spacing w:after="0" w:line="277" w:lineRule="auto"/>
        <w:rPr>
          <w:sz w:val="20"/>
          <w:szCs w:val="20"/>
          <w:color w:val="auto"/>
        </w:rPr>
      </w:pPr>
      <w:r>
        <w:rPr>
          <w:rFonts w:ascii="Arial" w:cs="Arial" w:eastAsia="Arial" w:hAnsi="Arial"/>
          <w:sz w:val="18"/>
          <w:szCs w:val="18"/>
          <w:color w:val="auto"/>
        </w:rPr>
        <w:t>The increase in general and administrative expenses as a percentage of revenue was primarily due to certain one-time and increased ongoing costs associated with completion of our IPO.</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820" w:type="dxa"/>
            <w:vAlign w:val="bottom"/>
          </w:tcPr>
          <w:p>
            <w:pPr>
              <w:spacing w:after="0"/>
              <w:rPr>
                <w:sz w:val="20"/>
                <w:szCs w:val="20"/>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r>
      <w:tr>
        <w:trPr>
          <w:trHeight w:val="250"/>
        </w:trPr>
        <w:tc>
          <w:tcPr>
            <w:tcW w:w="3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79"/>
              </w:rPr>
              <w:t>$</w:t>
            </w:r>
          </w:p>
        </w:tc>
        <w:tc>
          <w:tcPr>
            <w:tcW w:w="1720" w:type="dxa"/>
            <w:vAlign w:val="bottom"/>
            <w:gridSpan w:val="3"/>
            <w:shd w:val="clear" w:color="auto" w:fill="CFF0FC"/>
          </w:tcPr>
          <w:p>
            <w:pPr>
              <w:jc w:val="right"/>
              <w:ind w:right="768"/>
              <w:spacing w:after="0"/>
              <w:rPr>
                <w:sz w:val="20"/>
                <w:szCs w:val="20"/>
                <w:color w:val="auto"/>
              </w:rPr>
            </w:pPr>
            <w:r>
              <w:rPr>
                <w:rFonts w:ascii="Arial" w:cs="Arial" w:eastAsia="Arial" w:hAnsi="Arial"/>
                <w:sz w:val="18"/>
                <w:szCs w:val="18"/>
                <w:color w:val="auto"/>
              </w:rPr>
              <w:t>(7 )   $</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(52 )</w:t>
            </w:r>
          </w:p>
        </w:tc>
        <w:tc>
          <w:tcPr>
            <w:tcW w:w="4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(115.6 )</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1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(90 )</w:t>
            </w:r>
          </w:p>
        </w:tc>
        <w:tc>
          <w:tcPr>
            <w:tcW w:w="1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(108.9 )</w:t>
            </w:r>
          </w:p>
        </w:tc>
      </w:tr>
    </w:tbl>
    <w:p>
      <w:pPr>
        <w:spacing w:after="0" w:line="242" w:lineRule="exact"/>
        <w:rPr>
          <w:sz w:val="20"/>
          <w:szCs w:val="20"/>
          <w:color w:val="auto"/>
        </w:rPr>
      </w:pPr>
    </w:p>
    <w:p>
      <w:pPr>
        <w:ind w:right="260" w:firstLine="499"/>
        <w:spacing w:after="0" w:line="277" w:lineRule="auto"/>
        <w:rPr>
          <w:sz w:val="20"/>
          <w:szCs w:val="20"/>
          <w:color w:val="auto"/>
        </w:rPr>
      </w:pPr>
      <w:r>
        <w:rPr>
          <w:rFonts w:ascii="Arial" w:cs="Arial" w:eastAsia="Arial" w:hAnsi="Arial"/>
          <w:sz w:val="18"/>
          <w:szCs w:val="18"/>
          <w:color w:val="auto"/>
        </w:rPr>
        <w:t>The decrease in interest income (expense), net was primarily due to additional interest expense recorded for finance leases entered into during the second quarter of 2020, which was offset against interest income.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(4,722 )</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(2,520 )   $</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(2,202 )</w:t>
            </w:r>
          </w:p>
        </w:tc>
        <w:tc>
          <w:tcPr>
            <w:tcW w:w="4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increased to 52.8% for the three months ended June 30, 2021 as compared to 25.2% for the same period in the prior year, was primarily due to discrete tax adjustments related to nondeductible executive compensation and nondeductible direct IPO costs in connection with the IPO.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53" w:lineRule="exact"/>
        <w:rPr>
          <w:sz w:val="20"/>
          <w:szCs w:val="20"/>
          <w:color w:val="auto"/>
        </w:rPr>
      </w:pPr>
    </w:p>
    <w:p>
      <w:pPr>
        <w:ind w:right="200" w:firstLine="494"/>
        <w:spacing w:after="0" w:line="269" w:lineRule="auto"/>
        <w:rPr>
          <w:sz w:val="20"/>
          <w:szCs w:val="20"/>
          <w:color w:val="auto"/>
        </w:rPr>
      </w:pPr>
      <w:r>
        <w:rPr>
          <w:rFonts w:ascii="Arial" w:cs="Arial" w:eastAsia="Arial" w:hAnsi="Arial"/>
          <w:sz w:val="18"/>
          <w:szCs w:val="18"/>
          <w:color w:val="auto"/>
        </w:rPr>
        <w:t>As of June 30, 2021, we had $266.4 million of cash and cash equivalents. We believe that existing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98" w:lineRule="exact"/>
        <w:rPr>
          <w:sz w:val="20"/>
          <w:szCs w:val="20"/>
          <w:color w:val="auto"/>
        </w:rPr>
      </w:pPr>
    </w:p>
    <w:p>
      <w:pPr>
        <w:jc w:val="both"/>
        <w:ind w:right="160" w:firstLine="494"/>
        <w:spacing w:after="0" w:line="271" w:lineRule="auto"/>
        <w:rPr>
          <w:sz w:val="20"/>
          <w:szCs w:val="20"/>
          <w:color w:val="auto"/>
        </w:rPr>
      </w:pPr>
      <w:r>
        <w:rPr>
          <w:rFonts w:ascii="Arial" w:cs="Arial" w:eastAsia="Arial" w:hAnsi="Arial"/>
          <w:sz w:val="18"/>
          <w:szCs w:val="18"/>
          <w:color w:val="auto"/>
        </w:rPr>
        <w:t>In May 2021, we completed our IPO which resulted in aggregate net proceeds of $224.6 million, after underwriting discounts of $16.9 million. We also received aggregate proceeds of $50.0 million related to our concurrent private placement, and did not pay any underwriting discounts or commissions with respect to the shares that were sold in the concurrent private placement.</w:t>
      </w:r>
    </w:p>
    <w:p>
      <w:pPr>
        <w:spacing w:after="0" w:line="95"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2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(used in)</w:t>
            </w:r>
          </w:p>
        </w:tc>
        <w:tc>
          <w:tcPr>
            <w:tcW w:w="30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02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12,757</w:t>
            </w:r>
          </w:p>
        </w:tc>
        <w:tc>
          <w:tcPr>
            <w:tcW w:w="2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30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(9,300 )</w:t>
            </w:r>
          </w:p>
        </w:tc>
        <w:tc>
          <w:tcPr>
            <w:tcW w:w="10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(7,494 )</w:t>
            </w:r>
          </w:p>
        </w:tc>
        <w:tc>
          <w:tcPr>
            <w:tcW w:w="0" w:type="dxa"/>
            <w:vAlign w:val="bottom"/>
          </w:tcPr>
          <w:p>
            <w:pPr>
              <w:spacing w:after="0"/>
              <w:rPr>
                <w:sz w:val="1"/>
                <w:szCs w:val="1"/>
                <w:color w:val="auto"/>
              </w:rPr>
            </w:pPr>
          </w:p>
        </w:tc>
      </w:tr>
      <w:tr>
        <w:trPr>
          <w:trHeight w:val="250"/>
        </w:trPr>
        <w:tc>
          <w:tcPr>
            <w:tcW w:w="44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216,224</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(690 )</w:t>
            </w:r>
          </w:p>
        </w:tc>
        <w:tc>
          <w:tcPr>
            <w:tcW w:w="0" w:type="dxa"/>
            <w:vAlign w:val="bottom"/>
          </w:tcPr>
          <w:p>
            <w:pPr>
              <w:spacing w:after="0"/>
              <w:rPr>
                <w:sz w:val="1"/>
                <w:szCs w:val="1"/>
                <w:color w:val="auto"/>
              </w:rPr>
            </w:pPr>
          </w:p>
        </w:tc>
      </w:tr>
      <w:tr>
        <w:trPr>
          <w:trHeight w:val="263"/>
        </w:trPr>
        <w:tc>
          <w:tcPr>
            <w:tcW w:w="4480" w:type="dxa"/>
            <w:vAlign w:val="bottom"/>
            <w:shd w:val="clear" w:color="auto" w:fill="CFF0FC"/>
          </w:tcPr>
          <w:p>
            <w:pPr>
              <w:ind w:left="80"/>
              <w:spacing w:after="0"/>
              <w:rPr>
                <w:sz w:val="20"/>
                <w:szCs w:val="20"/>
                <w:color w:val="auto"/>
              </w:rPr>
            </w:pPr>
            <w:r>
              <w:rPr>
                <w:rFonts w:ascii="Arial" w:cs="Arial" w:eastAsia="Arial" w:hAnsi="Arial"/>
                <w:sz w:val="18"/>
                <w:szCs w:val="18"/>
                <w:color w:val="auto"/>
              </w:rPr>
              <w:t>Effects of foreign exchange on cash</w:t>
            </w:r>
          </w:p>
        </w:tc>
        <w:tc>
          <w:tcPr>
            <w:tcW w:w="30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50"/>
        </w:trPr>
        <w:tc>
          <w:tcPr>
            <w:tcW w:w="4480" w:type="dxa"/>
            <w:vAlign w:val="bottom"/>
            <w:tcBorders>
              <w:top w:val="single" w:sz="8" w:color="CFF0FC"/>
            </w:tcBorders>
          </w:tcPr>
          <w:p>
            <w:pPr>
              <w:ind w:left="80"/>
              <w:spacing w:after="0"/>
              <w:rPr>
                <w:sz w:val="20"/>
                <w:szCs w:val="20"/>
                <w:color w:val="auto"/>
              </w:rPr>
            </w:pPr>
            <w:r>
              <w:rPr>
                <w:rFonts w:ascii="Arial" w:cs="Arial" w:eastAsia="Arial" w:hAnsi="Arial"/>
                <w:sz w:val="18"/>
                <w:szCs w:val="18"/>
                <w:color w:val="auto"/>
              </w:rPr>
              <w:t>Net increase in cash and cash equivalents</w:t>
            </w:r>
          </w:p>
        </w:tc>
        <w:tc>
          <w:tcPr>
            <w:tcW w:w="300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219,724</w:t>
            </w:r>
          </w:p>
        </w:tc>
        <w:tc>
          <w:tcPr>
            <w:tcW w:w="280" w:type="dxa"/>
            <w:vAlign w:val="bottom"/>
            <w:tcBorders>
              <w:top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0" w:type="dxa"/>
            <w:vAlign w:val="bottom"/>
            <w:vMerge w:val="restart"/>
          </w:tcPr>
          <w:p>
            <w:pPr>
              <w:jc w:val="right"/>
              <w:ind w:right="1670"/>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-570865</wp:posOffset>
            </wp:positionV>
            <wp:extent cx="17970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9" w:lineRule="exact"/>
        <w:rPr>
          <w:sz w:val="20"/>
          <w:szCs w:val="20"/>
          <w:color w:val="auto"/>
        </w:rPr>
      </w:pPr>
    </w:p>
    <w:p>
      <w:pPr>
        <w:ind w:right="300" w:firstLine="494"/>
        <w:spacing w:after="0" w:line="277"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Net cash provided by operating activities for the six months ended June 30, 2021 was $12.8 million, primarily consisting of our net income of $4.2 million, adjusted for non-cash charges of $4.9 million in depreciation and amortization, $1.6 million in non-cash lease expense related to our operating right-of-use assets, $1.1 million in stock-based compensation, $2.4 million in deferred income taxes, $0.2 million in amortization of contract asset recorded as contra revenue related to the recognition of the warrant issued to JPMC Strategic Investments I Corporation, and net cash outflows of $1.8 million provided by changes in our operating assets and liabilities. The main drivers of the changes in operating assets and liabilities includes a $4.9 million increase in accounts and other receivables due to higher sales and relative timing of our cash collections, an increase of $0.9 million in prepaid expenses, and a $1.6 million decrease in operating lease liabilities, due to current period payments on operating leases. These amounts were partially offset by a $3.5 million increase in accounts payable due in part to a change in processer payment timing from real-time payments to transactions being processed on a monthly cadence where we are invoiced in arrears for fees owed, a decrease in income tax receivables, net of $1.3 million, an increase of $0.5 million in accrued liabilities, and an increase of $0.3 million in contract liabilities.</w:t>
      </w:r>
    </w:p>
    <w:p>
      <w:pPr>
        <w:spacing w:after="0" w:line="100"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Net cash provided by operating activities for the six months ended June 30, 2020 was $15.9 million, primarily consisting of our net income of $7.5 million, adjusted for non-cash charges of $4.0 million in depreciation and amortization, $1.3 million in non-cash lease expense related to our operating right-of-use assets, $0.9 million in stock-based compensation, $0.9 million in deferred income taxes, and net cash inflows of $1.4 million provided by changes in our operating assets and liabilities. The main drivers of the changes in operating assets and liabilities were an increase of $5.2 million in accounts payable, an increase of $0.6 million in accrued liabilities, an increase of $0.4 million in contract liabilities, and a $0.7 million decrease in income taxes receivable due to the receipt of an overpayment from the prior year end. These amounts were partially offset by a $4.3 million increase in accounts and other receivables resulting primarily from higher sales and relative timing of our cash collections, and a $1.2 million decrease in operating lease liabilities due to current period payments on operating leases.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9" w:lineRule="exact"/>
        <w:rPr>
          <w:sz w:val="20"/>
          <w:szCs w:val="20"/>
          <w:color w:val="auto"/>
        </w:rPr>
      </w:pPr>
    </w:p>
    <w:p>
      <w:pPr>
        <w:ind w:right="240" w:firstLine="494"/>
        <w:spacing w:after="0" w:line="277" w:lineRule="auto"/>
        <w:rPr>
          <w:sz w:val="20"/>
          <w:szCs w:val="20"/>
          <w:color w:val="auto"/>
        </w:rPr>
      </w:pPr>
      <w:r>
        <w:rPr>
          <w:rFonts w:ascii="Arial" w:cs="Arial" w:eastAsia="Arial" w:hAnsi="Arial"/>
          <w:sz w:val="18"/>
          <w:szCs w:val="18"/>
          <w:color w:val="auto"/>
        </w:rPr>
        <w:t>Cash used in our investing activities consists primarily of capitalized internal-use software development costs, purchases of property and equipment, intangible assets and cash paid for acquisitions.</w:t>
      </w:r>
    </w:p>
    <w:p>
      <w:pPr>
        <w:spacing w:after="0" w:line="89" w:lineRule="exact"/>
        <w:rPr>
          <w:sz w:val="20"/>
          <w:szCs w:val="20"/>
          <w:color w:val="auto"/>
        </w:rPr>
      </w:pPr>
    </w:p>
    <w:p>
      <w:pPr>
        <w:ind w:right="620" w:firstLine="49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consisted of $8.7 million of capitalized internal-use software development costs and $0.6 million of purchases of property and equipment.</w:t>
      </w:r>
    </w:p>
    <w:p>
      <w:pPr>
        <w:spacing w:after="0" w:line="89" w:lineRule="exact"/>
        <w:rPr>
          <w:sz w:val="20"/>
          <w:szCs w:val="20"/>
          <w:color w:val="auto"/>
        </w:rPr>
      </w:pPr>
    </w:p>
    <w:p>
      <w:pPr>
        <w:ind w:right="620" w:firstLine="494"/>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2020 consisted of $7.2 million of capitalized internal-use software development costs and $0.3 million of purchases of property and equipment.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49"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Cash provided by (used in) financing activities consists primarily of proceeds from the IPO and private placement offset by the redemption of the Series A preferred stock, payment of deferred offering costs related to the IPO and payments on capital lease and other financing arrangements and principal payments on debt.</w:t>
      </w:r>
    </w:p>
    <w:p>
      <w:pPr>
        <w:spacing w:after="0" w:line="95"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Net cash provided by financing activities for the six months ended June 30, 2021 consisted of proceeds from the IPO of $224.6 million, proceeds from the private placement of $50.0 and proceeds of $0.8 million from the repayment of a related party loan, offset by $23.0 million for the redemption of the Series A preferred stock, $34.4 million for the payment of dividends on the Series A preferred stock, $0.9 million of payments on finance leases and other financing obligations and $0.9 million of payments of deferred offering costs directly related to our IPO.</w:t>
      </w:r>
    </w:p>
    <w:p>
      <w:pPr>
        <w:spacing w:after="0" w:line="100" w:lineRule="exact"/>
        <w:rPr>
          <w:sz w:val="20"/>
          <w:szCs w:val="20"/>
          <w:color w:val="auto"/>
        </w:rPr>
      </w:pPr>
    </w:p>
    <w:p>
      <w:pPr>
        <w:ind w:right="220" w:firstLine="494"/>
        <w:spacing w:after="0" w:line="258" w:lineRule="auto"/>
        <w:rPr>
          <w:sz w:val="20"/>
          <w:szCs w:val="20"/>
          <w:color w:val="auto"/>
        </w:rPr>
      </w:pPr>
      <w:r>
        <w:rPr>
          <w:rFonts w:ascii="Arial" w:cs="Arial" w:eastAsia="Arial" w:hAnsi="Arial"/>
          <w:sz w:val="18"/>
          <w:szCs w:val="18"/>
          <w:color w:val="auto"/>
        </w:rPr>
        <w:t>Net cash used in financing activities for the six months ended June 30, 2020 consisted of $0.7 million of payments on finance leases and other financing obligations.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June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16"/>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96"/>
              <w:spacing w:after="0"/>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1 - 3 Years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3 -5 Years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7"/>
                <w:szCs w:val="17"/>
                <w:color w:val="auto"/>
              </w:rPr>
            </w:pPr>
          </w:p>
        </w:tc>
      </w:tr>
      <w:tr>
        <w:trPr>
          <w:trHeight w:val="250"/>
        </w:trPr>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00" w:type="dxa"/>
            <w:vAlign w:val="bottom"/>
            <w:gridSpan w:val="2"/>
            <w:shd w:val="clear" w:color="auto" w:fill="CFF0FC"/>
          </w:tcPr>
          <w:p>
            <w:pPr>
              <w:ind w:left="140"/>
              <w:spacing w:after="0" w:line="263"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4"/>
                <w:szCs w:val="24"/>
                <w:color w:val="auto"/>
                <w:vertAlign w:val="superscript"/>
              </w:rPr>
              <w:t>(1)</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FF0FC"/>
          </w:tcPr>
          <w:p>
            <w:pPr>
              <w:spacing w:after="0"/>
              <w:rPr>
                <w:sz w:val="22"/>
                <w:szCs w:val="22"/>
                <w:color w:val="auto"/>
              </w:rPr>
            </w:pPr>
          </w:p>
        </w:tc>
      </w:tr>
      <w:tr>
        <w:trPr>
          <w:trHeight w:val="257"/>
        </w:trPr>
        <w:tc>
          <w:tcPr>
            <w:tcW w:w="530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7"/>
        </w:trPr>
        <w:tc>
          <w:tcPr>
            <w:tcW w:w="5060" w:type="dxa"/>
            <w:vAlign w:val="bottom"/>
            <w:tcBorders>
              <w:bottom w:val="single" w:sz="8" w:color="CFF0FC"/>
            </w:tcBorders>
            <w:shd w:val="clear" w:color="auto" w:fill="CFF0FC"/>
          </w:tcPr>
          <w:p>
            <w:pPr>
              <w:ind w:left="140"/>
              <w:spacing w:after="0" w:line="257"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(3)</w:t>
            </w:r>
          </w:p>
        </w:tc>
        <w:tc>
          <w:tcPr>
            <w:tcW w:w="2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5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15,504</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5,692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-193675</wp:posOffset>
            </wp:positionV>
            <wp:extent cx="1543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-193675</wp:posOffset>
            </wp:positionV>
            <wp:extent cx="13716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-193675</wp:posOffset>
            </wp:positionV>
            <wp:extent cx="13716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-193675</wp:posOffset>
            </wp:positionV>
            <wp:extent cx="13716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90" w:lineRule="exact"/>
        <w:rPr>
          <w:sz w:val="20"/>
          <w:szCs w:val="20"/>
          <w:color w:val="auto"/>
        </w:rPr>
      </w:pPr>
    </w:p>
    <w:p>
      <w:pPr>
        <w:ind w:left="940" w:hanging="423"/>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operating lease liabilities for our offices and data centers.</w:t>
      </w:r>
    </w:p>
    <w:p>
      <w:pPr>
        <w:spacing w:after="0" w:line="18" w:lineRule="exact"/>
        <w:rPr>
          <w:rFonts w:ascii="Arial" w:cs="Arial" w:eastAsia="Arial" w:hAnsi="Arial"/>
          <w:sz w:val="16"/>
          <w:szCs w:val="16"/>
          <w:color w:val="auto"/>
        </w:rPr>
      </w:pPr>
    </w:p>
    <w:p>
      <w:pPr>
        <w:ind w:left="940" w:hanging="423"/>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finance lease liabilities for equipment.</w:t>
      </w:r>
    </w:p>
    <w:p>
      <w:pPr>
        <w:spacing w:after="0" w:line="18" w:lineRule="exact"/>
        <w:rPr>
          <w:rFonts w:ascii="Arial" w:cs="Arial" w:eastAsia="Arial" w:hAnsi="Arial"/>
          <w:sz w:val="16"/>
          <w:szCs w:val="16"/>
          <w:color w:val="auto"/>
        </w:rPr>
      </w:pPr>
    </w:p>
    <w:p>
      <w:pPr>
        <w:ind w:left="940" w:right="580" w:hanging="423"/>
        <w:spacing w:after="0" w:line="278" w:lineRule="auto"/>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purchase obligations which were not recognized on the balance sheet as of June 30, 2021, related primarily to infrastructure services and IT software and maintenance service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Critical Accounting Policies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condensed consolidated financial statements, which have been prepared in accordance with GAAP. The preparation of these condensed consolidated financial statements requires us to make estimates and assumptions that affect the reported amounts of assets, liabilities, net sales,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ind w:right="200"/>
        <w:spacing w:after="0" w:line="274" w:lineRule="auto"/>
        <w:rPr>
          <w:sz w:val="20"/>
          <w:szCs w:val="20"/>
          <w:color w:val="auto"/>
        </w:rPr>
      </w:pPr>
      <w:r>
        <w:rPr>
          <w:rFonts w:ascii="Arial" w:cs="Arial" w:eastAsia="Arial" w:hAnsi="Arial"/>
          <w:sz w:val="17"/>
          <w:szCs w:val="17"/>
          <w:color w:val="auto"/>
        </w:rPr>
        <w:t>There have been no material changes to our critical accounting policies as compared to the critical accounting policies and significant judgments and estimates disclosed in our prospectus filed pursuant to Rule 424(b) under the Securities Act with the SEC on May 26, 2021.</w:t>
      </w: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143" w:lineRule="exact"/>
        <w:rPr>
          <w:sz w:val="20"/>
          <w:szCs w:val="20"/>
          <w:color w:val="auto"/>
        </w:rPr>
      </w:pPr>
    </w:p>
    <w:p>
      <w:pPr>
        <w:ind w:right="20" w:firstLine="494"/>
        <w:spacing w:after="0" w:line="263" w:lineRule="auto"/>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143" w:lineRule="exact"/>
        <w:rPr>
          <w:sz w:val="20"/>
          <w:szCs w:val="20"/>
          <w:color w:val="auto"/>
        </w:rPr>
      </w:pPr>
    </w:p>
    <w:p>
      <w:pPr>
        <w:ind w:right="600" w:firstLine="494"/>
        <w:spacing w:after="0" w:line="277" w:lineRule="auto"/>
        <w:rPr>
          <w:sz w:val="20"/>
          <w:szCs w:val="20"/>
          <w:color w:val="auto"/>
        </w:rPr>
      </w:pPr>
      <w:r>
        <w:rPr>
          <w:rFonts w:ascii="Arial" w:cs="Arial" w:eastAsia="Arial" w:hAnsi="Arial"/>
          <w:sz w:val="18"/>
          <w:szCs w:val="18"/>
          <w:color w:val="auto"/>
        </w:rPr>
        <w:t>See Note 2 to our condensed consolidated financial statements included elsewhere in this report for more information regarding recently issued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3"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3" w:lineRule="exact"/>
        <w:rPr>
          <w:sz w:val="20"/>
          <w:szCs w:val="20"/>
          <w:color w:val="auto"/>
        </w:rPr>
      </w:pPr>
    </w:p>
    <w:p>
      <w:pPr>
        <w:jc w:val="both"/>
        <w:ind w:right="80" w:firstLine="494"/>
        <w:spacing w:after="0" w:line="262" w:lineRule="auto"/>
        <w:rPr>
          <w:sz w:val="20"/>
          <w:szCs w:val="20"/>
          <w:color w:val="auto"/>
        </w:rPr>
      </w:pPr>
      <w:r>
        <w:rPr>
          <w:rFonts w:ascii="Arial" w:cs="Arial" w:eastAsia="Arial" w:hAnsi="Arial"/>
          <w:sz w:val="18"/>
          <w:szCs w:val="18"/>
          <w:color w:val="auto"/>
        </w:rPr>
        <w:t>Our cash and cash equivalents consist of bank deposits and money market funds with original maturities of three months or less. Our cash and cash equivalents are held for working capital purposes. We do not enter into investments for trading or speculative purposes. Our cash equivalents and our investment portfolio are subject to market risk due to changes in interest rates. As of June 30, 2021, a hypothetical 10% relative change in interest rates would not have had a material impact on the value of our cash equivalents or investment portfolio.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53"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Certain of our operations are conducted in foreign currencies. While we have generated a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that an immediate 10% increase or decrease in the relative value of the U.S. dollar to other currencies would have a material effect on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53"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3" w:lineRule="exact"/>
        <w:rPr>
          <w:sz w:val="20"/>
          <w:szCs w:val="20"/>
          <w:color w:val="auto"/>
        </w:rPr>
      </w:pPr>
    </w:p>
    <w:p>
      <w:pPr>
        <w:ind w:right="60" w:firstLine="544"/>
        <w:spacing w:after="0" w:line="267"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described below, our Chief Executive Officer and Chief Financial Officer concluded that, as of June 30, 2021,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53" w:lineRule="exact"/>
        <w:rPr>
          <w:sz w:val="20"/>
          <w:szCs w:val="20"/>
          <w:color w:val="auto"/>
        </w:rPr>
      </w:pPr>
    </w:p>
    <w:p>
      <w:pPr>
        <w:ind w:right="180" w:firstLine="534"/>
        <w:spacing w:after="0" w:line="27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our material weaknesses are as follows:</w:t>
      </w:r>
    </w:p>
    <w:p>
      <w:pPr>
        <w:spacing w:after="0" w:line="95" w:lineRule="exact"/>
        <w:rPr>
          <w:sz w:val="20"/>
          <w:szCs w:val="20"/>
          <w:color w:val="auto"/>
        </w:rPr>
      </w:pPr>
    </w:p>
    <w:p>
      <w:pPr>
        <w:ind w:left="960" w:right="140"/>
        <w:spacing w:after="0" w:line="288" w:lineRule="auto"/>
        <w:rPr>
          <w:sz w:val="20"/>
          <w:szCs w:val="20"/>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3" w:lineRule="exact"/>
        <w:rPr>
          <w:sz w:val="20"/>
          <w:szCs w:val="20"/>
          <w:color w:val="auto"/>
        </w:rPr>
      </w:pPr>
    </w:p>
    <w:p>
      <w:pPr>
        <w:ind w:left="960" w:right="100"/>
        <w:spacing w:after="0" w:line="268" w:lineRule="auto"/>
        <w:rPr>
          <w:sz w:val="20"/>
          <w:szCs w:val="20"/>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53" w:lineRule="exact"/>
        <w:rPr>
          <w:sz w:val="20"/>
          <w:szCs w:val="20"/>
          <w:color w:val="auto"/>
        </w:rPr>
      </w:pPr>
    </w:p>
    <w:p>
      <w:pPr>
        <w:ind w:firstLine="544"/>
        <w:spacing w:after="0" w:line="258" w:lineRule="auto"/>
        <w:rPr>
          <w:sz w:val="20"/>
          <w:szCs w:val="20"/>
          <w:color w:val="auto"/>
        </w:rPr>
      </w:pPr>
      <w:r>
        <w:rPr>
          <w:rFonts w:ascii="Arial" w:cs="Arial" w:eastAsia="Arial" w:hAnsi="Arial"/>
          <w:sz w:val="18"/>
          <w:szCs w:val="18"/>
          <w:color w:val="auto"/>
        </w:rPr>
        <w:t>We have begun implementing a plan to remediate the material weaknesses described above. In 2020, we implemented a new general ledger accounting system, including the design of permissions within that system which allow</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ind w:right="600"/>
        <w:spacing w:after="0" w:line="277" w:lineRule="auto"/>
        <w:rPr>
          <w:sz w:val="20"/>
          <w:szCs w:val="20"/>
          <w:color w:val="auto"/>
        </w:rPr>
      </w:pPr>
      <w:r>
        <w:rPr>
          <w:rFonts w:ascii="Arial" w:cs="Arial" w:eastAsia="Arial" w:hAnsi="Arial"/>
          <w:sz w:val="18"/>
          <w:szCs w:val="18"/>
          <w:color w:val="auto"/>
        </w:rPr>
        <w:t>for effective restricted access and segregation of duties to govern the preparation and review of journal entries. Additional remediation measures are ongoing and include the following:</w:t>
      </w:r>
    </w:p>
    <w:p>
      <w:pPr>
        <w:spacing w:after="0" w:line="89"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31"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3"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2021 that have materially affected, or are reasonably likely to materially affect, our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3" w:lineRule="exact"/>
        <w:rPr>
          <w:sz w:val="20"/>
          <w:szCs w:val="20"/>
          <w:color w:val="auto"/>
        </w:rPr>
      </w:pPr>
    </w:p>
    <w:p>
      <w:pPr>
        <w:ind w:right="360" w:firstLine="494"/>
        <w:spacing w:after="0" w:line="269"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3"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“Management’s Discussion and Analysis of Financial Condition and Results of Operations,” and our condensed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You should also read the section under the caption “</w:t>
      </w:r>
      <w:r>
        <w:rPr>
          <w:rFonts w:ascii="Arial" w:cs="Arial" w:eastAsia="Arial" w:hAnsi="Arial"/>
          <w:sz w:val="18"/>
          <w:szCs w:val="18"/>
          <w:i w:val="1"/>
          <w:iCs w:val="1"/>
          <w:color w:val="auto"/>
        </w:rPr>
        <w:t>Special Note Regarding Forward-Looking Statements” in Item 2.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53" w:lineRule="exact"/>
        <w:rPr>
          <w:sz w:val="20"/>
          <w:szCs w:val="20"/>
          <w:color w:val="auto"/>
        </w:rPr>
      </w:pPr>
    </w:p>
    <w:p>
      <w:pPr>
        <w:ind w:right="60" w:firstLine="494"/>
        <w:spacing w:after="0" w:line="266" w:lineRule="auto"/>
        <w:rPr>
          <w:sz w:val="20"/>
          <w:szCs w:val="20"/>
          <w:color w:val="auto"/>
        </w:rPr>
      </w:pPr>
      <w:r>
        <w:rPr>
          <w:rFonts w:ascii="Arial" w:cs="Arial" w:eastAsia="Arial" w:hAnsi="Arial"/>
          <w:sz w:val="18"/>
          <w:szCs w:val="18"/>
          <w:color w:val="auto"/>
        </w:rPr>
        <w:t>Our recent rapid growth, including in payment volumes, may not be sustainable or indicative of our future growth. Even though the number of billers and consumers who use our platform has grown rapidly in recent years, there can be no assurance that we will be able to attract new billers or retain existing billers. Our costs associated with retaining revenue from existing billers are substantially lower than costs associated with attracting and generating revenue from new billers or costs associated with generating increased adoption of our platform by existing billers. Therefore, if we are unable to retain revenue from existing billers, even if related losses are offset by an increase in new billers or increased adoption of our platform by existing billers, our operating results could be adversely impacted.</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ability to attract new billers, retain revenue from existing billers or increase adoption of our platform by both new and existing billers is impacted by a number of factors, including: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transaction fees and certain of our billers’ ability to pass them on to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timely expand the functionality and scope of our platform;</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4" w:name="page35"/>
    <w:bookmarkEnd w:id="34"/>
    <w:p>
      <w:pPr>
        <w:ind w:left="960"/>
        <w:spacing w:after="0"/>
        <w:rPr>
          <w:sz w:val="20"/>
          <w:szCs w:val="20"/>
          <w:color w:val="auto"/>
        </w:rPr>
      </w:pPr>
      <w:r>
        <w:rPr>
          <w:rFonts w:ascii="Arial" w:cs="Arial" w:eastAsia="Arial" w:hAnsi="Arial"/>
          <w:sz w:val="18"/>
          <w:szCs w:val="18"/>
          <w:color w:val="auto"/>
        </w:rPr>
        <w:t>our ability to maintain the rates at which our billers pay us and continue to use our platform;</w:t>
      </w:r>
    </w:p>
    <w:p>
      <w:pPr>
        <w:spacing w:after="0" w:line="131" w:lineRule="exact"/>
        <w:rPr>
          <w:sz w:val="20"/>
          <w:szCs w:val="20"/>
          <w:color w:val="auto"/>
        </w:rPr>
      </w:pPr>
    </w:p>
    <w:p>
      <w:pPr>
        <w:ind w:left="960" w:right="840"/>
        <w:spacing w:after="0" w:line="277" w:lineRule="auto"/>
        <w:rPr>
          <w:sz w:val="20"/>
          <w:szCs w:val="20"/>
          <w:color w:val="auto"/>
        </w:rPr>
      </w:pPr>
      <w:r>
        <w:rPr>
          <w:rFonts w:ascii="Arial" w:cs="Arial" w:eastAsia="Arial" w:hAnsi="Arial"/>
          <w:sz w:val="18"/>
          <w:szCs w:val="18"/>
          <w:color w:val="auto"/>
        </w:rPr>
        <w:t>competitive factors, including the introduction of competing solutions, discount pricing and other strategies that may be implemented by our competitors;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high-quality customer support for billers and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strategic partners, software partners and IPN, partners;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into new industries and market segments;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perceived privacy or security breaches or incidents;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frequency and severity of any system outages, technological changes or similar issues;</w:t>
      </w:r>
    </w:p>
    <w:p>
      <w:pPr>
        <w:spacing w:after="0" w:line="131" w:lineRule="exact"/>
        <w:rPr>
          <w:sz w:val="20"/>
          <w:szCs w:val="20"/>
          <w:color w:val="auto"/>
        </w:rPr>
      </w:pPr>
    </w:p>
    <w:p>
      <w:pPr>
        <w:ind w:left="960" w:right="980"/>
        <w:spacing w:after="0" w:line="277" w:lineRule="auto"/>
        <w:rPr>
          <w:sz w:val="20"/>
          <w:szCs w:val="20"/>
          <w:color w:val="auto"/>
        </w:rPr>
      </w:pPr>
      <w:r>
        <w:rPr>
          <w:rFonts w:ascii="Arial" w:cs="Arial" w:eastAsia="Arial" w:hAnsi="Arial"/>
          <w:sz w:val="18"/>
          <w:szCs w:val="18"/>
          <w:color w:val="auto"/>
        </w:rPr>
        <w:t>our ability to successfully identify and acquire or invest in businesses, products or technologies that we believe could complement or expand our platform;</w:t>
      </w:r>
    </w:p>
    <w:p>
      <w:pPr>
        <w:spacing w:after="0" w:line="89" w:lineRule="exact"/>
        <w:rPr>
          <w:sz w:val="20"/>
          <w:szCs w:val="20"/>
          <w:color w:val="auto"/>
        </w:rPr>
      </w:pPr>
    </w:p>
    <w:p>
      <w:pPr>
        <w:ind w:left="960" w:right="2700"/>
        <w:spacing w:after="0" w:line="391" w:lineRule="auto"/>
        <w:rPr>
          <w:sz w:val="20"/>
          <w:szCs w:val="20"/>
          <w:color w:val="auto"/>
        </w:rPr>
      </w:pPr>
      <w:r>
        <w:rPr>
          <w:rFonts w:ascii="Arial" w:cs="Arial" w:eastAsia="Arial" w:hAnsi="Arial"/>
          <w:sz w:val="18"/>
          <w:szCs w:val="18"/>
          <w:color w:val="auto"/>
        </w:rPr>
        <w:t>our ability to increase awareness of our brand and successfully compete with other companies; our ability to expand internationally; and</w:t>
      </w:r>
    </w:p>
    <w:p>
      <w:pPr>
        <w:spacing w:after="0" w:line="1" w:lineRule="exact"/>
        <w:rPr>
          <w:sz w:val="20"/>
          <w:szCs w:val="20"/>
          <w:color w:val="auto"/>
        </w:rPr>
      </w:pPr>
    </w:p>
    <w:p>
      <w:pPr>
        <w:ind w:left="960" w:right="120"/>
        <w:spacing w:after="0" w:line="271" w:lineRule="auto"/>
        <w:rPr>
          <w:sz w:val="20"/>
          <w:szCs w:val="20"/>
          <w:color w:val="auto"/>
        </w:rPr>
      </w:pPr>
      <w:r>
        <w:rPr>
          <w:rFonts w:ascii="Arial" w:cs="Arial" w:eastAsia="Arial" w:hAnsi="Arial"/>
          <w:sz w:val="18"/>
          <w:szCs w:val="18"/>
          <w:color w:val="auto"/>
        </w:rPr>
        <w:t>our focus on long-term value over short-term results, meaning that we may make strategic decisions that may not maximize our short-term revenue or profitability if we believe that the decisions are consistent with our mission and will improve our financial performance over the long-term.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infrastructure to support future growth.</w:t>
      </w:r>
    </w:p>
    <w:p>
      <w:pPr>
        <w:spacing w:after="0" w:line="153"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The rapid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partner and consumer satisfaction. If sustained or repeated, these performance issues could reduce the attractiveness of our platform to billers and partners and could result in lost biller and partner opportunities and higher attrition rates, any of which could hurt our revenue growth, biller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0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Moreover, our rapid growth has placed, and will likely continue to place, a significant strain on our managerial, administrative, operational, financial and other resources. We have grown substantially in the past three years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do not have significant experience managing a large public company, so our management may not be able to manage such growth effectively. In managing our growing operations, we are also subject to the risks of over-hiring and over-compensating our employees and over-expanding our operating infrastructure. As a result, we may be unable to manage our expenses effectively in the future, which may negatively impact our gross profit or operating expenses.</w:t>
      </w:r>
    </w:p>
    <w:p>
      <w:pPr>
        <w:spacing w:after="0" w:line="101" w:lineRule="exact"/>
        <w:rPr>
          <w:sz w:val="20"/>
          <w:szCs w:val="20"/>
          <w:color w:val="auto"/>
        </w:rPr>
      </w:pPr>
    </w:p>
    <w:p>
      <w:pPr>
        <w:ind w:right="20" w:firstLine="494"/>
        <w:spacing w:after="0" w:line="264" w:lineRule="auto"/>
        <w:rPr>
          <w:sz w:val="20"/>
          <w:szCs w:val="20"/>
          <w:color w:val="auto"/>
        </w:rPr>
      </w:pPr>
      <w:r>
        <w:rPr>
          <w:rFonts w:ascii="Arial" w:cs="Arial" w:eastAsia="Arial" w:hAnsi="Arial"/>
          <w:sz w:val="18"/>
          <w:szCs w:val="18"/>
          <w:color w:val="auto"/>
        </w:rPr>
        <w:t>In addition, we believe that an important contributor to our success has been our corporate culture, which we believe fosters innovation, and is rooted in a philosophy of aligning our success with that of billers, partners and consumers. As a result of our rapid growth, a significant portion of our employees have been with us for fewer than three years. As we continue to grow and develop the infrastructure of a public company, we must effectively integrate, develop and motivate a growing number of new employees, who will be dispersed geographically, with our headquarters in Redmond, Washington and a large employee presence in Toronto, Canada, Charlotte, North Carolina and Delhi, India. Our geographically dispersed workforce may make it more difficult for our management to manage our growth effectively and preserve our corporate culture. In addition, we must preserve our ability to execute quickly in further developing our platform and implementing new features and tools. As a result, we may find it difficult to maintain our corporate culture, which could limit our ability to innovate and operate effectively. Any failure to preserve our culture could also negatively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35" w:name="page36"/>
    <w:bookmarkEnd w:id="35"/>
    <w:p>
      <w:pPr>
        <w:ind w:right="40"/>
        <w:spacing w:after="0" w:line="277" w:lineRule="auto"/>
        <w:rPr>
          <w:sz w:val="20"/>
          <w:szCs w:val="20"/>
          <w:color w:val="auto"/>
        </w:rPr>
      </w:pPr>
      <w:r>
        <w:rPr>
          <w:rFonts w:ascii="Arial" w:cs="Arial" w:eastAsia="Arial" w:hAnsi="Arial"/>
          <w:sz w:val="18"/>
          <w:szCs w:val="18"/>
          <w:color w:val="auto"/>
        </w:rPr>
        <w:t>affect our ability to recruit and retain personnel, to continue to perform at current levels or to execute on our business strategy effectively and efficiently.</w:t>
      </w:r>
    </w:p>
    <w:p>
      <w:pPr>
        <w:spacing w:after="0" w:line="67"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If we are unsuccessful in establishing, growing or maintaining partnerships, our ability to compete could be impaired, and our operating results may suffer.</w:t>
      </w:r>
    </w:p>
    <w:p>
      <w:pPr>
        <w:spacing w:after="0" w:line="66"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p>
    <w:p>
      <w:pPr>
        <w:spacing w:after="0" w:line="98" w:lineRule="exact"/>
        <w:rPr>
          <w:sz w:val="20"/>
          <w:szCs w:val="20"/>
          <w:color w:val="auto"/>
        </w:rPr>
      </w:pPr>
    </w:p>
    <w:p>
      <w:pPr>
        <w:ind w:right="100" w:firstLine="494"/>
        <w:spacing w:after="0" w:line="266" w:lineRule="auto"/>
        <w:rPr>
          <w:sz w:val="20"/>
          <w:szCs w:val="20"/>
          <w:color w:val="auto"/>
        </w:rPr>
      </w:pPr>
      <w:r>
        <w:rPr>
          <w:rFonts w:ascii="Arial" w:cs="Arial" w:eastAsia="Arial" w:hAnsi="Arial"/>
          <w:sz w:val="18"/>
          <w:szCs w:val="18"/>
          <w:color w:val="auto"/>
        </w:rPr>
        <w:t>To grow our business, we will seek to expand our existing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 smaller organizations. We must invest significant time educating and selling to multiple management and technical decision-makers to obtain their support. In addition, we may be required to meet wide-ranging and detailed ancillary requirements. For example, financial institutions generally require us to submit to an exhaustive security audit, given the sensitivity and importance of storing consumer billing and payment data on our platform. Adoption is also frequently 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lost one or more of our largest partnerships, we could also lose associated biller relationships or payment channels and our business, operating results and financial condition could be harmed.</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we scale our business, we expect to continue to expend substantial financial and other resources on:</w:t>
      </w:r>
    </w:p>
    <w:p>
      <w:pPr>
        <w:spacing w:after="0" w:line="131"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sales and marketing, including an expansion of our sales organization and new initiatives in order to drive further expansion of our IPN and partner ecosystem;</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31"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compliance and risk management;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acquisitions or strategic investments;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expansion into new channels, verticals and international markets;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1" w:lineRule="exact"/>
        <w:rPr>
          <w:sz w:val="20"/>
          <w:szCs w:val="20"/>
          <w:color w:val="auto"/>
        </w:rPr>
      </w:pPr>
    </w:p>
    <w:p>
      <w:pPr>
        <w:ind w:right="60" w:firstLine="494"/>
        <w:spacing w:after="0" w:line="266" w:lineRule="auto"/>
        <w:rPr>
          <w:sz w:val="20"/>
          <w:szCs w:val="20"/>
          <w:color w:val="auto"/>
        </w:rPr>
      </w:pPr>
      <w:r>
        <w:rPr>
          <w:rFonts w:ascii="Arial" w:cs="Arial" w:eastAsia="Arial" w:hAnsi="Arial"/>
          <w:sz w:val="18"/>
          <w:szCs w:val="18"/>
          <w:color w:val="auto"/>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decline in the near-term as we make investments in our platform and incur increased operating costs associated with being a public company.</w:t>
      </w:r>
    </w:p>
    <w:p>
      <w:pPr>
        <w:ind w:right="100"/>
        <w:spacing w:after="0" w:line="268" w:lineRule="auto"/>
        <w:rPr>
          <w:sz w:val="20"/>
          <w:szCs w:val="20"/>
          <w:color w:val="auto"/>
        </w:rPr>
      </w:pPr>
      <w:r>
        <w:rPr>
          <w:rFonts w:ascii="Arial" w:cs="Arial" w:eastAsia="Arial" w:hAnsi="Arial"/>
          <w:sz w:val="18"/>
          <w:szCs w:val="18"/>
          <w:color w:val="auto"/>
        </w:rPr>
        <w:t>Additionally, we anticipate that our growth rate will decline over time to the extent that the number of billers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increase adoption of our platform by existing billers.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involve considerable time and expense with long and unpredictable sales cycles.</w:t>
      </w:r>
    </w:p>
    <w:p>
      <w:pPr>
        <w:spacing w:after="0" w:line="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right="100" w:firstLine="494"/>
        <w:spacing w:after="0" w:line="267" w:lineRule="auto"/>
        <w:rPr>
          <w:sz w:val="20"/>
          <w:szCs w:val="20"/>
          <w:color w:val="auto"/>
        </w:rPr>
      </w:pPr>
      <w:r>
        <w:rPr>
          <w:rFonts w:ascii="Arial" w:cs="Arial" w:eastAsia="Arial" w:hAnsi="Arial"/>
          <w:sz w:val="18"/>
          <w:szCs w:val="18"/>
          <w:color w:val="auto"/>
        </w:rPr>
        <w:t>One of the factors affecting our growth and financial performance is the adoption of our platform by large enterprise billers over legacy solutions and in-house proprietary technologies or our competitor’s products. To increase adoption within large enterprise billers and to attract new large enterprise billers, we primarily rely on our direct sales team. As part of our sales efforts, we invest considerable time and expense evaluating the specific organizational needs of potential billers and educating these potential billers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spacing w:after="0" w:line="102"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Large enterprise billers also make product purchasing and adoption decisions based in part or entirely on factors, or perceived factors, not directly related to the features of platforms, including, among others, a biller’s projections of business growth, uncertainty about economic conditions (including as a result of the recent COVID-19 outbreak), capital budgets, anticipated cost savings from the implementation of our platform, potential preference for such biller’s internally-developed software and billing solutions, perceptions about our business and platform, more favorable terms offered by potential competitors and previous technology investments. In addition, certain decision-makers and other stakeholders within potential billers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do not result in sufficient revenue to justify our investments, our business, operating results and financial condition could be adversely affected.</w:t>
      </w:r>
    </w:p>
    <w:p>
      <w:pPr>
        <w:spacing w:after="0" w:line="78"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b w:val="1"/>
          <w:bCs w:val="1"/>
          <w:i w:val="1"/>
          <w:iCs w:val="1"/>
          <w:color w:val="auto"/>
        </w:rPr>
        <w:t>The COVID-19 pandemic could have a material adverse impact on our employees, billers, partners, consumers and other key stakeholders, which could materially and adversely impact our business, operating results and financial condition</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extent of the impact of the COVID-19 pandemic on our operational and financial performance will depend on future developments, including the duration, spread and severity of the pandemic, the availability, effectiveness and uptake of vaccines for COVID-19, the emergence of new variants of COVID-19 and whether existing vaccines are effective with respect to such variants, the actions to contain the disease or mitigate its impact, and the duration, timing and severity of the impact on consumer behavior, including any recession resulting from the pandemic, all of which are unpredictable.</w:t>
      </w:r>
    </w:p>
    <w:p>
      <w:pPr>
        <w:spacing w:after="0" w:line="102"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100" w:lineRule="exact"/>
        <w:rPr>
          <w:sz w:val="20"/>
          <w:szCs w:val="20"/>
          <w:color w:val="auto"/>
        </w:rPr>
      </w:pPr>
    </w:p>
    <w:p>
      <w:pPr>
        <w:ind w:right="280" w:firstLine="494"/>
        <w:spacing w:after="0" w:line="269"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8" w:lineRule="exact"/>
        <w:rPr>
          <w:sz w:val="20"/>
          <w:szCs w:val="20"/>
          <w:color w:val="auto"/>
        </w:rPr>
      </w:pPr>
    </w:p>
    <w:p>
      <w:pPr>
        <w:ind w:right="140" w:firstLine="494"/>
        <w:spacing w:after="0" w:line="264" w:lineRule="auto"/>
        <w:rPr>
          <w:sz w:val="20"/>
          <w:szCs w:val="20"/>
          <w:color w:val="auto"/>
        </w:rPr>
      </w:pPr>
      <w:r>
        <w:rPr>
          <w:rFonts w:ascii="Arial" w:cs="Arial" w:eastAsia="Arial" w:hAnsi="Arial"/>
          <w:sz w:val="18"/>
          <w:szCs w:val="18"/>
          <w:color w:val="auto"/>
        </w:rPr>
        <w:t>Further, the extent and duration of working remotely exposes us, and our billers, partners and others with whom we have business relationships to increased risks of security breaches or incidents.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pandemic-related developments. Furthermore, we may need to enhance the security of our platform, our data and our internal information technology, or IT, infrastructure, which may require us to expend additional resources and may not be successful.</w:t>
      </w: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ind w:right="140" w:firstLine="494"/>
        <w:spacing w:after="0" w:line="268" w:lineRule="auto"/>
        <w:rPr>
          <w:sz w:val="20"/>
          <w:szCs w:val="20"/>
          <w:color w:val="auto"/>
        </w:rPr>
      </w:pPr>
      <w:r>
        <w:rPr>
          <w:rFonts w:ascii="Arial" w:cs="Arial" w:eastAsia="Arial" w:hAnsi="Arial"/>
          <w:sz w:val="18"/>
          <w:szCs w:val="18"/>
          <w:color w:val="auto"/>
        </w:rPr>
        <w:t>More generally, the COVID-19 pandemic has adversely affected economies and financial markets globally, potentially leading to a prolonged economic downturn, which could decrease technology spending, lengthen sales and implementation cycles, and adversely affect demand for our products and harm our business and operating results. The COVID-19 pandemic may delay, or prevent us from making, collections, and disrupt our ability to develop or enhance offerings. As the COVID-19 pandemic persists, government authorities and companies may continue to implement or reimpose restrictions or policies that could adversely impact consumer spending and payment volumes, global capital markets, the global economy and the market price of our Class A common stock.</w:t>
      </w:r>
    </w:p>
    <w:p>
      <w:pPr>
        <w:spacing w:after="0" w:line="76"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b w:val="1"/>
          <w:bCs w:val="1"/>
          <w:i w:val="1"/>
          <w:iCs w:val="1"/>
          <w:color w:val="auto"/>
        </w:rPr>
        <w:t>We are subject to economic and geopolitical risk, the business cycles and credit risk of our billers and partners and their consumers, and the overall level of consumer, business and government spending, which could negatively affect our business, operating results and financial condition.</w:t>
      </w:r>
    </w:p>
    <w:p>
      <w:pPr>
        <w:spacing w:after="0" w:line="84"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spacing w:after="0" w:line="101"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Further, a downturn in the economy could force our billers or partners or their consumers to close or declare bankruptcy, resulting in lower revenue and earnings for us and greater exposure to potential credit losses and future transaction declines.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p>
    <w:p>
      <w:pPr>
        <w:spacing w:after="0" w:line="78"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operating results and financial condition could be harmed.</w:t>
      </w:r>
    </w:p>
    <w:p>
      <w:pPr>
        <w:spacing w:after="0" w:line="66"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The market for electronic bill presentment and payment services is fragmented, competitive and constantly evolving. Our primary competitors are legacy solution providers and financial institutions with internally developed solutions for bill 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 relationships that would enable them to expand their product offerings to compete with our platform, provide more comprehensive offerings than they individually had offered or achieve greater economies of scale than us.</w:t>
      </w:r>
    </w:p>
    <w:p>
      <w:pPr>
        <w:spacing w:after="0" w:line="97" w:lineRule="exact"/>
        <w:rPr>
          <w:sz w:val="20"/>
          <w:szCs w:val="20"/>
          <w:color w:val="auto"/>
        </w:rPr>
      </w:pPr>
    </w:p>
    <w:p>
      <w:pPr>
        <w:ind w:right="300" w:firstLine="494"/>
        <w:spacing w:after="0" w:line="269" w:lineRule="auto"/>
        <w:rPr>
          <w:sz w:val="20"/>
          <w:szCs w:val="20"/>
          <w:color w:val="auto"/>
        </w:rPr>
      </w:pPr>
      <w:r>
        <w:rPr>
          <w:rFonts w:ascii="Arial" w:cs="Arial" w:eastAsia="Arial" w:hAnsi="Arial"/>
          <w:sz w:val="18"/>
          <w:szCs w:val="18"/>
          <w:color w:val="auto"/>
        </w:rPr>
        <w:t>These legacy solution providers and financial institutions may have the operating flexibility to bundle competing solutions with other offerings, and may offer them at a lower price or for no additional cost to billers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spacing w:after="0" w:line="98"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or strategic partners with existing solutions, we must convince their internal stakeholders that our platform is superior to their current solutions.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several factors,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features, quality and breadth and depth of functionality;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ease of deployment and implementation speed;</w:t>
      </w:r>
    </w:p>
    <w:p>
      <w:pPr>
        <w:spacing w:after="0" w:line="131" w:lineRule="exact"/>
        <w:rPr>
          <w:sz w:val="20"/>
          <w:szCs w:val="20"/>
          <w:color w:val="auto"/>
        </w:rPr>
      </w:pPr>
    </w:p>
    <w:p>
      <w:pPr>
        <w:ind w:left="960" w:right="900"/>
        <w:spacing w:after="0" w:line="277" w:lineRule="auto"/>
        <w:rPr>
          <w:sz w:val="20"/>
          <w:szCs w:val="20"/>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ability to automate processes;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cloud-based delivery architecture;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advanced security, reliability, customer service and control features;</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8" w:name="page39"/>
    <w:bookmarkEnd w:id="38"/>
    <w:p>
      <w:pPr>
        <w:ind w:left="960"/>
        <w:spacing w:after="0"/>
        <w:rPr>
          <w:sz w:val="20"/>
          <w:szCs w:val="20"/>
          <w:color w:val="auto"/>
        </w:rPr>
      </w:pPr>
      <w:r>
        <w:rPr>
          <w:rFonts w:ascii="Arial" w:cs="Arial" w:eastAsia="Arial" w:hAnsi="Arial"/>
          <w:sz w:val="18"/>
          <w:szCs w:val="18"/>
          <w:color w:val="auto"/>
        </w:rPr>
        <w:t>data asset size and ability to leverage artificial intelligence, or AI, to grow faster and smarter;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compliance leadership;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brand awareness and reputation;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pricing, total cost of ownership and return on investment;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consumer satisfaction.</w:t>
      </w:r>
    </w:p>
    <w:p>
      <w:pPr>
        <w:spacing w:after="0" w:line="131" w:lineRule="exact"/>
        <w:rPr>
          <w:sz w:val="20"/>
          <w:szCs w:val="20"/>
          <w:color w:val="auto"/>
        </w:rPr>
      </w:pPr>
    </w:p>
    <w:p>
      <w:pPr>
        <w:ind w:right="80" w:firstLine="494"/>
        <w:spacing w:after="0" w:line="266" w:lineRule="auto"/>
        <w:rPr>
          <w:sz w:val="20"/>
          <w:szCs w:val="20"/>
          <w:color w:val="auto"/>
        </w:rPr>
      </w:pPr>
      <w:r>
        <w:rPr>
          <w:rFonts w:ascii="Arial" w:cs="Arial" w:eastAsia="Arial" w:hAnsi="Arial"/>
          <w:sz w:val="18"/>
          <w:szCs w:val="18"/>
          <w:color w:val="auto"/>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p>
    <w:p>
      <w:pPr>
        <w:ind w:right="180"/>
        <w:spacing w:after="0" w:line="277" w:lineRule="auto"/>
        <w:rPr>
          <w:sz w:val="20"/>
          <w:szCs w:val="20"/>
          <w:color w:val="auto"/>
        </w:rPr>
      </w:pPr>
      <w:r>
        <w:rPr>
          <w:rFonts w:ascii="Arial" w:cs="Arial" w:eastAsia="Arial" w:hAnsi="Arial"/>
          <w:sz w:val="18"/>
          <w:szCs w:val="18"/>
          <w:color w:val="auto"/>
        </w:rPr>
        <w:t>For these reasons, we may not be able to compete successfully or continue to achieve or maintain market acceptance for our platform, any of which would harm our business, operating results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sensitive to shifts in payment mix.</w:t>
      </w:r>
    </w:p>
    <w:p>
      <w:pPr>
        <w:spacing w:after="0" w:line="153"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A substantial majority of our revenue is derived from transaction fees, either absorbed by billers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spacing w:after="0" w:line="76" w:lineRule="exact"/>
        <w:rPr>
          <w:sz w:val="20"/>
          <w:szCs w:val="20"/>
          <w:color w:val="auto"/>
        </w:rPr>
      </w:pPr>
    </w:p>
    <w:p>
      <w:pPr>
        <w:jc w:val="both"/>
        <w:spacing w:after="0" w:line="335" w:lineRule="auto"/>
        <w:rPr>
          <w:sz w:val="20"/>
          <w:szCs w:val="20"/>
          <w:color w:val="auto"/>
        </w:rPr>
      </w:pPr>
      <w:r>
        <w:rPr>
          <w:rFonts w:ascii="Arial" w:cs="Arial" w:eastAsia="Arial" w:hAnsi="Arial"/>
          <w:sz w:val="17"/>
          <w:szCs w:val="17"/>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Class A common stock could decline.</w:t>
      </w:r>
    </w:p>
    <w:p>
      <w:pPr>
        <w:spacing w:after="0" w:line="43" w:lineRule="exact"/>
        <w:rPr>
          <w:sz w:val="20"/>
          <w:szCs w:val="20"/>
          <w:color w:val="auto"/>
        </w:rPr>
      </w:pPr>
    </w:p>
    <w:p>
      <w:pPr>
        <w:jc w:val="both"/>
        <w:ind w:right="200" w:firstLine="494"/>
        <w:spacing w:after="0" w:line="266" w:lineRule="auto"/>
        <w:rPr>
          <w:sz w:val="20"/>
          <w:szCs w:val="20"/>
          <w:color w:val="auto"/>
        </w:rPr>
      </w:pPr>
      <w:r>
        <w:rPr>
          <w:rFonts w:ascii="Arial" w:cs="Arial" w:eastAsia="Arial" w:hAnsi="Arial"/>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demand for our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new billers and retain and increase adoption by our existing billers;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our relationships with our partners and identify and attract new partners;</w:t>
      </w:r>
    </w:p>
    <w:p>
      <w:pPr>
        <w:spacing w:after="0" w:line="131" w:lineRule="exact"/>
        <w:rPr>
          <w:sz w:val="20"/>
          <w:szCs w:val="20"/>
          <w:color w:val="auto"/>
        </w:rPr>
      </w:pPr>
    </w:p>
    <w:p>
      <w:pPr>
        <w:ind w:left="960" w:right="800"/>
        <w:spacing w:after="0" w:line="277" w:lineRule="auto"/>
        <w:rPr>
          <w:sz w:val="20"/>
          <w:szCs w:val="20"/>
          <w:color w:val="auto"/>
        </w:rPr>
      </w:pPr>
      <w:r>
        <w:rPr>
          <w:rFonts w:ascii="Arial" w:cs="Arial" w:eastAsia="Arial" w:hAnsi="Arial"/>
          <w:sz w:val="18"/>
          <w:szCs w:val="18"/>
          <w:color w:val="auto"/>
        </w:rPr>
        <w:t>changes in payment method preferences and channels by consumers, which may affect our revenue and gross margin, particularly as a result of interchange fees;</w:t>
      </w:r>
    </w:p>
    <w:p>
      <w:pPr>
        <w:spacing w:after="0" w:line="89"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variations across the industries of our billers, which may affect payment methods used by consumers and average payment amounts and, in turn, our revenue and gross margin, particularly as a result of interchange fees;</w:t>
      </w:r>
    </w:p>
    <w:p>
      <w:pPr>
        <w:spacing w:after="0" w:line="89" w:lineRule="exact"/>
        <w:rPr>
          <w:sz w:val="20"/>
          <w:szCs w:val="20"/>
          <w:color w:val="auto"/>
        </w:rPr>
      </w:pPr>
    </w:p>
    <w:p>
      <w:pPr>
        <w:ind w:left="960" w:right="60"/>
        <w:spacing w:after="0" w:line="277" w:lineRule="auto"/>
        <w:rPr>
          <w:sz w:val="20"/>
          <w:szCs w:val="20"/>
          <w:color w:val="auto"/>
        </w:rPr>
      </w:pPr>
      <w:r>
        <w:rPr>
          <w:rFonts w:ascii="Arial" w:cs="Arial" w:eastAsia="Arial" w:hAnsi="Arial"/>
          <w:sz w:val="18"/>
          <w:szCs w:val="18"/>
          <w:color w:val="auto"/>
        </w:rPr>
        <w:t>the continued impact of the COVID-19 pandemic on our operating results, liquidity and financial condition and on our employees, billers, partners, consumers and other key stakeholders;</w:t>
      </w:r>
    </w:p>
    <w:p>
      <w:pPr>
        <w:spacing w:after="0" w:line="89" w:lineRule="exact"/>
        <w:rPr>
          <w:sz w:val="20"/>
          <w:szCs w:val="20"/>
          <w:color w:val="auto"/>
        </w:rPr>
      </w:pPr>
    </w:p>
    <w:p>
      <w:pPr>
        <w:ind w:left="960" w:right="420"/>
        <w:spacing w:after="0" w:line="277" w:lineRule="auto"/>
        <w:rPr>
          <w:sz w:val="20"/>
          <w:szCs w:val="20"/>
          <w:color w:val="auto"/>
        </w:rPr>
      </w:pPr>
      <w:r>
        <w:rPr>
          <w:rFonts w:ascii="Arial" w:cs="Arial" w:eastAsia="Arial" w:hAnsi="Arial"/>
          <w:sz w:val="18"/>
          <w:szCs w:val="18"/>
          <w:color w:val="auto"/>
        </w:rPr>
        <w:t>changes in biller preference for cloud-based services as a result of security breaches and incidents in the industry or privacy concerns, or other security or reliability concerns regarding our products;</w:t>
      </w:r>
    </w:p>
    <w:p>
      <w:pPr>
        <w:spacing w:after="0" w:line="89" w:lineRule="exact"/>
        <w:rPr>
          <w:sz w:val="20"/>
          <w:szCs w:val="20"/>
          <w:color w:val="auto"/>
        </w:rPr>
      </w:pPr>
    </w:p>
    <w:p>
      <w:pPr>
        <w:ind w:left="960" w:right="80"/>
        <w:spacing w:after="0" w:line="391" w:lineRule="auto"/>
        <w:rPr>
          <w:sz w:val="20"/>
          <w:szCs w:val="20"/>
          <w:color w:val="auto"/>
        </w:rPr>
      </w:pPr>
      <w:r>
        <w:rPr>
          <w:rFonts w:ascii="Arial" w:cs="Arial" w:eastAsia="Arial" w:hAnsi="Arial"/>
          <w:sz w:val="18"/>
          <w:szCs w:val="18"/>
          <w:color w:val="auto"/>
        </w:rPr>
        <w:t>fluctuations or delays in purchasing decisions in anticipation of new products or product enhancements by us or our competitors; changes in biller and consumer budgets and in the timing of their budget cycles and purchasing decisions; potential and existing billers choosing our competitors’ products or developing their own solutions in-house;</w:t>
      </w:r>
    </w:p>
    <w:p>
      <w:pPr>
        <w:spacing w:after="0" w:line="1"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the development or introduction of new platforms or services that are easier to use or more advanced than our current platform and suite of services;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adapt to new forms of payment that become widely accepted, including cryptocurrencies;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adoption or retention of more entrenched or rival services in the international markets where we compete or plan to compete;</w:t>
      </w:r>
    </w:p>
    <w:p>
      <w:pPr>
        <w:spacing w:after="0" w:line="131"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our ability to control costs, including our operating expenses;</w:t>
      </w:r>
    </w:p>
    <w:p>
      <w:pPr>
        <w:spacing w:after="0" w:line="10"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9" w:name="page40"/>
    <w:bookmarkEnd w:id="39"/>
    <w:p>
      <w:pPr>
        <w:ind w:left="960" w:right="480"/>
        <w:spacing w:after="0" w:line="277" w:lineRule="auto"/>
        <w:rPr>
          <w:sz w:val="20"/>
          <w:szCs w:val="20"/>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9"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89"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acquisitions and their integration;</w:t>
      </w:r>
    </w:p>
    <w:p>
      <w:pPr>
        <w:spacing w:after="0" w:line="131" w:lineRule="exact"/>
        <w:rPr>
          <w:sz w:val="20"/>
          <w:szCs w:val="20"/>
          <w:color w:val="auto"/>
        </w:rPr>
      </w:pPr>
    </w:p>
    <w:p>
      <w:pPr>
        <w:ind w:left="960" w:right="760"/>
        <w:spacing w:after="0" w:line="277" w:lineRule="auto"/>
        <w:rPr>
          <w:sz w:val="20"/>
          <w:szCs w:val="20"/>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billers operate;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new accounting pronouncements;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competitive dynamics of our markets;</w:t>
      </w:r>
    </w:p>
    <w:p>
      <w:pPr>
        <w:spacing w:after="0" w:line="131"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security breaches of and incidents impacting, technical difficulties with, or interruptions to, the delivery and use of our platform;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awareness of our brand and our reputation in our target markets.</w:t>
      </w:r>
    </w:p>
    <w:p>
      <w:pPr>
        <w:spacing w:after="0" w:line="131"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the price of our Class A common stock could decline substantially, and we could face costly lawsuits, including securities class action lawsuits.</w:t>
      </w:r>
    </w:p>
    <w:p>
      <w:pPr>
        <w:spacing w:after="0" w:line="7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i w:val="1"/>
          <w:iCs w:val="1"/>
          <w:color w:val="auto"/>
        </w:rPr>
        <w:t>We depend on third-party payment processors to process bill payments made on our platform and our business, operating results and reputation could be harmed if we experience service interruptions related to our payment processors.</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depend on third-party payment processors, including PayPal’s Braintree service, to process bill payments made through various channels on our platform, including credit and debit cards, ACH transfers, eChecks and PayPal. The per-transaction settlement fees we pay under our agreements with payment processors collectively comprise a significant portion of our cost of revenue. We also rely on payment processors to collect and store payment card information and provide certain fraud detection services. Our multiyear agreements with payment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spacing w:after="0" w:line="101"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If any of our payment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payment processors. In that case, we could experience service interruptions and incur significant expenses in arranging for replacement payment processing services. Such interruptions could also negatively impact our reputation and our relationships with existing or potential billers and partners, as well as cause us to become obligated to provide service credits or refunds under our service level commitments. Likewise, our payment processors have in the past and may in the future experience outages that have and may cause us to temporarily lose our ability to process transactions on our platform. If any of our payment processors fails to meet our standards and expectations, becomes compromised or suffers errors, outages or vulnerabilities, we could temporarily lose our ability to process transactions on our platform until such issues have been remedied or we have engaged one or more alternate payment processors.</w:t>
      </w:r>
    </w:p>
    <w:p>
      <w:pPr>
        <w:spacing w:after="0" w:line="78" w:lineRule="exact"/>
        <w:rPr>
          <w:sz w:val="20"/>
          <w:szCs w:val="20"/>
          <w:color w:val="auto"/>
        </w:rPr>
      </w:pPr>
    </w:p>
    <w:p>
      <w:pPr>
        <w:jc w:val="both"/>
        <w:ind w:right="60"/>
        <w:spacing w:after="0" w:line="284"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84" w:lineRule="exact"/>
        <w:rPr>
          <w:sz w:val="20"/>
          <w:szCs w:val="20"/>
          <w:color w:val="auto"/>
        </w:rPr>
      </w:pPr>
    </w:p>
    <w:p>
      <w:pPr>
        <w:ind w:right="60" w:firstLine="494"/>
        <w:spacing w:after="0" w:line="263" w:lineRule="auto"/>
        <w:rPr>
          <w:sz w:val="20"/>
          <w:szCs w:val="20"/>
          <w:color w:val="auto"/>
        </w:rPr>
      </w:pPr>
      <w:r>
        <w:rPr>
          <w:rFonts w:ascii="Arial" w:cs="Arial" w:eastAsia="Arial" w:hAnsi="Arial"/>
          <w:sz w:val="18"/>
          <w:szCs w:val="18"/>
          <w:color w:val="auto"/>
        </w:rPr>
        <w:t>Our primary competition remains the legacy processes that billers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8"/>
          <w:szCs w:val="18"/>
          <w:color w:val="auto"/>
        </w:rPr>
        <w:t>including concerns about additional costs, uncertainty regarding the reliability and security of cloud-based offerings or lack of awareness of the benefits of our platform. Our ability to expand sales of our platform depends on several factors, including prospective billers’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spacing w:after="0" w:line="75"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which could expose us to material financial losses and liability and otherwise harm our business.</w:t>
      </w:r>
    </w:p>
    <w:p>
      <w:pPr>
        <w:spacing w:after="0" w:line="66"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We offer a software platform that automates the entire bill payment lifecycle, providing electronic bill presentment, consumer engagement and payment processing for a large number of billers and consumers. We are responsible for verifying the identity of our billers, and monitoring transactions for fraud. We and our billers have been in the past and will continue to be targeted by parties who seek to commit acts of financial fraud using techniques such as stolen identities and bank accounts, compromised business email accounts, employee or insider fraud, account takeover, false applications and check fraud. We may suffer losses from acts of financial fraud committed by or against our billers or partners or their consumers, our employees or other third-parties.</w:t>
      </w:r>
    </w:p>
    <w:p>
      <w:pPr>
        <w:spacing w:after="0" w:line="98"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partners and consumers use our platform, our exposure to material risk of losses from a single user, or from a small number of users, will increase.</w:t>
      </w:r>
    </w:p>
    <w:p>
      <w:pPr>
        <w:spacing w:after="0" w:line="101"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Our current business and anticipated domestic and international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spacing w:after="0" w:line="75"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66"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We currently do not have “key person” insurance on any of our employees. Certain of our key employees have been with us for a long period of time and have fully vested stock options that may become valuable and are publicly tradable, subject to lock-up restrictions and Rule 144 limitations, which reduces the incentive for each of these key employees to remain at our company. The loss of our founder and chief executive officer, or one or more of our other senior management members, or other key employees, including due to illness resulting from COVID-19,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77"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b w:val="1"/>
          <w:bCs w:val="1"/>
          <w:i w:val="1"/>
          <w:iCs w:val="1"/>
          <w:color w:val="auto"/>
        </w:rPr>
        <w:t>Failure to attract and retain additional qualified personnel and any restrictions on the movement of personnel could prevent us from executing our business strategy and growth plans</w:t>
      </w:r>
      <w:r>
        <w:rPr>
          <w:rFonts w:ascii="Arial" w:cs="Arial" w:eastAsia="Arial" w:hAnsi="Arial"/>
          <w:sz w:val="18"/>
          <w:szCs w:val="18"/>
          <w:color w:val="auto"/>
        </w:rPr>
        <w:t>.</w:t>
      </w:r>
    </w:p>
    <w:p>
      <w:pPr>
        <w:spacing w:after="0" w:line="66" w:lineRule="exact"/>
        <w:rPr>
          <w:sz w:val="20"/>
          <w:szCs w:val="20"/>
          <w:color w:val="auto"/>
        </w:rPr>
      </w:pPr>
    </w:p>
    <w:p>
      <w:pPr>
        <w:ind w:right="340" w:firstLine="494"/>
        <w:spacing w:after="0" w:line="258"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ind w:right="80"/>
        <w:spacing w:after="0" w:line="267" w:lineRule="auto"/>
        <w:rPr>
          <w:sz w:val="20"/>
          <w:szCs w:val="20"/>
          <w:color w:val="auto"/>
        </w:rPr>
      </w:pPr>
      <w:r>
        <w:rPr>
          <w:rFonts w:ascii="Arial" w:cs="Arial" w:eastAsia="Arial" w:hAnsi="Arial"/>
          <w:sz w:val="18"/>
          <w:szCs w:val="18"/>
          <w:color w:val="auto"/>
        </w:rPr>
        <w:t>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spacing w:after="0" w:line="80"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auto"/>
        </w:rPr>
        <w:t>If we fail to offer high-quality customer support, if we experience complaints regarding our customer support or if our support is more expensive than anticipated, our business and reputation could suffer.</w:t>
      </w:r>
    </w:p>
    <w:p>
      <w:pPr>
        <w:spacing w:after="0" w:line="66"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Billers and their consumers rely on our customer support services to resolve issues and realize the full benefits provided by our platform. High-quality support is also important to maintain and drive further adoption by our existing billers and their consumers. We primarily provide customer support to billers over email, with some additional support provided over chat and through our platform, and to consumers over the phone. If we do not help our billers and their consumers quickly resolve issues and provide effective ongoing support, or if our support personnel or methods of providing support are insufficient to meet the needs of our billers and their consumers, our ability to retain billers, increase adoption by our existing billers and acquire new billers could suffer, and our reputation with existing or potential billers could be harmed. In addition, biller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spacing w:after="0" w:line="78"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If the fees we charge are unacceptable to our billers or their consumers, our business, operating results and financial condition could be harmed.</w:t>
      </w:r>
    </w:p>
    <w:p>
      <w:pPr>
        <w:spacing w:after="0" w:line="66"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We generate substantially all of our revenue by charging billers fees on a per-transaction basis. As the market for our platform matures, or as new or existing competitors introduce new products or services that compete with ours, we may experience pricing pressure and be unable to renew our agreements with existing billers or attract new billers at fee levels that are consistent with our pricing model and operating budget. Our pricing strategy for new products we introduce may prove to be unappealing to our billers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spacing w:after="0" w:line="97"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Further, a significant portion of our revenue is generated from billers that elect to pass on transaction fees to consumers in the form of convenience fees. In certain markets, such as utilities and municipalities, convenience fees are commonplace. Despite the fact that such fees are relatively standard, they are often met with negative consumer perception, which could lead to heightened regulatory scrutiny and further pricing pressure.</w:t>
      </w:r>
    </w:p>
    <w:p>
      <w:pPr>
        <w:spacing w:after="0" w:line="76"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If we fail to meet our service level commitments, we could be obligated to provide credits or refunds or face contract terminations, which could adversely affect our business, operating results and financial condition.</w:t>
      </w:r>
    </w:p>
    <w:p>
      <w:pPr>
        <w:spacing w:after="0" w:line="66"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Certain of our agreements with our billers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 of unavailability or downtime, we may be contractually obligated to provide these parties with service credits or refunds. In addition, certain billers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spacing w:after="0" w:line="76"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spacing w:after="0" w:line="84" w:lineRule="exact"/>
        <w:rPr>
          <w:sz w:val="20"/>
          <w:szCs w:val="20"/>
          <w:color w:val="auto"/>
        </w:rPr>
      </w:pPr>
    </w:p>
    <w:p>
      <w:pPr>
        <w:ind w:right="20" w:firstLine="494"/>
        <w:spacing w:after="0" w:line="264" w:lineRule="auto"/>
        <w:rPr>
          <w:sz w:val="20"/>
          <w:szCs w:val="20"/>
          <w:color w:val="auto"/>
        </w:rPr>
      </w:pPr>
      <w:r>
        <w:rPr>
          <w:rFonts w:ascii="Arial" w:cs="Arial" w:eastAsia="Arial" w:hAnsi="Arial"/>
          <w:sz w:val="18"/>
          <w:szCs w:val="18"/>
          <w:color w:val="auto"/>
        </w:rPr>
        <w:t>The market for electronic bill presentment and payment services is relatively new and subject to ongoing technological change, evolving industry standards, payment methods and changing regulations, and changing biller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new</w:t>
      </w: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2" w:name="page43"/>
    <w:bookmarkEnd w:id="42"/>
    <w:p>
      <w:pPr>
        <w:ind w:right="60"/>
        <w:spacing w:after="0" w:line="268" w:lineRule="auto"/>
        <w:rPr>
          <w:sz w:val="20"/>
          <w:szCs w:val="20"/>
          <w:color w:val="auto"/>
        </w:rPr>
      </w:pPr>
      <w:r>
        <w:rPr>
          <w:rFonts w:ascii="Arial" w:cs="Arial" w:eastAsia="Arial" w:hAnsi="Arial"/>
          <w:sz w:val="18"/>
          <w:szCs w:val="18"/>
          <w:color w:val="auto"/>
        </w:rPr>
        <w:t>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would be adversely affected. Moreover, we may experience delays in the development and introduction of new products due to the effects of the COVID-19 pandemic. Furthermore, modifications to our existing platform or technology will increase our research and development expenses. Any of the foregoing could reduce the demand for our services, result in biller, partner and consumer dissatisfaction and adversely affect our business.</w:t>
      </w:r>
    </w:p>
    <w:p>
      <w:pPr>
        <w:spacing w:after="0" w:line="76"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biller base and achieve broader market acceptance of our products.</w:t>
      </w:r>
    </w:p>
    <w:p>
      <w:pPr>
        <w:spacing w:after="0" w:line="66"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Our ability to increase our biller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spacing w:after="0" w:line="80" w:lineRule="exact"/>
        <w:rPr>
          <w:sz w:val="20"/>
          <w:szCs w:val="20"/>
          <w:color w:val="auto"/>
        </w:rPr>
      </w:pPr>
    </w:p>
    <w:p>
      <w:pPr>
        <w:ind w:right="80"/>
        <w:spacing w:after="0" w:line="335" w:lineRule="auto"/>
        <w:rPr>
          <w:sz w:val="20"/>
          <w:szCs w:val="20"/>
          <w:color w:val="auto"/>
        </w:rPr>
      </w:pPr>
      <w:r>
        <w:rPr>
          <w:rFonts w:ascii="Arial" w:cs="Arial" w:eastAsia="Arial" w:hAnsi="Arial"/>
          <w:sz w:val="17"/>
          <w:szCs w:val="17"/>
          <w:b w:val="1"/>
          <w:bCs w:val="1"/>
          <w:i w:val="1"/>
          <w:iCs w:val="1"/>
          <w:color w:val="auto"/>
        </w:rPr>
        <w:t>We plan to expand our operations internationally by targeting international billers and partners, and further expanding use of our platform internationally among our existing international billers and partners, which will create a variety of operational challenges.</w:t>
      </w:r>
    </w:p>
    <w:p>
      <w:pPr>
        <w:spacing w:after="0" w:line="43"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A component of our growth strategy involves expanding our operations internationally. Although 98% of our 2020 revenue was generated in the United States, many of our largest billers have billable consumers in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 resources to further expand our operations internationally and are unable to do so successfully, cost-effectively and in a timely manner, our business and operating results may suffer.</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international operations strategy involves a variety of risks,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regulations and our ability to comply with and obtain any relevant licenses;</w:t>
      </w:r>
    </w:p>
    <w:p>
      <w:pPr>
        <w:spacing w:after="0" w:line="131"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w:t>
      </w:r>
    </w:p>
    <w:p>
      <w:pPr>
        <w:spacing w:after="0" w:line="89"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reduction in cross-border trade and other adverse impacts resulting from trade sanctions or changes in trade relations, laws or regulations;</w:t>
      </w:r>
    </w:p>
    <w:p>
      <w:pPr>
        <w:spacing w:after="0" w:line="89"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potential application of more stringent regulations relating to payments, privacy, data protection and information security, and the authorized use of, or access to, sensitive and personal data;</w:t>
      </w:r>
    </w:p>
    <w:p>
      <w:pPr>
        <w:spacing w:after="0" w:line="89"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exposure to liabilities under anti-corruption and anti-money laundering laws, including the U.S. Foreign Corrupt Practices Act, or FCPA, U.S. domestic bribery laws and similar laws and regulations in other jurisdictions;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unexpected changes in tax laws.</w:t>
      </w:r>
    </w:p>
    <w:p>
      <w:pPr>
        <w:spacing w:after="0" w:line="109"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the attention of management, disrupt our business, dilute stockholder value and adversely affect our business, operating results and financial condition.</w:t>
      </w:r>
    </w:p>
    <w:p>
      <w:pPr>
        <w:spacing w:after="0" w:line="66"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In August 2021, we entered into an agreement to acquire Payveris and we may in the future seek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Completed and future acquisitions may result in unforeseen operational difficulties and expenditures associated with:</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incorporating new businesses and technologies into our infrastructure;</w:t>
      </w:r>
    </w:p>
    <w:p>
      <w:pPr>
        <w:spacing w:after="0" w:line="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3" w:name="page44"/>
    <w:bookmarkEnd w:id="43"/>
    <w:p>
      <w:pPr>
        <w:ind w:left="960"/>
        <w:spacing w:after="0"/>
        <w:rPr>
          <w:sz w:val="20"/>
          <w:szCs w:val="20"/>
          <w:color w:val="auto"/>
        </w:rPr>
      </w:pPr>
      <w:r>
        <w:rPr>
          <w:rFonts w:ascii="Arial" w:cs="Arial" w:eastAsia="Arial" w:hAnsi="Arial"/>
          <w:sz w:val="18"/>
          <w:szCs w:val="18"/>
          <w:color w:val="auto"/>
        </w:rPr>
        <w:t>consolidating operational and administrative functions;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coordinating outreach to our community;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maintaining morale and culture and retaining and integrating key employees;</w:t>
      </w:r>
    </w:p>
    <w:p>
      <w:pPr>
        <w:spacing w:after="0" w:line="131"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 and</w:t>
      </w:r>
    </w:p>
    <w:p>
      <w:pPr>
        <w:spacing w:after="0" w:line="89"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identifying and assuming liabilities related to the activities of the acquired business before the acquisition, including liabilities for violations of laws and regulations, intellectual property issues, commercial disputes, taxes and other matters.</w:t>
      </w:r>
    </w:p>
    <w:p>
      <w:pPr>
        <w:spacing w:after="0" w:line="89" w:lineRule="exact"/>
        <w:rPr>
          <w:sz w:val="20"/>
          <w:szCs w:val="20"/>
          <w:color w:val="auto"/>
        </w:rPr>
      </w:pPr>
    </w:p>
    <w:p>
      <w:pPr>
        <w:ind w:right="160" w:firstLine="494"/>
        <w:spacing w:after="0" w:line="268" w:lineRule="auto"/>
        <w:rPr>
          <w:sz w:val="20"/>
          <w:szCs w:val="20"/>
          <w:color w:val="auto"/>
        </w:rPr>
      </w:pPr>
      <w:r>
        <w:rPr>
          <w:rFonts w:ascii="Arial" w:cs="Arial" w:eastAsia="Arial" w:hAnsi="Arial"/>
          <w:sz w:val="18"/>
          <w:szCs w:val="18"/>
          <w:color w:val="auto"/>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spacing w:after="0" w:line="7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business, operating results and financial condition could be adversely affected.</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believe that maintaining and enhancing the Paymentus brand is important to support the marketing and sale of our existing and future products to new billers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and consumers at competitive prices, our ability to maintain our billers’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 privacy, data protection or information security practices, litigation, regulatory activity or the experience of billers and partners with our products or services could harm our reputation. If we fail to successfully promote and maintain our brand, our business, operating results and financial condition could be adversely affected.</w:t>
      </w:r>
    </w:p>
    <w:p>
      <w:pPr>
        <w:spacing w:after="0" w:line="78"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6"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as a result of the COVID-19 pandemic and related governmental actions, which may also reduce our ability to access capital on favorable terms or at all and 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w:t>
      </w:r>
    </w:p>
    <w:p>
      <w:pPr>
        <w:spacing w:after="0" w:line="100"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spacing w:after="0" w:line="73"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Natural catastrophic events, pandemics and man-made problems such as power disruptions, computer viruses, security breaches and incidents and terrorism may disrupt our business.</w:t>
      </w:r>
    </w:p>
    <w:p>
      <w:pPr>
        <w:spacing w:after="0" w:line="66" w:lineRule="exact"/>
        <w:rPr>
          <w:sz w:val="20"/>
          <w:szCs w:val="20"/>
          <w:color w:val="auto"/>
        </w:rPr>
      </w:pPr>
    </w:p>
    <w:p>
      <w:pPr>
        <w:ind w:right="80" w:firstLine="494"/>
        <w:spacing w:after="0" w:line="279" w:lineRule="auto"/>
        <w:rPr>
          <w:sz w:val="20"/>
          <w:szCs w:val="20"/>
          <w:color w:val="auto"/>
        </w:rPr>
      </w:pPr>
      <w:r>
        <w:rPr>
          <w:rFonts w:ascii="Arial" w:cs="Arial" w:eastAsia="Arial" w:hAnsi="Arial"/>
          <w:sz w:val="17"/>
          <w:szCs w:val="17"/>
          <w:color w:val="auto"/>
        </w:rPr>
        <w:t>Natural disasters, pandemics such as COVID-19 or other catastrophic events may cause damage or disruption to our operations, commerce in general and the global economy, and thus could harm our business. Our headquarters are located in Redmond, Washington and we have a large employee presence in Toronto, Canada, Charlotte, North Carolina, and Delhi, India. In the event of a major earthquake, hurricane or catastrophic event such as fire, power loss, telecommunications failure, vandalism, cyber-attack, war or terrorist attack affecting regions where we maintain operations or where our data centers are located, we may be unable to continue our operations and may endure system interruptions, reputational harm, delays in our application development, lengthy interruptions in our services, breaches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4" w:name="page45"/>
    <w:bookmarkEnd w:id="44"/>
    <w:p>
      <w:pPr>
        <w:spacing w:after="0" w:line="269" w:lineRule="auto"/>
        <w:rPr>
          <w:sz w:val="20"/>
          <w:szCs w:val="20"/>
          <w:color w:val="auto"/>
        </w:rPr>
      </w:pPr>
      <w:r>
        <w:rPr>
          <w:rFonts w:ascii="Arial" w:cs="Arial" w:eastAsia="Arial" w:hAnsi="Arial"/>
          <w:sz w:val="18"/>
          <w:szCs w:val="18"/>
          <w:color w:val="auto"/>
        </w:rPr>
        <w:t>data security and loss of critical data, any of which could harm our business, operating results and financial condition. In addition, the COVID-19 pandemic other governmental restrictions have caused most of our employees to work remotely. Given these widespread remote work arrangements, if a natural disaster, power outage, connectivity issue or other event occurs that impacts our employees’ ability to work remotely, it may be difficult or, in certain cases, impossible, for us to continue our business for a substantial period of time.</w:t>
      </w:r>
    </w:p>
    <w:p>
      <w:pPr>
        <w:spacing w:after="0" w:line="98"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and partners and attract new billers and partners.</w:t>
      </w:r>
    </w:p>
    <w:p>
      <w:pPr>
        <w:spacing w:after="0" w:line="102"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spacing w:after="0" w:line="78"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auto"/>
        </w:rPr>
        <w:t>Any future litigation, investigations or similar matters, or adverse facts and developments related thereto, could adversely affect our business, operating results and financial condition.</w:t>
      </w:r>
    </w:p>
    <w:p>
      <w:pPr>
        <w:spacing w:after="0" w:line="66" w:lineRule="exact"/>
        <w:rPr>
          <w:sz w:val="20"/>
          <w:szCs w:val="20"/>
          <w:color w:val="auto"/>
        </w:rPr>
      </w:pPr>
    </w:p>
    <w:p>
      <w:pPr>
        <w:ind w:right="240" w:firstLine="494"/>
        <w:spacing w:after="0" w:line="264" w:lineRule="auto"/>
        <w:rPr>
          <w:sz w:val="20"/>
          <w:szCs w:val="20"/>
          <w:color w:val="auto"/>
        </w:rPr>
      </w:pPr>
      <w:r>
        <w:rPr>
          <w:rFonts w:ascii="Arial" w:cs="Arial" w:eastAsia="Arial" w:hAnsi="Arial"/>
          <w:sz w:val="18"/>
          <w:szCs w:val="18"/>
          <w:color w:val="auto"/>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 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and any failure by us to comply could materially harm our business.</w:t>
      </w:r>
    </w:p>
    <w:p>
      <w:pPr>
        <w:spacing w:after="0" w:line="66" w:lineRule="exact"/>
        <w:rPr>
          <w:sz w:val="20"/>
          <w:szCs w:val="20"/>
          <w:color w:val="auto"/>
        </w:rPr>
      </w:pPr>
    </w:p>
    <w:p>
      <w:pPr>
        <w:ind w:firstLine="494"/>
        <w:spacing w:after="0" w:line="265" w:lineRule="auto"/>
        <w:rPr>
          <w:sz w:val="20"/>
          <w:szCs w:val="20"/>
          <w:color w:val="auto"/>
        </w:rPr>
      </w:pPr>
      <w:r>
        <w:rPr>
          <w:rFonts w:ascii="Arial" w:cs="Arial" w:eastAsia="Arial" w:hAnsi="Arial"/>
          <w:sz w:val="18"/>
          <w:szCs w:val="18"/>
          <w:color w:val="auto"/>
        </w:rPr>
        <w:t>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ind w:firstLine="494"/>
        <w:spacing w:after="0" w:line="267" w:lineRule="auto"/>
        <w:rPr>
          <w:sz w:val="20"/>
          <w:szCs w:val="20"/>
          <w:color w:val="auto"/>
        </w:rPr>
      </w:pPr>
      <w:r>
        <w:rPr>
          <w:rFonts w:ascii="Arial" w:cs="Arial" w:eastAsia="Arial" w:hAnsi="Arial"/>
          <w:sz w:val="18"/>
          <w:szCs w:val="18"/>
          <w:color w:val="auto"/>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spacing w:after="0" w:line="78"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such rules or payment network fees could harm our business.</w:t>
      </w:r>
    </w:p>
    <w:p>
      <w:pPr>
        <w:spacing w:after="0" w:line="66"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p>
    <w:p>
      <w:pPr>
        <w:spacing w:after="0" w:line="100"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For example, changes in the payment network rules regarding chargebacks may affect our ability to dispute chargebacks and the amount of losses we incur from chargebacks. If we fail to make such changes or otherwise resolve the issue with the payment networks, the networks could pass on fines and assessments in respect of fraud or chargebacks related to our merchants or disqualify us from processing transactions if satisfactory controls are not maintained, which could have a material adverse effect on our business, operating results and financial condition. As a 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spacing w:after="0" w:line="109"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spacing w:after="0" w:line="7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spacing w:after="0" w:line="92" w:lineRule="exact"/>
        <w:rPr>
          <w:sz w:val="20"/>
          <w:szCs w:val="20"/>
          <w:color w:val="auto"/>
        </w:rPr>
      </w:pPr>
    </w:p>
    <w:p>
      <w:pPr>
        <w:ind w:right="120" w:firstLine="494"/>
        <w:spacing w:after="0" w:line="263" w:lineRule="auto"/>
        <w:rPr>
          <w:sz w:val="20"/>
          <w:szCs w:val="20"/>
          <w:color w:val="auto"/>
        </w:rPr>
      </w:pPr>
      <w:r>
        <w:rPr>
          <w:rFonts w:ascii="Arial" w:cs="Arial" w:eastAsia="Arial" w:hAnsi="Arial"/>
          <w:sz w:val="18"/>
          <w:szCs w:val="18"/>
          <w:color w:val="auto"/>
        </w:rPr>
        <w:t>Our billers and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as well as our employees and service providers. As a result, we and our handling of data are subject to a variety of laws, rules and regulations relating to privacy, data protection and information security, including regulation by various governmental authorities, such as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6" w:name="page47"/>
    <w:bookmarkEnd w:id="46"/>
    <w:p>
      <w:pPr>
        <w:ind w:right="80"/>
        <w:spacing w:after="0" w:line="268" w:lineRule="auto"/>
        <w:rPr>
          <w:sz w:val="20"/>
          <w:szCs w:val="20"/>
          <w:color w:val="auto"/>
        </w:rPr>
      </w:pPr>
      <w:r>
        <w:rPr>
          <w:rFonts w:ascii="Arial" w:cs="Arial" w:eastAsia="Arial" w:hAnsi="Arial"/>
          <w:sz w:val="18"/>
          <w:szCs w:val="18"/>
          <w:color w:val="auto"/>
        </w:rPr>
        <w:t>U.S. Federal Trade Commission, or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spacing w:after="0" w:line="98" w:lineRule="exact"/>
        <w:rPr>
          <w:sz w:val="20"/>
          <w:szCs w:val="20"/>
          <w:color w:val="auto"/>
        </w:rPr>
      </w:pPr>
    </w:p>
    <w:p>
      <w:pPr>
        <w:ind w:right="200" w:firstLine="494"/>
        <w:spacing w:after="0" w:line="268" w:lineRule="auto"/>
        <w:rPr>
          <w:sz w:val="20"/>
          <w:szCs w:val="20"/>
          <w:color w:val="auto"/>
        </w:rPr>
      </w:pPr>
      <w:r>
        <w:rPr>
          <w:rFonts w:ascii="Arial" w:cs="Arial" w:eastAsia="Arial" w:hAnsi="Arial"/>
          <w:sz w:val="18"/>
          <w:szCs w:val="18"/>
          <w:color w:val="auto"/>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p>
    <w:p>
      <w:pPr>
        <w:spacing w:after="0" w:line="97" w:lineRule="exact"/>
        <w:rPr>
          <w:sz w:val="20"/>
          <w:szCs w:val="20"/>
          <w:color w:val="auto"/>
        </w:rPr>
      </w:pPr>
    </w:p>
    <w:p>
      <w:pPr>
        <w:ind w:firstLine="494"/>
        <w:spacing w:after="0" w:line="283" w:lineRule="auto"/>
        <w:rPr>
          <w:sz w:val="20"/>
          <w:szCs w:val="20"/>
          <w:color w:val="auto"/>
        </w:rPr>
      </w:pPr>
      <w:r>
        <w:rPr>
          <w:rFonts w:ascii="Arial" w:cs="Arial" w:eastAsia="Arial" w:hAnsi="Arial"/>
          <w:sz w:val="17"/>
          <w:szCs w:val="17"/>
          <w:color w:val="auto"/>
        </w:rPr>
        <w:t>In addition, many states in which we operate have laws that protect the privacy and security of sensitive and personal data. 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or the CCPA, which became operative on January 1, 2020 and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Additionally, a new California ballot initiative, the California Privacy Rights Act, or the CPRA, was passed in November 2020. Effective beginning on January 1, 2023, the CPRA imposes additional obligations on companies covered by the legislation and will significantly modify the CCPA, including by expanding California residents’ rights with respect to certain sensitive personal information. The CPRA also creates a new state agency that will be vested with authority to implement and enforce the CCPA and the CPRA. The interpretation and enforcement of the CCPA and many aspects of the CPRA remain unclear, and the effects of the CCPA and the CPRA potentially are significant and may require us to modify our data collection or processing practices and policies and to incur substantial costs and expenses in an effort to comply and increase our potential exposure to regulatory enforcement and sanctions and litigation.</w:t>
      </w:r>
    </w:p>
    <w:p>
      <w:pPr>
        <w:spacing w:after="0" w:line="94"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and Colorado. These laws could mark the beginning of a trend toward more stringent privacy legislation in other U.S. states and have prompted a number of proposals for new federal and state-level privacy legislation. This legislation, if passed,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102" w:lineRule="exact"/>
        <w:rPr>
          <w:sz w:val="20"/>
          <w:szCs w:val="20"/>
          <w:color w:val="auto"/>
        </w:rPr>
      </w:pPr>
    </w:p>
    <w:p>
      <w:pPr>
        <w:ind w:right="40" w:firstLine="494"/>
        <w:spacing w:after="0" w:line="265" w:lineRule="auto"/>
        <w:rPr>
          <w:sz w:val="20"/>
          <w:szCs w:val="20"/>
          <w:color w:val="auto"/>
        </w:rPr>
      </w:pPr>
      <w:r>
        <w:rPr>
          <w:rFonts w:ascii="Arial" w:cs="Arial" w:eastAsia="Arial" w:hAnsi="Arial"/>
          <w:sz w:val="18"/>
          <w:szCs w:val="18"/>
          <w:color w:val="auto"/>
        </w:rPr>
        <w:t>In addition, several foreign countries and governmental bodies, including the European Union, or EU, have established their own laws, rules and regulations addressing privacy, data protection and information security with regard to the handling and processing of sensitive and personal data obtained from their residents with which we or our billers or partners may need to comply. These laws and regulations are in certain cases more restrictive than those in the United States.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General Data Protection Regulation, or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significantly increases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 also lead to damages claims by data controllers and data subjects. Such penalties are in addition to any civil litigation claims by data controllers, customers and data subjects. Being subject to the GDPR, we may need to take steps to cause our processes to be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7" w:name="page48"/>
    <w:bookmarkEnd w:id="47"/>
    <w:p>
      <w:pPr>
        <w:ind w:right="140"/>
        <w:spacing w:after="0" w:line="269" w:lineRule="auto"/>
        <w:rPr>
          <w:sz w:val="20"/>
          <w:szCs w:val="20"/>
          <w:color w:val="auto"/>
        </w:rPr>
      </w:pPr>
      <w:r>
        <w:rPr>
          <w:rFonts w:ascii="Arial" w:cs="Arial" w:eastAsia="Arial" w:hAnsi="Arial"/>
          <w:sz w:val="18"/>
          <w:szCs w:val="18"/>
          <w:color w:val="auto"/>
        </w:rPr>
        <w:t>compliant with applicable portions of the GDPR, but we cannot assure you that we will be able to implement changes in a timely manner or without significant disruption to our business, or that such steps will be effective, and we may face the risk of liability under the GDPR. The laws and regulations relating to privacy, data protection and information security are evolving, can be subject to significant change, and may result in ever-increasing regulatory and public scrutiny and escalating levels of enforcement and sanctions.</w:t>
      </w:r>
    </w:p>
    <w:p>
      <w:pPr>
        <w:spacing w:after="0" w:line="98"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We are also subject to certain obligations under the Health Insurance Portability and Accountability Act of 1996, or HIPAA, as amended by the Health Information Technology for Economic and Clinical Health Act of 2009,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8"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 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and partners to lose trust in us, and have an adverse effect on our business, operating results and financial condition.</w:t>
      </w:r>
    </w:p>
    <w:p>
      <w:pPr>
        <w:spacing w:after="0" w:line="98"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w:t>
      </w:r>
    </w:p>
    <w:p>
      <w:pPr>
        <w:spacing w:after="0" w:line="98" w:lineRule="exact"/>
        <w:rPr>
          <w:sz w:val="20"/>
          <w:szCs w:val="20"/>
          <w:color w:val="auto"/>
        </w:rPr>
      </w:pPr>
    </w:p>
    <w:p>
      <w:pPr>
        <w:ind w:right="20" w:firstLine="494"/>
        <w:spacing w:after="0" w:line="266" w:lineRule="auto"/>
        <w:rPr>
          <w:sz w:val="20"/>
          <w:szCs w:val="20"/>
          <w:color w:val="auto"/>
        </w:rPr>
      </w:pPr>
      <w:r>
        <w:rPr>
          <w:rFonts w:ascii="Arial" w:cs="Arial" w:eastAsia="Arial" w:hAnsi="Arial"/>
          <w:sz w:val="18"/>
          <w:szCs w:val="18"/>
          <w:color w:val="auto"/>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base and increase revenue. Additionally, our billers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spacing w:after="0" w:line="109" w:lineRule="exact"/>
        <w:rPr>
          <w:sz w:val="20"/>
          <w:szCs w:val="20"/>
          <w:color w:val="auto"/>
        </w:rPr>
      </w:pPr>
    </w:p>
    <w:p>
      <w:pPr>
        <w:ind w:right="40" w:firstLine="494"/>
        <w:spacing w:after="0" w:line="263"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8" w:name="page49"/>
    <w:bookmarkEnd w:id="48"/>
    <w:p>
      <w:pPr>
        <w:ind w:right="340"/>
        <w:spacing w:after="0" w:line="277" w:lineRule="auto"/>
        <w:rPr>
          <w:sz w:val="20"/>
          <w:szCs w:val="20"/>
          <w:color w:val="auto"/>
        </w:rPr>
      </w:pPr>
      <w:r>
        <w:rPr>
          <w:rFonts w:ascii="Arial" w:cs="Arial" w:eastAsia="Arial" w:hAnsi="Arial"/>
          <w:sz w:val="18"/>
          <w:szCs w:val="18"/>
          <w:color w:val="auto"/>
        </w:rPr>
        <w:t>otherwise adversely affect the growth of our business. Furthermore, any costs incurred as a result of this potential liability could harm our operating results.</w:t>
      </w:r>
    </w:p>
    <w:p>
      <w:pPr>
        <w:spacing w:after="0" w:line="67"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spacing w:after="0" w:line="84"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Telephone Consumer Protection Act of 1991, or the TCPA, the CAN-SPAM Act of 2003, or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 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 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spacing w:after="0" w:line="88"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i w:val="1"/>
          <w:iCs w:val="1"/>
          <w:color w:val="auto"/>
        </w:rPr>
        <w:t>If we fail to comply with extensive, complex, overlapping and frequently changing rules, regulations and legal interpretations, our business could be materially harmed.</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We may not be able to respond quickly or effectively to regulatory, legislative and other developments, and these changes may in turn impair our ability to offer our existing or planned features, products and services and increase our cost of doing business.</w:t>
      </w:r>
    </w:p>
    <w:p>
      <w:pPr>
        <w:spacing w:after="0" w:line="99" w:lineRule="exact"/>
        <w:rPr>
          <w:sz w:val="20"/>
          <w:szCs w:val="20"/>
          <w:color w:val="auto"/>
        </w:rPr>
      </w:pPr>
    </w:p>
    <w:p>
      <w:pPr>
        <w:ind w:right="140" w:firstLine="494"/>
        <w:spacing w:after="0" w:line="269" w:lineRule="auto"/>
        <w:rPr>
          <w:sz w:val="20"/>
          <w:szCs w:val="20"/>
          <w:color w:val="auto"/>
        </w:rPr>
      </w:pPr>
      <w:r>
        <w:rPr>
          <w:rFonts w:ascii="Arial" w:cs="Arial" w:eastAsia="Arial" w:hAnsi="Arial"/>
          <w:sz w:val="18"/>
          <w:szCs w:val="18"/>
          <w:color w:val="auto"/>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spacing w:after="0" w:line="98" w:lineRule="exact"/>
        <w:rPr>
          <w:sz w:val="20"/>
          <w:szCs w:val="20"/>
          <w:color w:val="auto"/>
        </w:rPr>
      </w:pPr>
    </w:p>
    <w:p>
      <w:pPr>
        <w:ind w:left="960" w:right="280"/>
        <w:spacing w:after="0" w:line="262" w:lineRule="auto"/>
        <w:rPr>
          <w:sz w:val="20"/>
          <w:szCs w:val="20"/>
          <w:color w:val="auto"/>
        </w:rPr>
      </w:pPr>
      <w:r>
        <w:rPr>
          <w:rFonts w:ascii="Arial" w:cs="Arial" w:eastAsia="Arial" w:hAnsi="Arial"/>
          <w:sz w:val="18"/>
          <w:szCs w:val="18"/>
          <w:color w:val="auto"/>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9" w:name="page50"/>
    <w:bookmarkEnd w:id="49"/>
    <w:p>
      <w:pPr>
        <w:ind w:left="960"/>
        <w:spacing w:after="0"/>
        <w:rPr>
          <w:sz w:val="20"/>
          <w:szCs w:val="20"/>
          <w:color w:val="auto"/>
        </w:rPr>
      </w:pPr>
      <w:r>
        <w:rPr>
          <w:rFonts w:ascii="Arial" w:cs="Arial" w:eastAsia="Arial" w:hAnsi="Arial"/>
          <w:sz w:val="18"/>
          <w:szCs w:val="18"/>
          <w:color w:val="auto"/>
        </w:rPr>
        <w:t>result in additional compliance and licensure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 regulatory scrutiny of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 our operations, product features, quality and breadth and depth of functionality; and</w:t>
      </w:r>
    </w:p>
    <w:p>
      <w:pPr>
        <w:spacing w:after="0" w:line="131" w:lineRule="exact"/>
        <w:rPr>
          <w:sz w:val="20"/>
          <w:szCs w:val="20"/>
          <w:color w:val="auto"/>
        </w:rPr>
      </w:pPr>
    </w:p>
    <w:p>
      <w:pPr>
        <w:ind w:left="960" w:right="600"/>
        <w:spacing w:after="0" w:line="277" w:lineRule="auto"/>
        <w:rPr>
          <w:sz w:val="20"/>
          <w:szCs w:val="20"/>
          <w:color w:val="auto"/>
        </w:rPr>
      </w:pPr>
      <w:r>
        <w:rPr>
          <w:rFonts w:ascii="Arial" w:cs="Arial" w:eastAsia="Arial" w:hAnsi="Arial"/>
          <w:sz w:val="18"/>
          <w:szCs w:val="18"/>
          <w:color w:val="auto"/>
        </w:rPr>
        <w:t>force us to change our business practices or compliance program, make product or operational changes or delay planned product launches or improvements.</w:t>
      </w:r>
    </w:p>
    <w:p>
      <w:pPr>
        <w:spacing w:after="0" w:line="89"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spacing w:after="0" w:line="95"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Any of the foregoing could, individually or in the aggregate, harm our reputation as a trusted provider, damage our brand and business, cause us to lose existing billers and partners, prevent us from obtaining new billers and partners, require us to expend significant funds to remedy problems caused by breaches and to avert further breaches, expose us to legal risk and potential liability, and adversely affect our business, operating results and financial condition.</w:t>
      </w:r>
    </w:p>
    <w:p>
      <w:pPr>
        <w:spacing w:after="0" w:line="76"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in connection with the preparation and audit of our financial statements for the fiscal years ended December 31, 2019 and 2020, and we may identify additional material weaknesses in the future that may cause us to fail to meet our reporting obligations or result in material misstatements of our financial statements. If we fail to remediate any material weaknesses, identify additional material weaknesses, or if we otherwise fail to establish and maintain effective internal control over financial reporting, our ability to accurately and timely report our financial results could be adversely affected.</w:t>
      </w:r>
    </w:p>
    <w:p>
      <w:pPr>
        <w:spacing w:after="0" w:line="94"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We are required to comply with the United States Securities and Exchange Commission’s, or SEC’s rules implementing Sections 302 and 404 of the Sarbanes-Oxley Act, which requires management to certify financial and other information in our quarterly and annual reports and provide an annual management report on the effectiveness of internal control over financial reporting. Though we will be required to disclose changes made in our internal control over financial reporting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management’s report and our independent registered public accounting firm’s report would be adverse.</w:t>
      </w:r>
    </w:p>
    <w:p>
      <w:pPr>
        <w:spacing w:after="0" w:line="101"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In connection with the preparation and audit of our consolidated financial statements for the fiscal years ended December 31, 2019 and 2020, we and our independent registered public accounting firm identified certain control deficiencies in the design and implementation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Control—Integrated Framework (2013). These material weaknesses are as follows:</w:t>
      </w:r>
    </w:p>
    <w:p>
      <w:pPr>
        <w:spacing w:after="0" w:line="98" w:lineRule="exact"/>
        <w:rPr>
          <w:sz w:val="20"/>
          <w:szCs w:val="20"/>
          <w:color w:val="auto"/>
        </w:rPr>
      </w:pPr>
    </w:p>
    <w:p>
      <w:pPr>
        <w:ind w:left="960" w:right="140"/>
        <w:spacing w:after="0" w:line="288" w:lineRule="auto"/>
        <w:rPr>
          <w:sz w:val="20"/>
          <w:szCs w:val="20"/>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3" w:lineRule="exact"/>
        <w:rPr>
          <w:sz w:val="20"/>
          <w:szCs w:val="20"/>
          <w:color w:val="auto"/>
        </w:rPr>
      </w:pPr>
    </w:p>
    <w:p>
      <w:pPr>
        <w:ind w:left="960"/>
        <w:spacing w:after="0" w:line="268" w:lineRule="auto"/>
        <w:rPr>
          <w:sz w:val="20"/>
          <w:szCs w:val="20"/>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98" w:lineRule="exact"/>
        <w:rPr>
          <w:sz w:val="20"/>
          <w:szCs w:val="20"/>
          <w:color w:val="auto"/>
        </w:rPr>
      </w:pPr>
    </w:p>
    <w:p>
      <w:pPr>
        <w:ind w:right="300" w:firstLine="494"/>
        <w:spacing w:after="0" w:line="258" w:lineRule="auto"/>
        <w:rPr>
          <w:sz w:val="20"/>
          <w:szCs w:val="20"/>
          <w:color w:val="auto"/>
        </w:rPr>
      </w:pPr>
      <w:r>
        <w:rPr>
          <w:rFonts w:ascii="Arial" w:cs="Arial" w:eastAsia="Arial" w:hAnsi="Arial"/>
          <w:sz w:val="18"/>
          <w:szCs w:val="18"/>
          <w:color w:val="auto"/>
        </w:rPr>
        <w:t>These material weaknesses resulted in misstatements related to capitalized internal-use software development costs, accumulated other comprehensive income, cost of revenue, sales and marketing expenses, research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0" w:name="page51"/>
    <w:bookmarkEnd w:id="50"/>
    <w:p>
      <w:pPr>
        <w:ind w:right="40"/>
        <w:spacing w:after="0" w:line="268" w:lineRule="auto"/>
        <w:rPr>
          <w:sz w:val="20"/>
          <w:szCs w:val="20"/>
          <w:color w:val="auto"/>
        </w:rPr>
      </w:pPr>
      <w:r>
        <w:rPr>
          <w:rFonts w:ascii="Arial" w:cs="Arial" w:eastAsia="Arial" w:hAnsi="Arial"/>
          <w:sz w:val="18"/>
          <w:szCs w:val="18"/>
          <w:color w:val="auto"/>
        </w:rPr>
        <w:t>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97" w:lineRule="exact"/>
        <w:rPr>
          <w:sz w:val="20"/>
          <w:szCs w:val="20"/>
          <w:color w:val="auto"/>
        </w:rPr>
      </w:pPr>
    </w:p>
    <w:p>
      <w:pPr>
        <w:jc w:val="both"/>
        <w:ind w:right="80" w:firstLine="494"/>
        <w:spacing w:after="0" w:line="271" w:lineRule="auto"/>
        <w:rPr>
          <w:sz w:val="20"/>
          <w:szCs w:val="20"/>
          <w:color w:val="auto"/>
        </w:rPr>
      </w:pPr>
      <w:r>
        <w:rPr>
          <w:rFonts w:ascii="Arial" w:cs="Arial" w:eastAsia="Arial" w:hAnsi="Arial"/>
          <w:sz w:val="18"/>
          <w:szCs w:val="18"/>
          <w:color w:val="auto"/>
        </w:rPr>
        <w:t>We have begun implementing a plan to remediate the material weaknesses described above. In 2020, we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95"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31"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While we believe these efforts will remediate the material weaknesses, we may not be able to complete our evaluation, testing or any required remediation in a timely fashion, or at all. We cannot assure you that the measures we have taken to date and may take in the future will be sufficient to remediate the control deficiencies that led to the identified material weaknesses in internal control over financial reporting or that the measures will prevent or avoid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and report financial information accurately, and to prepare financial statements within the time periods required under SEC rules, could be adversely affected. This may in turn adversely affect our reputation and business and the market price of our Class A common stock. In addition, any such failures could result in litigation or regulatory actions by the SEC or other regulatory authorities, loss of investor confidence, delisting of our Class A common stock and diversion of financial and management resources from the operation of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53"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additional employees or engage outside consultants to comply with these requirements, which will increase our costs and expenses.</w:t>
      </w:r>
    </w:p>
    <w:p>
      <w:pPr>
        <w:spacing w:after="0" w:line="100" w:lineRule="exact"/>
        <w:rPr>
          <w:sz w:val="20"/>
          <w:szCs w:val="20"/>
          <w:color w:val="auto"/>
        </w:rPr>
      </w:pPr>
    </w:p>
    <w:p>
      <w:pPr>
        <w:ind w:right="100" w:firstLine="494"/>
        <w:spacing w:after="0" w:line="264"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ind w:right="40" w:firstLine="494"/>
        <w:spacing w:after="0" w:line="269" w:lineRule="auto"/>
        <w:rPr>
          <w:sz w:val="20"/>
          <w:szCs w:val="20"/>
          <w:color w:val="auto"/>
        </w:rPr>
      </w:pPr>
      <w:r>
        <w:rPr>
          <w:rFonts w:ascii="Arial" w:cs="Arial" w:eastAsia="Arial" w:hAnsi="Arial"/>
          <w:sz w:val="18"/>
          <w:szCs w:val="18"/>
          <w:color w:val="auto"/>
        </w:rPr>
        <w:t>These new rules and regulations may make it more expensive for us to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6"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b w:val="1"/>
          <w:bCs w:val="1"/>
          <w:i w:val="1"/>
          <w:iCs w:val="1"/>
          <w:color w:val="auto"/>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spacing w:after="0" w:line="84"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plan to expand internationally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p>
    <w:p>
      <w:pPr>
        <w:spacing w:after="0" w:line="102"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We have procedures in place designed to ensure our compliance with trade controls, with which failure to comply could subject us to both civil and criminal penalties, including substantial fines, possible incarceration of responsible individuals for willful violations, possible loss of our export or import privileges and reputational harm. For example, we have processes in place to comply with the OFAC regulations as well as similar requirements in other jurisdictions. As part of our compliance efforts, we scan our billers against OFAC and other watchlists. If our platform is accessed from a sanctioned country in violation of trade and economic sanctions, we could be subject to fines or other enforcement action.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102"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billers’ ability to implement our products in those countries. Changes in our products or changes in 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with international operations. Any decreased use of our products or limitation on our ability to export to or sell our products in international markets could adversely affect our business, operating results and financial condition.</w:t>
      </w:r>
    </w:p>
    <w:p>
      <w:pPr>
        <w:spacing w:after="0" w:line="100" w:lineRule="exact"/>
        <w:rPr>
          <w:sz w:val="20"/>
          <w:szCs w:val="20"/>
          <w:color w:val="auto"/>
        </w:rPr>
      </w:pPr>
    </w:p>
    <w:p>
      <w:pPr>
        <w:ind w:right="440" w:firstLine="494"/>
        <w:spacing w:after="0" w:line="269"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w:t>
      </w:r>
    </w:p>
    <w:p>
      <w:pPr>
        <w:spacing w:after="0" w:line="76"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66" w:lineRule="exact"/>
        <w:rPr>
          <w:sz w:val="20"/>
          <w:szCs w:val="20"/>
          <w:color w:val="auto"/>
        </w:rPr>
      </w:pPr>
    </w:p>
    <w:p>
      <w:pPr>
        <w:ind w:firstLine="494"/>
        <w:spacing w:after="0" w:line="264" w:lineRule="auto"/>
        <w:rPr>
          <w:sz w:val="20"/>
          <w:szCs w:val="20"/>
          <w:color w:val="auto"/>
        </w:rPr>
      </w:pPr>
      <w:r>
        <w:rPr>
          <w:rFonts w:ascii="Arial" w:cs="Arial" w:eastAsia="Arial" w:hAnsi="Arial"/>
          <w:sz w:val="18"/>
          <w:szCs w:val="18"/>
          <w:color w:val="auto"/>
        </w:rPr>
        <w:t>We are subject to the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may be state-owned, in each case exposing us to potential risks.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color w:val="auto"/>
        </w:rPr>
        <w:t>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95"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31"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89" w:lineRule="exact"/>
        <w:rPr>
          <w:sz w:val="20"/>
          <w:szCs w:val="20"/>
          <w:color w:val="auto"/>
        </w:rPr>
      </w:pPr>
    </w:p>
    <w:p>
      <w:pPr>
        <w:ind w:left="960" w:right="320"/>
        <w:spacing w:after="0" w:line="277" w:lineRule="auto"/>
        <w:rPr>
          <w:sz w:val="20"/>
          <w:szCs w:val="20"/>
          <w:color w:val="auto"/>
        </w:rPr>
      </w:pPr>
      <w:r>
        <w:rPr>
          <w:rFonts w:ascii="Arial" w:cs="Arial" w:eastAsia="Arial" w:hAnsi="Arial"/>
          <w:sz w:val="18"/>
          <w:szCs w:val="18"/>
          <w:color w:val="auto"/>
        </w:rPr>
        <w:t>changes in tax laws, tax treaties and regulations or the interpretation thereof, including the Tax Cuts and Jobs Act of 2017, as modified by the Coronavirus Aid, Relief, and Economic Security Act and the Emergency Coronavirus Relief Act;</w:t>
      </w:r>
    </w:p>
    <w:p>
      <w:pPr>
        <w:spacing w:after="0" w:line="89" w:lineRule="exact"/>
        <w:rPr>
          <w:sz w:val="20"/>
          <w:szCs w:val="20"/>
          <w:color w:val="auto"/>
        </w:rPr>
      </w:pPr>
    </w:p>
    <w:p>
      <w:pPr>
        <w:ind w:left="960" w:right="160"/>
        <w:spacing w:after="0" w:line="271" w:lineRule="auto"/>
        <w:rPr>
          <w:sz w:val="20"/>
          <w:szCs w:val="20"/>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outcome of current and future tax audits, examinations or administrative appeals;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adverse findings regarding our ability to do business in some jurisdictions.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3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spacing w:after="0" w:line="89"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discontinues or limits our access to its software or other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modifies its terms of service or other legal terms or policies, including fees charged to, or other restrictions on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how information is accessed by us or our billers or partners or their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performance or other problems that affect the perception of our platform, products or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establishes exclusive or more favorable relationships with one or more of our competitors;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develops or otherwise favors its own competitive offerings over our platform or products.</w:t>
      </w:r>
    </w:p>
    <w:p>
      <w:pPr>
        <w:spacing w:after="0" w:line="131" w:lineRule="exact"/>
        <w:rPr>
          <w:sz w:val="20"/>
          <w:szCs w:val="20"/>
          <w:color w:val="auto"/>
        </w:rPr>
      </w:pPr>
    </w:p>
    <w:p>
      <w:pPr>
        <w:ind w:right="40" w:firstLine="494"/>
        <w:spacing w:after="0" w:line="263" w:lineRule="auto"/>
        <w:rPr>
          <w:sz w:val="20"/>
          <w:szCs w:val="20"/>
          <w:color w:val="auto"/>
        </w:rPr>
      </w:pPr>
      <w:r>
        <w:rPr>
          <w:rFonts w:ascii="Arial" w:cs="Arial" w:eastAsia="Arial" w:hAnsi="Arial"/>
          <w:sz w:val="18"/>
          <w:szCs w:val="18"/>
          <w:color w:val="auto"/>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3" w:name="page54"/>
    <w:bookmarkEnd w:id="53"/>
    <w:p>
      <w:pPr>
        <w:ind w:right="140" w:firstLine="494"/>
        <w:spacing w:after="0" w:line="267"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spacing w:after="0" w:line="101"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or partners or their consumers are satisfied with the quality of work performed by us or with the technical support services rendered. In particular, if we are unable to adapt to the needs of our partners’ platforms, software and solutions, our billers’ and partners’ operations may be disrupted, which could result in disputes with our billers or partners or their consumers or other third parties and additional costs to address the situation. Additionally, our billers and partners may terminate their relationship with us and we may lose access to large numbers of consumers and biller referrals as a result.</w:t>
      </w:r>
    </w:p>
    <w:p>
      <w:pPr>
        <w:spacing w:after="0" w:line="102"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Any negative publicity related to our solutions, regardless of its accuracy or whether the ultimate cause of any poor performance actually results from our platform, or from the systems of our billers, partners or consumers, may adversely affect our reputation, business, operating results and financial condition.</w:t>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third-party service providers may experience website disruptions, outages and other performance 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p>
    <w:p>
      <w:pPr>
        <w:spacing w:after="0" w:line="100"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 of our platform, products or services, cause system interruptions, prevent our billers, partners or consumers from accessing their accounts online, damage our reputation with current and potential billers, partners or consumers, expose us to liability, cause us to lose billers, partners or consumers, cause the loss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p>
    <w:p>
      <w:pPr>
        <w:spacing w:after="0" w:line="98" w:lineRule="exact"/>
        <w:rPr>
          <w:sz w:val="20"/>
          <w:szCs w:val="20"/>
          <w:color w:val="auto"/>
        </w:rPr>
      </w:pPr>
    </w:p>
    <w:p>
      <w:pPr>
        <w:ind w:right="180" w:firstLine="494"/>
        <w:spacing w:after="0" w:line="262" w:lineRule="auto"/>
        <w:rPr>
          <w:sz w:val="20"/>
          <w:szCs w:val="20"/>
          <w:color w:val="auto"/>
        </w:rPr>
      </w:pPr>
      <w:r>
        <w:rPr>
          <w:rFonts w:ascii="Arial" w:cs="Arial" w:eastAsia="Arial" w:hAnsi="Arial"/>
          <w:sz w:val="18"/>
          <w:szCs w:val="18"/>
          <w:color w:val="auto"/>
        </w:rPr>
        <w:t>Also, in the event of damage or interruption,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spacing w:after="0" w:line="269" w:lineRule="auto"/>
        <w:rPr>
          <w:sz w:val="20"/>
          <w:szCs w:val="20"/>
          <w:color w:val="auto"/>
        </w:rPr>
      </w:pPr>
      <w:r>
        <w:rPr>
          <w:rFonts w:ascii="Arial" w:cs="Arial" w:eastAsia="Arial" w:hAnsi="Arial"/>
          <w:sz w:val="18"/>
          <w:szCs w:val="18"/>
          <w:color w:val="auto"/>
        </w:rPr>
        <w:t>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partners or consumers, and their failure to timely notify us of such a breach or disclosure may cause us to incur significant costs or otherwise harm our business.</w:t>
      </w:r>
    </w:p>
    <w:p>
      <w:pPr>
        <w:spacing w:after="0" w:line="98"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Our platform is accessed by many billers, partners and consumers, often at the same time. As we continue to expand the number of our billers,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97" w:lineRule="exact"/>
        <w:rPr>
          <w:sz w:val="20"/>
          <w:szCs w:val="20"/>
          <w:color w:val="auto"/>
        </w:rPr>
      </w:pPr>
    </w:p>
    <w:p>
      <w:pPr>
        <w:ind w:right="160" w:firstLine="494"/>
        <w:spacing w:after="0" w:line="268" w:lineRule="auto"/>
        <w:rPr>
          <w:sz w:val="20"/>
          <w:szCs w:val="20"/>
          <w:color w:val="auto"/>
        </w:rPr>
      </w:pPr>
      <w:r>
        <w:rPr>
          <w:rFonts w:ascii="Arial" w:cs="Arial" w:eastAsia="Arial" w:hAnsi="Arial"/>
          <w:sz w:val="18"/>
          <w:szCs w:val="18"/>
          <w:color w:val="auto"/>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 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 solutions’ reliability, or we could be required to retain the services of replacement providers, which could increase our operating costs and materially and adversely affect our business, operating results and financial condition.</w:t>
      </w:r>
    </w:p>
    <w:p>
      <w:pPr>
        <w:spacing w:after="0" w:line="97" w:lineRule="exact"/>
        <w:rPr>
          <w:sz w:val="20"/>
          <w:szCs w:val="20"/>
          <w:color w:val="auto"/>
        </w:rPr>
      </w:pPr>
    </w:p>
    <w:p>
      <w:pPr>
        <w:ind w:right="100" w:firstLine="494"/>
        <w:spacing w:after="0" w:line="269" w:lineRule="auto"/>
        <w:rPr>
          <w:sz w:val="20"/>
          <w:szCs w:val="20"/>
          <w:color w:val="auto"/>
        </w:rPr>
      </w:pPr>
      <w:r>
        <w:rPr>
          <w:rFonts w:ascii="Arial" w:cs="Arial" w:eastAsia="Arial" w:hAnsi="Arial"/>
          <w:sz w:val="18"/>
          <w:szCs w:val="18"/>
          <w:color w:val="auto"/>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partners or consumers to believe that our platform, products and services are unreliable, leading them to switch to our competitors or to avoid our platform, products and services, and could permanently harm our reputation and business.</w:t>
      </w:r>
    </w:p>
    <w:p>
      <w:pPr>
        <w:spacing w:after="0" w:line="98"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Additionally, as our billers and partners and their consumers may use our platform for critical transactions, any errors, defects or other infrastructure problems could result in damage to such billers’, partners’ or consumers’ businesses. These billers,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spacing w:after="0" w:line="78"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b w:val="1"/>
          <w:bCs w:val="1"/>
          <w:i w:val="1"/>
          <w:iCs w:val="1"/>
          <w:color w:val="auto"/>
        </w:rPr>
        <w:t>We may experience software and technology defects, undetected errors, development delays or other performance problems in our software and other technology used as part of our platform, which could damage biller and partner relations, harm our reputation, result in significant costs to us, decrease our potential profitability and expose us to substantial liability.</w:t>
      </w:r>
    </w:p>
    <w:p>
      <w:pPr>
        <w:spacing w:after="0" w:line="84" w:lineRule="exact"/>
        <w:rPr>
          <w:sz w:val="20"/>
          <w:szCs w:val="20"/>
          <w:color w:val="auto"/>
        </w:rPr>
      </w:pPr>
    </w:p>
    <w:p>
      <w:pPr>
        <w:ind w:right="20" w:firstLine="494"/>
        <w:spacing w:after="0" w:line="265" w:lineRule="auto"/>
        <w:rPr>
          <w:sz w:val="20"/>
          <w:szCs w:val="20"/>
          <w:color w:val="auto"/>
        </w:rPr>
      </w:pPr>
      <w:r>
        <w:rPr>
          <w:rFonts w:ascii="Arial" w:cs="Arial" w:eastAsia="Arial" w:hAnsi="Arial"/>
          <w:sz w:val="18"/>
          <w:szCs w:val="18"/>
          <w:color w:val="auto"/>
        </w:rPr>
        <w:t>Our software and other technology used as part of our platform may contain undetected errors, viruses or defects when implemented or when new functionality is released, as we may modify, enhance, upgrade and implement new systems, procedures and controls to reflect changes in our business, technological advancements and changing industry trends. Despite extensive testing, from time to time we have discovered and may in the future discover defects or errors in our solutions. Any performance problems or defects in our solutions could materially and adversely affect our business, operating results and financial conditions. Defects, errors or other similar performance problems or disruptions, whether in connection with day-to-day operations or otherwise, could be costly for us, adversely affect our billers’ or partners’ businesses, harm our reputation and result in reduced sales or a loss of, or delay in, the market acceptance of our solutions. In addition, if we have any such errors, defects or other performance problems, our billers or partners could seek to terminate, or elect not to renew, their contracts with us,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operating results and financial condition. Additionally, our software uses open-source software and any defects or security vulnerabilities in such open-source software could materially and adversely affect our business, operating results and financial condition. In addition, we rely on technologies and software supplied by third parties that may also contain undetected errors, viruses or defects. Software defects and errors or delays in electronic bill presentment or our facilitation of payment processing could result in additional development costs, diversion of technical and other resources from our other development efforts, loss of credibility with current or potential billers, partners and consumers, harm to our reputation and exposure to liability claims, any of which could result in a material adverse effect on our business, operating results and financial condition.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5" w:name="page56"/>
    <w:bookmarkEnd w:id="55"/>
    <w:p>
      <w:pPr>
        <w:ind w:right="160"/>
        <w:spacing w:after="0" w:line="284" w:lineRule="auto"/>
        <w:rPr>
          <w:sz w:val="20"/>
          <w:szCs w:val="20"/>
          <w:color w:val="auto"/>
        </w:rPr>
      </w:pPr>
      <w:r>
        <w:rPr>
          <w:rFonts w:ascii="Arial" w:cs="Arial" w:eastAsia="Arial" w:hAnsi="Arial"/>
          <w:sz w:val="18"/>
          <w:szCs w:val="18"/>
          <w:b w:val="1"/>
          <w:bCs w:val="1"/>
          <w:i w:val="1"/>
          <w:iCs w:val="1"/>
          <w:color w:val="auto"/>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spacing w:after="0" w:line="84" w:lineRule="exact"/>
        <w:rPr>
          <w:sz w:val="20"/>
          <w:szCs w:val="20"/>
          <w:color w:val="auto"/>
        </w:rPr>
      </w:pPr>
    </w:p>
    <w:p>
      <w:pPr>
        <w:ind w:right="300" w:firstLine="494"/>
        <w:spacing w:after="0" w:line="268" w:lineRule="auto"/>
        <w:rPr>
          <w:sz w:val="20"/>
          <w:szCs w:val="20"/>
          <w:color w:val="auto"/>
        </w:rPr>
      </w:pPr>
      <w:r>
        <w:rPr>
          <w:rFonts w:ascii="Arial" w:cs="Arial" w:eastAsia="Arial" w:hAnsi="Arial"/>
          <w:sz w:val="18"/>
          <w:szCs w:val="18"/>
          <w:color w:val="auto"/>
        </w:rPr>
        <w:t>Our platform incorporates software modules licensed to us by third-party authors under “open source” licenses, and we expect to continue to incorporate open source software in our products and platform in the future. Some open source licenses contain requirements that those who distribute open source software as part of their own software product also make publicly available all or part of the source code for modifications or derivative works created based on the type of open source software they use, or grant other licenses to their intellectual property on unfavorable terms or at no cost, and we may be subject to such requirements.</w:t>
      </w:r>
    </w:p>
    <w:p>
      <w:pPr>
        <w:spacing w:after="0" w:line="100" w:lineRule="exact"/>
        <w:rPr>
          <w:sz w:val="20"/>
          <w:szCs w:val="20"/>
          <w:color w:val="auto"/>
        </w:rPr>
      </w:pPr>
    </w:p>
    <w:p>
      <w:pPr>
        <w:ind w:right="120" w:firstLine="494"/>
        <w:spacing w:after="0" w:line="266"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 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 against companies that incorporate it into their products. Likewise, we could become subject to lawsuits and face claims from third parties claiming ownership of, or demanding release of, any open source software or derivative works that we 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change our products.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spacing w:after="0" w:line="110"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spacing w:after="0" w:line="80"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84" w:lineRule="exact"/>
        <w:rPr>
          <w:sz w:val="20"/>
          <w:szCs w:val="20"/>
          <w:color w:val="auto"/>
        </w:rPr>
      </w:pPr>
    </w:p>
    <w:p>
      <w:pPr>
        <w:jc w:val="both"/>
        <w:ind w:right="240" w:firstLine="494"/>
        <w:spacing w:after="0" w:line="281" w:lineRule="auto"/>
        <w:rPr>
          <w:sz w:val="20"/>
          <w:szCs w:val="20"/>
          <w:color w:val="auto"/>
        </w:rPr>
      </w:pPr>
      <w:r>
        <w:rPr>
          <w:rFonts w:ascii="Arial" w:cs="Arial" w:eastAsia="Arial" w:hAnsi="Arial"/>
          <w:sz w:val="17"/>
          <w:szCs w:val="17"/>
          <w:color w:val="auto"/>
        </w:rPr>
        <w:t>Our success is dependent, in part, upon protecting our intellectual property and proprietary technology. We rely on a combination of patents, copyrights, trademarks, service marks, trade secret laws and contractual provisions with our employees, independent contractors, consultants and third parties with whom we have relationships to establish and protect our intellectual property and proprietary rights.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However, the steps we take to protect our intellectual property may be inadequate, may not afford complete protection and may not adequately permit us to gain or keep any competitive advantage or otherwise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98" w:lineRule="exact"/>
        <w:rPr>
          <w:sz w:val="20"/>
          <w:szCs w:val="20"/>
          <w:color w:val="auto"/>
        </w:rPr>
      </w:pPr>
    </w:p>
    <w:p>
      <w:pPr>
        <w:ind w:right="60" w:firstLine="494"/>
        <w:spacing w:after="0" w:line="263" w:lineRule="auto"/>
        <w:rPr>
          <w:sz w:val="20"/>
          <w:szCs w:val="20"/>
          <w:color w:val="auto"/>
        </w:rPr>
      </w:pPr>
      <w:r>
        <w:rPr>
          <w:rFonts w:ascii="Arial" w:cs="Arial" w:eastAsia="Arial" w:hAnsi="Arial"/>
          <w:sz w:val="18"/>
          <w:szCs w:val="18"/>
          <w:color w:val="auto"/>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6" w:name="page57"/>
    <w:bookmarkEnd w:id="56"/>
    <w:p>
      <w:pPr>
        <w:ind w:right="40"/>
        <w:spacing w:after="0" w:line="266" w:lineRule="auto"/>
        <w:rPr>
          <w:sz w:val="20"/>
          <w:szCs w:val="20"/>
          <w:color w:val="auto"/>
        </w:rPr>
      </w:pPr>
      <w:r>
        <w:rPr>
          <w:rFonts w:ascii="Arial" w:cs="Arial" w:eastAsia="Arial" w:hAnsi="Arial"/>
          <w:sz w:val="18"/>
          <w:szCs w:val="18"/>
          <w:color w:val="auto"/>
        </w:rPr>
        <w:t>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or file suit against us.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can be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or consumer confusion.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09" w:lineRule="exact"/>
        <w:rPr>
          <w:sz w:val="20"/>
          <w:szCs w:val="20"/>
          <w:color w:val="auto"/>
        </w:rPr>
      </w:pPr>
    </w:p>
    <w:p>
      <w:pPr>
        <w:ind w:right="120" w:firstLine="494"/>
        <w:spacing w:after="0" w:line="269" w:lineRule="auto"/>
        <w:rPr>
          <w:sz w:val="20"/>
          <w:szCs w:val="20"/>
          <w:color w:val="auto"/>
        </w:rPr>
      </w:pPr>
      <w:r>
        <w:rPr>
          <w:rFonts w:ascii="Arial" w:cs="Arial" w:eastAsia="Arial" w:hAnsi="Arial"/>
          <w:sz w:val="18"/>
          <w:szCs w:val="18"/>
          <w:color w:val="auto"/>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 they do not prevent our competitors or partners from independently developing technologies that are substantially equivalent or superior to our platform.</w:t>
      </w:r>
    </w:p>
    <w:p>
      <w:pPr>
        <w:spacing w:after="0" w:line="98"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information that we regard as proprietary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spacing w:after="0" w:line="101"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addition to registered intellectual property rights such as issued patents and trademark registrations,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 us or who had access to our intellectual property but who are not subject to invention assignment agreements may make adverse ownership claims to our current and future intellectual property.</w:t>
      </w:r>
    </w:p>
    <w:p>
      <w:pPr>
        <w:spacing w:after="0" w:line="100"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disputes may arise as to the rights in related or resulting works of authorship, know-how and inventions. The loss of trade secret protection could make it easier for third parties to compete with our products and services by copying functionality.</w:t>
      </w:r>
    </w:p>
    <w:p>
      <w:pPr>
        <w:spacing w:after="0" w:line="98" w:lineRule="exact"/>
        <w:rPr>
          <w:sz w:val="20"/>
          <w:szCs w:val="20"/>
          <w:color w:val="auto"/>
        </w:rPr>
      </w:pPr>
    </w:p>
    <w:p>
      <w:pPr>
        <w:ind w:firstLine="494"/>
        <w:spacing w:after="0" w:line="263" w:lineRule="auto"/>
        <w:rPr>
          <w:sz w:val="20"/>
          <w:szCs w:val="20"/>
          <w:color w:val="auto"/>
        </w:rPr>
      </w:pPr>
      <w:r>
        <w:rPr>
          <w:rFonts w:ascii="Arial" w:cs="Arial" w:eastAsia="Arial" w:hAnsi="Arial"/>
          <w:sz w:val="18"/>
          <w:szCs w:val="18"/>
          <w:color w:val="auto"/>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7" w:name="page58"/>
    <w:bookmarkEnd w:id="57"/>
    <w:p>
      <w:pPr>
        <w:ind w:right="20"/>
        <w:spacing w:after="0" w:line="266" w:lineRule="auto"/>
        <w:rPr>
          <w:sz w:val="20"/>
          <w:szCs w:val="20"/>
          <w:color w:val="auto"/>
        </w:rPr>
      </w:pPr>
      <w:r>
        <w:rPr>
          <w:rFonts w:ascii="Arial" w:cs="Arial" w:eastAsia="Arial" w:hAnsi="Arial"/>
          <w:sz w:val="18"/>
          <w:szCs w:val="18"/>
          <w:color w:val="auto"/>
        </w:rPr>
        <w:t>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spacing w:after="0" w:line="87"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and our billers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and our billers and partners and their consumers and the third-party vendors and data centers that we use obtain, provide and process large amounts of sensitive and personal data, including data provided by and related to consumers and their transactions, as well as other data of the counterparties to their payments. We face risks, including to our reputation as a trusted brand, in the handling and protection of this data, and these risks will increase as our business continues to expand to include new products and technologies.</w:t>
      </w:r>
    </w:p>
    <w:p>
      <w:pPr>
        <w:spacing w:after="0" w:line="98"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Cybersecurity threats and attacks, privacy and security breaches and incidents, insider threats or other incidents and malicious internet-based activity continue to increase generally, evolve in nature and become more sophisticated, and providers of cloud-based services have frequently been targeted by such attacks, particularly in the financial technology sector. These cybersecurity challenges, including threats to our own IT infrastructure or those of our billers or partners or their consumers or third-party service providers, may take a variety of forms ranging from stolen bank accounts, business email compromise, biller employee fraud, account takeover, check fraud or cybersecurity attacks, to “mega breaches” targeted against cloud-based services and other hosted software, which could be initiated by individual or groups of hackers or sophisticated cyber criminals. A cybersecurity incident or breach could result in loss, compromise, corruption or disclosure of confidential information, intellectual property and sensitive and personal data or data we rely on to provide our solutions and impair our ability to provide our solutions and meet our billers’ or partners’ or their consumers’ requirements, or cause production downtimes and compromised data. We may be unable to anticipate or prevent techniques used in the future to obtain unauthorized access or to sabotage systems because they change frequently and often are not detected until after an incident has occurred. As we increase our biller base and our brand becomes more widely known and recognized, third parties may increasingly seek to compromise our security controls or gain unauthorized access to our sensitive corporate information or our billers’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spacing w:after="0" w:line="110" w:lineRule="exact"/>
        <w:rPr>
          <w:sz w:val="20"/>
          <w:szCs w:val="20"/>
          <w:color w:val="auto"/>
        </w:rPr>
      </w:pPr>
    </w:p>
    <w:p>
      <w:pPr>
        <w:ind w:right="20" w:firstLine="494"/>
        <w:spacing w:after="0" w:line="264"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protection, data protection or information security measures or those of the previously mentioned third parties are inadequate or are breached or otherwise compromised as a result of third-party action, employee or contractor error, malfeasance, malware, phishing, hacking attacks, system error, software bugs or defects in our products, trickery, process failure, or otherwise, and, as a result, there is improper disclosure of, or someone obtains unauthorized access to or exfiltrates funds or accesses, modifies, corrupts, or destroys any sensitive and personal data,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8" w:name="page59"/>
    <w:bookmarkEnd w:id="58"/>
    <w:p>
      <w:pPr>
        <w:ind w:right="100"/>
        <w:spacing w:after="0" w:line="268" w:lineRule="auto"/>
        <w:rPr>
          <w:sz w:val="20"/>
          <w:szCs w:val="20"/>
          <w:color w:val="auto"/>
        </w:rPr>
      </w:pPr>
      <w:r>
        <w:rPr>
          <w:rFonts w:ascii="Arial" w:cs="Arial" w:eastAsia="Arial" w:hAnsi="Arial"/>
          <w:sz w:val="18"/>
          <w:szCs w:val="18"/>
          <w:color w:val="auto"/>
        </w:rPr>
        <w:t>related disclosures of sensitive and personal data by large institutions suggest that the risk of such events is significant, even if privacy, data protection and information security measures are implemented and enforced. If sensitive and personal data is unavailable, lost, modified, corrupted, or destroyed without authorization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100" w:lineRule="exact"/>
        <w:rPr>
          <w:sz w:val="20"/>
          <w:szCs w:val="20"/>
          <w:color w:val="auto"/>
        </w:rPr>
      </w:pPr>
    </w:p>
    <w:p>
      <w:pPr>
        <w:ind w:right="80" w:firstLine="494"/>
        <w:spacing w:after="0" w:line="266" w:lineRule="auto"/>
        <w:rPr>
          <w:sz w:val="20"/>
          <w:szCs w:val="20"/>
          <w:color w:val="auto"/>
        </w:rPr>
      </w:pPr>
      <w:r>
        <w:rPr>
          <w:rFonts w:ascii="Arial" w:cs="Arial" w:eastAsia="Arial" w:hAnsi="Arial"/>
          <w:sz w:val="18"/>
          <w:szCs w:val="18"/>
          <w:color w:val="auto"/>
        </w:rPr>
        <w:t>In addition, because we leverage third-party service providers, including cloud, software, data center and other critical technology vendors to deliver our solutions to our billers, partners or consumers and their clients, we rely heavily on the data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and some of these providers in turn subcontract with other third-party service providers. Our ability to monitor our third-party service providers’ data security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spacing w:after="0" w:line="109"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breach of security or security incident, regardless of how it occurs or the extent of the breach or incident, could have a significant impact on our reputation as a trusted brand, cause us to lose existing billers, partners and consumers, prevent us from obtaining new billers,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 monitoring and forensics, all of which could divert resources and attention of our management and key personnel away from our business operations and materially and adversely affect our business, operating results and financial condition. Any actual or perceived security breach or incident at a third-party service provider providing services to us or our billers, partners or consumers could have similar effects. Further, as the current COVID-19 pandemic continues to result in a significant number of people working from home,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information security incidents or protecting sensitive and personal data that they obtain and process on our behalf.</w:t>
      </w:r>
    </w:p>
    <w:p>
      <w:pPr>
        <w:spacing w:after="0" w:line="110"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Federal, state and international regulations may require us or our billers or partners to notify governmental entities and individuals of data security incidents involving certain types of personal and sensitive data or information technology systems. Security compromises experienced by others in our industry, our billers or partners or their consumers, our third-party service providers or us may lead to public disclosures and widespread negative publicity. Any security compromise in our industry, whether actual or perceived, could erode consumer, biller or partner confidence in the effectiveness of our security measures, negatively impact our ability to attract new billers, partners and consumers, cause existing billers,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spacing w:after="0" w:line="102" w:lineRule="exact"/>
        <w:rPr>
          <w:sz w:val="20"/>
          <w:szCs w:val="20"/>
          <w:color w:val="auto"/>
        </w:rPr>
      </w:pPr>
    </w:p>
    <w:p>
      <w:pPr>
        <w:jc w:val="both"/>
        <w:ind w:right="20" w:firstLine="494"/>
        <w:spacing w:after="0" w:line="263" w:lineRule="auto"/>
        <w:rPr>
          <w:sz w:val="20"/>
          <w:szCs w:val="20"/>
          <w:color w:val="auto"/>
        </w:rPr>
      </w:pPr>
      <w:r>
        <w:rPr>
          <w:rFonts w:ascii="Arial" w:cs="Arial" w:eastAsia="Arial" w:hAnsi="Arial"/>
          <w:sz w:val="18"/>
          <w:szCs w:val="18"/>
          <w:color w:val="auto"/>
        </w:rPr>
        <w:t>In addition, some of our billers and partners contractually require notification of data security compromises and include representations and warranties in their contracts with us that our platform, products and services comply with certain legal and technical standards related to data security and privacy and meet certain service levels. In our contracts, a data security compromise or operational disruption impacting us or one of our critical vendors, or system unavailability or damage due to other circumstances, may constitute a material breach and give rise to a biller’s or partner’s right to terminate their contract with us. In these circumstances, it may be difficult or impossible to cure such a breach in order to</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color w:val="auto"/>
        </w:rPr>
        <w:t>prevent billers or partners from potentially terminating their contracts with us. Furthermore, although our contracts typically include limitations on our potential liability, we cannot ensure that such limitations of liability would be adequate or apply to data security compromises.</w:t>
      </w:r>
    </w:p>
    <w:p>
      <w:pPr>
        <w:spacing w:after="0" w:line="89"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spacing w:after="0" w:line="75"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b w:val="1"/>
          <w:bCs w:val="1"/>
          <w:i w:val="1"/>
          <w:iCs w:val="1"/>
          <w:color w:val="auto"/>
        </w:rPr>
        <w:t>We may in the future become subject to or initiate intellectual property disputes, which are costly and time-consuming to defend against or pursue, and may subject us to significant liability and increased costs of doing business.</w:t>
      </w:r>
    </w:p>
    <w:p>
      <w:pPr>
        <w:spacing w:after="0" w:line="66"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We may in the future become subject to and involved in lawsuits, disputes, legal proceedings or claims to protect or enforce our intellectual property rights, and we may be subject to claims by third parties that we have infringed, misappropriated or otherwise violated their intellectual property. Even if we believe that particular intellectual property-related claims are without merit, litigation may be necessary to determine the scope and validity of intellectual property or proprietary rights of others or to protect or enforce our intellectual property rights. The ultimate outcome of any allegation is often uncertain and, regardless of the outcome, lawsuits, with or without merit, are time-consuming and expensive to resolve and they divert management’s time and attention and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spacing w:after="0" w:line="100"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technologies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or consumer confusion related to our marketplace could damage our reputation and 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spacing w:after="0" w:line="100"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If a third party is able to obtain an injunction preventing us from accessing such third-party’s intellectual property rights, or if we cannot license or develop alternative technology for any infringing aspect of our business, we would be forced to limit or stop sales of our products or cease business activities related to such intellectual property. Any inability to license third-party technology in the future would have an adverse effect on our business or operating results and would adversely affect our ability to compete.</w:t>
      </w:r>
    </w:p>
    <w:p>
      <w:pPr>
        <w:spacing w:after="0" w:line="98" w:lineRule="exact"/>
        <w:rPr>
          <w:sz w:val="20"/>
          <w:szCs w:val="20"/>
          <w:color w:val="auto"/>
        </w:rPr>
      </w:pPr>
    </w:p>
    <w:p>
      <w:pPr>
        <w:jc w:val="both"/>
        <w:ind w:right="220" w:firstLine="494"/>
        <w:spacing w:after="0" w:line="271" w:lineRule="auto"/>
        <w:rPr>
          <w:sz w:val="20"/>
          <w:szCs w:val="20"/>
          <w:color w:val="auto"/>
        </w:rPr>
      </w:pPr>
      <w:r>
        <w:rPr>
          <w:rFonts w:ascii="Arial" w:cs="Arial" w:eastAsia="Arial" w:hAnsi="Arial"/>
          <w:sz w:val="18"/>
          <w:szCs w:val="18"/>
          <w:color w:val="auto"/>
        </w:rPr>
        <w:t>We also are, and may in the future become, contractually obligated to indemnify our billers and partners in the event of infringement, misappropriation or other violation of a third party’s intellectual property rights. Responding to such claims, regardless of their merit, can be time-consuming, costly to defend and damaging to our reputation and brand.</w:t>
      </w:r>
    </w:p>
    <w:p>
      <w:pPr>
        <w:spacing w:after="0" w:line="73" w:lineRule="exact"/>
        <w:rPr>
          <w:sz w:val="20"/>
          <w:szCs w:val="20"/>
          <w:color w:val="auto"/>
        </w:rPr>
      </w:pPr>
    </w:p>
    <w:p>
      <w:pPr>
        <w:ind w:right="860"/>
        <w:spacing w:after="0" w:line="303" w:lineRule="auto"/>
        <w:rPr>
          <w:sz w:val="20"/>
          <w:szCs w:val="20"/>
          <w:color w:val="auto"/>
        </w:rPr>
      </w:pPr>
      <w:r>
        <w:rPr>
          <w:rFonts w:ascii="Arial" w:cs="Arial" w:eastAsia="Arial" w:hAnsi="Arial"/>
          <w:sz w:val="18"/>
          <w:szCs w:val="18"/>
          <w:b w:val="1"/>
          <w:bCs w:val="1"/>
          <w:i w:val="1"/>
          <w:iCs w:val="1"/>
          <w:color w:val="auto"/>
        </w:rPr>
        <w:t>Our business and platform depend in part on intellectual property and proprietary rights and technology licensed from or otherwise made available to us by third parties.</w:t>
      </w:r>
    </w:p>
    <w:p>
      <w:pPr>
        <w:spacing w:after="0" w:line="66" w:lineRule="exact"/>
        <w:rPr>
          <w:sz w:val="20"/>
          <w:szCs w:val="20"/>
          <w:color w:val="auto"/>
        </w:rPr>
      </w:pPr>
    </w:p>
    <w:p>
      <w:pPr>
        <w:ind w:right="20" w:firstLine="494"/>
        <w:spacing w:after="0" w:line="279" w:lineRule="auto"/>
        <w:rPr>
          <w:sz w:val="20"/>
          <w:szCs w:val="20"/>
          <w:color w:val="auto"/>
        </w:rPr>
      </w:pPr>
      <w:r>
        <w:rPr>
          <w:rFonts w:ascii="Arial" w:cs="Arial" w:eastAsia="Arial" w:hAnsi="Arial"/>
          <w:sz w:val="17"/>
          <w:szCs w:val="17"/>
          <w:color w:val="auto"/>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0" w:name="page61"/>
    <w:bookmarkEnd w:id="60"/>
    <w:p>
      <w:pPr>
        <w:ind w:right="380"/>
        <w:spacing w:after="0" w:line="271" w:lineRule="auto"/>
        <w:rPr>
          <w:sz w:val="20"/>
          <w:szCs w:val="20"/>
          <w:color w:val="auto"/>
        </w:rPr>
      </w:pPr>
      <w:r>
        <w:rPr>
          <w:rFonts w:ascii="Arial" w:cs="Arial" w:eastAsia="Arial" w:hAnsi="Arial"/>
          <w:sz w:val="18"/>
          <w:szCs w:val="18"/>
          <w:color w:val="auto"/>
        </w:rPr>
        <w:t>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95"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 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31"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steeply or suddenly regardless of our operating performance, and we may not be able to meet investor or analyst expectations.</w:t>
      </w:r>
    </w:p>
    <w:p>
      <w:pPr>
        <w:spacing w:after="0" w:line="66"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Prior to our initial public offering, or IPO, in May 2021, there was no public market for our Class A common stock. The lack of an active market for our Class A common stock may impair investors’ ability to sell their shares at the time they wish to sell them or at a price that they consider reasonable, may reduce the market value of their shares and may result in significant price and volume fluctuations. The market price of our Class A common stock may fluctuate or decline significantly in response to numerous factors, many of which are beyond our control, including:</w:t>
      </w:r>
    </w:p>
    <w:p>
      <w:pPr>
        <w:spacing w:after="0" w:line="100"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the continued impact of the COVID-19 pandemic, including but not limited to market volatility and economic disruption caused by the pandemic;</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fluctuations in our operating results;</w:t>
      </w:r>
    </w:p>
    <w:p>
      <w:pPr>
        <w:spacing w:after="0" w:line="131" w:lineRule="exact"/>
        <w:rPr>
          <w:sz w:val="20"/>
          <w:szCs w:val="20"/>
          <w:color w:val="auto"/>
        </w:rPr>
      </w:pPr>
    </w:p>
    <w:p>
      <w:pPr>
        <w:ind w:left="960" w:right="920"/>
        <w:spacing w:after="0" w:line="277" w:lineRule="auto"/>
        <w:rPr>
          <w:sz w:val="20"/>
          <w:szCs w:val="20"/>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89" w:lineRule="exact"/>
        <w:rPr>
          <w:sz w:val="20"/>
          <w:szCs w:val="20"/>
          <w:color w:val="auto"/>
        </w:rPr>
      </w:pPr>
    </w:p>
    <w:p>
      <w:pPr>
        <w:ind w:left="960" w:right="320"/>
        <w:spacing w:after="0" w:line="277" w:lineRule="auto"/>
        <w:rPr>
          <w:sz w:val="20"/>
          <w:szCs w:val="20"/>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89"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89" w:lineRule="exact"/>
        <w:rPr>
          <w:sz w:val="20"/>
          <w:szCs w:val="20"/>
          <w:color w:val="auto"/>
        </w:rPr>
      </w:pPr>
    </w:p>
    <w:p>
      <w:pPr>
        <w:ind w:left="960" w:right="660"/>
        <w:spacing w:after="0" w:line="277" w:lineRule="auto"/>
        <w:rPr>
          <w:sz w:val="20"/>
          <w:szCs w:val="20"/>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Accel-KKR, or AKKR, and our founder and chief executive officer;</w:t>
      </w:r>
    </w:p>
    <w:p>
      <w:pPr>
        <w:spacing w:after="0" w:line="89"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including if existing stockholders sell shares into the market when applicable “lock-up” periods end;</w:t>
      </w:r>
    </w:p>
    <w:p>
      <w:pPr>
        <w:spacing w:after="0" w:line="89" w:lineRule="exact"/>
        <w:rPr>
          <w:sz w:val="20"/>
          <w:szCs w:val="20"/>
          <w:color w:val="auto"/>
        </w:rPr>
      </w:pPr>
    </w:p>
    <w:p>
      <w:pPr>
        <w:ind w:left="960" w:right="700"/>
        <w:spacing w:after="0" w:line="277" w:lineRule="auto"/>
        <w:rPr>
          <w:sz w:val="20"/>
          <w:szCs w:val="20"/>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31" w:lineRule="exact"/>
        <w:rPr>
          <w:sz w:val="20"/>
          <w:szCs w:val="20"/>
          <w:color w:val="auto"/>
        </w:rPr>
      </w:pPr>
    </w:p>
    <w:p>
      <w:pPr>
        <w:ind w:left="960" w:right="160"/>
        <w:spacing w:after="0" w:line="277" w:lineRule="auto"/>
        <w:rPr>
          <w:sz w:val="20"/>
          <w:szCs w:val="20"/>
          <w:color w:val="auto"/>
        </w:rPr>
      </w:pPr>
      <w:r>
        <w:rPr>
          <w:rFonts w:ascii="Arial" w:cs="Arial" w:eastAsia="Arial" w:hAnsi="Arial"/>
          <w:sz w:val="18"/>
          <w:szCs w:val="18"/>
          <w:color w:val="auto"/>
        </w:rPr>
        <w:t>price and volume fluctuations in the overall stock market, including as a result of trends in trading patterns or the economy as a whole;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lawsuits, claims or investigations threatened, filed or initiated against us;</w:t>
      </w:r>
    </w:p>
    <w:p>
      <w:pPr>
        <w:spacing w:after="0" w:line="131" w:lineRule="exact"/>
        <w:rPr>
          <w:sz w:val="20"/>
          <w:szCs w:val="20"/>
          <w:color w:val="auto"/>
        </w:rPr>
      </w:pPr>
    </w:p>
    <w:p>
      <w:pPr>
        <w:ind w:left="960" w:right="680"/>
        <w:spacing w:after="0" w:line="277" w:lineRule="auto"/>
        <w:rPr>
          <w:sz w:val="20"/>
          <w:szCs w:val="20"/>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events or factors, including those resulting from war or incidents of terrorism, or responses to these events.</w:t>
      </w:r>
    </w:p>
    <w:p>
      <w:pPr>
        <w:spacing w:after="0" w:line="131" w:lineRule="exact"/>
        <w:rPr>
          <w:sz w:val="20"/>
          <w:szCs w:val="20"/>
          <w:color w:val="auto"/>
        </w:rPr>
      </w:pPr>
    </w:p>
    <w:p>
      <w:pPr>
        <w:ind w:right="320" w:firstLine="494"/>
        <w:spacing w:after="0" w:line="261" w:lineRule="auto"/>
        <w:rPr>
          <w:sz w:val="20"/>
          <w:szCs w:val="20"/>
          <w:color w:val="auto"/>
        </w:rPr>
      </w:pPr>
      <w:r>
        <w:rPr>
          <w:rFonts w:ascii="Arial" w:cs="Arial" w:eastAsia="Arial" w:hAnsi="Arial"/>
          <w:sz w:val="18"/>
          <w:szCs w:val="18"/>
          <w:color w:val="auto"/>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1" w:name="page62"/>
    <w:bookmarkEnd w:id="61"/>
    <w:p>
      <w:pPr>
        <w:ind w:right="100"/>
        <w:spacing w:after="0" w:line="266" w:lineRule="auto"/>
        <w:rPr>
          <w:sz w:val="20"/>
          <w:szCs w:val="20"/>
          <w:color w:val="auto"/>
        </w:rPr>
      </w:pPr>
      <w:r>
        <w:rPr>
          <w:rFonts w:ascii="Arial" w:cs="Arial" w:eastAsia="Arial" w:hAnsi="Arial"/>
          <w:sz w:val="18"/>
          <w:szCs w:val="18"/>
          <w:color w:val="auto"/>
        </w:rPr>
        <w:t>periods of market volatility. If we were to become involved in securities litigation, it could subject us to substantial costs, divert resources and the attention of management from our business and seriously harm our business.</w:t>
      </w:r>
    </w:p>
    <w:p>
      <w:pPr>
        <w:ind w:right="80"/>
        <w:spacing w:after="0" w:line="268"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or the perception that such sales could occur, could cause our stock price to decline.</w:t>
      </w:r>
    </w:p>
    <w:p>
      <w:pPr>
        <w:spacing w:after="0" w:line="153"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As of June 30, 2021, we had outstanding a total of 13,880,950 shares of Class A common stock and 103,479,239 shares of Class B common stock. All shares of Class A common stock sold in our IPO are freely tradeable without restriction or further registration under the Securities Act of 1933, as amended, or the Securities Act, unless acquired through the directed share program by our executive officers. The resale of 2,516,663 shares of Class A common stock and 103,479,239 shares of Class B common stock, or approximately 90.3% of our outstanding shares in the aggregate, is currently prohibited or otherwise restricted as a result of securities law provisions, market stand-off agreements entered into by our stockholders with us or lock-up agreements entered into by our stockholders with the underwriters in our IPO However, subject to Rule 144 limitations applicable to affiliates, these shares will be able to be sold in the public market beginning on November 22, 2021. Sales of a substantial number of such shares upon expiration of the lock-up and market stand-off agreements, the perception that such sales may occur or the early release of these agreements, could cause the market price of our Class A common stock to fall or make it more difficult for you to sell your Class A common stock at a time and price that you deem appropriate.</w:t>
      </w:r>
    </w:p>
    <w:p>
      <w:pPr>
        <w:spacing w:after="0" w:line="100"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In addition, 5,952 shares of Class A common stock and 7,560,820 shares of Class B common stock were subject to outstanding stock options as of June 30, 2021 and up to 509,370 shares of Class A common stock may be issuable pursuant to our warrant agreement with JPMC Strategic Investments I Corporation. These shares will become eligible for sale in the public market to the extent permitted by the provisions of various vesting agreements, the lock-up agreements and Rules 144 and 701 of the Securities Act. On May 26, 2021, we registered the offer and sale of all shares of Class A common stock and Class B common stock subject to stock options outstanding and reserved for issuance under our 2012 Equity Incentive Plan and 2021 Equity Incentive Plan. The shares covered by that registration statement are eligible for sale in the public markets, subject to Rule 144 limitations applicable to affiliates and the lock-up agreements described above. If these additional shares are sold, or if it is perceived that they will be sold in the public market, the market price of our Class A common stock could decline.</w:t>
      </w:r>
    </w:p>
    <w:p>
      <w:pPr>
        <w:spacing w:after="0" w:line="7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84"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the holders of our Class B common stock, including AKKR and our founder and chief executive officer, collectively will continue to control a majority of the combined voting power of our common stock and therefore be able to control all matters submitted to our stockholders so long as the shares of Class B common stock represent at least 9.1% of all outstanding shares of our Class A common stock and Class B common stock,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102" w:lineRule="exact"/>
        <w:rPr>
          <w:sz w:val="20"/>
          <w:szCs w:val="20"/>
          <w:color w:val="auto"/>
        </w:rPr>
      </w:pPr>
    </w:p>
    <w:p>
      <w:pPr>
        <w:ind w:right="260" w:firstLine="494"/>
        <w:spacing w:after="0" w:line="281" w:lineRule="auto"/>
        <w:rPr>
          <w:sz w:val="20"/>
          <w:szCs w:val="20"/>
          <w:color w:val="auto"/>
        </w:rPr>
      </w:pPr>
      <w:r>
        <w:rPr>
          <w:rFonts w:ascii="Arial" w:cs="Arial" w:eastAsia="Arial" w:hAnsi="Arial"/>
          <w:sz w:val="17"/>
          <w:szCs w:val="17"/>
          <w:color w:val="auto"/>
        </w:rPr>
        <w:t>Further, the stockholders agreement we have entered into with AKKR provides that, for so long as AKKR or certain of its permitted transferees hold more of our outstanding common stock than Mr. Sharma and certain of his affiliates, AKKR will have the right to nominate</w:t>
      </w:r>
    </w:p>
    <w:p>
      <w:pPr>
        <w:spacing w:after="0" w:line="1" w:lineRule="exact"/>
        <w:rPr>
          <w:sz w:val="20"/>
          <w:szCs w:val="20"/>
          <w:color w:val="auto"/>
        </w:rPr>
      </w:pPr>
    </w:p>
    <w:p>
      <w:pPr>
        <w:ind w:right="40" w:firstLine="8"/>
        <w:spacing w:after="0" w:line="268"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100" w:lineRule="exact"/>
        <w:rPr>
          <w:sz w:val="20"/>
          <w:szCs w:val="20"/>
          <w:color w:val="auto"/>
        </w:rPr>
      </w:pPr>
    </w:p>
    <w:p>
      <w:pPr>
        <w:jc w:val="both"/>
        <w:ind w:right="40" w:firstLine="494"/>
        <w:spacing w:after="0" w:line="262"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time, of increasing the relative voting power of those holders of Class B common stock who retain their shares in the long term.</w:t>
      </w:r>
    </w:p>
    <w:p>
      <w:pPr>
        <w:spacing w:after="0" w:line="131"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and S&amp;P Dow Jones does not admit companies with multiple-class share structures to certain of its indices. Affected indices include the Russell 2000 and the S&amp;P 500, S&amp;P MidCap 400 and S&amp;P SmallCap 600, which together make up the S&amp;P Composite 1500. The dual class structure of our common stock will make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 indices will likely preclude investment by many of these funds and could make our Class A common stock less attractive to other investors. As a result, the market price of our Class A common stock could be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53"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As of June 30, 2021, AKKR controlled approximately 79.4% of the voting power of our outstanding common stock. As a result, AKKR will have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100"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97" w:lineRule="exact"/>
        <w:rPr>
          <w:sz w:val="20"/>
          <w:szCs w:val="20"/>
          <w:color w:val="auto"/>
        </w:rPr>
      </w:pPr>
    </w:p>
    <w:p>
      <w:pPr>
        <w:ind w:right="100" w:firstLine="494"/>
        <w:spacing w:after="0" w:line="268"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76"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89" w:lineRule="exact"/>
        <w:rPr>
          <w:sz w:val="20"/>
          <w:szCs w:val="20"/>
          <w:color w:val="auto"/>
        </w:rPr>
      </w:pPr>
    </w:p>
    <w:p>
      <w:pPr>
        <w:ind w:firstLine="494"/>
        <w:spacing w:after="0" w:line="264"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will have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will have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attractive business opportunities are allocated by AKKR or another Exempted Person to itself, its affiliates or third parties instead of to us.</w:t>
      </w:r>
    </w:p>
    <w:p>
      <w:pPr>
        <w:spacing w:after="0" w:line="109" w:lineRule="exact"/>
        <w:rPr>
          <w:sz w:val="20"/>
          <w:szCs w:val="20"/>
          <w:color w:val="auto"/>
        </w:rPr>
      </w:pPr>
    </w:p>
    <w:p>
      <w:pPr>
        <w:jc w:val="both"/>
        <w:ind w:right="140"/>
        <w:spacing w:after="0" w:line="284"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market price or trading volume of our Class A common stock could decline.</w:t>
      </w:r>
    </w:p>
    <w:p>
      <w:pPr>
        <w:spacing w:after="0" w:line="84" w:lineRule="exact"/>
        <w:rPr>
          <w:sz w:val="20"/>
          <w:szCs w:val="20"/>
          <w:color w:val="auto"/>
        </w:rPr>
      </w:pPr>
    </w:p>
    <w:p>
      <w:pPr>
        <w:ind w:right="120" w:firstLine="494"/>
        <w:spacing w:after="0" w:line="268"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of the analysts initiate research with an unfavorable rating or downgrade our Class A common stock, provide a more favorable recommendation about our competitors or publish inaccurate or unfavorable research about our business, our Class A common stock price would likely decline. If any analyst who may cover us were to cease coverage of us or fail to regularly publish reports on us, we could lose visibility in the financial markets, which in turn could cause the market price or trading volume of our Class A common stock to decline.</w:t>
      </w:r>
    </w:p>
    <w:p>
      <w:pPr>
        <w:spacing w:after="0" w:line="76" w:lineRule="exact"/>
        <w:rPr>
          <w:sz w:val="20"/>
          <w:szCs w:val="20"/>
          <w:color w:val="auto"/>
        </w:rPr>
      </w:pPr>
    </w:p>
    <w:p>
      <w:pPr>
        <w:ind w:right="160"/>
        <w:spacing w:after="0" w:line="335"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43"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presentation of only two years of audited financial statements and related financial disclosure;</w:t>
      </w:r>
    </w:p>
    <w:p>
      <w:pPr>
        <w:spacing w:after="0" w:line="131"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89" w:lineRule="exact"/>
        <w:rPr>
          <w:sz w:val="20"/>
          <w:szCs w:val="20"/>
          <w:color w:val="auto"/>
        </w:rPr>
      </w:pPr>
    </w:p>
    <w:p>
      <w:pPr>
        <w:ind w:left="960" w:right="480"/>
        <w:spacing w:after="0" w:line="277" w:lineRule="auto"/>
        <w:rPr>
          <w:sz w:val="20"/>
          <w:szCs w:val="20"/>
          <w:color w:val="auto"/>
        </w:rPr>
      </w:pPr>
      <w:r>
        <w:rPr>
          <w:rFonts w:ascii="Arial" w:cs="Arial" w:eastAsia="Arial" w:hAnsi="Arial"/>
          <w:sz w:val="18"/>
          <w:szCs w:val="18"/>
          <w:color w:val="auto"/>
        </w:rPr>
        <w:t>exemption from compliance with the requirement of the PCAOB regarding the communication of critical audit matters in the auditor’s report on the financial statements;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about our executive compensation arrangements; and</w:t>
      </w:r>
    </w:p>
    <w:p>
      <w:pPr>
        <w:spacing w:after="0" w:line="131" w:lineRule="exact"/>
        <w:rPr>
          <w:sz w:val="20"/>
          <w:szCs w:val="20"/>
          <w:color w:val="auto"/>
        </w:rPr>
      </w:pPr>
    </w:p>
    <w:p>
      <w:pPr>
        <w:ind w:left="960" w:right="1040"/>
        <w:spacing w:after="0" w:line="277" w:lineRule="auto"/>
        <w:rPr>
          <w:sz w:val="20"/>
          <w:szCs w:val="20"/>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89"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98" w:lineRule="exact"/>
        <w:rPr>
          <w:sz w:val="20"/>
          <w:szCs w:val="20"/>
          <w:color w:val="auto"/>
        </w:rPr>
      </w:pPr>
    </w:p>
    <w:p>
      <w:pPr>
        <w:ind w:right="460" w:firstLine="494"/>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our IPO in May 2021. Our status as an emerging growth company will end as soon as any of the following takes place: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last day of the fiscal year in which we have at least $1.07 billion in annual revenue;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1"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the last day of the fiscal year during which the fifth anniversary of the completion of our IPO occurs, which would be December 31, 2026.</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New York Stock Exchange-listed companies, which could make our Class A common stock less attractive to some investors or otherwise harm our stock price.</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4" w:name="page65"/>
    <w:bookmarkEnd w:id="64"/>
    <w:p>
      <w:pPr>
        <w:ind w:right="100" w:firstLine="494"/>
        <w:spacing w:after="0" w:line="267" w:lineRule="auto"/>
        <w:rPr>
          <w:sz w:val="20"/>
          <w:szCs w:val="20"/>
          <w:color w:val="auto"/>
        </w:rPr>
      </w:pPr>
      <w:r>
        <w:rPr>
          <w:rFonts w:ascii="Arial" w:cs="Arial" w:eastAsia="Arial" w:hAnsi="Arial"/>
          <w:sz w:val="18"/>
          <w:szCs w:val="18"/>
          <w:color w:val="auto"/>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In light of our status as a controlled company, in the future we could elect not to have a majority of our board of directors be independent or not to have an independent compensation committee or nominating and corporate governance committee. Accordingly, should the interests of our management and AKKR differ from those of other stockholders, the other stockholders may not have the same protections afforded to stockholders of companies that are subject to all of the corporate governance rules for New York Stock Exchange-listed companies. Our status as a controlled company could make our Class A common stock less attractive to some investors or otherwise harm our stock price.</w:t>
      </w:r>
    </w:p>
    <w:p>
      <w:pPr>
        <w:spacing w:after="0" w:line="80"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i w:val="1"/>
          <w:iCs w:val="1"/>
          <w:color w:val="auto"/>
        </w:rPr>
        <w:t>Future securities issuances could result in significant dilution to our stockholders and impair the market price of our Class A common stock.</w:t>
      </w:r>
    </w:p>
    <w:p>
      <w:pPr>
        <w:spacing w:after="0" w:line="66"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Future issuances of shares of our Class A common stock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spacing w:after="0" w:line="98" w:lineRule="exact"/>
        <w:rPr>
          <w:sz w:val="20"/>
          <w:szCs w:val="20"/>
          <w:color w:val="auto"/>
        </w:rPr>
      </w:pPr>
    </w:p>
    <w:p>
      <w:pPr>
        <w:ind w:right="140" w:firstLine="494"/>
        <w:spacing w:after="0" w:line="269" w:lineRule="auto"/>
        <w:rPr>
          <w:sz w:val="20"/>
          <w:szCs w:val="20"/>
          <w:color w:val="auto"/>
        </w:rPr>
      </w:pPr>
      <w:r>
        <w:rPr>
          <w:rFonts w:ascii="Arial" w:cs="Arial" w:eastAsia="Arial" w:hAnsi="Arial"/>
          <w:sz w:val="18"/>
          <w:szCs w:val="18"/>
          <w:color w:val="auto"/>
        </w:rPr>
        <w:t>As of June 30, 2021, there were 7,566,772 shares of Class B common stock subject to outstanding options. All of the shares of Class B common stock subject to outstanding options are registered for public resale under the Securities Act. Accordingly, these shares will be able to be freely sold in the public market upon issuance as permitted by any applicable vesting requirements, lockup agreements, and subject to compliance with applicable securities laws.</w:t>
      </w:r>
    </w:p>
    <w:p>
      <w:pPr>
        <w:spacing w:after="0" w:line="98"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In addition, as of June 30, 2021, the holders of up to 105,666,751 shares of our common stock, or certain permitted transferees, are entitled to require us to file registration statements for the public 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 subject to the restrictions of Rule 144 under the Securities Act in the case of our affiliates.</w:t>
      </w:r>
    </w:p>
    <w:p>
      <w:pPr>
        <w:spacing w:after="0" w:line="7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Washington law could make an acquisition of us difficult, limit attempts by our stockholders to replace or remove our current management and depress the market price of our Class A common stock.</w:t>
      </w:r>
    </w:p>
    <w:p>
      <w:pPr>
        <w:spacing w:after="0" w:line="84" w:lineRule="exact"/>
        <w:rPr>
          <w:sz w:val="20"/>
          <w:szCs w:val="20"/>
          <w:color w:val="auto"/>
        </w:rPr>
      </w:pPr>
    </w:p>
    <w:p>
      <w:pPr>
        <w:ind w:right="80" w:firstLine="494"/>
        <w:spacing w:after="0" w:line="269" w:lineRule="auto"/>
        <w:rPr>
          <w:sz w:val="20"/>
          <w:szCs w:val="20"/>
          <w:color w:val="auto"/>
        </w:rPr>
      </w:pPr>
      <w:r>
        <w:rPr>
          <w:rFonts w:ascii="Arial" w:cs="Arial" w:eastAsia="Arial" w:hAnsi="Arial"/>
          <w:sz w:val="18"/>
          <w:szCs w:val="18"/>
          <w:color w:val="auto"/>
        </w:rPr>
        <w:t>In addition to AKKR controlling approximately 79.4% of the voting power of our common stock as of June 30, 2021,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have a dual class common stock structure, with differing voting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authorized number of directors may be changed only by resolution of the board of directors;</w:t>
      </w:r>
    </w:p>
    <w:p>
      <w:pPr>
        <w:spacing w:after="0" w:line="131" w:lineRule="exact"/>
        <w:rPr>
          <w:sz w:val="20"/>
          <w:szCs w:val="20"/>
          <w:color w:val="auto"/>
        </w:rPr>
      </w:pPr>
    </w:p>
    <w:p>
      <w:pPr>
        <w:ind w:left="960" w:right="620"/>
        <w:spacing w:after="0" w:line="277" w:lineRule="auto"/>
        <w:rPr>
          <w:sz w:val="20"/>
          <w:szCs w:val="20"/>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89" w:lineRule="exact"/>
        <w:rPr>
          <w:sz w:val="20"/>
          <w:szCs w:val="20"/>
          <w:color w:val="auto"/>
        </w:rPr>
      </w:pPr>
    </w:p>
    <w:p>
      <w:pPr>
        <w:ind w:left="960" w:right="1680"/>
        <w:spacing w:after="0" w:line="391" w:lineRule="auto"/>
        <w:rPr>
          <w:sz w:val="20"/>
          <w:szCs w:val="20"/>
          <w:color w:val="auto"/>
        </w:rPr>
      </w:pPr>
      <w:r>
        <w:rPr>
          <w:rFonts w:ascii="Arial" w:cs="Arial" w:eastAsia="Arial" w:hAnsi="Arial"/>
          <w:sz w:val="18"/>
          <w:szCs w:val="18"/>
          <w:color w:val="auto"/>
        </w:rPr>
        <w:t>our board of directors is divided into three classes, each of which stands for election once every three years; there is no cumulative voting;</w:t>
      </w:r>
    </w:p>
    <w:p>
      <w:pPr>
        <w:spacing w:after="0" w:line="1"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board of directors may adopt, alter or repeal our bylaws;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forum for certain litigation against us is restricted to Delaware; and</w:t>
      </w:r>
    </w:p>
    <w:p>
      <w:pPr>
        <w:spacing w:after="0" w:line="131" w:lineRule="exact"/>
        <w:rPr>
          <w:sz w:val="20"/>
          <w:szCs w:val="20"/>
          <w:color w:val="auto"/>
        </w:rPr>
      </w:pPr>
    </w:p>
    <w:p>
      <w:pPr>
        <w:ind w:left="960" w:right="40"/>
        <w:spacing w:after="0" w:line="261" w:lineRule="auto"/>
        <w:rPr>
          <w:sz w:val="20"/>
          <w:szCs w:val="20"/>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5" w:name="page66"/>
    <w:bookmarkEnd w:id="65"/>
    <w:p>
      <w:pPr>
        <w:ind w:right="520" w:firstLine="494"/>
        <w:spacing w:after="0" w:line="277"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stockholders may not call special meetings of stockholders or act by written consent;</w:t>
      </w:r>
    </w:p>
    <w:p>
      <w:pPr>
        <w:spacing w:after="0" w:line="131"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31" w:lineRule="exact"/>
        <w:rPr>
          <w:sz w:val="20"/>
          <w:szCs w:val="20"/>
          <w:color w:val="auto"/>
        </w:rPr>
      </w:pPr>
    </w:p>
    <w:p>
      <w:pPr>
        <w:ind w:right="280" w:firstLine="494"/>
        <w:spacing w:after="0" w:line="288" w:lineRule="auto"/>
        <w:rPr>
          <w:sz w:val="20"/>
          <w:szCs w:val="20"/>
          <w:color w:val="auto"/>
        </w:rPr>
      </w:pPr>
      <w:r>
        <w:rPr>
          <w:rFonts w:ascii="Arial" w:cs="Arial" w:eastAsia="Arial" w:hAnsi="Arial"/>
          <w:sz w:val="17"/>
          <w:szCs w:val="17"/>
          <w:color w:val="auto"/>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 years from the date such person acquired such common stock, unless approval from our board of directors or stockholders is obtained prior to the acquisition and subject to other exceptions.</w:t>
      </w:r>
    </w:p>
    <w:p>
      <w:pPr>
        <w:spacing w:after="0" w:line="83"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In addition,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98"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Any provision of our certificate of incorporation or bylaws, or under Washington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7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100" w:lineRule="exact"/>
        <w:rPr>
          <w:sz w:val="20"/>
          <w:szCs w:val="20"/>
          <w:color w:val="auto"/>
        </w:rPr>
      </w:pPr>
    </w:p>
    <w:p>
      <w:pPr>
        <w:ind w:right="100" w:firstLine="494"/>
        <w:spacing w:after="0" w:line="268"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00" w:lineRule="exact"/>
        <w:rPr>
          <w:sz w:val="20"/>
          <w:szCs w:val="20"/>
          <w:color w:val="auto"/>
        </w:rPr>
      </w:pPr>
    </w:p>
    <w:p>
      <w:pPr>
        <w:ind w:right="40" w:firstLine="494"/>
        <w:spacing w:after="0" w:line="264" w:lineRule="auto"/>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6" w:name="page67"/>
    <w:bookmarkEnd w:id="66"/>
    <w:p>
      <w:pPr>
        <w:jc w:val="both"/>
        <w:ind w:right="80" w:firstLine="494"/>
        <w:spacing w:after="0" w:line="268" w:lineRule="auto"/>
        <w:rPr>
          <w:sz w:val="20"/>
          <w:szCs w:val="20"/>
          <w:color w:val="auto"/>
        </w:rPr>
      </w:pPr>
      <w:r>
        <w:rPr>
          <w:rFonts w:ascii="Arial" w:cs="Arial" w:eastAsia="Arial" w:hAnsi="Arial"/>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3" w:lineRule="exact"/>
        <w:rPr>
          <w:sz w:val="20"/>
          <w:szCs w:val="20"/>
          <w:color w:val="auto"/>
        </w:rPr>
      </w:pPr>
    </w:p>
    <w:p>
      <w:pPr>
        <w:ind w:right="340" w:firstLine="544"/>
        <w:spacing w:after="0" w:line="277" w:lineRule="auto"/>
        <w:rPr>
          <w:sz w:val="20"/>
          <w:szCs w:val="20"/>
          <w:color w:val="auto"/>
        </w:rPr>
      </w:pPr>
      <w:r>
        <w:rPr>
          <w:rFonts w:ascii="Arial" w:cs="Arial" w:eastAsia="Arial" w:hAnsi="Arial"/>
          <w:sz w:val="18"/>
          <w:szCs w:val="18"/>
          <w:color w:val="auto"/>
        </w:rPr>
        <w:t>During the three months ended June 30, 2021, we granted stock options to purchase an aggregate of 5,952 shares of our Class A common stock to employees under our 2021 Equity Incentive Plan, at an exercise price of $21.00 per share.</w:t>
      </w:r>
    </w:p>
    <w:p>
      <w:pPr>
        <w:spacing w:after="0" w:line="89" w:lineRule="exact"/>
        <w:rPr>
          <w:sz w:val="20"/>
          <w:szCs w:val="20"/>
          <w:color w:val="auto"/>
        </w:rPr>
      </w:pPr>
    </w:p>
    <w:p>
      <w:pPr>
        <w:ind w:right="480" w:firstLine="544"/>
        <w:spacing w:after="0" w:line="277" w:lineRule="auto"/>
        <w:rPr>
          <w:sz w:val="20"/>
          <w:szCs w:val="20"/>
          <w:color w:val="auto"/>
        </w:rPr>
      </w:pPr>
      <w:r>
        <w:rPr>
          <w:rFonts w:ascii="Arial" w:cs="Arial" w:eastAsia="Arial" w:hAnsi="Arial"/>
          <w:sz w:val="18"/>
          <w:szCs w:val="18"/>
          <w:color w:val="auto"/>
        </w:rPr>
        <w:t>On May 28, 2021, we sold 2,380,950 shares of our Class A common stock to entities affiliated with AKKR in a private placement concurrent with the IPO. We received aggregate proceeds of $50.0 million from the concurrent private placement.</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On May 28, 2021, pursuant to a warrant agreement we issued a warrant to JPMC Strategic Investments I Corporation covering 382,027 shares of our Class A common stock with an exercise price of $18.375 per share. We may also become obligated to issue additional warrants under the warrant agreement, subject to the achievement of certain commercial milestones through December 31, 2025, covering up to 127,343 shares of our Class A common stock with an exercise price of $18.375 per share.</w:t>
      </w:r>
    </w:p>
    <w:p>
      <w:pPr>
        <w:spacing w:after="0" w:line="98" w:lineRule="exact"/>
        <w:rPr>
          <w:sz w:val="20"/>
          <w:szCs w:val="20"/>
          <w:color w:val="auto"/>
        </w:rPr>
      </w:pPr>
    </w:p>
    <w:p>
      <w:pPr>
        <w:ind w:right="160" w:firstLine="494"/>
        <w:spacing w:after="0" w:line="26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53"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We filed a registration statement on Form S-1 (File No. 333-255683) for our IPO, or the Registration Statement, which was declared effective by the SEC on May 25, 2021. The Registration Statement registered an aggregate of 11,500,000 shares of our Class A common stock, including 1,500,000 shares registered to cover the right to purchase additional shares granted by us to the underwriters. On May 28, 2021, we closed the IPO, in which we sold 11,500,000 shares of our Class A common stock, including shares sold in connection with the exercise in full of the underwriters’ option to purchase additional shares, at a price to the public of $21.00 per share for an aggregate offering price of approximately $241.5 million. Upon completion of the sale of the shares of our Class A common stock referenced in the preceding sentences, the IPO terminated.</w:t>
      </w:r>
    </w:p>
    <w:p>
      <w:pPr>
        <w:spacing w:after="0" w:line="97" w:lineRule="exact"/>
        <w:rPr>
          <w:sz w:val="20"/>
          <w:szCs w:val="20"/>
          <w:color w:val="auto"/>
        </w:rPr>
      </w:pPr>
    </w:p>
    <w:p>
      <w:pPr>
        <w:ind w:right="180" w:firstLine="544"/>
        <w:spacing w:after="0" w:line="277" w:lineRule="auto"/>
        <w:rPr>
          <w:sz w:val="20"/>
          <w:szCs w:val="20"/>
          <w:color w:val="auto"/>
        </w:rPr>
      </w:pPr>
      <w:r>
        <w:rPr>
          <w:rFonts w:ascii="Arial" w:cs="Arial" w:eastAsia="Arial" w:hAnsi="Arial"/>
          <w:sz w:val="18"/>
          <w:szCs w:val="18"/>
          <w:color w:val="auto"/>
        </w:rPr>
        <w:t>Immediately subsequent to the closing of our IPO, entities affiliated with AKKR purchased 2,380,950 shares of our Class A common stock from us at $21.00 per share in a concurrent private placement.</w:t>
      </w:r>
    </w:p>
    <w:p>
      <w:pPr>
        <w:spacing w:after="0" w:line="89" w:lineRule="exact"/>
        <w:rPr>
          <w:sz w:val="20"/>
          <w:szCs w:val="20"/>
          <w:color w:val="auto"/>
        </w:rPr>
      </w:pPr>
    </w:p>
    <w:p>
      <w:pPr>
        <w:ind w:right="140" w:firstLine="494"/>
        <w:spacing w:after="0" w:line="267" w:lineRule="auto"/>
        <w:rPr>
          <w:sz w:val="20"/>
          <w:szCs w:val="20"/>
          <w:color w:val="auto"/>
        </w:rPr>
      </w:pPr>
      <w:r>
        <w:rPr>
          <w:rFonts w:ascii="Arial" w:cs="Arial" w:eastAsia="Arial" w:hAnsi="Arial"/>
          <w:sz w:val="18"/>
          <w:szCs w:val="18"/>
          <w:color w:val="auto"/>
        </w:rPr>
        <w:t>Goldman Sachs &amp; Co. LLC, J.P. Morgan Securities LLC, BofA Securities, Inc. and Citigroup Global Markets Inc. acted as lead bookrunning managers for the IPO. Robert W. Baird &amp; Co. Incorporated, Nomura Securities International, Inc., Raymond James &amp; Associates, Inc. and Wells Fargo Securities, LLC acted as bookrunning managers for the IPO and Fifth Third Securities, Inc., PNC Capital Markets LLC, AmeriVet Securities, Inc. and C.L. King &amp; Associates, Inc. acted as co-managers for the IPO. We incurred underwriting discounts and commissions totaling approximately $16.1 million. In addition, we incurred offering expenses of approximately $4.3 million which, when added to the underwriting discounts and commissions, amount to total expenses of approximately $20.4 million. Thus, our net offering proceeds, inclusive of the concurrent private placement, after deducting underwriting discounts and commissions and other offering costs, were approximately $270.3 million.</w:t>
      </w:r>
    </w:p>
    <w:p>
      <w:pPr>
        <w:spacing w:after="0" w:line="102" w:lineRule="exact"/>
        <w:rPr>
          <w:sz w:val="20"/>
          <w:szCs w:val="20"/>
          <w:color w:val="auto"/>
        </w:rPr>
      </w:pPr>
    </w:p>
    <w:p>
      <w:pPr>
        <w:jc w:val="both"/>
        <w:ind w:right="180" w:firstLine="494"/>
        <w:spacing w:after="0" w:line="261"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 There has been no material change in the planned use of proceeds from our IPO as described in the final prospectus.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7" w:name="page68"/>
    <w:bookmarkEnd w:id="67"/>
    <w:p>
      <w:pPr>
        <w:ind w:right="120" w:firstLine="494"/>
        <w:spacing w:after="0" w:line="277" w:lineRule="auto"/>
        <w:rPr>
          <w:sz w:val="20"/>
          <w:szCs w:val="20"/>
          <w:color w:val="auto"/>
        </w:rPr>
      </w:pPr>
      <w:r>
        <w:rPr>
          <w:rFonts w:ascii="Arial" w:cs="Arial" w:eastAsia="Arial" w:hAnsi="Arial"/>
          <w:sz w:val="18"/>
          <w:szCs w:val="18"/>
          <w:color w:val="auto"/>
        </w:rPr>
        <w:t>We used approximately $57.4 million of the net proceeds from the IPO to redeem all of our issued and outstanding shares of Series A preferred stock, including accrued dividends.</w:t>
      </w:r>
    </w:p>
    <w:p>
      <w:pPr>
        <w:sectPr>
          <w:pgSz w:w="11900" w:h="16838" w:orient="portrait"/>
          <w:cols w:equalWidth="0" w:num="1">
            <w:col w:w="11240"/>
          </w:cols>
          <w:pgMar w:left="320" w:top="490"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22"/>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246"/>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4260" w:type="dxa"/>
            <w:vAlign w:val="bottom"/>
            <w:tcBorders>
              <w:bottom w:val="single" w:sz="8" w:color="0000FF"/>
            </w:tcBorders>
            <w:gridSpan w:val="17"/>
          </w:tcPr>
          <w:p>
            <w:pPr>
              <w:spacing w:after="0" w:line="189" w:lineRule="exact"/>
              <w:rPr>
                <w:rFonts w:ascii="Arial" w:cs="Arial" w:eastAsia="Arial" w:hAnsi="Arial"/>
                <w:sz w:val="18"/>
                <w:szCs w:val="18"/>
                <w:color w:val="0000FF"/>
                <w:w w:val="99"/>
              </w:rPr>
            </w:pPr>
            <w:hyperlink r:id="rId322">
              <w:r>
                <w:rPr>
                  <w:rFonts w:ascii="Arial" w:cs="Arial" w:eastAsia="Arial" w:hAnsi="Arial"/>
                  <w:sz w:val="18"/>
                  <w:szCs w:val="18"/>
                  <w:color w:val="0000FF"/>
                  <w:w w:val="99"/>
                </w:rPr>
                <w:t>Amended and Restated Certificate of Incorporation of</w:t>
              </w:r>
            </w:hyperlink>
          </w:p>
        </w:tc>
        <w:tc>
          <w:tcPr>
            <w:tcW w:w="800" w:type="dxa"/>
            <w:vAlign w:val="bottom"/>
            <w:gridSpan w:val="7"/>
          </w:tcPr>
          <w:p>
            <w:pPr>
              <w:spacing w:after="0"/>
              <w:rPr>
                <w:sz w:val="16"/>
                <w:szCs w:val="16"/>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24"/>
          </w:tcPr>
          <w:p>
            <w:pPr>
              <w:spacing w:after="0"/>
              <w:rPr>
                <w:rFonts w:ascii="Arial" w:cs="Arial" w:eastAsia="Arial" w:hAnsi="Arial"/>
                <w:sz w:val="18"/>
                <w:szCs w:val="18"/>
                <w:color w:val="0000FF"/>
              </w:rPr>
            </w:pPr>
            <w:hyperlink r:id="rId322">
              <w:r>
                <w:rPr>
                  <w:rFonts w:ascii="Arial" w:cs="Arial" w:eastAsia="Arial" w:hAnsi="Arial"/>
                  <w:sz w:val="18"/>
                  <w:szCs w:val="18"/>
                  <w:color w:val="0000FF"/>
                </w:rPr>
                <w:t>Paymentus Holdings, Inc.</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3">
              <w:r>
                <w:rPr>
                  <w:rFonts w:ascii="Arial" w:cs="Arial" w:eastAsia="Arial" w:hAnsi="Arial"/>
                  <w:sz w:val="18"/>
                  <w:szCs w:val="18"/>
                  <w:color w:val="0000FF"/>
                </w:rPr>
                <w:t>Amended and Restated Bylaws of Paymentus Holdings, Inc.</w:t>
              </w:r>
            </w:hyperlink>
          </w:p>
        </w:tc>
      </w:tr>
      <w:tr>
        <w:trPr>
          <w:trHeight w:val="452"/>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9"/>
              </w:rPr>
            </w:pPr>
            <w:hyperlink r:id="rId324">
              <w:r>
                <w:rPr>
                  <w:rFonts w:ascii="Arial" w:cs="Arial" w:eastAsia="Arial" w:hAnsi="Arial"/>
                  <w:sz w:val="18"/>
                  <w:szCs w:val="18"/>
                  <w:color w:val="0000FF"/>
                  <w:w w:val="99"/>
                </w:rPr>
                <w:t>Form of Class A Common Stock Certificate</w:t>
              </w:r>
            </w:hyperlink>
          </w:p>
        </w:tc>
        <w:tc>
          <w:tcPr>
            <w:tcW w:w="20" w:type="dxa"/>
            <w:vAlign w:val="bottom"/>
            <w:tcBorders>
              <w:top w:val="single" w:sz="8" w:color="0000FF"/>
              <w:bottom w:val="single" w:sz="8" w:color="0000EE"/>
            </w:tcBorders>
          </w:tcPr>
          <w:p>
            <w:pPr>
              <w:spacing w:after="0"/>
              <w:rPr>
                <w:sz w:val="24"/>
                <w:szCs w:val="24"/>
                <w:color w:val="auto"/>
              </w:rPr>
            </w:pPr>
          </w:p>
        </w:tc>
        <w:tc>
          <w:tcPr>
            <w:tcW w:w="1340" w:type="dxa"/>
            <w:vAlign w:val="bottom"/>
            <w:tcBorders>
              <w:top w:val="single" w:sz="8" w:color="0000FF"/>
            </w:tcBorders>
            <w:gridSpan w:val="6"/>
          </w:tcPr>
          <w:p>
            <w:pPr>
              <w:spacing w:after="0"/>
              <w:rPr>
                <w:sz w:val="24"/>
                <w:szCs w:val="24"/>
                <w:color w:val="auto"/>
              </w:rPr>
            </w:pPr>
          </w:p>
        </w:tc>
        <w:tc>
          <w:tcPr>
            <w:tcW w:w="260" w:type="dxa"/>
            <w:vAlign w:val="bottom"/>
            <w:gridSpan w:val="4"/>
          </w:tcPr>
          <w:p>
            <w:pPr>
              <w:spacing w:after="0"/>
              <w:rPr>
                <w:sz w:val="24"/>
                <w:szCs w:val="24"/>
                <w:color w:val="auto"/>
              </w:rPr>
            </w:pPr>
          </w:p>
        </w:tc>
      </w:tr>
      <w:tr>
        <w:trPr>
          <w:trHeight w:val="453"/>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060" w:type="dxa"/>
            <w:vAlign w:val="bottom"/>
            <w:gridSpan w:val="24"/>
          </w:tcPr>
          <w:p>
            <w:pPr>
              <w:spacing w:after="0"/>
              <w:rPr>
                <w:rFonts w:ascii="Arial" w:cs="Arial" w:eastAsia="Arial" w:hAnsi="Arial"/>
                <w:sz w:val="18"/>
                <w:szCs w:val="18"/>
                <w:color w:val="0000FF"/>
              </w:rPr>
            </w:pPr>
            <w:hyperlink r:id="rId325">
              <w:r>
                <w:rPr>
                  <w:rFonts w:ascii="Arial" w:cs="Arial" w:eastAsia="Arial" w:hAnsi="Arial"/>
                  <w:sz w:val="18"/>
                  <w:szCs w:val="18"/>
                  <w:color w:val="0000FF"/>
                </w:rPr>
                <w:t>Registration Rights Agreement, dated as of May 24, 2021, by</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24"/>
          </w:tcPr>
          <w:p>
            <w:pPr>
              <w:spacing w:after="0"/>
              <w:rPr>
                <w:rFonts w:ascii="Arial" w:cs="Arial" w:eastAsia="Arial" w:hAnsi="Arial"/>
                <w:sz w:val="18"/>
                <w:szCs w:val="18"/>
                <w:color w:val="0000FF"/>
              </w:rPr>
            </w:pPr>
            <w:hyperlink r:id="rId325">
              <w:r>
                <w:rPr>
                  <w:rFonts w:ascii="Arial" w:cs="Arial" w:eastAsia="Arial" w:hAnsi="Arial"/>
                  <w:sz w:val="18"/>
                  <w:szCs w:val="18"/>
                  <w:color w:val="0000FF"/>
                </w:rPr>
                <w:t>and among Paymentus Holdings, Inc. and the other signatories</w:t>
              </w:r>
            </w:hyperlink>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Borders>
              <w:top w:val="single" w:sz="8" w:color="0000FF"/>
            </w:tcBorders>
            <w:gridSpan w:val="23"/>
          </w:tcPr>
          <w:p>
            <w:pPr>
              <w:spacing w:after="0"/>
              <w:rPr>
                <w:rFonts w:ascii="Arial" w:cs="Arial" w:eastAsia="Arial" w:hAnsi="Arial"/>
                <w:sz w:val="18"/>
                <w:szCs w:val="18"/>
                <w:color w:val="0000FF"/>
              </w:rPr>
            </w:pPr>
            <w:hyperlink r:id="rId325">
              <w:r>
                <w:rPr>
                  <w:rFonts w:ascii="Arial" w:cs="Arial" w:eastAsia="Arial" w:hAnsi="Arial"/>
                  <w:sz w:val="18"/>
                  <w:szCs w:val="18"/>
                  <w:color w:val="0000FF"/>
                </w:rPr>
                <w:t>thereto</w:t>
              </w:r>
            </w:hyperlink>
          </w:p>
        </w:tc>
        <w:tc>
          <w:tcPr>
            <w:tcW w:w="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4">
              <w:r>
                <w:rPr>
                  <w:rFonts w:ascii="Arial" w:cs="Arial" w:eastAsia="Arial" w:hAnsi="Arial"/>
                  <w:sz w:val="18"/>
                  <w:szCs w:val="18"/>
                  <w:color w:val="0000FF"/>
                </w:rPr>
                <w:t>Form of Director and Executive Officer Indemnification</w:t>
              </w:r>
            </w:hyperlink>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tcBorders>
              <w:top w:val="single" w:sz="8" w:color="0000FF"/>
            </w:tcBorders>
            <w:gridSpan w:val="18"/>
          </w:tcPr>
          <w:p>
            <w:pPr>
              <w:spacing w:after="0"/>
              <w:rPr>
                <w:rFonts w:ascii="Arial" w:cs="Arial" w:eastAsia="Arial" w:hAnsi="Arial"/>
                <w:sz w:val="18"/>
                <w:szCs w:val="18"/>
                <w:color w:val="0000FF"/>
              </w:rPr>
            </w:pPr>
            <w:hyperlink r:id="rId324">
              <w:r>
                <w:rPr>
                  <w:rFonts w:ascii="Arial" w:cs="Arial" w:eastAsia="Arial" w:hAnsi="Arial"/>
                  <w:sz w:val="18"/>
                  <w:szCs w:val="18"/>
                  <w:color w:val="0000FF"/>
                </w:rPr>
                <w:t>Agreement</w:t>
              </w:r>
            </w:hyperlink>
          </w:p>
        </w:tc>
        <w:tc>
          <w:tcPr>
            <w:tcW w:w="740" w:type="dxa"/>
            <w:vAlign w:val="bottom"/>
            <w:gridSpan w:val="6"/>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4500" w:type="dxa"/>
            <w:vAlign w:val="bottom"/>
            <w:tcBorders>
              <w:bottom w:val="single" w:sz="8" w:color="0000FF"/>
            </w:tcBorders>
            <w:gridSpan w:val="19"/>
          </w:tcPr>
          <w:p>
            <w:pPr>
              <w:spacing w:after="0"/>
              <w:rPr>
                <w:rFonts w:ascii="Arial" w:cs="Arial" w:eastAsia="Arial" w:hAnsi="Arial"/>
                <w:sz w:val="18"/>
                <w:szCs w:val="18"/>
                <w:color w:val="0000FF"/>
                <w:w w:val="99"/>
              </w:rPr>
            </w:pPr>
            <w:hyperlink r:id="rId326">
              <w:r>
                <w:rPr>
                  <w:rFonts w:ascii="Arial" w:cs="Arial" w:eastAsia="Arial" w:hAnsi="Arial"/>
                  <w:sz w:val="18"/>
                  <w:szCs w:val="18"/>
                  <w:color w:val="0000FF"/>
                  <w:w w:val="99"/>
                </w:rPr>
                <w:t>2021 Equity Incentive Plan and related form agreements</w:t>
              </w:r>
            </w:hyperlink>
          </w:p>
        </w:tc>
        <w:tc>
          <w:tcPr>
            <w:tcW w:w="560" w:type="dxa"/>
            <w:vAlign w:val="bottom"/>
            <w:gridSpan w:val="5"/>
          </w:tcPr>
          <w:p>
            <w:pPr>
              <w:spacing w:after="0"/>
              <w:rPr>
                <w:sz w:val="19"/>
                <w:szCs w:val="19"/>
                <w:color w:val="auto"/>
              </w:rPr>
            </w:pPr>
          </w:p>
        </w:tc>
      </w:tr>
      <w:tr>
        <w:trPr>
          <w:trHeight w:val="453"/>
        </w:trPr>
        <w:tc>
          <w:tcPr>
            <w:tcW w:w="11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3180" w:type="dxa"/>
            <w:vAlign w:val="bottom"/>
            <w:tcBorders>
              <w:bottom w:val="single" w:sz="8" w:color="0000FF"/>
            </w:tcBorders>
            <w:gridSpan w:val="11"/>
          </w:tcPr>
          <w:p>
            <w:pPr>
              <w:spacing w:after="0"/>
              <w:rPr>
                <w:rFonts w:ascii="Arial" w:cs="Arial" w:eastAsia="Arial" w:hAnsi="Arial"/>
                <w:sz w:val="18"/>
                <w:szCs w:val="18"/>
                <w:color w:val="0000FF"/>
                <w:w w:val="99"/>
              </w:rPr>
            </w:pPr>
            <w:hyperlink r:id="rId326">
              <w:r>
                <w:rPr>
                  <w:rFonts w:ascii="Arial" w:cs="Arial" w:eastAsia="Arial" w:hAnsi="Arial"/>
                  <w:sz w:val="18"/>
                  <w:szCs w:val="18"/>
                  <w:color w:val="0000FF"/>
                  <w:w w:val="99"/>
                </w:rPr>
                <w:t>Executive Incentive Compensation Plan</w:t>
              </w:r>
            </w:hyperlink>
          </w:p>
        </w:tc>
        <w:tc>
          <w:tcPr>
            <w:tcW w:w="1880" w:type="dxa"/>
            <w:vAlign w:val="bottom"/>
            <w:gridSpan w:val="13"/>
          </w:tcPr>
          <w:p>
            <w:pPr>
              <w:spacing w:after="0"/>
              <w:rPr>
                <w:sz w:val="24"/>
                <w:szCs w:val="24"/>
                <w:color w:val="auto"/>
              </w:rPr>
            </w:pPr>
          </w:p>
        </w:tc>
      </w:tr>
      <w:tr>
        <w:trPr>
          <w:trHeight w:val="453"/>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Outside Director Compensation Policy</w:t>
              </w:r>
            </w:hyperlink>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53"/>
        </w:trPr>
        <w:tc>
          <w:tcPr>
            <w:tcW w:w="11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Confirmatory Employment Letter by and between Paymentus</w:t>
              </w:r>
            </w:hyperlink>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9"/>
              </w:rPr>
            </w:pPr>
            <w:hyperlink r:id="rId326">
              <w:r>
                <w:rPr>
                  <w:rFonts w:ascii="Arial" w:cs="Arial" w:eastAsia="Arial" w:hAnsi="Arial"/>
                  <w:sz w:val="18"/>
                  <w:szCs w:val="18"/>
                  <w:color w:val="0000FF"/>
                  <w:w w:val="99"/>
                </w:rPr>
                <w:t>Holdings, Inc. and Dushyant Sharma</w:t>
              </w:r>
            </w:hyperlink>
          </w:p>
        </w:tc>
        <w:tc>
          <w:tcPr>
            <w:tcW w:w="20" w:type="dxa"/>
            <w:vAlign w:val="bottom"/>
            <w:tcBorders>
              <w:top w:val="single" w:sz="8" w:color="0000FF"/>
              <w:bottom w:val="single" w:sz="8" w:color="0000EE"/>
            </w:tcBorders>
          </w:tcPr>
          <w:p>
            <w:pPr>
              <w:spacing w:after="0"/>
              <w:rPr>
                <w:sz w:val="18"/>
                <w:szCs w:val="18"/>
                <w:color w:val="auto"/>
              </w:rPr>
            </w:pPr>
          </w:p>
        </w:tc>
        <w:tc>
          <w:tcPr>
            <w:tcW w:w="1920" w:type="dxa"/>
            <w:vAlign w:val="bottom"/>
            <w:tcBorders>
              <w:top w:val="single" w:sz="8" w:color="0000FF"/>
            </w:tcBorders>
            <w:gridSpan w:val="12"/>
          </w:tcPr>
          <w:p>
            <w:pPr>
              <w:spacing w:after="0"/>
              <w:rPr>
                <w:sz w:val="18"/>
                <w:szCs w:val="18"/>
                <w:color w:val="auto"/>
              </w:rPr>
            </w:pPr>
          </w:p>
        </w:tc>
        <w:tc>
          <w:tcPr>
            <w:tcW w:w="180" w:type="dxa"/>
            <w:vAlign w:val="bottom"/>
            <w:gridSpan w:val="3"/>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Confirmatory Employment Letter by and between Paymentus</w:t>
              </w:r>
            </w:hyperlink>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Borders>
              <w:top w:val="single" w:sz="8" w:color="0000FF"/>
            </w:tcBorders>
            <w:gridSpan w:val="21"/>
          </w:tcPr>
          <w:p>
            <w:pPr>
              <w:spacing w:after="0"/>
              <w:rPr>
                <w:rFonts w:ascii="Arial" w:cs="Arial" w:eastAsia="Arial" w:hAnsi="Arial"/>
                <w:sz w:val="18"/>
                <w:szCs w:val="18"/>
                <w:color w:val="0000FF"/>
              </w:rPr>
            </w:pPr>
            <w:hyperlink r:id="rId326">
              <w:r>
                <w:rPr>
                  <w:rFonts w:ascii="Arial" w:cs="Arial" w:eastAsia="Arial" w:hAnsi="Arial"/>
                  <w:sz w:val="18"/>
                  <w:szCs w:val="18"/>
                  <w:color w:val="0000FF"/>
                </w:rPr>
                <w:t>Holdings, Inc. and Matt Parson</w:t>
              </w:r>
            </w:hyperlink>
          </w:p>
        </w:tc>
        <w:tc>
          <w:tcPr>
            <w:tcW w:w="180" w:type="dxa"/>
            <w:vAlign w:val="bottom"/>
            <w:gridSpan w:val="3"/>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8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Confirmatory Employment Letter by and between Paymentus</w:t>
              </w:r>
            </w:hyperlink>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9"/>
              </w:rPr>
            </w:pPr>
            <w:hyperlink r:id="rId326">
              <w:r>
                <w:rPr>
                  <w:rFonts w:ascii="Arial" w:cs="Arial" w:eastAsia="Arial" w:hAnsi="Arial"/>
                  <w:sz w:val="18"/>
                  <w:szCs w:val="18"/>
                  <w:color w:val="0000FF"/>
                  <w:w w:val="99"/>
                </w:rPr>
                <w:t>Holdings, Inc. and John Morrow</w:t>
              </w:r>
            </w:hyperlink>
          </w:p>
        </w:tc>
        <w:tc>
          <w:tcPr>
            <w:tcW w:w="20" w:type="dxa"/>
            <w:vAlign w:val="bottom"/>
            <w:tcBorders>
              <w:top w:val="single" w:sz="8" w:color="0000FF"/>
              <w:bottom w:val="single" w:sz="8" w:color="0000EE"/>
            </w:tcBorders>
          </w:tcPr>
          <w:p>
            <w:pPr>
              <w:spacing w:after="0"/>
              <w:rPr>
                <w:sz w:val="18"/>
                <w:szCs w:val="18"/>
                <w:color w:val="auto"/>
              </w:rPr>
            </w:pPr>
          </w:p>
        </w:tc>
        <w:tc>
          <w:tcPr>
            <w:tcW w:w="2320" w:type="dxa"/>
            <w:vAlign w:val="bottom"/>
            <w:tcBorders>
              <w:top w:val="single" w:sz="8" w:color="0000FF"/>
            </w:tcBorders>
            <w:gridSpan w:val="15"/>
          </w:tcPr>
          <w:p>
            <w:pPr>
              <w:spacing w:after="0"/>
              <w:rPr>
                <w:sz w:val="18"/>
                <w:szCs w:val="18"/>
                <w:color w:val="auto"/>
              </w:rPr>
            </w:pPr>
          </w:p>
        </w:tc>
        <w:tc>
          <w:tcPr>
            <w:tcW w:w="180" w:type="dxa"/>
            <w:vAlign w:val="bottom"/>
            <w:gridSpan w:val="3"/>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Change in Control and Severance Agreement by and between</w:t>
              </w:r>
            </w:hyperlink>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Borders>
              <w:top w:val="single" w:sz="8" w:color="0000FF"/>
            </w:tcBorders>
            <w:gridSpan w:val="22"/>
          </w:tcPr>
          <w:p>
            <w:pPr>
              <w:spacing w:after="0"/>
              <w:rPr>
                <w:rFonts w:ascii="Arial" w:cs="Arial" w:eastAsia="Arial" w:hAnsi="Arial"/>
                <w:sz w:val="18"/>
                <w:szCs w:val="18"/>
                <w:color w:val="0000FF"/>
              </w:rPr>
            </w:pPr>
            <w:hyperlink r:id="rId326">
              <w:r>
                <w:rPr>
                  <w:rFonts w:ascii="Arial" w:cs="Arial" w:eastAsia="Arial" w:hAnsi="Arial"/>
                  <w:sz w:val="18"/>
                  <w:szCs w:val="18"/>
                  <w:color w:val="0000FF"/>
                </w:rPr>
                <w:t>Paymentus Holdings, Inc. and Dushyant Sharma</w:t>
              </w:r>
            </w:hyperlink>
          </w:p>
        </w:tc>
        <w:tc>
          <w:tcPr>
            <w:tcW w:w="100" w:type="dxa"/>
            <w:vAlign w:val="bottom"/>
            <w:gridSpan w:val="2"/>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Change in Control and Severance Agreement by and between</w:t>
              </w:r>
            </w:hyperlink>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9"/>
              </w:rPr>
            </w:pPr>
            <w:hyperlink r:id="rId326">
              <w:r>
                <w:rPr>
                  <w:rFonts w:ascii="Arial" w:cs="Arial" w:eastAsia="Arial" w:hAnsi="Arial"/>
                  <w:sz w:val="18"/>
                  <w:szCs w:val="18"/>
                  <w:color w:val="0000FF"/>
                  <w:w w:val="99"/>
                </w:rPr>
                <w:t>Paymentus Holdings, Inc. and Matt Parson</w:t>
              </w:r>
            </w:hyperlink>
          </w:p>
        </w:tc>
        <w:tc>
          <w:tcPr>
            <w:tcW w:w="20" w:type="dxa"/>
            <w:vAlign w:val="bottom"/>
            <w:tcBorders>
              <w:top w:val="single" w:sz="8" w:color="0000FF"/>
              <w:bottom w:val="single" w:sz="8" w:color="0000EE"/>
            </w:tcBorders>
          </w:tcPr>
          <w:p>
            <w:pPr>
              <w:spacing w:after="0"/>
              <w:rPr>
                <w:sz w:val="18"/>
                <w:szCs w:val="18"/>
                <w:color w:val="auto"/>
              </w:rPr>
            </w:pPr>
          </w:p>
        </w:tc>
        <w:tc>
          <w:tcPr>
            <w:tcW w:w="1520" w:type="dxa"/>
            <w:vAlign w:val="bottom"/>
            <w:tcBorders>
              <w:top w:val="single" w:sz="8" w:color="0000FF"/>
            </w:tcBorders>
            <w:gridSpan w:val="9"/>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c>
          <w:tcPr>
            <w:tcW w:w="5060" w:type="dxa"/>
            <w:vAlign w:val="bottom"/>
            <w:gridSpan w:val="24"/>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Change in Control and Severance Agreement by and between</w:t>
              </w:r>
            </w:hyperlink>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60" w:type="dxa"/>
            <w:vAlign w:val="bottom"/>
            <w:tcBorders>
              <w:top w:val="single" w:sz="8" w:color="0000FF"/>
            </w:tcBorders>
            <w:gridSpan w:val="22"/>
          </w:tcPr>
          <w:p>
            <w:pPr>
              <w:spacing w:after="0"/>
              <w:rPr>
                <w:rFonts w:ascii="Arial" w:cs="Arial" w:eastAsia="Arial" w:hAnsi="Arial"/>
                <w:sz w:val="18"/>
                <w:szCs w:val="18"/>
                <w:color w:val="0000FF"/>
              </w:rPr>
            </w:pPr>
            <w:hyperlink r:id="rId326">
              <w:r>
                <w:rPr>
                  <w:rFonts w:ascii="Arial" w:cs="Arial" w:eastAsia="Arial" w:hAnsi="Arial"/>
                  <w:sz w:val="18"/>
                  <w:szCs w:val="18"/>
                  <w:color w:val="0000FF"/>
                </w:rPr>
                <w:t>Paymentus Holdings, Inc. and John Morrow</w:t>
              </w:r>
            </w:hyperlink>
          </w:p>
        </w:tc>
        <w:tc>
          <w:tcPr>
            <w:tcW w:w="100" w:type="dxa"/>
            <w:vAlign w:val="bottom"/>
            <w:gridSpan w:val="2"/>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25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9"/>
              </w:rPr>
            </w:pPr>
            <w:hyperlink r:id="rId324">
              <w:r>
                <w:rPr>
                  <w:rFonts w:ascii="Arial" w:cs="Arial" w:eastAsia="Arial" w:hAnsi="Arial"/>
                  <w:sz w:val="18"/>
                  <w:szCs w:val="18"/>
                  <w:color w:val="0000FF"/>
                  <w:w w:val="99"/>
                </w:rPr>
                <w:t>Form of Redemption Agreement</w:t>
              </w:r>
            </w:hyperlink>
          </w:p>
        </w:tc>
        <w:tc>
          <w:tcPr>
            <w:tcW w:w="900" w:type="dxa"/>
            <w:vAlign w:val="bottom"/>
            <w:tcBorders>
              <w:top w:val="single" w:sz="8" w:color="0000FF"/>
            </w:tcBorders>
            <w:gridSpan w:val="8"/>
          </w:tcPr>
          <w:p>
            <w:pPr>
              <w:spacing w:after="0"/>
              <w:rPr>
                <w:sz w:val="19"/>
                <w:szCs w:val="19"/>
                <w:color w:val="auto"/>
              </w:rPr>
            </w:pPr>
          </w:p>
        </w:tc>
        <w:tc>
          <w:tcPr>
            <w:tcW w:w="1580" w:type="dxa"/>
            <w:vAlign w:val="bottom"/>
            <w:gridSpan w:val="9"/>
          </w:tcPr>
          <w:p>
            <w:pPr>
              <w:spacing w:after="0"/>
              <w:rPr>
                <w:sz w:val="19"/>
                <w:szCs w:val="19"/>
                <w:color w:val="auto"/>
              </w:rPr>
            </w:pPr>
          </w:p>
        </w:tc>
      </w:tr>
      <w:tr>
        <w:trPr>
          <w:trHeight w:val="723"/>
        </w:trPr>
        <w:tc>
          <w:tcPr>
            <w:tcW w:w="1120" w:type="dxa"/>
            <w:vAlign w:val="bottom"/>
          </w:tcPr>
          <w:p>
            <w:pPr>
              <w:spacing w:after="0"/>
              <w:rPr>
                <w:sz w:val="24"/>
                <w:szCs w:val="24"/>
                <w:color w:val="auto"/>
              </w:rPr>
            </w:pPr>
          </w:p>
        </w:tc>
        <w:tc>
          <w:tcPr>
            <w:tcW w:w="4640" w:type="dxa"/>
            <w:vAlign w:val="bottom"/>
            <w:gridSpan w:val="20"/>
          </w:tcPr>
          <w:p>
            <w:pPr>
              <w:jc w:val="right"/>
              <w:ind w:right="4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Incorporated by Reference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2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File No.</w:t>
            </w: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34"/>
        </w:trPr>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3"/>
        </w:trPr>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001-40429</w:t>
            </w:r>
          </w:p>
        </w:tc>
        <w:tc>
          <w:tcPr>
            <w:tcW w:w="20" w:type="dxa"/>
            <w:vAlign w:val="bottom"/>
          </w:tcPr>
          <w:p>
            <w:pPr>
              <w:spacing w:after="0"/>
              <w:rPr>
                <w:sz w:val="19"/>
                <w:szCs w:val="19"/>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3.1</w:t>
            </w:r>
          </w:p>
        </w:tc>
        <w:tc>
          <w:tcPr>
            <w:tcW w:w="2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May 28,</w:t>
            </w:r>
          </w:p>
        </w:tc>
      </w:tr>
      <w:tr>
        <w:trPr>
          <w:trHeight w:val="230"/>
        </w:trPr>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43"/>
        </w:trPr>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001-40429</w:t>
            </w:r>
          </w:p>
        </w:tc>
        <w:tc>
          <w:tcPr>
            <w:tcW w:w="20" w:type="dxa"/>
            <w:vAlign w:val="bottom"/>
          </w:tcPr>
          <w:p>
            <w:pPr>
              <w:spacing w:after="0"/>
              <w:rPr>
                <w:sz w:val="21"/>
                <w:szCs w:val="21"/>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3.2</w:t>
            </w:r>
          </w:p>
        </w:tc>
        <w:tc>
          <w:tcPr>
            <w:tcW w:w="2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May 28,</w:t>
            </w:r>
          </w:p>
        </w:tc>
      </w:tr>
      <w:tr>
        <w:trPr>
          <w:trHeight w:val="230"/>
        </w:trPr>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2"/>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13,</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43"/>
        </w:trPr>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3"/>
          </w:tcPr>
          <w:p>
            <w:pPr>
              <w:jc w:val="center"/>
              <w:ind w:left="190"/>
              <w:spacing w:after="0"/>
              <w:rPr>
                <w:sz w:val="20"/>
                <w:szCs w:val="20"/>
                <w:color w:val="auto"/>
              </w:rPr>
            </w:pPr>
            <w:r>
              <w:rPr>
                <w:rFonts w:ascii="Arial" w:cs="Arial" w:eastAsia="Arial" w:hAnsi="Arial"/>
                <w:sz w:val="18"/>
                <w:szCs w:val="18"/>
                <w:color w:val="auto"/>
                <w:w w:val="99"/>
              </w:rPr>
              <w:t>001-40429</w:t>
            </w:r>
          </w:p>
        </w:tc>
        <w:tc>
          <w:tcPr>
            <w:tcW w:w="20" w:type="dxa"/>
            <w:vAlign w:val="bottom"/>
          </w:tcPr>
          <w:p>
            <w:pPr>
              <w:spacing w:after="0"/>
              <w:rPr>
                <w:sz w:val="21"/>
                <w:szCs w:val="21"/>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4.1</w:t>
            </w:r>
          </w:p>
        </w:tc>
        <w:tc>
          <w:tcPr>
            <w:tcW w:w="2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May 28,</w:t>
            </w:r>
          </w:p>
        </w:tc>
      </w:tr>
      <w:tr>
        <w:trPr>
          <w:trHeight w:val="230"/>
        </w:trPr>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432"/>
        </w:trPr>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May 13,</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2"/>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10.10</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10.11</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17,</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r>
        <w:trPr>
          <w:trHeight w:val="203"/>
        </w:trPr>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rPr>
              <w:t>S-1/A</w:t>
            </w:r>
          </w:p>
        </w:tc>
        <w:tc>
          <w:tcPr>
            <w:tcW w:w="1240" w:type="dxa"/>
            <w:vAlign w:val="bottom"/>
            <w:gridSpan w:val="4"/>
          </w:tcPr>
          <w:p>
            <w:pPr>
              <w:jc w:val="center"/>
              <w:ind w:left="150"/>
              <w:spacing w:after="0" w:line="202" w:lineRule="exact"/>
              <w:rPr>
                <w:sz w:val="20"/>
                <w:szCs w:val="20"/>
                <w:color w:val="auto"/>
              </w:rPr>
            </w:pPr>
            <w:r>
              <w:rPr>
                <w:rFonts w:ascii="Arial" w:cs="Arial" w:eastAsia="Arial" w:hAnsi="Arial"/>
                <w:sz w:val="18"/>
                <w:szCs w:val="18"/>
                <w:color w:val="auto"/>
                <w:w w:val="99"/>
              </w:rPr>
              <w:t>333-255683</w:t>
            </w:r>
          </w:p>
        </w:tc>
        <w:tc>
          <w:tcPr>
            <w:tcW w:w="124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10.13</w:t>
            </w:r>
          </w:p>
        </w:tc>
        <w:tc>
          <w:tcPr>
            <w:tcW w:w="20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May 13,</w:t>
            </w:r>
          </w:p>
        </w:tc>
      </w:tr>
      <w:tr>
        <w:trPr>
          <w:trHeight w:val="250"/>
        </w:trPr>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2021</w:t>
            </w:r>
          </w:p>
        </w:tc>
      </w:tr>
    </w:tbl>
    <w:p>
      <w:pPr>
        <w:sectPr>
          <w:pgSz w:w="11900" w:h="16838" w:orient="portrait"/>
          <w:cols w:equalWidth="0" w:num="2">
            <w:col w:w="6320" w:space="0"/>
            <w:col w:w="4920"/>
          </w:cols>
          <w:pgMar w:left="320" w:top="490" w:right="339" w:bottom="1440" w:gutter="0" w:footer="0" w:header="0"/>
          <w:type w:val="continuous"/>
        </w:sectPr>
      </w:pPr>
    </w:p>
    <w:bookmarkStart w:id="68" w:name="page69"/>
    <w:bookmarkEnd w:id="68"/>
    <w:p>
      <w:pPr>
        <w:spacing w:after="0" w:line="1"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5260" w:type="dxa"/>
            <w:vAlign w:val="bottom"/>
            <w:gridSpan w:val="15"/>
          </w:tcPr>
          <w:p>
            <w:pPr>
              <w:spacing w:after="0"/>
              <w:rPr>
                <w:rFonts w:ascii="Arial" w:cs="Arial" w:eastAsia="Arial" w:hAnsi="Arial"/>
                <w:sz w:val="18"/>
                <w:szCs w:val="18"/>
                <w:color w:val="0000FF"/>
              </w:rPr>
            </w:pPr>
            <w:hyperlink r:id="rId328">
              <w:r>
                <w:rPr>
                  <w:rFonts w:ascii="Arial" w:cs="Arial" w:eastAsia="Arial" w:hAnsi="Arial"/>
                  <w:sz w:val="18"/>
                  <w:szCs w:val="18"/>
                  <w:color w:val="0000FF"/>
                </w:rPr>
                <w:t>Stockholders Agreement, dated as of May 24, 2021, by and</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001-40429</w:t>
            </w:r>
          </w:p>
        </w:tc>
        <w:tc>
          <w:tcPr>
            <w:tcW w:w="2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May 28,</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8">
              <w:r>
                <w:rPr>
                  <w:rFonts w:ascii="Arial" w:cs="Arial" w:eastAsia="Arial" w:hAnsi="Arial"/>
                  <w:sz w:val="18"/>
                  <w:szCs w:val="18"/>
                  <w:color w:val="0000FF"/>
                </w:rPr>
                <w:t>among Paymentus Holdings, Inc. and the other signatories</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2021</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8">
              <w:r>
                <w:rPr>
                  <w:rFonts w:ascii="Arial" w:cs="Arial" w:eastAsia="Arial" w:hAnsi="Arial"/>
                  <w:sz w:val="18"/>
                  <w:szCs w:val="18"/>
                  <w:color w:val="0000FF"/>
                </w:rPr>
                <w:t>thereto</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Warrant Agreement, dated as of May 13, 2021, by and</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rPr>
              <w:t>S-1/A</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9"/>
              </w:rPr>
              <w:t>333-255683</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May 17,</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between Paymentus Holdings, Inc. and JPMC Strategic</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2021</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Investments I Corporation</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Class A Stock Purchase Agreement, dated as of May 16,</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rPr>
              <w:t>S-1/A</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9"/>
              </w:rPr>
              <w:t>333-255683</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May 17,</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2021, by and among Paymentus Holdings, Inc. and the</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jc w:val="center"/>
              <w:ind w:left="230"/>
              <w:spacing w:after="0"/>
              <w:rPr>
                <w:sz w:val="20"/>
                <w:szCs w:val="20"/>
                <w:color w:val="auto"/>
              </w:rPr>
            </w:pPr>
            <w:r>
              <w:rPr>
                <w:rFonts w:ascii="Arial" w:cs="Arial" w:eastAsia="Arial" w:hAnsi="Arial"/>
                <w:sz w:val="18"/>
                <w:szCs w:val="18"/>
                <w:color w:val="auto"/>
                <w:w w:val="99"/>
              </w:rPr>
              <w:t>2021</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r:id="rId326">
              <w:r>
                <w:rPr>
                  <w:rFonts w:ascii="Arial" w:cs="Arial" w:eastAsia="Arial" w:hAnsi="Arial"/>
                  <w:sz w:val="18"/>
                  <w:szCs w:val="18"/>
                  <w:color w:val="0000FF"/>
                </w:rPr>
                <w:t>purchasers named therein</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526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Principal Executive Officer Pursuant to Rules</w:t>
              </w:r>
            </w:hyperlink>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13a-14(a) and 15d-14(a) under the Securities Exchange Act of</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1934, as Adopted Pursuant to Section 302 of the Sarbanes-</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Oxley Act of 2002.</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5260" w:type="dxa"/>
            <w:vAlign w:val="bottom"/>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Principal Financial Officer Pursuant to Rules</w:t>
              </w:r>
            </w:hyperlink>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13a-14(a) and 15d-14(a) under the Securities Exchange Act of</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1934, as Adopted Pursuant to Section 302 of the Sarbanes-</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Oxley Act of 2002.</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5260" w:type="dxa"/>
            <w:vAlign w:val="bottom"/>
            <w:gridSpan w:val="1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Executive Officer Pursuant to 18</w:t>
              </w:r>
            </w:hyperlink>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U.S.C. Section 1350, as Adopted Pursuant to Section 906 of</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the Sarbanes-Oxley Act of 2002.</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00" w:type="dxa"/>
            <w:vAlign w:val="bottom"/>
            <w:tcBorders>
              <w:right w:val="single" w:sz="8" w:color="0000EE"/>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5260" w:type="dxa"/>
            <w:vAlign w:val="bottom"/>
            <w:gridSpan w:val="1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Principal Financial Officer Pursuant to 18</w:t>
              </w:r>
            </w:hyperlink>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EE"/>
            </w:tcBorders>
            <w:gridSpan w:val="3"/>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U.S.C. Section 1350, as Adopted Pursuant to Section 906 of</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180" w:type="dxa"/>
            <w:vAlign w:val="bottom"/>
            <w:gridSpan w:val="7"/>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260" w:type="dxa"/>
            <w:vAlign w:val="bottom"/>
            <w:gridSpan w:val="15"/>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the Sarbanes-Oxley Act of 2002.</w:t>
              </w:r>
            </w:hyperlink>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3"/>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1260" w:type="dxa"/>
            <w:vAlign w:val="bottom"/>
          </w:tcPr>
          <w:p>
            <w:pPr>
              <w:spacing w:after="0"/>
              <w:rPr>
                <w:sz w:val="19"/>
                <w:szCs w:val="19"/>
                <w:color w:val="auto"/>
              </w:rPr>
            </w:pPr>
          </w:p>
        </w:tc>
        <w:tc>
          <w:tcPr>
            <w:tcW w:w="5260" w:type="dxa"/>
            <w:vAlign w:val="bottom"/>
            <w:gridSpan w:val="15"/>
          </w:tcPr>
          <w:p>
            <w:pPr>
              <w:spacing w:after="0"/>
              <w:rPr>
                <w:sz w:val="20"/>
                <w:szCs w:val="20"/>
                <w:color w:val="auto"/>
              </w:rPr>
            </w:pPr>
            <w:r>
              <w:rPr>
                <w:rFonts w:ascii="Arial" w:cs="Arial" w:eastAsia="Arial" w:hAnsi="Arial"/>
                <w:sz w:val="18"/>
                <w:szCs w:val="18"/>
                <w:color w:val="auto"/>
              </w:rPr>
              <w:t>not appear in the Interactive Data File because XBRL tags are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1260" w:type="dxa"/>
            <w:vAlign w:val="bottom"/>
          </w:tcPr>
          <w:p>
            <w:pPr>
              <w:spacing w:after="0"/>
              <w:rPr>
                <w:sz w:val="19"/>
                <w:szCs w:val="19"/>
                <w:color w:val="auto"/>
              </w:rPr>
            </w:pPr>
          </w:p>
        </w:tc>
        <w:tc>
          <w:tcPr>
            <w:tcW w:w="526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52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52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6" w:lineRule="exact"/>
        <w:rPr>
          <w:sz w:val="20"/>
          <w:szCs w:val="20"/>
          <w:color w:val="auto"/>
        </w:rPr>
      </w:pPr>
    </w:p>
    <w:p>
      <w:pPr>
        <w:ind w:left="1252" w:right="5160" w:hanging="1239"/>
        <w:spacing w:after="0" w:line="277" w:lineRule="auto"/>
        <w:tabs>
          <w:tab w:leader="none" w:pos="1252"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jc w:val="both"/>
        <w:ind w:left="-8" w:firstLine="8"/>
        <w:spacing w:after="0" w:line="269" w:lineRule="auto"/>
        <w:tabs>
          <w:tab w:leader="none" w:pos="41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not deemed filed with the Securities and Exchange Commission and is not to be incorporated by reference into any filing of Paymentus Holdings, Inc. under the Securities Act of 1933, as amended, or the Securities Exchange Act of 1934, as amended, whether made before or after the date of this Form 10-Q, irrespective of any general incorporation language contained in such filing.</w:t>
      </w:r>
    </w:p>
    <w:p>
      <w:pPr>
        <w:spacing w:after="0" w:line="20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351" w:right="459" w:bottom="1440" w:gutter="0" w:footer="0" w:header="0"/>
        </w:sectPr>
      </w:pPr>
    </w:p>
    <w:bookmarkStart w:id="69" w:name="page70"/>
    <w:bookmarkEnd w:id="69"/>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Company Name</w:t>
      </w:r>
    </w:p>
    <w:p>
      <w:pPr>
        <w:spacing w:after="0" w:line="212"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Dushyant Sharma</w:t>
      </w:r>
    </w:p>
    <w:p>
      <w:pPr>
        <w:spacing w:after="0" w:line="36"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01"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8"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Matt Parson</w:t>
      </w:r>
    </w:p>
    <w:p>
      <w:pPr>
        <w:spacing w:after="0" w:line="36"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60" w:right="739" w:bottom="1440" w:gutter="0" w:footer="0" w:header="0"/>
        </w:sectPr>
      </w:pPr>
    </w:p>
    <w:bookmarkStart w:id="70" w:name="page71"/>
    <w:bookmarkEnd w:id="70"/>
    <w:p>
      <w:pPr>
        <w:ind w:left="7500"/>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98" w:lineRule="exact"/>
        <w:rPr>
          <w:sz w:val="20"/>
          <w:szCs w:val="20"/>
          <w:color w:val="auto"/>
        </w:rPr>
      </w:pPr>
    </w:p>
    <w:p>
      <w:pPr>
        <w:jc w:val="center"/>
        <w:ind w:left="380" w:right="2240"/>
        <w:spacing w:after="0" w:line="284"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3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34" w:lineRule="exact"/>
        <w:rPr>
          <w:rFonts w:ascii="Arial" w:cs="Arial" w:eastAsia="Arial" w:hAnsi="Arial"/>
          <w:sz w:val="16"/>
          <w:szCs w:val="16"/>
          <w:color w:val="auto"/>
        </w:rPr>
      </w:pPr>
    </w:p>
    <w:p>
      <w:pPr>
        <w:jc w:val="both"/>
        <w:ind w:left="340" w:right="380" w:hanging="332"/>
        <w:spacing w:after="0" w:line="27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40" w:right="500" w:hanging="332"/>
        <w:spacing w:after="0" w:line="27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340" w:right="680" w:hanging="332"/>
        <w:spacing w:after="0" w:line="27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3" w:lineRule="exact"/>
        <w:rPr>
          <w:rFonts w:ascii="Arial" w:cs="Arial" w:eastAsia="Arial" w:hAnsi="Arial"/>
          <w:sz w:val="16"/>
          <w:szCs w:val="16"/>
          <w:color w:val="auto"/>
        </w:rPr>
      </w:pPr>
    </w:p>
    <w:p>
      <w:pPr>
        <w:ind w:left="1060" w:right="120" w:hanging="678"/>
        <w:spacing w:after="0" w:line="271" w:lineRule="auto"/>
        <w:tabs>
          <w:tab w:leader="none" w:pos="629"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360" w:hanging="678"/>
        <w:spacing w:after="0" w:line="278" w:lineRule="auto"/>
        <w:tabs>
          <w:tab w:leader="none" w:pos="62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060" w:right="80" w:hanging="678"/>
        <w:spacing w:after="0" w:line="271" w:lineRule="auto"/>
        <w:tabs>
          <w:tab w:leader="none" w:pos="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340" w:right="440" w:hanging="332"/>
        <w:spacing w:after="0" w:line="27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060" w:right="20" w:hanging="678"/>
        <w:spacing w:after="0" w:line="278" w:lineRule="auto"/>
        <w:tabs>
          <w:tab w:leader="none" w:pos="629"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hanging="678"/>
        <w:spacing w:after="0" w:line="278" w:lineRule="auto"/>
        <w:tabs>
          <w:tab w:leader="none" w:pos="629"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-113030</wp:posOffset>
            </wp:positionV>
            <wp:extent cx="33172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4" w:right="39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4"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Matt Parson, certify that:</w:t>
      </w:r>
    </w:p>
    <w:p>
      <w:pPr>
        <w:spacing w:after="0" w:line="23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34" w:lineRule="exact"/>
        <w:rPr>
          <w:rFonts w:ascii="Arial" w:cs="Arial" w:eastAsia="Arial" w:hAnsi="Arial"/>
          <w:sz w:val="16"/>
          <w:szCs w:val="16"/>
          <w:color w:val="auto"/>
        </w:rPr>
      </w:pPr>
    </w:p>
    <w:p>
      <w:pPr>
        <w:jc w:val="both"/>
        <w:ind w:left="340" w:right="440" w:hanging="332"/>
        <w:spacing w:after="0" w:line="27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40" w:right="560" w:hanging="332"/>
        <w:spacing w:after="0" w:line="278"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340" w:right="740" w:hanging="332"/>
        <w:spacing w:after="0" w:line="278"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3" w:lineRule="exact"/>
        <w:rPr>
          <w:rFonts w:ascii="Arial" w:cs="Arial" w:eastAsia="Arial" w:hAnsi="Arial"/>
          <w:sz w:val="16"/>
          <w:szCs w:val="16"/>
          <w:color w:val="auto"/>
        </w:rPr>
      </w:pPr>
    </w:p>
    <w:p>
      <w:pPr>
        <w:ind w:left="1060" w:right="180" w:hanging="678"/>
        <w:spacing w:after="0" w:line="271" w:lineRule="auto"/>
        <w:tabs>
          <w:tab w:leader="none" w:pos="6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420" w:hanging="678"/>
        <w:spacing w:after="0" w:line="278" w:lineRule="auto"/>
        <w:tabs>
          <w:tab w:leader="none" w:pos="6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060" w:right="140" w:hanging="678"/>
        <w:spacing w:after="0" w:line="271" w:lineRule="auto"/>
        <w:tabs>
          <w:tab w:leader="none" w:pos="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340" w:right="500" w:hanging="332"/>
        <w:spacing w:after="0" w:line="278"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060" w:right="80" w:hanging="678"/>
        <w:spacing w:after="0" w:line="278" w:lineRule="auto"/>
        <w:tabs>
          <w:tab w:leader="none" w:pos="6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right="60" w:hanging="678"/>
        <w:spacing w:after="0" w:line="278" w:lineRule="auto"/>
        <w:tabs>
          <w:tab w:leader="none" w:pos="62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-113030</wp:posOffset>
            </wp:positionV>
            <wp:extent cx="33261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2" w:lineRule="exact"/>
        <w:rPr>
          <w:sz w:val="20"/>
          <w:szCs w:val="20"/>
          <w:color w:val="auto"/>
        </w:rPr>
      </w:pPr>
    </w:p>
    <w:p>
      <w:pPr>
        <w:ind w:right="40" w:firstLine="578"/>
        <w:spacing w:after="0" w:line="27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2021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920" w:right="800" w:hanging="899"/>
        <w:spacing w:after="0" w:line="278"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-113030</wp:posOffset>
            </wp:positionV>
            <wp:extent cx="33172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2" w:lineRule="exact"/>
        <w:rPr>
          <w:sz w:val="20"/>
          <w:szCs w:val="20"/>
          <w:color w:val="auto"/>
        </w:rPr>
      </w:pPr>
    </w:p>
    <w:p>
      <w:pPr>
        <w:ind w:right="40" w:firstLine="578"/>
        <w:spacing w:after="0" w:line="27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June 30, 2021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40" w:right="680" w:hanging="1019"/>
        <w:spacing w:after="0" w:line="278"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left="20"/>
        <w:spacing w:after="0"/>
        <w:tabs>
          <w:tab w:leader="none" w:pos="5640" w:val="left"/>
          <w:tab w:leader="none" w:pos="8060" w:val="left"/>
        </w:tabs>
        <w:rPr>
          <w:sz w:val="20"/>
          <w:szCs w:val="20"/>
          <w:color w:val="auto"/>
        </w:rPr>
      </w:pPr>
      <w:r>
        <w:rPr>
          <w:rFonts w:ascii="Arial" w:cs="Arial" w:eastAsia="Arial" w:hAnsi="Arial"/>
          <w:sz w:val="16"/>
          <w:szCs w:val="16"/>
          <w:color w:val="auto"/>
        </w:rPr>
        <w:t>Date: August 11,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-113030</wp:posOffset>
            </wp:positionV>
            <wp:extent cx="33261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Roman"/>
      <w:start w:val="10"/>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7"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22" Type="http://schemas.openxmlformats.org/officeDocument/2006/relationships/hyperlink" Target="https://www.sec.gov/Archives/edgar/data/1841156/000156459021030840/ck7045120534-ex31_9.htm" TargetMode="External"/><Relationship Id="rId323" Type="http://schemas.openxmlformats.org/officeDocument/2006/relationships/hyperlink" Target="https://www.sec.gov/Archives/edgar/data/1841156/000156459021030840/ck7045120534-ex32_8.htm" TargetMode="External"/><Relationship Id="rId324" Type="http://schemas.openxmlformats.org/officeDocument/2006/relationships/hyperlink" Target="https://www.sec.gov/Archives/edgar/data/0001841156/000156459021027416/ck7045120534-s1a.htm" TargetMode="External"/><Relationship Id="rId325" Type="http://schemas.openxmlformats.org/officeDocument/2006/relationships/hyperlink" Target="https://www.sec.gov/Archives/edgar/data/1841156/000156459021030840/ck7045120534-ex41_7.htm" TargetMode="External"/><Relationship Id="rId326" Type="http://schemas.openxmlformats.org/officeDocument/2006/relationships/hyperlink" Target="https://www.sec.gov/Archives/edgar/data/0001841156/000156459021028164/ck7045120534-s1a.htm" TargetMode="External"/><Relationship Id="rId328" Type="http://schemas.openxmlformats.org/officeDocument/2006/relationships/hyperlink" Target="https://www.sec.gov/Archives/edgar/data/1841156/000156459021030840/ck7045120534-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2021-08-11T16:59:19Z</dcterms:created>
  <dcterms:modified xsi:type="dcterms:W3CDTF">2021-08-11T16:59:19Z</dcterms:modified>
</cp:coreProperties>
</file>