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00" w:right="1540" w:hanging="3679"/>
        <w:spacing w:after="0" w:line="280" w:lineRule="auto"/>
        <w:tabs>
          <w:tab w:leader="none" w:pos="4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1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50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rPr>
              <w:t>Delaware</w:t>
            </w:r>
          </w:p>
        </w:tc>
        <w:tc>
          <w:tcPr>
            <w:tcW w:w="444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c>
          <w:tcPr>
            <w:tcW w:w="0" w:type="dxa"/>
            <w:vAlign w:val="bottom"/>
          </w:tcPr>
          <w:p>
            <w:pPr>
              <w:spacing w:after="0"/>
              <w:rPr>
                <w:sz w:val="1"/>
                <w:szCs w:val="1"/>
                <w:color w:val="auto"/>
              </w:rPr>
            </w:pPr>
          </w:p>
        </w:tc>
      </w:tr>
      <w:tr>
        <w:trPr>
          <w:trHeight w:val="189"/>
        </w:trPr>
        <w:tc>
          <w:tcPr>
            <w:tcW w:w="3620" w:type="dxa"/>
            <w:vAlign w:val="bottom"/>
          </w:tcPr>
          <w:p>
            <w:pPr>
              <w:jc w:val="center"/>
              <w:ind w:right="170"/>
              <w:spacing w:after="0" w:line="189" w:lineRule="exact"/>
              <w:rPr>
                <w:sz w:val="20"/>
                <w:szCs w:val="20"/>
                <w:color w:val="auto"/>
              </w:rPr>
            </w:pPr>
            <w:r>
              <w:rPr>
                <w:rFonts w:ascii="Arial" w:cs="Arial" w:eastAsia="Arial" w:hAnsi="Arial"/>
                <w:sz w:val="18"/>
                <w:szCs w:val="18"/>
                <w:b w:val="1"/>
                <w:bCs w:val="1"/>
                <w:color w:val="auto"/>
              </w:rPr>
              <w:t>(State or other jurisdiction of</w:t>
            </w:r>
          </w:p>
        </w:tc>
        <w:tc>
          <w:tcPr>
            <w:tcW w:w="4440" w:type="dxa"/>
            <w:vAlign w:val="bottom"/>
          </w:tcPr>
          <w:p>
            <w:pPr>
              <w:jc w:val="center"/>
              <w:ind w:left="2810"/>
              <w:spacing w:after="0" w:line="189" w:lineRule="exact"/>
              <w:rPr>
                <w:sz w:val="20"/>
                <w:szCs w:val="20"/>
                <w:color w:val="auto"/>
              </w:rPr>
            </w:pPr>
            <w:r>
              <w:rPr>
                <w:rFonts w:ascii="Arial" w:cs="Arial" w:eastAsia="Arial" w:hAnsi="Arial"/>
                <w:sz w:val="18"/>
                <w:szCs w:val="18"/>
                <w:b w:val="1"/>
                <w:bCs w:val="1"/>
                <w:color w:val="auto"/>
                <w:w w:val="99"/>
              </w:rPr>
              <w:t>(I.R.S. Employer</w:t>
            </w:r>
          </w:p>
        </w:tc>
        <w:tc>
          <w:tcPr>
            <w:tcW w:w="0" w:type="dxa"/>
            <w:vAlign w:val="bottom"/>
          </w:tcPr>
          <w:p>
            <w:pPr>
              <w:spacing w:after="0"/>
              <w:rPr>
                <w:sz w:val="1"/>
                <w:szCs w:val="1"/>
                <w:color w:val="auto"/>
              </w:rPr>
            </w:pPr>
          </w:p>
        </w:tc>
      </w:tr>
      <w:tr>
        <w:trPr>
          <w:trHeight w:val="181"/>
        </w:trPr>
        <w:tc>
          <w:tcPr>
            <w:tcW w:w="3620" w:type="dxa"/>
            <w:vAlign w:val="bottom"/>
          </w:tcPr>
          <w:p>
            <w:pPr>
              <w:jc w:val="center"/>
              <w:ind w:right="170"/>
              <w:spacing w:after="0" w:line="182" w:lineRule="exact"/>
              <w:rPr>
                <w:sz w:val="20"/>
                <w:szCs w:val="20"/>
                <w:color w:val="auto"/>
              </w:rPr>
            </w:pPr>
            <w:r>
              <w:rPr>
                <w:rFonts w:ascii="Arial" w:cs="Arial" w:eastAsia="Arial" w:hAnsi="Arial"/>
                <w:sz w:val="18"/>
                <w:szCs w:val="18"/>
                <w:b w:val="1"/>
                <w:bCs w:val="1"/>
                <w:color w:val="auto"/>
                <w:w w:val="99"/>
              </w:rPr>
              <w:t>incorporation or organization)</w:t>
            </w:r>
          </w:p>
        </w:tc>
        <w:tc>
          <w:tcPr>
            <w:tcW w:w="4440" w:type="dxa"/>
            <w:vAlign w:val="bottom"/>
          </w:tcPr>
          <w:p>
            <w:pPr>
              <w:jc w:val="center"/>
              <w:ind w:left="2830"/>
              <w:spacing w:after="0" w:line="182" w:lineRule="exact"/>
              <w:rPr>
                <w:sz w:val="20"/>
                <w:szCs w:val="20"/>
                <w:color w:val="auto"/>
              </w:rPr>
            </w:pPr>
            <w:r>
              <w:rPr>
                <w:rFonts w:ascii="Arial" w:cs="Arial" w:eastAsia="Arial" w:hAnsi="Arial"/>
                <w:sz w:val="18"/>
                <w:szCs w:val="18"/>
                <w:b w:val="1"/>
                <w:bCs w:val="1"/>
                <w:color w:val="auto"/>
                <w:w w:val="99"/>
              </w:rPr>
              <w:t>Identification No.)</w:t>
            </w:r>
          </w:p>
        </w:tc>
        <w:tc>
          <w:tcPr>
            <w:tcW w:w="0" w:type="dxa"/>
            <w:vAlign w:val="bottom"/>
          </w:tcPr>
          <w:p>
            <w:pPr>
              <w:spacing w:after="0"/>
              <w:rPr>
                <w:sz w:val="1"/>
                <w:szCs w:val="1"/>
                <w:color w:val="auto"/>
              </w:rPr>
            </w:pPr>
          </w:p>
        </w:tc>
      </w:tr>
      <w:tr>
        <w:trPr>
          <w:trHeight w:val="210"/>
        </w:trPr>
        <w:tc>
          <w:tcPr>
            <w:tcW w:w="3620" w:type="dxa"/>
            <w:vAlign w:val="bottom"/>
          </w:tcPr>
          <w:p>
            <w:pPr>
              <w:jc w:val="center"/>
              <w:ind w:right="170"/>
              <w:spacing w:after="0" w:line="210" w:lineRule="exact"/>
              <w:rPr>
                <w:sz w:val="20"/>
                <w:szCs w:val="20"/>
                <w:color w:val="auto"/>
              </w:rPr>
            </w:pPr>
            <w:r>
              <w:rPr>
                <w:rFonts w:ascii="Arial" w:cs="Arial" w:eastAsia="Arial" w:hAnsi="Arial"/>
                <w:sz w:val="18"/>
                <w:szCs w:val="18"/>
                <w:b w:val="1"/>
                <w:bCs w:val="1"/>
                <w:color w:val="auto"/>
                <w:w w:val="97"/>
              </w:rPr>
              <w:t>18390 NE 68</w:t>
            </w:r>
            <w:r>
              <w:rPr>
                <w:rFonts w:ascii="Arial" w:cs="Arial" w:eastAsia="Arial" w:hAnsi="Arial"/>
                <w:sz w:val="24"/>
                <w:szCs w:val="24"/>
                <w:b w:val="1"/>
                <w:bCs w:val="1"/>
                <w:color w:val="auto"/>
                <w:w w:val="97"/>
                <w:vertAlign w:val="superscript"/>
              </w:rPr>
              <w:t>th</w:t>
            </w:r>
            <w:r>
              <w:rPr>
                <w:rFonts w:ascii="Arial" w:cs="Arial" w:eastAsia="Arial" w:hAnsi="Arial"/>
                <w:sz w:val="18"/>
                <w:szCs w:val="18"/>
                <w:b w:val="1"/>
                <w:bCs w:val="1"/>
                <w:color w:val="auto"/>
                <w:w w:val="97"/>
              </w:rPr>
              <w:t xml:space="preserve"> St.</w:t>
            </w:r>
          </w:p>
        </w:tc>
        <w:tc>
          <w:tcPr>
            <w:tcW w:w="44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98052</w:t>
            </w:r>
          </w:p>
        </w:tc>
        <w:tc>
          <w:tcPr>
            <w:tcW w:w="0" w:type="dxa"/>
            <w:vAlign w:val="bottom"/>
          </w:tcPr>
          <w:p>
            <w:pPr>
              <w:spacing w:after="0"/>
              <w:rPr>
                <w:sz w:val="1"/>
                <w:szCs w:val="1"/>
                <w:color w:val="auto"/>
              </w:rPr>
            </w:pPr>
          </w:p>
        </w:tc>
      </w:tr>
      <w:tr>
        <w:trPr>
          <w:trHeight w:val="203"/>
        </w:trPr>
        <w:tc>
          <w:tcPr>
            <w:tcW w:w="36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Redmond, WA</w:t>
            </w:r>
          </w:p>
        </w:tc>
        <w:tc>
          <w:tcPr>
            <w:tcW w:w="4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4440" w:type="dxa"/>
            <w:vAlign w:val="bottom"/>
          </w:tcPr>
          <w:p>
            <w:pPr>
              <w:jc w:val="center"/>
              <w:ind w:left="2810"/>
              <w:spacing w:after="0"/>
              <w:rPr>
                <w:sz w:val="20"/>
                <w:szCs w:val="20"/>
                <w:color w:val="auto"/>
              </w:rPr>
            </w:pPr>
            <w:r>
              <w:rPr>
                <w:rFonts w:ascii="Arial" w:cs="Arial" w:eastAsia="Arial" w:hAnsi="Arial"/>
                <w:sz w:val="18"/>
                <w:szCs w:val="18"/>
                <w:b w:val="1"/>
                <w:bCs w:val="1"/>
                <w:color w:val="auto"/>
              </w:rPr>
              <w:t>(Zip Code)</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4440" w:type="dxa"/>
            <w:vAlign w:val="bottom"/>
          </w:tcPr>
          <w:p>
            <w:pPr>
              <w:jc w:val="right"/>
              <w:ind w:right="2870"/>
              <w:spacing w:after="0"/>
              <w:rPr>
                <w:sz w:val="20"/>
                <w:szCs w:val="20"/>
                <w:color w:val="auto"/>
              </w:rPr>
            </w:pPr>
            <w:r>
              <w:rPr>
                <w:rFonts w:ascii="Arial" w:cs="Arial" w:eastAsia="Arial" w:hAnsi="Arial"/>
                <w:sz w:val="18"/>
                <w:szCs w:val="18"/>
                <w:b w:val="1"/>
                <w:bCs w:val="1"/>
                <w:color w:val="auto"/>
              </w:rPr>
              <w:t>(888) 440-4826</w:t>
            </w:r>
          </w:p>
        </w:tc>
        <w:tc>
          <w:tcPr>
            <w:tcW w:w="0" w:type="dxa"/>
            <w:vAlign w:val="bottom"/>
          </w:tcPr>
          <w:p>
            <w:pPr>
              <w:spacing w:after="0"/>
              <w:rPr>
                <w:sz w:val="1"/>
                <w:szCs w:val="1"/>
                <w:color w:val="auto"/>
              </w:rPr>
            </w:pPr>
          </w:p>
        </w:tc>
      </w:tr>
    </w:tbl>
    <w:p>
      <w:pPr>
        <w:ind w:left="33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6"/>
        </w:trPr>
        <w:tc>
          <w:tcPr>
            <w:tcW w:w="4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r>
      <w:tr>
        <w:trPr>
          <w:trHeight w:val="186"/>
        </w:trPr>
        <w:tc>
          <w:tcPr>
            <w:tcW w:w="4280" w:type="dxa"/>
            <w:vAlign w:val="bottom"/>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PAY</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61" w:lineRule="exact"/>
        <w:rPr>
          <w:sz w:val="24"/>
          <w:szCs w:val="24"/>
          <w:color w:val="auto"/>
        </w:rPr>
      </w:pPr>
    </w:p>
    <w:p>
      <w:pPr>
        <w:ind w:right="260" w:firstLine="494"/>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00" w:val="left"/>
          <w:tab w:leader="none" w:pos="646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right="660" w:firstLine="49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100" w:firstLine="494"/>
        <w:spacing w:after="0" w:line="26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6"/>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85" w:lineRule="exact"/>
        <w:rPr>
          <w:sz w:val="24"/>
          <w:szCs w:val="24"/>
          <w:color w:val="auto"/>
        </w:rPr>
      </w:pPr>
    </w:p>
    <w:p>
      <w:pPr>
        <w:ind w:right="560" w:firstLine="494"/>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500"/>
        <w:spacing w:after="0" w:line="207" w:lineRule="exact"/>
        <w:tabs>
          <w:tab w:leader="none" w:pos="9720" w:val="left"/>
          <w:tab w:leader="none" w:pos="10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4"/>
          <w:szCs w:val="24"/>
          <w:color w:val="auto"/>
        </w:rPr>
      </w:pPr>
    </w:p>
    <w:p>
      <w:pPr>
        <w:ind w:right="120" w:firstLine="494"/>
        <w:spacing w:after="0" w:line="271" w:lineRule="auto"/>
        <w:rPr>
          <w:sz w:val="20"/>
          <w:szCs w:val="20"/>
          <w:color w:val="auto"/>
        </w:rPr>
      </w:pPr>
      <w:r>
        <w:rPr>
          <w:rFonts w:ascii="Arial" w:cs="Arial" w:eastAsia="Arial" w:hAnsi="Arial"/>
          <w:sz w:val="18"/>
          <w:szCs w:val="18"/>
          <w:color w:val="auto"/>
        </w:rPr>
        <w:t>As of August 2, 2022, the registrant had 19,288,807 shares of Class A Common Stock, $0.0001 par value per share and 103,336,337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80" w:type="dxa"/>
            <w:vAlign w:val="bottom"/>
            <w:gridSpan w:val="11"/>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40" w:type="dxa"/>
            <w:vAlign w:val="bottom"/>
            <w:gridSpan w:val="12"/>
            <w:vMerge w:val="restart"/>
          </w:tcPr>
          <w:p>
            <w:pPr>
              <w:ind w:left="100"/>
              <w:spacing w:after="0" w:line="202" w:lineRule="exact"/>
              <w:rPr>
                <w:sz w:val="20"/>
                <w:szCs w:val="20"/>
                <w:color w:val="auto"/>
              </w:rPr>
            </w:pPr>
            <w:r>
              <w:rPr>
                <w:rFonts w:ascii="Arial" w:cs="Arial" w:eastAsia="Arial" w:hAnsi="Arial"/>
                <w:sz w:val="18"/>
                <w:szCs w:val="18"/>
                <w:color w:val="auto"/>
              </w:rPr>
              <w:t>Sheets</w:t>
            </w: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8"/>
          </w:tcPr>
          <w:p>
            <w:pPr>
              <w:spacing w:after="0" w:line="182" w:lineRule="exact"/>
              <w:rPr>
                <w:sz w:val="20"/>
                <w:szCs w:val="20"/>
                <w:color w:val="auto"/>
              </w:rPr>
            </w:pPr>
            <w:r>
              <w:rPr>
                <w:rFonts w:ascii="Arial" w:cs="Arial" w:eastAsia="Arial" w:hAnsi="Arial"/>
                <w:sz w:val="18"/>
                <w:szCs w:val="18"/>
                <w:color w:val="auto"/>
                <w:w w:val="96"/>
              </w:rPr>
              <w:t>Condensed Consolidated Balance</w:t>
            </w:r>
          </w:p>
        </w:tc>
        <w:tc>
          <w:tcPr>
            <w:tcW w:w="6640" w:type="dxa"/>
            <w:vAlign w:val="bottom"/>
            <w:gridSpan w:val="1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980" w:type="dxa"/>
            <w:vAlign w:val="bottom"/>
            <w:gridSpan w:val="11"/>
            <w:vMerge w:val="restart"/>
          </w:tcPr>
          <w:p>
            <w:pPr>
              <w:spacing w:after="0" w:line="202" w:lineRule="exact"/>
              <w:rPr>
                <w:sz w:val="20"/>
                <w:szCs w:val="20"/>
                <w:color w:val="auto"/>
              </w:rPr>
            </w:pPr>
            <w:r>
              <w:rPr>
                <w:rFonts w:ascii="Arial" w:cs="Arial" w:eastAsia="Arial" w:hAnsi="Arial"/>
                <w:sz w:val="18"/>
                <w:szCs w:val="18"/>
                <w:color w:val="auto"/>
              </w:rPr>
              <w:t>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9"/>
          </w:tcPr>
          <w:p>
            <w:pPr>
              <w:spacing w:after="0" w:line="182" w:lineRule="exact"/>
              <w:rPr>
                <w:sz w:val="20"/>
                <w:szCs w:val="20"/>
                <w:color w:val="auto"/>
              </w:rPr>
            </w:pPr>
            <w:r>
              <w:rPr>
                <w:rFonts w:ascii="Arial" w:cs="Arial" w:eastAsia="Arial" w:hAnsi="Arial"/>
                <w:sz w:val="18"/>
                <w:szCs w:val="18"/>
                <w:color w:val="auto"/>
              </w:rPr>
              <w:t>Condensed Consolidated Statements of</w:t>
            </w:r>
          </w:p>
        </w:tc>
        <w:tc>
          <w:tcPr>
            <w:tcW w:w="5980" w:type="dxa"/>
            <w:vAlign w:val="bottom"/>
            <w:gridSpan w:val="1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Arial" w:cs="Arial" w:eastAsia="Arial" w:hAnsi="Arial"/>
                <w:sz w:val="18"/>
                <w:szCs w:val="18"/>
                <w:color w:val="auto"/>
              </w:rPr>
              <w:t>Condensed Consolidated Statements of Comprehensive (Loss) Income</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4"/>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right w:val="single" w:sz="8" w:color="0000EE"/>
            </w:tcBorders>
            <w:shd w:val="clear" w:color="auto" w:fill="000000"/>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40" w:type="dxa"/>
            <w:vAlign w:val="bottom"/>
            <w:gridSpan w:val="15"/>
          </w:tcPr>
          <w:p>
            <w:pPr>
              <w:spacing w:after="0" w:line="182" w:lineRule="exact"/>
              <w:rPr>
                <w:sz w:val="20"/>
                <w:szCs w:val="20"/>
                <w:color w:val="auto"/>
              </w:rPr>
            </w:pPr>
            <w:r>
              <w:rPr>
                <w:rFonts w:ascii="Arial" w:cs="Arial" w:eastAsia="Arial" w:hAnsi="Arial"/>
                <w:sz w:val="18"/>
                <w:szCs w:val="18"/>
                <w:color w:val="auto"/>
              </w:rPr>
              <w:t>Condensed Consolidated Statements of Stockholders' Equity</w:t>
            </w:r>
          </w:p>
        </w:tc>
        <w:tc>
          <w:tcPr>
            <w:tcW w:w="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left w:val="single" w:sz="8" w:color="auto"/>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3"/>
            <w:vMerge w:val="restart"/>
          </w:tcPr>
          <w:p>
            <w:pPr>
              <w:spacing w:after="0" w:line="20" w:lineRule="exact"/>
              <w:rPr>
                <w:sz w:val="1"/>
                <w:szCs w:val="1"/>
                <w:color w:val="auto"/>
              </w:rPr>
            </w:pPr>
          </w:p>
        </w:tc>
        <w:tc>
          <w:tcPr>
            <w:tcW w:w="1740" w:type="dxa"/>
            <w:vAlign w:val="bottom"/>
            <w:gridSpan w:val="2"/>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gridSpan w:val="14"/>
          </w:tcPr>
          <w:p>
            <w:pPr>
              <w:spacing w:after="0" w:line="182" w:lineRule="exact"/>
              <w:rPr>
                <w:sz w:val="20"/>
                <w:szCs w:val="20"/>
                <w:color w:val="auto"/>
              </w:rPr>
            </w:pPr>
            <w:r>
              <w:rPr>
                <w:rFonts w:ascii="Arial" w:cs="Arial" w:eastAsia="Arial" w:hAnsi="Arial"/>
                <w:sz w:val="18"/>
                <w:szCs w:val="18"/>
                <w:color w:val="auto"/>
              </w:rPr>
              <w:t>Condensed Consolidated Statements of Cash Flows</w:t>
            </w:r>
          </w:p>
        </w:tc>
        <w:tc>
          <w:tcPr>
            <w:tcW w:w="440" w:type="dxa"/>
            <w:vAlign w:val="bottom"/>
            <w:gridSpan w:val="3"/>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4"/>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Arial" w:cs="Arial" w:eastAsia="Arial" w:hAnsi="Arial"/>
                <w:sz w:val="18"/>
                <w:szCs w:val="18"/>
                <w:color w:val="auto"/>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39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5340" w:type="dxa"/>
            <w:vAlign w:val="bottom"/>
            <w:gridSpan w:val="17"/>
          </w:tcPr>
          <w:p>
            <w:pPr>
              <w:spacing w:after="0" w:line="182" w:lineRule="exact"/>
              <w:rPr>
                <w:sz w:val="20"/>
                <w:szCs w:val="20"/>
                <w:color w:val="auto"/>
              </w:rPr>
            </w:pPr>
            <w:r>
              <w:rPr>
                <w:rFonts w:ascii="Arial" w:cs="Arial" w:eastAsia="Arial" w:hAnsi="Arial"/>
                <w:sz w:val="18"/>
                <w:szCs w:val="18"/>
                <w:color w:val="auto"/>
              </w:rPr>
              <w:t>Management’s Discussion and Analysis of Financial Condition and</w:t>
            </w:r>
          </w:p>
        </w:tc>
        <w:tc>
          <w:tcPr>
            <w:tcW w:w="396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40" w:type="dxa"/>
            <w:vAlign w:val="bottom"/>
            <w:gridSpan w:val="6"/>
            <w:shd w:val="clear" w:color="auto" w:fill="000000"/>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7080" w:type="dxa"/>
            <w:vAlign w:val="bottom"/>
            <w:gridSpan w:val="19"/>
          </w:tcPr>
          <w:p>
            <w:pPr>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60" w:type="dxa"/>
            <w:vAlign w:val="bottom"/>
            <w:gridSpan w:val="7"/>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700" w:type="dxa"/>
            <w:vAlign w:val="bottom"/>
            <w:gridSpan w:val="12"/>
          </w:tcPr>
          <w:p>
            <w:pPr>
              <w:spacing w:after="0" w:line="182" w:lineRule="exact"/>
              <w:rPr>
                <w:sz w:val="20"/>
                <w:szCs w:val="20"/>
                <w:color w:val="auto"/>
              </w:rPr>
            </w:pPr>
            <w:r>
              <w:rPr>
                <w:rFonts w:ascii="Arial" w:cs="Arial" w:eastAsia="Arial" w:hAnsi="Arial"/>
                <w:sz w:val="18"/>
                <w:szCs w:val="18"/>
                <w:color w:val="auto"/>
              </w:rPr>
              <w:t>Controls and Procedures</w:t>
            </w:r>
          </w:p>
        </w:tc>
        <w:tc>
          <w:tcPr>
            <w:tcW w:w="140" w:type="dxa"/>
            <w:vAlign w:val="bottom"/>
            <w:vMerge w:val="continue"/>
          </w:tcPr>
          <w:p>
            <w:pPr>
              <w:spacing w:after="0"/>
              <w:rPr>
                <w:sz w:val="15"/>
                <w:szCs w:val="15"/>
                <w:color w:val="auto"/>
              </w:rPr>
            </w:pPr>
          </w:p>
        </w:tc>
        <w:tc>
          <w:tcPr>
            <w:tcW w:w="4460" w:type="dxa"/>
            <w:vAlign w:val="bottom"/>
            <w:gridSpan w:val="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0"/>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300" w:type="dxa"/>
            <w:vAlign w:val="bottom"/>
            <w:gridSpan w:val="6"/>
            <w:vMerge w:val="restart"/>
          </w:tcPr>
          <w:p>
            <w:pPr>
              <w:spacing w:after="0" w:line="20" w:lineRule="exact"/>
              <w:rPr>
                <w:sz w:val="1"/>
                <w:szCs w:val="1"/>
                <w:color w:val="auto"/>
              </w:rPr>
            </w:pPr>
          </w:p>
        </w:tc>
        <w:tc>
          <w:tcPr>
            <w:tcW w:w="4460" w:type="dxa"/>
            <w:vAlign w:val="bottom"/>
            <w:gridSpan w:val="7"/>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auto"/>
              </w:rPr>
              <w:t>Risk Factors</w:t>
            </w: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4460" w:type="dxa"/>
            <w:vAlign w:val="bottom"/>
            <w:gridSpan w:val="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300" w:type="dxa"/>
            <w:vAlign w:val="bottom"/>
            <w:gridSpan w:val="18"/>
            <w:vMerge w:val="restart"/>
          </w:tcPr>
          <w:p>
            <w:pPr>
              <w:ind w:left="80"/>
              <w:spacing w:after="0" w:line="202" w:lineRule="exact"/>
              <w:rPr>
                <w:sz w:val="20"/>
                <w:szCs w:val="20"/>
                <w:color w:val="auto"/>
              </w:rPr>
            </w:pPr>
            <w:r>
              <w:rPr>
                <w:rFonts w:ascii="Arial" w:cs="Arial" w:eastAsia="Arial" w:hAnsi="Arial"/>
                <w:sz w:val="18"/>
                <w:szCs w:val="18"/>
                <w:color w:val="auto"/>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auto"/>
                <w:w w:val="95"/>
              </w:rPr>
              <w:t>Unregistered</w:t>
            </w:r>
          </w:p>
        </w:tc>
        <w:tc>
          <w:tcPr>
            <w:tcW w:w="8300" w:type="dxa"/>
            <w:vAlign w:val="bottom"/>
            <w:gridSpan w:val="1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300" w:type="dxa"/>
            <w:vAlign w:val="bottom"/>
            <w:gridSpan w:val="6"/>
            <w:shd w:val="clear" w:color="auto" w:fill="000000"/>
          </w:tcPr>
          <w:p>
            <w:pPr>
              <w:spacing w:after="0" w:line="20" w:lineRule="exact"/>
              <w:rPr>
                <w:sz w:val="1"/>
                <w:szCs w:val="1"/>
                <w:color w:val="auto"/>
              </w:rPr>
            </w:pPr>
          </w:p>
        </w:tc>
        <w:tc>
          <w:tcPr>
            <w:tcW w:w="4460" w:type="dxa"/>
            <w:vAlign w:val="bottom"/>
            <w:gridSpan w:val="7"/>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840" w:type="dxa"/>
            <w:vAlign w:val="bottom"/>
            <w:gridSpan w:val="13"/>
          </w:tcPr>
          <w:p>
            <w:pPr>
              <w:spacing w:after="0" w:line="182" w:lineRule="exact"/>
              <w:rPr>
                <w:sz w:val="20"/>
                <w:szCs w:val="20"/>
                <w:color w:val="auto"/>
              </w:rPr>
            </w:pPr>
            <w:r>
              <w:rPr>
                <w:rFonts w:ascii="Arial" w:cs="Arial" w:eastAsia="Arial" w:hAnsi="Arial"/>
                <w:sz w:val="18"/>
                <w:szCs w:val="18"/>
                <w:color w:val="auto"/>
              </w:rPr>
              <w:t>Defaults Upon Senior Securities</w:t>
            </w:r>
          </w:p>
        </w:tc>
        <w:tc>
          <w:tcPr>
            <w:tcW w:w="4460" w:type="dxa"/>
            <w:vAlign w:val="bottom"/>
            <w:gridSpan w:val="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676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540" w:type="dxa"/>
            <w:vAlign w:val="bottom"/>
            <w:gridSpan w:val="7"/>
          </w:tcPr>
          <w:p>
            <w:pPr>
              <w:spacing w:after="0" w:line="182" w:lineRule="exact"/>
              <w:rPr>
                <w:sz w:val="20"/>
                <w:szCs w:val="20"/>
                <w:color w:val="auto"/>
              </w:rPr>
            </w:pPr>
            <w:r>
              <w:rPr>
                <w:rFonts w:ascii="Arial" w:cs="Arial" w:eastAsia="Arial" w:hAnsi="Arial"/>
                <w:sz w:val="18"/>
                <w:szCs w:val="18"/>
                <w:color w:val="auto"/>
              </w:rPr>
              <w:t>Mine Safety Disclosures</w:t>
            </w:r>
          </w:p>
        </w:tc>
        <w:tc>
          <w:tcPr>
            <w:tcW w:w="676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38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920" w:type="dxa"/>
            <w:vAlign w:val="bottom"/>
            <w:gridSpan w:val="5"/>
          </w:tcPr>
          <w:p>
            <w:pPr>
              <w:spacing w:after="0" w:line="182" w:lineRule="exact"/>
              <w:rPr>
                <w:sz w:val="20"/>
                <w:szCs w:val="20"/>
                <w:color w:val="auto"/>
              </w:rPr>
            </w:pPr>
            <w:r>
              <w:rPr>
                <w:rFonts w:ascii="Arial" w:cs="Arial" w:eastAsia="Arial" w:hAnsi="Arial"/>
                <w:sz w:val="18"/>
                <w:szCs w:val="18"/>
                <w:color w:val="auto"/>
              </w:rPr>
              <w:t>Other Information</w:t>
            </w:r>
          </w:p>
        </w:tc>
        <w:tc>
          <w:tcPr>
            <w:tcW w:w="738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tcBorders>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900" w:type="dxa"/>
            <w:vAlign w:val="bottom"/>
            <w:gridSpan w:val="17"/>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400" w:type="dxa"/>
            <w:vAlign w:val="bottom"/>
            <w:gridSpan w:val="3"/>
          </w:tcPr>
          <w:p>
            <w:pPr>
              <w:spacing w:after="0" w:line="182" w:lineRule="exact"/>
              <w:rPr>
                <w:sz w:val="20"/>
                <w:szCs w:val="20"/>
                <w:color w:val="auto"/>
              </w:rPr>
            </w:pPr>
            <w:r>
              <w:rPr>
                <w:rFonts w:ascii="Arial" w:cs="Arial" w:eastAsia="Arial" w:hAnsi="Arial"/>
                <w:sz w:val="18"/>
                <w:szCs w:val="18"/>
                <w:color w:val="auto"/>
              </w:rPr>
              <w:t>Exhibits</w:t>
            </w:r>
          </w:p>
        </w:tc>
        <w:tc>
          <w:tcPr>
            <w:tcW w:w="790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Signatures</w:t>
            </w: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1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This quarterly report on Form 10-Q for the quarterly period ended June 30, 2022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expand our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implement and recognize revenue from new customers;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right="9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impact of the COVID-19 pandemic on our operating results, liquidity and financial condition and on our employees, billers, financial institutions, partners, consumers and other key stakeholders;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 opportunity and anticipated trends in our business and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remain competitive as we continue to scale our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features and enhance our platform;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including inflation, and their impact on us and consumer demand;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impact of our recent acquisitions of PayVeris LLC, or Payveris, and Finovera, Inc., or Finovera;</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acquisitions or strategic investments in complementary companies, products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enhance our brand;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international expansion plans and ability to expand internationally; and</w:t>
      </w:r>
    </w:p>
    <w:p>
      <w:pPr>
        <w:spacing w:after="0" w:line="102" w:lineRule="exact"/>
        <w:rPr>
          <w:rFonts w:ascii="Times New Roman" w:cs="Times New Roman" w:eastAsia="Times New Roman" w:hAnsi="Times New Roman"/>
          <w:sz w:val="18"/>
          <w:szCs w:val="18"/>
          <w:color w:val="auto"/>
        </w:rPr>
      </w:pPr>
    </w:p>
    <w:p>
      <w:pPr>
        <w:ind w:left="1020" w:right="60" w:hanging="503"/>
        <w:spacing w:after="0" w:line="283"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those factors described in the sections titled “Risk Factors" and “Management’s Discussion and Analysis of Financial Conditions and Results of Operations” in our Annual Report on Form 10-K for the year ended December 31, 2021 and the section titled “Management’s Discussion and Analysis of Financial Condition and Results of Operations” in this Quarterly Report.</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17"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2" w:lineRule="exact"/>
        <w:rPr>
          <w:sz w:val="20"/>
          <w:szCs w:val="20"/>
          <w:color w:val="auto"/>
        </w:rPr>
      </w:pPr>
    </w:p>
    <w:p>
      <w:pPr>
        <w:ind w:right="100" w:firstLine="494"/>
        <w:spacing w:after="0" w:line="243"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3" w:name="page4"/>
    <w:bookmarkEnd w:id="3"/>
    <w:p>
      <w:pPr>
        <w:ind w:firstLine="494"/>
        <w:spacing w:after="0" w:line="25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02" w:lineRule="exact"/>
        <w:rPr>
          <w:sz w:val="20"/>
          <w:szCs w:val="20"/>
          <w:color w:val="auto"/>
        </w:rPr>
      </w:pPr>
    </w:p>
    <w:p>
      <w:pPr>
        <w:ind w:right="620" w:firstLine="494"/>
        <w:spacing w:after="0" w:line="271"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640" w:type="dxa"/>
            <w:vAlign w:val="bottom"/>
          </w:tcPr>
          <w:p>
            <w:pPr>
              <w:spacing w:after="0"/>
              <w:rPr>
                <w:sz w:val="13"/>
                <w:szCs w:val="13"/>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80" w:type="dxa"/>
            <w:vAlign w:val="bottom"/>
            <w:shd w:val="clear" w:color="auto" w:fill="CFF0FC"/>
          </w:tcPr>
          <w:p>
            <w:pPr>
              <w:jc w:val="right"/>
              <w:ind w:right="911"/>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158,335</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168,386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Restricted funds held for financial institutions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59,325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33,443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and other receivables, net of allowance of $284 and $102</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52,908</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Income tax receivable</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2,661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8,611</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10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281,840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256,436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64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color w:val="auto"/>
              </w:rPr>
              <w:t>Property and equipment, net of accumulated depreciation and</w:t>
            </w:r>
          </w:p>
        </w:tc>
        <w:tc>
          <w:tcPr>
            <w:tcW w:w="108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2,048</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amortization of $5,353 and $4,791</w:t>
            </w:r>
          </w:p>
        </w:tc>
        <w:tc>
          <w:tcPr>
            <w:tcW w:w="108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Capitalized internal-use software development costs, net</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38,725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30,888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assets, net</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38,108</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129,387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129,413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assets</w:t>
            </w:r>
          </w:p>
        </w:tc>
        <w:tc>
          <w:tcPr>
            <w:tcW w:w="10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5,176</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4,207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1080" w:type="dxa"/>
            <w:vAlign w:val="bottom"/>
          </w:tcPr>
          <w:p>
            <w:pPr>
              <w:jc w:val="right"/>
              <w:ind w:right="91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506,162</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472,942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0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FF0FC"/>
          </w:tcPr>
          <w:p>
            <w:pPr>
              <w:jc w:val="right"/>
              <w:ind w:right="911"/>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27,789</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Accrued liabilities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14,564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Financial institution funds in-transit</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59,325</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Operating lease liabilities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liabilities</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1,323</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Income tax payable</w:t>
            </w: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10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105,054</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 net of current portion</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9,546</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2,640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Finance leases and other finance obligations, net of current portion</w:t>
            </w:r>
          </w:p>
        </w:tc>
        <w:tc>
          <w:tcPr>
            <w:tcW w:w="10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117,990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9)</w:t>
            </w:r>
          </w:p>
        </w:tc>
        <w:tc>
          <w:tcPr>
            <w:tcW w:w="10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4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Preferred stock, $0.0001 par value per share, 5,000,000 shares authorized as of June 30, 2022 and December</w:t>
            </w:r>
          </w:p>
        </w:tc>
        <w:tc>
          <w:tcPr>
            <w:tcW w:w="108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31, 2021, respectively; none issued and outstanding as of June 30, 2022 and December 31, 2021, respectively</w:t>
            </w:r>
          </w:p>
        </w:tc>
        <w:tc>
          <w:tcPr>
            <w:tcW w:w="108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40" w:type="dxa"/>
            <w:vAlign w:val="bottom"/>
          </w:tcPr>
          <w:p>
            <w:pPr>
              <w:ind w:left="200"/>
              <w:spacing w:after="0" w:line="139" w:lineRule="exact"/>
              <w:rPr>
                <w:sz w:val="20"/>
                <w:szCs w:val="20"/>
                <w:color w:val="auto"/>
              </w:rPr>
            </w:pPr>
            <w:r>
              <w:rPr>
                <w:rFonts w:ascii="Arial" w:cs="Arial" w:eastAsia="Arial" w:hAnsi="Arial"/>
                <w:sz w:val="14"/>
                <w:szCs w:val="14"/>
                <w:color w:val="auto"/>
              </w:rPr>
              <w:t>Class A common stock, $0.0001 par value per share, 883,950,000 shares authorized as of June 30, 2022 and</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December 31, 2021, respectively; 19,283,807 and 17,251,079 shares issued and outstanding as of June 30, 2022</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200"/>
              <w:spacing w:after="0"/>
              <w:rPr>
                <w:sz w:val="20"/>
                <w:szCs w:val="20"/>
                <w:color w:val="auto"/>
              </w:rPr>
            </w:pPr>
            <w:r>
              <w:rPr>
                <w:rFonts w:ascii="Arial" w:cs="Arial" w:eastAsia="Arial" w:hAnsi="Arial"/>
                <w:sz w:val="14"/>
                <w:szCs w:val="14"/>
                <w:color w:val="auto"/>
              </w:rPr>
              <w:t>and December 31, 2021, respectively</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64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Class B common stock, $0.0001 par value per share, 111,050,000 shares authorized as of June 30, 2022 and</w:t>
            </w:r>
          </w:p>
        </w:tc>
        <w:tc>
          <w:tcPr>
            <w:tcW w:w="10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4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December 31, 2021, respectively; 103,336,337 and 103,388,082 shares issued and outstanding as of June 30,</w:t>
            </w:r>
          </w:p>
        </w:tc>
        <w:tc>
          <w:tcPr>
            <w:tcW w:w="10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2022 and December 31, 2021, respectively</w:t>
            </w: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358,939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356,017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stockholders’ equity</w:t>
            </w:r>
          </w:p>
        </w:tc>
        <w:tc>
          <w:tcPr>
            <w:tcW w:w="10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388,172</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386,132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080" w:type="dxa"/>
            <w:vAlign w:val="bottom"/>
          </w:tcPr>
          <w:p>
            <w:pPr>
              <w:jc w:val="right"/>
              <w:ind w:right="91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506,162</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472,942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-4371340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-3376930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-1773555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-144780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360"/>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CONDENSED CONSOLIDATED STATEMENTS OF OPERATIONS (Unaudited)</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78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169"/>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119,969</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93,495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236,673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185,717</w:t>
            </w:r>
          </w:p>
        </w:tc>
        <w:tc>
          <w:tcPr>
            <w:tcW w:w="100" w:type="dxa"/>
            <w:vAlign w:val="bottom"/>
            <w:shd w:val="clear" w:color="auto" w:fill="CFF0FC"/>
          </w:tcPr>
          <w:p>
            <w:pPr>
              <w:spacing w:after="0"/>
              <w:rPr>
                <w:sz w:val="14"/>
                <w:szCs w:val="14"/>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84,141</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64,567</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165,991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129,242</w:t>
            </w:r>
          </w:p>
        </w:tc>
        <w:tc>
          <w:tcPr>
            <w:tcW w:w="100" w:type="dxa"/>
            <w:vAlign w:val="bottom"/>
          </w:tcPr>
          <w:p>
            <w:pPr>
              <w:spacing w:after="0"/>
              <w:rPr>
                <w:sz w:val="15"/>
                <w:szCs w:val="15"/>
                <w:color w:val="auto"/>
              </w:rPr>
            </w:pPr>
          </w:p>
        </w:tc>
      </w:tr>
      <w:tr>
        <w:trPr>
          <w:trHeight w:val="169"/>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2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35,828</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28,928</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70,682</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56,475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10,185</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20,575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15,651</w:t>
            </w:r>
          </w:p>
        </w:tc>
        <w:tc>
          <w:tcPr>
            <w:tcW w:w="100" w:type="dxa"/>
            <w:vAlign w:val="bottom"/>
            <w:shd w:val="clear" w:color="auto" w:fill="CFF0FC"/>
          </w:tcPr>
          <w:p>
            <w:pPr>
              <w:spacing w:after="0"/>
              <w:rPr>
                <w:sz w:val="15"/>
                <w:szCs w:val="15"/>
                <w:color w:val="auto"/>
              </w:rPr>
            </w:pPr>
          </w:p>
        </w:tc>
      </w:tr>
      <w:tr>
        <w:trPr>
          <w:trHeight w:val="175"/>
        </w:trPr>
        <w:tc>
          <w:tcPr>
            <w:tcW w:w="578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17,851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34,041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17,727</w:t>
            </w:r>
          </w:p>
        </w:tc>
        <w:tc>
          <w:tcPr>
            <w:tcW w:w="100" w:type="dxa"/>
            <w:vAlign w:val="bottom"/>
          </w:tcPr>
          <w:p>
            <w:pPr>
              <w:spacing w:after="0"/>
              <w:rPr>
                <w:sz w:val="15"/>
                <w:szCs w:val="15"/>
                <w:color w:val="auto"/>
              </w:rPr>
            </w:pPr>
          </w:p>
        </w:tc>
      </w:tr>
      <w:tr>
        <w:trPr>
          <w:trHeight w:val="176"/>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10,017</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7,421</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19,662</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14,163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78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24,847</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74,278</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47,541</w:t>
            </w:r>
          </w:p>
        </w:tc>
        <w:tc>
          <w:tcPr>
            <w:tcW w:w="100" w:type="dxa"/>
            <w:vAlign w:val="bottom"/>
          </w:tcPr>
          <w:p>
            <w:pPr>
              <w:spacing w:after="0"/>
              <w:rPr>
                <w:sz w:val="14"/>
                <w:szCs w:val="14"/>
                <w:color w:val="auto"/>
              </w:rPr>
            </w:pPr>
          </w:p>
        </w:tc>
      </w:tr>
      <w:tr>
        <w:trPr>
          <w:trHeight w:val="169"/>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income from operations</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(2,225</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(3,596</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8,934</w:t>
            </w:r>
          </w:p>
        </w:tc>
        <w:tc>
          <w:tcPr>
            <w:tcW w:w="100" w:type="dxa"/>
            <w:vAlign w:val="bottom"/>
            <w:shd w:val="clear" w:color="auto" w:fill="CFF0FC"/>
          </w:tcPr>
          <w:p>
            <w:pPr>
              <w:spacing w:after="0"/>
              <w:rPr>
                <w:sz w:val="14"/>
                <w:szCs w:val="14"/>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Other income (loss)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 (expense), net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(4 )</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(7 )</w:t>
            </w:r>
          </w:p>
        </w:tc>
      </w:tr>
      <w:tr>
        <w:trPr>
          <w:trHeight w:val="175"/>
        </w:trPr>
        <w:tc>
          <w:tcPr>
            <w:tcW w:w="5780" w:type="dxa"/>
            <w:vAlign w:val="bottom"/>
          </w:tcPr>
          <w:p>
            <w:pPr>
              <w:ind w:left="200"/>
              <w:spacing w:after="0"/>
              <w:rPr>
                <w:sz w:val="20"/>
                <w:szCs w:val="20"/>
                <w:color w:val="auto"/>
              </w:rPr>
            </w:pPr>
            <w:r>
              <w:rPr>
                <w:rFonts w:ascii="Arial" w:cs="Arial" w:eastAsia="Arial" w:hAnsi="Arial"/>
                <w:sz w:val="14"/>
                <w:szCs w:val="14"/>
                <w:color w:val="auto"/>
              </w:rPr>
              <w:t>Foreign exchange gain (loss)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r>
      <w:tr>
        <w:trPr>
          <w:trHeight w:val="169"/>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income before income taxes</w:t>
            </w:r>
          </w:p>
        </w:tc>
        <w:tc>
          <w:tcPr>
            <w:tcW w:w="2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(2,073</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4,076</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(3,426</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8,935</w:t>
            </w:r>
          </w:p>
        </w:tc>
        <w:tc>
          <w:tcPr>
            <w:tcW w:w="100" w:type="dxa"/>
            <w:vAlign w:val="bottom"/>
            <w:shd w:val="clear" w:color="auto" w:fill="CFF0FC"/>
          </w:tcPr>
          <w:p>
            <w:pPr>
              <w:spacing w:after="0"/>
              <w:rPr>
                <w:sz w:val="14"/>
                <w:szCs w:val="14"/>
                <w:color w:val="auto"/>
              </w:rPr>
            </w:pPr>
          </w:p>
        </w:tc>
      </w:tr>
      <w:tr>
        <w:trPr>
          <w:trHeight w:val="175"/>
        </w:trPr>
        <w:tc>
          <w:tcPr>
            <w:tcW w:w="5780" w:type="dxa"/>
            <w:vAlign w:val="bottom"/>
          </w:tcPr>
          <w:p>
            <w:pPr>
              <w:ind w:left="200"/>
              <w:spacing w:after="0"/>
              <w:rPr>
                <w:sz w:val="20"/>
                <w:szCs w:val="20"/>
                <w:color w:val="auto"/>
              </w:rPr>
            </w:pPr>
            <w:r>
              <w:rPr>
                <w:rFonts w:ascii="Arial" w:cs="Arial" w:eastAsia="Arial" w:hAnsi="Arial"/>
                <w:sz w:val="14"/>
                <w:szCs w:val="14"/>
                <w:color w:val="auto"/>
              </w:rPr>
              <w:t>(Provision for) benefit from income taxes</w:t>
            </w:r>
          </w:p>
        </w:tc>
        <w:tc>
          <w:tcPr>
            <w:tcW w:w="20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(378 )</w:t>
            </w:r>
          </w:p>
        </w:tc>
        <w:tc>
          <w:tcPr>
            <w:tcW w:w="24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(3,501 )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(4,722 )</w:t>
            </w:r>
          </w:p>
        </w:tc>
      </w:tr>
      <w:tr>
        <w:trPr>
          <w:trHeight w:val="169"/>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 income</w:t>
            </w: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(2,451</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(733</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4,213</w:t>
            </w:r>
          </w:p>
        </w:tc>
        <w:tc>
          <w:tcPr>
            <w:tcW w:w="100" w:type="dxa"/>
            <w:vAlign w:val="bottom"/>
            <w:shd w:val="clear" w:color="auto" w:fill="CFF0FC"/>
          </w:tcPr>
          <w:p>
            <w:pPr>
              <w:spacing w:after="0"/>
              <w:rPr>
                <w:sz w:val="14"/>
                <w:szCs w:val="14"/>
                <w:color w:val="auto"/>
              </w:rPr>
            </w:pPr>
          </w:p>
        </w:tc>
      </w:tr>
      <w:tr>
        <w:trPr>
          <w:trHeight w:val="176"/>
        </w:trPr>
        <w:tc>
          <w:tcPr>
            <w:tcW w:w="5780" w:type="dxa"/>
            <w:vAlign w:val="bottom"/>
          </w:tcPr>
          <w:p>
            <w:pPr>
              <w:ind w:left="380"/>
              <w:spacing w:after="0"/>
              <w:rPr>
                <w:sz w:val="20"/>
                <w:szCs w:val="20"/>
                <w:color w:val="auto"/>
              </w:rPr>
            </w:pPr>
            <w:r>
              <w:rPr>
                <w:rFonts w:ascii="Arial" w:cs="Arial" w:eastAsia="Arial" w:hAnsi="Arial"/>
                <w:sz w:val="14"/>
                <w:szCs w:val="14"/>
                <w:color w:val="auto"/>
              </w:rPr>
              <w:t>Undeclared dividends on Series A preferred stock</w:t>
            </w:r>
          </w:p>
        </w:tc>
        <w:tc>
          <w:tcPr>
            <w:tcW w:w="200" w:type="dxa"/>
            <w:vAlign w:val="bottom"/>
          </w:tcPr>
          <w:p>
            <w:pPr>
              <w:spacing w:after="0"/>
              <w:rPr>
                <w:sz w:val="15"/>
                <w:szCs w:val="15"/>
                <w:color w:val="auto"/>
              </w:rPr>
            </w:pPr>
          </w:p>
        </w:tc>
        <w:tc>
          <w:tcPr>
            <w:tcW w:w="12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(898 )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(2,258 )</w:t>
            </w:r>
          </w:p>
        </w:tc>
      </w:tr>
      <w:tr>
        <w:trPr>
          <w:trHeight w:val="209"/>
        </w:trPr>
        <w:tc>
          <w:tcPr>
            <w:tcW w:w="5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(loss) income attributable to common stock</w:t>
            </w: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(2,451</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(733</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5780" w:type="dxa"/>
            <w:vAlign w:val="bottom"/>
          </w:tcPr>
          <w:p>
            <w:pPr>
              <w:ind w:left="200"/>
              <w:spacing w:after="0" w:line="156" w:lineRule="exact"/>
              <w:rPr>
                <w:sz w:val="20"/>
                <w:szCs w:val="20"/>
                <w:color w:val="auto"/>
              </w:rPr>
            </w:pPr>
            <w:r>
              <w:rPr>
                <w:rFonts w:ascii="Arial" w:cs="Arial" w:eastAsia="Arial" w:hAnsi="Arial"/>
                <w:sz w:val="14"/>
                <w:szCs w:val="14"/>
                <w:color w:val="auto"/>
              </w:rPr>
              <w:t>Net (loss) income per share attributable to common stock</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(0.02 )</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(0.01 )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FF0FC"/>
          </w:tcPr>
          <w:p>
            <w:pPr>
              <w:spacing w:after="0"/>
              <w:rPr>
                <w:sz w:val="15"/>
                <w:szCs w:val="15"/>
                <w:color w:val="auto"/>
              </w:rPr>
            </w:pPr>
          </w:p>
        </w:tc>
      </w:tr>
      <w:tr>
        <w:trPr>
          <w:trHeight w:val="176"/>
        </w:trPr>
        <w:tc>
          <w:tcPr>
            <w:tcW w:w="5780" w:type="dxa"/>
            <w:vAlign w:val="bottom"/>
          </w:tcPr>
          <w:p>
            <w:pPr>
              <w:ind w:left="38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(0.02 )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(0.01 )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5"/>
                <w:szCs w:val="15"/>
                <w:color w:val="auto"/>
              </w:rPr>
            </w:pPr>
          </w:p>
        </w:tc>
      </w:tr>
      <w:tr>
        <w:trPr>
          <w:trHeight w:val="139"/>
        </w:trPr>
        <w:tc>
          <w:tcPr>
            <w:tcW w:w="578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Weighted-average number of shares used to compute net (loss) income per share</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5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attributable to common stock</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5"/>
        </w:trPr>
        <w:tc>
          <w:tcPr>
            <w:tcW w:w="5780" w:type="dxa"/>
            <w:vAlign w:val="bottom"/>
          </w:tcPr>
          <w:p>
            <w:pPr>
              <w:ind w:left="38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121,637,711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108,970,604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121,269,688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106,240,091</w:t>
            </w:r>
          </w:p>
        </w:tc>
        <w:tc>
          <w:tcPr>
            <w:tcW w:w="100" w:type="dxa"/>
            <w:vAlign w:val="bottom"/>
          </w:tcPr>
          <w:p>
            <w:pPr>
              <w:spacing w:after="0"/>
              <w:rPr>
                <w:sz w:val="15"/>
                <w:szCs w:val="15"/>
                <w:color w:val="auto"/>
              </w:rPr>
            </w:pPr>
          </w:p>
        </w:tc>
      </w:tr>
      <w:tr>
        <w:trPr>
          <w:trHeight w:val="176"/>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121,637,711</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108,970,604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121,269,688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112,244,054</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-2750820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-2750820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-2750820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-2399665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-2399665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-1945005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-1945005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-1945005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-788035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-770890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-788035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-770890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-788035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-770890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ind w:left="4360"/>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CONDENSED CONSOLIDATED STATEMENTS OF COMPREHENSIVE (LOSS) INCOME (Unaudited)</w:t>
      </w:r>
    </w:p>
    <w:p>
      <w:pPr>
        <w:jc w:val="center"/>
        <w:spacing w:after="0"/>
        <w:rPr>
          <w:sz w:val="20"/>
          <w:szCs w:val="20"/>
          <w:color w:val="auto"/>
        </w:rPr>
      </w:pPr>
      <w:r>
        <w:rPr>
          <w:rFonts w:ascii="Arial" w:cs="Arial" w:eastAsia="Arial" w:hAnsi="Arial"/>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(2,451</w:t>
            </w:r>
          </w:p>
        </w:tc>
        <w:tc>
          <w:tcPr>
            <w:tcW w:w="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722"/>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575</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shd w:val="clear" w:color="auto" w:fill="CFF0FC"/>
          </w:tcPr>
          <w:p>
            <w:pPr>
              <w:jc w:val="right"/>
              <w:ind w:right="60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4,213</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adjustments, net of tax</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(104 )</w:t>
            </w:r>
          </w:p>
        </w:tc>
        <w:tc>
          <w:tcPr>
            <w:tcW w:w="9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(149 )</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(48 )</w:t>
            </w:r>
          </w:p>
        </w:tc>
      </w:tr>
      <w:tr>
        <w:trPr>
          <w:trHeight w:val="20"/>
        </w:trPr>
        <w:tc>
          <w:tcPr>
            <w:tcW w:w="59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20" w:type="dxa"/>
            <w:vAlign w:val="bottom"/>
          </w:tcPr>
          <w:p>
            <w:pPr>
              <w:ind w:left="380"/>
              <w:spacing w:after="0"/>
              <w:rPr>
                <w:sz w:val="20"/>
                <w:szCs w:val="20"/>
                <w:color w:val="auto"/>
              </w:rPr>
            </w:pPr>
            <w:r>
              <w:rPr>
                <w:rFonts w:ascii="Arial" w:cs="Arial" w:eastAsia="Arial" w:hAnsi="Arial"/>
                <w:sz w:val="16"/>
                <w:szCs w:val="16"/>
                <w:color w:val="auto"/>
              </w:rPr>
              <w:t>Comprehensive (loss)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(2,555 )</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506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604"/>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79"/>
              <w:spacing w:after="0"/>
              <w:rPr>
                <w:sz w:val="20"/>
                <w:szCs w:val="20"/>
                <w:color w:val="auto"/>
              </w:rPr>
            </w:pPr>
            <w:r>
              <w:rPr>
                <w:rFonts w:ascii="Arial" w:cs="Arial" w:eastAsia="Arial" w:hAnsi="Arial"/>
                <w:sz w:val="16"/>
                <w:szCs w:val="16"/>
                <w:color w:val="auto"/>
              </w:rPr>
              <w:t>(882 )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4,165</w:t>
            </w:r>
          </w:p>
        </w:tc>
        <w:tc>
          <w:tcPr>
            <w:tcW w:w="10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-162560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ind w:left="4360"/>
        <w:spacing w:after="0"/>
        <w:rPr>
          <w:sz w:val="20"/>
          <w:szCs w:val="20"/>
          <w:color w:val="auto"/>
        </w:rPr>
      </w:pPr>
      <w:r>
        <w:rPr>
          <w:rFonts w:ascii="Arial" w:cs="Arial" w:eastAsia="Arial" w:hAnsi="Arial"/>
          <w:sz w:val="18"/>
          <w:szCs w:val="18"/>
          <w:color w:val="auto"/>
        </w:rPr>
        <w:t>PAYMENTUS HOLDINGS, INC.</w:t>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CONDENSED CONSOLIDATED STATEMENTS OF STOCKHOLDERS’ EQUITY (Unaudited)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amounts)</w:t>
      </w:r>
    </w:p>
    <w:p>
      <w:pPr>
        <w:sectPr>
          <w:pgSz w:w="11900" w:h="16838" w:orient="portrait"/>
          <w:cols w:equalWidth="0" w:num="1">
            <w:col w:w="11240"/>
          </w:cols>
          <w:pgMar w:left="320" w:top="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right="1120"/>
        <w:spacing w:after="0" w:line="392" w:lineRule="auto"/>
        <w:rPr>
          <w:sz w:val="20"/>
          <w:szCs w:val="20"/>
          <w:color w:val="auto"/>
        </w:rPr>
      </w:pPr>
      <w:r>
        <w:rPr>
          <w:rFonts w:ascii="Arial" w:cs="Arial" w:eastAsia="Arial" w:hAnsi="Arial"/>
          <w:sz w:val="14"/>
          <w:szCs w:val="14"/>
          <w:b w:val="1"/>
          <w:bCs w:val="1"/>
          <w:color w:val="auto"/>
        </w:rPr>
        <w:t xml:space="preserve">Balances at December 31, 2021 </w:t>
      </w:r>
      <w:r>
        <w:rPr>
          <w:rFonts w:ascii="Arial" w:cs="Arial" w:eastAsia="Arial" w:hAnsi="Arial"/>
          <w:sz w:val="14"/>
          <w:szCs w:val="14"/>
          <w:color w:val="auto"/>
        </w:rPr>
        <w:t>Stock-based compensation</w:t>
      </w:r>
    </w:p>
    <w:p>
      <w:pPr>
        <w:spacing w:after="0" w:line="1" w:lineRule="exact"/>
        <w:rPr>
          <w:sz w:val="20"/>
          <w:szCs w:val="20"/>
          <w:color w:val="auto"/>
        </w:rPr>
      </w:pPr>
    </w:p>
    <w:p>
      <w:pPr>
        <w:ind w:left="20"/>
        <w:spacing w:after="0" w:line="251" w:lineRule="auto"/>
        <w:rPr>
          <w:sz w:val="20"/>
          <w:szCs w:val="20"/>
          <w:color w:val="auto"/>
        </w:rPr>
      </w:pPr>
      <w:r>
        <w:rPr>
          <w:rFonts w:ascii="Arial" w:cs="Arial" w:eastAsia="Arial" w:hAnsi="Arial"/>
          <w:sz w:val="14"/>
          <w:szCs w:val="14"/>
          <w:color w:val="auto"/>
        </w:rPr>
        <w:t>Issuance of Class A common stock for stock option exercises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0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13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6"/>
        </w:trPr>
        <w:tc>
          <w:tcPr>
            <w:tcW w:w="2000" w:type="dxa"/>
            <w:vAlign w:val="bottom"/>
            <w:tcBorders>
              <w:bottom w:val="single" w:sz="8" w:color="auto"/>
            </w:tcBorders>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83"/>
        </w:trPr>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00" w:type="dxa"/>
            <w:vAlign w:val="bottom"/>
          </w:tcPr>
          <w:p>
            <w:pPr>
              <w:jc w:val="right"/>
              <w:spacing w:after="0" w:line="133" w:lineRule="exact"/>
              <w:rPr>
                <w:sz w:val="20"/>
                <w:szCs w:val="20"/>
                <w:color w:val="auto"/>
              </w:rPr>
            </w:pPr>
            <w:r>
              <w:rPr>
                <w:rFonts w:ascii="Arial" w:cs="Arial" w:eastAsia="Arial" w:hAnsi="Arial"/>
                <w:sz w:val="14"/>
                <w:szCs w:val="14"/>
                <w:color w:val="auto"/>
              </w:rPr>
              <w:t>120,639,1</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356,017</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29,935</w:t>
            </w:r>
          </w:p>
        </w:tc>
        <w:tc>
          <w:tcPr>
            <w:tcW w:w="4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386,132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4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jc w:val="right"/>
              <w:spacing w:after="0"/>
              <w:rPr>
                <w:sz w:val="20"/>
                <w:szCs w:val="20"/>
                <w:color w:val="auto"/>
              </w:rPr>
            </w:pPr>
            <w:r>
              <w:rPr>
                <w:rFonts w:ascii="Arial" w:cs="Arial" w:eastAsia="Arial" w:hAnsi="Arial"/>
                <w:sz w:val="14"/>
                <w:szCs w:val="14"/>
                <w:color w:val="auto"/>
              </w:rPr>
              <w:t>412,222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(45 )</w:t>
            </w: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-666750</wp:posOffset>
            </wp:positionV>
            <wp:extent cx="713232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-332740</wp:posOffset>
            </wp:positionV>
            <wp:extent cx="71323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80" w:space="700"/>
            <w:col w:w="7260"/>
          </w:cols>
          <w:pgMar w:left="320" w:top="323"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FF0FC"/>
            </w:tcBorders>
            <w:gridSpan w:val="2"/>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1,718</w:t>
            </w: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gridSpan w:val="2"/>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Balances at March 31, 2022</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spacing w:after="0" w:line="133" w:lineRule="exact"/>
              <w:rPr>
                <w:sz w:val="20"/>
                <w:szCs w:val="20"/>
                <w:color w:val="auto"/>
              </w:rPr>
            </w:pPr>
            <w:r>
              <w:rPr>
                <w:rFonts w:ascii="Arial" w:cs="Arial" w:eastAsia="Arial" w:hAnsi="Arial"/>
                <w:sz w:val="14"/>
                <w:szCs w:val="14"/>
                <w:color w:val="auto"/>
              </w:rPr>
              <w:t>121,051,3</w:t>
            </w:r>
          </w:p>
        </w:tc>
        <w:tc>
          <w:tcPr>
            <w:tcW w:w="240" w:type="dxa"/>
            <w:vAlign w:val="bottom"/>
            <w:vMerge w:val="restart"/>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89"/>
              </w:rPr>
              <w:t>12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color w:val="auto"/>
              </w:rPr>
              <w:t>357,306</w:t>
            </w:r>
          </w:p>
        </w:tc>
        <w:tc>
          <w:tcPr>
            <w:tcW w:w="24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97"/>
              </w:rPr>
              <w:t>31,653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389,094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83</w:t>
            </w:r>
          </w:p>
        </w:tc>
        <w:tc>
          <w:tcPr>
            <w:tcW w:w="24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1,344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gridSpan w:val="5"/>
          </w:tcPr>
          <w:p>
            <w:pPr>
              <w:ind w:left="20"/>
              <w:spacing w:after="0"/>
              <w:rPr>
                <w:sz w:val="20"/>
                <w:szCs w:val="20"/>
                <w:color w:val="auto"/>
              </w:rPr>
            </w:pPr>
            <w:r>
              <w:rPr>
                <w:rFonts w:ascii="Arial" w:cs="Arial" w:eastAsia="Arial" w:hAnsi="Arial"/>
                <w:sz w:val="14"/>
                <w:szCs w:val="14"/>
                <w:color w:val="auto"/>
              </w:rPr>
              <w:t>Issuance of Class A common stock for stock-based awards</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1,568,761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289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(104 )</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(2,451 )</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(2,451 )</w:t>
            </w:r>
          </w:p>
        </w:tc>
        <w:tc>
          <w:tcPr>
            <w:tcW w:w="0" w:type="dxa"/>
            <w:vAlign w:val="bottom"/>
          </w:tcPr>
          <w:p>
            <w:pPr>
              <w:spacing w:after="0"/>
              <w:rPr>
                <w:sz w:val="1"/>
                <w:szCs w:val="1"/>
                <w:color w:val="auto"/>
              </w:rPr>
            </w:pPr>
          </w:p>
        </w:tc>
      </w:tr>
      <w:tr>
        <w:trPr>
          <w:trHeight w:val="133"/>
        </w:trPr>
        <w:tc>
          <w:tcPr>
            <w:tcW w:w="27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Balances at June 30, 2022</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gridSpan w:val="3"/>
            <w:shd w:val="clear" w:color="auto" w:fill="CFF0FC"/>
          </w:tcPr>
          <w:p>
            <w:pPr>
              <w:jc w:val="right"/>
              <w:spacing w:after="0" w:line="133" w:lineRule="exact"/>
              <w:rPr>
                <w:sz w:val="20"/>
                <w:szCs w:val="20"/>
                <w:color w:val="auto"/>
              </w:rPr>
            </w:pPr>
            <w:r>
              <w:rPr>
                <w:rFonts w:ascii="Arial" w:cs="Arial" w:eastAsia="Arial" w:hAnsi="Arial"/>
                <w:sz w:val="14"/>
                <w:szCs w:val="14"/>
                <w:color w:val="auto"/>
              </w:rPr>
              <w:t>122,620,1</w:t>
            </w:r>
          </w:p>
        </w:tc>
        <w:tc>
          <w:tcPr>
            <w:tcW w:w="240" w:type="dxa"/>
            <w:vAlign w:val="bottom"/>
            <w:vMerge w:val="restart"/>
            <w:shd w:val="clear" w:color="auto" w:fill="CFF0FC"/>
          </w:tcPr>
          <w:p>
            <w:pPr>
              <w:spacing w:after="0"/>
              <w:rPr>
                <w:sz w:val="11"/>
                <w:szCs w:val="11"/>
                <w:color w:val="auto"/>
              </w:rPr>
            </w:pPr>
          </w:p>
        </w:tc>
        <w:tc>
          <w:tcPr>
            <w:tcW w:w="240" w:type="dxa"/>
            <w:vAlign w:val="bottom"/>
            <w:tcBorders>
              <w:top w:val="single" w:sz="8" w:color="auto"/>
            </w:tcBorders>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89"/>
              </w:rPr>
              <w:t>12</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gridSpan w:val="4"/>
            <w:vMerge w:val="restart"/>
            <w:shd w:val="clear" w:color="auto" w:fill="CFF0FC"/>
          </w:tcPr>
          <w:p>
            <w:pPr>
              <w:jc w:val="right"/>
              <w:spacing w:after="0"/>
              <w:rPr>
                <w:sz w:val="20"/>
                <w:szCs w:val="20"/>
                <w:color w:val="auto"/>
              </w:rPr>
            </w:pPr>
            <w:r>
              <w:rPr>
                <w:rFonts w:ascii="Arial" w:cs="Arial" w:eastAsia="Arial" w:hAnsi="Arial"/>
                <w:sz w:val="14"/>
                <w:szCs w:val="14"/>
                <w:color w:val="auto"/>
              </w:rPr>
              <w:t>358,939</w:t>
            </w:r>
          </w:p>
        </w:tc>
        <w:tc>
          <w:tcPr>
            <w:tcW w:w="240" w:type="dxa"/>
            <w:vAlign w:val="bottom"/>
            <w:vMerge w:val="restart"/>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97"/>
              </w:rPr>
              <w:t>29,202</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tcBorders>
              <w:top w:val="single" w:sz="8" w:color="auto"/>
            </w:tcBorders>
            <w:gridSpan w:val="2"/>
            <w:vMerge w:val="restart"/>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388,172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7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4"/>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vMerge w:val="continue"/>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2740" w:type="dxa"/>
            <w:vAlign w:val="bottom"/>
          </w:tcPr>
          <w:p>
            <w:pPr>
              <w:spacing w:after="0"/>
              <w:rPr>
                <w:sz w:val="24"/>
                <w:szCs w:val="24"/>
                <w:color w:val="auto"/>
              </w:rPr>
            </w:pPr>
          </w:p>
        </w:tc>
        <w:tc>
          <w:tcPr>
            <w:tcW w:w="1280" w:type="dxa"/>
            <w:vAlign w:val="bottom"/>
            <w:gridSpan w:val="4"/>
            <w:vMerge w:val="restart"/>
          </w:tcPr>
          <w:p>
            <w:pPr>
              <w:jc w:val="center"/>
              <w:ind w:left="108"/>
              <w:spacing w:after="0"/>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Addition</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280" w:type="dxa"/>
            <w:vAlign w:val="bottom"/>
            <w:gridSpan w:val="4"/>
            <w:vMerge w:val="restart"/>
          </w:tcPr>
          <w:p>
            <w:pPr>
              <w:jc w:val="center"/>
              <w:ind w:left="108"/>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2"/>
                <w:szCs w:val="12"/>
                <w:color w:val="auto"/>
              </w:rPr>
            </w:pPr>
          </w:p>
        </w:tc>
        <w:tc>
          <w:tcPr>
            <w:tcW w:w="13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auto"/>
            </w:tcBorders>
            <w:gridSpan w:val="5"/>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rs’</w:t>
            </w: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7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Balances at December 31, 2020</w:t>
            </w:r>
          </w:p>
        </w:tc>
        <w:tc>
          <w:tcPr>
            <w:tcW w:w="58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23,01</w:t>
            </w:r>
          </w:p>
        </w:tc>
        <w:tc>
          <w:tcPr>
            <w:tcW w:w="220" w:type="dxa"/>
            <w:vAlign w:val="bottom"/>
            <w:shd w:val="clear" w:color="auto" w:fill="CFF0FC"/>
          </w:tcPr>
          <w:p>
            <w:pPr>
              <w:spacing w:after="0"/>
              <w:rPr>
                <w:sz w:val="11"/>
                <w:szCs w:val="11"/>
                <w:color w:val="auto"/>
              </w:rPr>
            </w:pPr>
          </w:p>
        </w:tc>
        <w:tc>
          <w:tcPr>
            <w:tcW w:w="440" w:type="dxa"/>
            <w:vAlign w:val="bottom"/>
            <w:vMerge w:val="restart"/>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1"/>
                <w:szCs w:val="11"/>
                <w:color w:val="auto"/>
              </w:rPr>
            </w:pPr>
          </w:p>
        </w:tc>
        <w:tc>
          <w:tcPr>
            <w:tcW w:w="820" w:type="dxa"/>
            <w:vAlign w:val="bottom"/>
            <w:gridSpan w:val="3"/>
            <w:shd w:val="clear" w:color="auto" w:fill="CFF0FC"/>
          </w:tcPr>
          <w:p>
            <w:pPr>
              <w:jc w:val="right"/>
              <w:spacing w:after="0" w:line="133" w:lineRule="exact"/>
              <w:rPr>
                <w:sz w:val="20"/>
                <w:szCs w:val="20"/>
                <w:color w:val="auto"/>
              </w:rPr>
            </w:pPr>
            <w:r>
              <w:rPr>
                <w:rFonts w:ascii="Arial" w:cs="Arial" w:eastAsia="Arial" w:hAnsi="Arial"/>
                <w:sz w:val="14"/>
                <w:szCs w:val="14"/>
                <w:color w:val="auto"/>
              </w:rPr>
              <w:t>103,479,2</w:t>
            </w:r>
          </w:p>
        </w:tc>
        <w:tc>
          <w:tcPr>
            <w:tcW w:w="560" w:type="dxa"/>
            <w:vAlign w:val="bottom"/>
            <w:gridSpan w:val="2"/>
            <w:vMerge w:val="restart"/>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29,175</w:t>
            </w:r>
          </w:p>
        </w:tc>
        <w:tc>
          <w:tcPr>
            <w:tcW w:w="80" w:type="dxa"/>
            <w:vAlign w:val="bottom"/>
            <w:shd w:val="clear" w:color="auto" w:fill="CFF0FC"/>
          </w:tcPr>
          <w:p>
            <w:pPr>
              <w:spacing w:after="0"/>
              <w:rPr>
                <w:sz w:val="11"/>
                <w:szCs w:val="11"/>
                <w:color w:val="auto"/>
              </w:rPr>
            </w:pPr>
          </w:p>
        </w:tc>
        <w:tc>
          <w:tcPr>
            <w:tcW w:w="400" w:type="dxa"/>
            <w:vAlign w:val="bottom"/>
            <w:gridSpan w:val="2"/>
            <w:vMerge w:val="restart"/>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56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(579 )</w:t>
            </w: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55,047</w:t>
            </w:r>
          </w:p>
        </w:tc>
        <w:tc>
          <w:tcPr>
            <w:tcW w:w="180" w:type="dxa"/>
            <w:vAlign w:val="bottom"/>
            <w:shd w:val="clear" w:color="auto" w:fill="CFF0FC"/>
          </w:tcPr>
          <w:p>
            <w:pPr>
              <w:spacing w:after="0"/>
              <w:rPr>
                <w:sz w:val="11"/>
                <w:szCs w:val="11"/>
                <w:color w:val="auto"/>
              </w:rPr>
            </w:pPr>
          </w:p>
        </w:tc>
        <w:tc>
          <w:tcPr>
            <w:tcW w:w="26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84,376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560" w:type="dxa"/>
            <w:vAlign w:val="bottom"/>
            <w:gridSpan w:val="2"/>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560" w:type="dxa"/>
            <w:vAlign w:val="bottom"/>
            <w:gridSpan w:val="3"/>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2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4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color w:val="auto"/>
              </w:rPr>
              <w:t>Repayment of related party loan</w:t>
            </w:r>
          </w:p>
        </w:tc>
        <w:tc>
          <w:tcPr>
            <w:tcW w:w="8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receivable</w:t>
            </w:r>
          </w:p>
        </w:tc>
        <w:tc>
          <w:tcPr>
            <w:tcW w:w="800" w:type="dxa"/>
            <w:vAlign w:val="bottom"/>
            <w:gridSpan w:val="2"/>
            <w:vMerge w:val="continue"/>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2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1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7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Balances at March 31, 2021</w:t>
            </w: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23,01</w:t>
            </w:r>
          </w:p>
        </w:tc>
        <w:tc>
          <w:tcPr>
            <w:tcW w:w="220" w:type="dxa"/>
            <w:vAlign w:val="bottom"/>
          </w:tcPr>
          <w:p>
            <w:pPr>
              <w:spacing w:after="0"/>
              <w:rPr>
                <w:sz w:val="11"/>
                <w:szCs w:val="11"/>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w w:val="99"/>
              </w:rPr>
              <w:t>—</w:t>
            </w:r>
          </w:p>
        </w:tc>
        <w:tc>
          <w:tcPr>
            <w:tcW w:w="1060" w:type="dxa"/>
            <w:vAlign w:val="bottom"/>
            <w:gridSpan w:val="4"/>
          </w:tcPr>
          <w:p>
            <w:pPr>
              <w:jc w:val="right"/>
              <w:spacing w:after="0" w:line="133" w:lineRule="exact"/>
              <w:rPr>
                <w:sz w:val="20"/>
                <w:szCs w:val="20"/>
                <w:color w:val="auto"/>
              </w:rPr>
            </w:pPr>
            <w:r>
              <w:rPr>
                <w:rFonts w:ascii="Arial" w:cs="Arial" w:eastAsia="Arial" w:hAnsi="Arial"/>
                <w:sz w:val="14"/>
                <w:szCs w:val="14"/>
                <w:color w:val="auto"/>
              </w:rPr>
              <w:t>103,479,2</w:t>
            </w:r>
          </w:p>
        </w:tc>
        <w:tc>
          <w:tcPr>
            <w:tcW w:w="56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30,551</w:t>
            </w:r>
          </w:p>
        </w:tc>
        <w:tc>
          <w:tcPr>
            <w:tcW w:w="80" w:type="dxa"/>
            <w:vAlign w:val="bottom"/>
          </w:tcPr>
          <w:p>
            <w:pPr>
              <w:spacing w:after="0"/>
              <w:rPr>
                <w:sz w:val="11"/>
                <w:szCs w:val="11"/>
                <w:color w:val="auto"/>
              </w:rPr>
            </w:pPr>
          </w:p>
        </w:tc>
        <w:tc>
          <w:tcPr>
            <w:tcW w:w="40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(579 )</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58,685</w:t>
            </w:r>
          </w:p>
        </w:tc>
        <w:tc>
          <w:tcPr>
            <w:tcW w:w="180" w:type="dxa"/>
            <w:vAlign w:val="bottom"/>
          </w:tcPr>
          <w:p>
            <w:pPr>
              <w:spacing w:after="0"/>
              <w:rPr>
                <w:sz w:val="11"/>
                <w:szCs w:val="11"/>
                <w:color w:val="auto"/>
              </w:rPr>
            </w:pPr>
          </w:p>
        </w:tc>
        <w:tc>
          <w:tcPr>
            <w:tcW w:w="2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89,411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56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40" w:type="dxa"/>
            <w:vAlign w:val="bottom"/>
            <w:shd w:val="clear" w:color="auto" w:fill="CFF0FC"/>
          </w:tcPr>
          <w:p>
            <w:pPr>
              <w:ind w:left="20"/>
              <w:spacing w:after="0" w:line="120" w:lineRule="exact"/>
              <w:rPr>
                <w:sz w:val="20"/>
                <w:szCs w:val="20"/>
                <w:color w:val="auto"/>
              </w:rPr>
            </w:pPr>
            <w:r>
              <w:rPr>
                <w:rFonts w:ascii="Arial" w:cs="Arial" w:eastAsia="Arial" w:hAnsi="Arial"/>
                <w:sz w:val="13"/>
                <w:szCs w:val="13"/>
                <w:color w:val="auto"/>
              </w:rPr>
              <w:t>Issuance of Class A common stock in</w:t>
            </w: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connection with initial public offering and</w:t>
            </w: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FF0FC"/>
          </w:tcPr>
          <w:p>
            <w:pPr>
              <w:ind w:left="20"/>
              <w:spacing w:after="0" w:line="158" w:lineRule="exact"/>
              <w:rPr>
                <w:sz w:val="20"/>
                <w:szCs w:val="20"/>
                <w:color w:val="auto"/>
              </w:rPr>
            </w:pPr>
            <w:r>
              <w:rPr>
                <w:rFonts w:ascii="Arial" w:cs="Arial" w:eastAsia="Arial" w:hAnsi="Arial"/>
                <w:sz w:val="14"/>
                <w:szCs w:val="14"/>
                <w:color w:val="auto"/>
              </w:rPr>
              <w:t>private placement, net of offering costs,</w:t>
            </w:r>
          </w:p>
        </w:tc>
        <w:tc>
          <w:tcPr>
            <w:tcW w:w="8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1060" w:type="dxa"/>
            <w:vAlign w:val="bottom"/>
            <w:gridSpan w:val="4"/>
            <w:shd w:val="clear" w:color="auto" w:fill="CFF0FC"/>
          </w:tcPr>
          <w:p>
            <w:pPr>
              <w:jc w:val="right"/>
              <w:spacing w:after="0" w:line="158" w:lineRule="exact"/>
              <w:rPr>
                <w:sz w:val="20"/>
                <w:szCs w:val="20"/>
                <w:color w:val="auto"/>
              </w:rPr>
            </w:pPr>
            <w:r>
              <w:rPr>
                <w:rFonts w:ascii="Arial" w:cs="Arial" w:eastAsia="Arial" w:hAnsi="Arial"/>
                <w:sz w:val="14"/>
                <w:szCs w:val="14"/>
                <w:color w:val="auto"/>
              </w:rPr>
              <w:t>13,880,95</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8"/>
              </w:rPr>
              <w:t>272,633</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272,634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underwriting discounts and commissions</w:t>
            </w:r>
          </w:p>
        </w:tc>
        <w:tc>
          <w:tcPr>
            <w:tcW w:w="800" w:type="dxa"/>
            <w:vAlign w:val="bottom"/>
            <w:gridSpan w:val="2"/>
            <w:vMerge w:val="continue"/>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tcPr>
          <w:p>
            <w:pPr>
              <w:ind w:left="20"/>
              <w:spacing w:after="0" w:line="139" w:lineRule="exact"/>
              <w:rPr>
                <w:sz w:val="20"/>
                <w:szCs w:val="20"/>
                <w:color w:val="auto"/>
              </w:rPr>
            </w:pPr>
            <w:r>
              <w:rPr>
                <w:rFonts w:ascii="Arial" w:cs="Arial" w:eastAsia="Arial" w:hAnsi="Arial"/>
                <w:sz w:val="14"/>
                <w:szCs w:val="14"/>
                <w:color w:val="auto"/>
              </w:rPr>
              <w:t>Conversion of common stock to Class B</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common stock in connection with initial</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public offering</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w w:val="98"/>
              </w:rPr>
              <w:t>(506 )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74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color w:val="auto"/>
              </w:rPr>
              <w:t>Redemption of Series A preferred stock</w:t>
            </w:r>
          </w:p>
        </w:tc>
        <w:tc>
          <w:tcPr>
            <w:tcW w:w="580" w:type="dxa"/>
            <w:vAlign w:val="bottom"/>
            <w:shd w:val="clear" w:color="auto" w:fill="CFF0FC"/>
          </w:tcPr>
          <w:p>
            <w:pPr>
              <w:jc w:val="right"/>
              <w:spacing w:after="0" w:line="139" w:lineRule="exact"/>
              <w:rPr>
                <w:sz w:val="20"/>
                <w:szCs w:val="20"/>
                <w:color w:val="auto"/>
              </w:rPr>
            </w:pPr>
            <w:r>
              <w:rPr>
                <w:rFonts w:ascii="Arial" w:cs="Arial" w:eastAsia="Arial" w:hAnsi="Arial"/>
                <w:sz w:val="14"/>
                <w:szCs w:val="14"/>
                <w:color w:val="auto"/>
              </w:rPr>
              <w:t>(23,01</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(23,013 )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(23,013 )</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connection with initial public offering</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3 )</w:t>
            </w:r>
          </w:p>
        </w:tc>
        <w:tc>
          <w:tcPr>
            <w:tcW w:w="4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2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tcPr>
          <w:p>
            <w:pPr>
              <w:ind w:left="20"/>
              <w:spacing w:after="0" w:line="139" w:lineRule="exact"/>
              <w:rPr>
                <w:sz w:val="20"/>
                <w:szCs w:val="20"/>
                <w:color w:val="auto"/>
              </w:rPr>
            </w:pPr>
            <w:r>
              <w:rPr>
                <w:rFonts w:ascii="Arial" w:cs="Arial" w:eastAsia="Arial" w:hAnsi="Arial"/>
                <w:sz w:val="14"/>
                <w:szCs w:val="14"/>
                <w:color w:val="auto"/>
              </w:rPr>
              <w:t>Payment of dividends on Series A</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in connection with</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redemption upon initial public offering</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(34,412 )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(34,412 )</w:t>
            </w: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warrant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40" w:type="dxa"/>
            <w:vAlign w:val="bottom"/>
          </w:tcPr>
          <w:p>
            <w:pPr>
              <w:ind w:left="20"/>
              <w:spacing w:after="0" w:line="139" w:lineRule="exact"/>
              <w:rPr>
                <w:sz w:val="20"/>
                <w:szCs w:val="20"/>
                <w:color w:val="auto"/>
              </w:rPr>
            </w:pPr>
            <w:r>
              <w:rPr>
                <w:rFonts w:ascii="Arial" w:cs="Arial" w:eastAsia="Arial" w:hAnsi="Arial"/>
                <w:sz w:val="14"/>
                <w:szCs w:val="14"/>
                <w:color w:val="auto"/>
              </w:rPr>
              <w:t>Retirement of treasury stock in</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(579 )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579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connection with initial public offering</w:t>
            </w:r>
          </w:p>
        </w:tc>
        <w:tc>
          <w:tcPr>
            <w:tcW w:w="8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(69 )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175"/>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1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7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Balances at June 30, 2021</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w w:val="99"/>
              </w:rPr>
              <w:t>—</w:t>
            </w:r>
          </w:p>
        </w:tc>
        <w:tc>
          <w:tcPr>
            <w:tcW w:w="1060" w:type="dxa"/>
            <w:vAlign w:val="bottom"/>
            <w:gridSpan w:val="4"/>
          </w:tcPr>
          <w:p>
            <w:pPr>
              <w:jc w:val="right"/>
              <w:spacing w:after="0" w:line="133" w:lineRule="exact"/>
              <w:rPr>
                <w:sz w:val="20"/>
                <w:szCs w:val="20"/>
                <w:color w:val="auto"/>
              </w:rPr>
            </w:pPr>
            <w:r>
              <w:rPr>
                <w:rFonts w:ascii="Arial" w:cs="Arial" w:eastAsia="Arial" w:hAnsi="Arial"/>
                <w:sz w:val="14"/>
                <w:szCs w:val="14"/>
                <w:color w:val="auto"/>
              </w:rPr>
              <w:t>117,360,1</w:t>
            </w:r>
          </w:p>
        </w:tc>
        <w:tc>
          <w:tcPr>
            <w:tcW w:w="56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w w:val="98"/>
              </w:rPr>
              <w:t>285,164</w:t>
            </w:r>
          </w:p>
        </w:tc>
        <w:tc>
          <w:tcPr>
            <w:tcW w:w="80" w:type="dxa"/>
            <w:vAlign w:val="bottom"/>
          </w:tcPr>
          <w:p>
            <w:pPr>
              <w:spacing w:after="0"/>
              <w:rPr>
                <w:sz w:val="11"/>
                <w:szCs w:val="11"/>
                <w:color w:val="auto"/>
              </w:rPr>
            </w:pPr>
          </w:p>
        </w:tc>
        <w:tc>
          <w:tcPr>
            <w:tcW w:w="40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24,848</w:t>
            </w:r>
          </w:p>
        </w:tc>
        <w:tc>
          <w:tcPr>
            <w:tcW w:w="180" w:type="dxa"/>
            <w:vAlign w:val="bottom"/>
          </w:tcPr>
          <w:p>
            <w:pPr>
              <w:spacing w:after="0"/>
              <w:rPr>
                <w:sz w:val="11"/>
                <w:szCs w:val="11"/>
                <w:color w:val="auto"/>
              </w:rPr>
            </w:pPr>
          </w:p>
        </w:tc>
        <w:tc>
          <w:tcPr>
            <w:tcW w:w="2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310,192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56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-4834255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-4834255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-4834255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-4834255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-4834255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-4834255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-3874135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-3856990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-3874135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-3856990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-3874135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-3856990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-3874135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-3856990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-3874135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-3856990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-2357120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-2357120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-2357120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-2357120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-2357120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-2357120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-2357120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-2357120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-239395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-239395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-239395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-239395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-239395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-239395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-239395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-239395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8" w:name="page9"/>
    <w:bookmarkEnd w:id="8"/>
    <w:p>
      <w:pPr>
        <w:ind w:left="4360"/>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CONDENSED CONSOLIDATED STATEMENTS OF CASH FLOWS (Unaudited)</w:t>
      </w:r>
    </w:p>
    <w:p>
      <w:pPr>
        <w:jc w:val="center"/>
        <w:spacing w:after="0"/>
        <w:rPr>
          <w:sz w:val="20"/>
          <w:szCs w:val="20"/>
          <w:color w:val="auto"/>
        </w:rPr>
      </w:pPr>
      <w:r>
        <w:rPr>
          <w:rFonts w:ascii="Arial" w:cs="Arial" w:eastAsia="Arial" w:hAnsi="Arial"/>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980" w:type="dxa"/>
            <w:vAlign w:val="bottom"/>
          </w:tcPr>
          <w:p>
            <w:pPr>
              <w:jc w:val="right"/>
              <w:ind w:right="805"/>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24"/>
              <w:spacing w:after="0"/>
              <w:rPr>
                <w:sz w:val="20"/>
                <w:szCs w:val="20"/>
                <w:color w:val="auto"/>
              </w:rPr>
            </w:pPr>
            <w:r>
              <w:rPr>
                <w:rFonts w:ascii="Arial" w:cs="Arial" w:eastAsia="Arial" w:hAnsi="Arial"/>
                <w:sz w:val="15"/>
                <w:szCs w:val="15"/>
                <w:color w:val="auto"/>
              </w:rPr>
              <w:t>(733 )</w:t>
            </w:r>
          </w:p>
        </w:tc>
        <w:tc>
          <w:tcPr>
            <w:tcW w:w="1000" w:type="dxa"/>
            <w:vAlign w:val="bottom"/>
          </w:tcPr>
          <w:p>
            <w:pPr>
              <w:jc w:val="right"/>
              <w:ind w:right="82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4,213</w:t>
            </w:r>
          </w:p>
        </w:tc>
        <w:tc>
          <w:tcPr>
            <w:tcW w:w="100" w:type="dxa"/>
            <w:vAlign w:val="bottom"/>
          </w:tcPr>
          <w:p>
            <w:pPr>
              <w:spacing w:after="0"/>
              <w:rPr>
                <w:sz w:val="16"/>
                <w:szCs w:val="16"/>
                <w:color w:val="auto"/>
              </w:rPr>
            </w:pPr>
          </w:p>
        </w:tc>
      </w:tr>
      <w:tr>
        <w:trPr>
          <w:trHeight w:val="135"/>
        </w:trPr>
        <w:tc>
          <w:tcPr>
            <w:tcW w:w="7680" w:type="dxa"/>
            <w:vAlign w:val="bottom"/>
            <w:shd w:val="clear" w:color="auto" w:fill="CFF0FC"/>
          </w:tcPr>
          <w:p>
            <w:pPr>
              <w:ind w:left="20"/>
              <w:spacing w:after="0" w:line="135" w:lineRule="exact"/>
              <w:rPr>
                <w:sz w:val="20"/>
                <w:szCs w:val="20"/>
                <w:color w:val="auto"/>
              </w:rPr>
            </w:pPr>
            <w:r>
              <w:rPr>
                <w:rFonts w:ascii="Arial" w:cs="Arial" w:eastAsia="Arial" w:hAnsi="Arial"/>
                <w:sz w:val="15"/>
                <w:szCs w:val="15"/>
                <w:color w:val="auto"/>
              </w:rPr>
              <w:t>Adjustments to reconcile net income to net cash provided by operating</w:t>
            </w:r>
          </w:p>
        </w:tc>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11,360</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4,940</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Deferred income taxes</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(3,322 )</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2,413</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2,620</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1,131</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Non-cash lease expense</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1,120</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1,648</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Amortization of contract asset</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818</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Provision for credit losses</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Change in operating assets and liabilities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and other receivables</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(9,205 )</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(4,944 )</w:t>
            </w:r>
          </w:p>
        </w:tc>
      </w:tr>
      <w:tr>
        <w:trPr>
          <w:trHeight w:val="189"/>
        </w:trPr>
        <w:tc>
          <w:tcPr>
            <w:tcW w:w="7680" w:type="dxa"/>
            <w:vAlign w:val="bottom"/>
          </w:tcPr>
          <w:p>
            <w:pPr>
              <w:ind w:left="380"/>
              <w:spacing w:after="0"/>
              <w:rPr>
                <w:sz w:val="20"/>
                <w:szCs w:val="20"/>
                <w:color w:val="auto"/>
              </w:rPr>
            </w:pPr>
            <w:r>
              <w:rPr>
                <w:rFonts w:ascii="Arial" w:cs="Arial" w:eastAsia="Arial" w:hAnsi="Arial"/>
                <w:sz w:val="15"/>
                <w:szCs w:val="15"/>
                <w:color w:val="auto"/>
              </w:rPr>
              <w:t>Prepaid expenses and other current and long-term assets</w:t>
            </w:r>
          </w:p>
        </w:tc>
        <w:tc>
          <w:tcPr>
            <w:tcW w:w="980" w:type="dxa"/>
            <w:vAlign w:val="bottom"/>
          </w:tcPr>
          <w:p>
            <w:pPr>
              <w:spacing w:after="0"/>
              <w:rPr>
                <w:sz w:val="16"/>
                <w:szCs w:val="16"/>
                <w:color w:val="auto"/>
              </w:rPr>
            </w:pPr>
          </w:p>
        </w:tc>
        <w:tc>
          <w:tcPr>
            <w:tcW w:w="880" w:type="dxa"/>
            <w:vAlign w:val="bottom"/>
            <w:gridSpan w:val="2"/>
          </w:tcPr>
          <w:p>
            <w:pPr>
              <w:jc w:val="right"/>
              <w:ind w:right="124"/>
              <w:spacing w:after="0"/>
              <w:rPr>
                <w:sz w:val="20"/>
                <w:szCs w:val="20"/>
                <w:color w:val="auto"/>
              </w:rPr>
            </w:pPr>
            <w:r>
              <w:rPr>
                <w:rFonts w:ascii="Arial" w:cs="Arial" w:eastAsia="Arial" w:hAnsi="Arial"/>
                <w:sz w:val="15"/>
                <w:szCs w:val="15"/>
                <w:color w:val="auto"/>
              </w:rPr>
              <w:t>(910 )</w:t>
            </w:r>
          </w:p>
        </w:tc>
        <w:tc>
          <w:tcPr>
            <w:tcW w:w="10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(905 )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3,205</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3,541</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5"/>
                <w:szCs w:val="15"/>
                <w:color w:val="auto"/>
              </w:rPr>
              <w:t>Accrued liabilities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2,615</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543</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Operating lease liabilities</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(942 )</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(1,573 )</w:t>
            </w:r>
          </w:p>
        </w:tc>
      </w:tr>
      <w:tr>
        <w:trPr>
          <w:trHeight w:val="189"/>
        </w:trPr>
        <w:tc>
          <w:tcPr>
            <w:tcW w:w="7680" w:type="dxa"/>
            <w:vAlign w:val="bottom"/>
          </w:tcPr>
          <w:p>
            <w:pPr>
              <w:ind w:left="380"/>
              <w:spacing w:after="0"/>
              <w:rPr>
                <w:sz w:val="20"/>
                <w:szCs w:val="20"/>
                <w:color w:val="auto"/>
              </w:rPr>
            </w:pPr>
            <w:r>
              <w:rPr>
                <w:rFonts w:ascii="Arial" w:cs="Arial" w:eastAsia="Arial" w:hAnsi="Arial"/>
                <w:sz w:val="15"/>
                <w:szCs w:val="15"/>
                <w:color w:val="auto"/>
              </w:rPr>
              <w:t>Contract liabilities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75</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301</w:t>
            </w:r>
          </w:p>
        </w:tc>
        <w:tc>
          <w:tcPr>
            <w:tcW w:w="10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Income taxes receivable, net of payable</w:t>
            </w:r>
          </w:p>
        </w:tc>
        <w:tc>
          <w:tcPr>
            <w:tcW w:w="9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2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1,272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380"/>
              <w:spacing w:after="0"/>
              <w:rPr>
                <w:sz w:val="20"/>
                <w:szCs w:val="20"/>
                <w:color w:val="auto"/>
              </w:rPr>
            </w:pPr>
            <w:r>
              <w:rPr>
                <w:rFonts w:ascii="Arial" w:cs="Arial" w:eastAsia="Arial" w:hAnsi="Arial"/>
                <w:sz w:val="15"/>
                <w:szCs w:val="15"/>
                <w:color w:val="auto"/>
              </w:rPr>
              <w:t>Net cash provided by operating activities</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7,092</w:t>
            </w:r>
          </w:p>
        </w:tc>
        <w:tc>
          <w:tcPr>
            <w:tcW w:w="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12,757</w:t>
            </w:r>
          </w:p>
        </w:tc>
        <w:tc>
          <w:tcPr>
            <w:tcW w:w="100" w:type="dxa"/>
            <w:vAlign w:val="bottom"/>
          </w:tcPr>
          <w:p>
            <w:pPr>
              <w:spacing w:after="0"/>
              <w:rPr>
                <w:sz w:val="15"/>
                <w:szCs w:val="15"/>
                <w:color w:val="auto"/>
              </w:rPr>
            </w:pPr>
          </w:p>
        </w:tc>
      </w:tr>
      <w:tr>
        <w:trPr>
          <w:trHeight w:val="183"/>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Other intangible assets acquired</w:t>
            </w:r>
          </w:p>
        </w:tc>
        <w:tc>
          <w:tcPr>
            <w:tcW w:w="980" w:type="dxa"/>
            <w:vAlign w:val="bottom"/>
          </w:tcPr>
          <w:p>
            <w:pPr>
              <w:spacing w:after="0"/>
              <w:rPr>
                <w:sz w:val="16"/>
                <w:szCs w:val="16"/>
                <w:color w:val="auto"/>
              </w:rPr>
            </w:pPr>
          </w:p>
        </w:tc>
        <w:tc>
          <w:tcPr>
            <w:tcW w:w="880" w:type="dxa"/>
            <w:vAlign w:val="bottom"/>
            <w:gridSpan w:val="2"/>
          </w:tcPr>
          <w:p>
            <w:pPr>
              <w:jc w:val="right"/>
              <w:ind w:right="124"/>
              <w:spacing w:after="0"/>
              <w:rPr>
                <w:sz w:val="20"/>
                <w:szCs w:val="20"/>
                <w:color w:val="auto"/>
              </w:rPr>
            </w:pPr>
            <w:r>
              <w:rPr>
                <w:rFonts w:ascii="Arial" w:cs="Arial" w:eastAsia="Arial" w:hAnsi="Arial"/>
                <w:sz w:val="15"/>
                <w:szCs w:val="15"/>
                <w:color w:val="auto"/>
              </w:rPr>
              <w:t>(123 )</w:t>
            </w:r>
          </w:p>
        </w:tc>
        <w:tc>
          <w:tcPr>
            <w:tcW w:w="1000" w:type="dxa"/>
            <w:vAlign w:val="bottom"/>
          </w:tcPr>
          <w:p>
            <w:pPr>
              <w:spacing w:after="0"/>
              <w:rPr>
                <w:sz w:val="16"/>
                <w:szCs w:val="16"/>
                <w:color w:val="auto"/>
              </w:rPr>
            </w:pPr>
          </w:p>
        </w:tc>
        <w:tc>
          <w:tcPr>
            <w:tcW w:w="70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property and equipment</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(795 )</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(564 )</w:t>
            </w: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Capitalized internal-use software development costs</w:t>
            </w:r>
          </w:p>
        </w:tc>
        <w:tc>
          <w:tcPr>
            <w:tcW w:w="980" w:type="dxa"/>
            <w:vAlign w:val="bottom"/>
          </w:tcPr>
          <w:p>
            <w:pPr>
              <w:spacing w:after="0"/>
              <w:rPr>
                <w:sz w:val="16"/>
                <w:szCs w:val="16"/>
                <w:color w:val="auto"/>
              </w:rPr>
            </w:pPr>
          </w:p>
        </w:tc>
        <w:tc>
          <w:tcPr>
            <w:tcW w:w="880" w:type="dxa"/>
            <w:vAlign w:val="bottom"/>
            <w:gridSpan w:val="2"/>
          </w:tcPr>
          <w:p>
            <w:pPr>
              <w:jc w:val="right"/>
              <w:ind w:right="124"/>
              <w:spacing w:after="0"/>
              <w:rPr>
                <w:sz w:val="20"/>
                <w:szCs w:val="20"/>
                <w:color w:val="auto"/>
              </w:rPr>
            </w:pPr>
            <w:r>
              <w:rPr>
                <w:rFonts w:ascii="Arial" w:cs="Arial" w:eastAsia="Arial" w:hAnsi="Arial"/>
                <w:sz w:val="15"/>
                <w:szCs w:val="15"/>
                <w:color w:val="auto"/>
              </w:rPr>
              <w:t>(14,464 )</w:t>
            </w:r>
          </w:p>
        </w:tc>
        <w:tc>
          <w:tcPr>
            <w:tcW w:w="10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(8,736 )</w:t>
            </w:r>
          </w:p>
        </w:tc>
      </w:tr>
      <w:tr>
        <w:trPr>
          <w:trHeight w:val="183"/>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Net cash used in investing activities</w:t>
            </w: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(15,382</w:t>
            </w:r>
          </w:p>
        </w:tc>
        <w:tc>
          <w:tcPr>
            <w:tcW w:w="280" w:type="dxa"/>
            <w:vAlign w:val="bottom"/>
            <w:tcBorders>
              <w:bottom w:val="single" w:sz="8" w:color="CFF0FC"/>
            </w:tcBorders>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(9,300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9"/>
              </w:rPr>
              <w:t>)</w:t>
            </w:r>
          </w:p>
        </w:tc>
      </w:tr>
      <w:tr>
        <w:trPr>
          <w:trHeight w:val="183"/>
        </w:trPr>
        <w:tc>
          <w:tcPr>
            <w:tcW w:w="768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initial public offering, net of underwriter's discounts and commissions</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224,595</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Proceeds from private placement</w:t>
            </w:r>
          </w:p>
        </w:tc>
        <w:tc>
          <w:tcPr>
            <w:tcW w:w="980" w:type="dxa"/>
            <w:vAlign w:val="bottom"/>
          </w:tcPr>
          <w:p>
            <w:pPr>
              <w:spacing w:after="0"/>
              <w:rPr>
                <w:sz w:val="16"/>
                <w:szCs w:val="16"/>
                <w:color w:val="auto"/>
              </w:rPr>
            </w:pPr>
          </w:p>
        </w:tc>
        <w:tc>
          <w:tcPr>
            <w:tcW w:w="88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50,000</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Redemption of Series A preferred stock</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(23,013 )</w:t>
            </w: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Payment of dividends on Series A preferred stock</w:t>
            </w:r>
          </w:p>
        </w:tc>
        <w:tc>
          <w:tcPr>
            <w:tcW w:w="980" w:type="dxa"/>
            <w:vAlign w:val="bottom"/>
          </w:tcPr>
          <w:p>
            <w:pPr>
              <w:spacing w:after="0"/>
              <w:rPr>
                <w:sz w:val="16"/>
                <w:szCs w:val="16"/>
                <w:color w:val="auto"/>
              </w:rPr>
            </w:pPr>
          </w:p>
        </w:tc>
        <w:tc>
          <w:tcPr>
            <w:tcW w:w="88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(34,412 )</w:t>
            </w: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repayment of related party loan</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Proceeds from exercise of stock options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302</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Financial institution funds in-transit</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25,882</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Payments of deferred offering costs</w:t>
            </w:r>
          </w:p>
        </w:tc>
        <w:tc>
          <w:tcPr>
            <w:tcW w:w="980" w:type="dxa"/>
            <w:vAlign w:val="bottom"/>
          </w:tcPr>
          <w:p>
            <w:pPr>
              <w:spacing w:after="0"/>
              <w:rPr>
                <w:sz w:val="16"/>
                <w:szCs w:val="16"/>
                <w:color w:val="auto"/>
              </w:rPr>
            </w:pPr>
          </w:p>
        </w:tc>
        <w:tc>
          <w:tcPr>
            <w:tcW w:w="88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(856 )</w:t>
            </w: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on other financing obligations</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(1,831 )</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(767 )</w:t>
            </w: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Payments on finance leases</w:t>
            </w:r>
          </w:p>
        </w:tc>
        <w:tc>
          <w:tcPr>
            <w:tcW w:w="980" w:type="dxa"/>
            <w:vAlign w:val="bottom"/>
          </w:tcPr>
          <w:p>
            <w:pPr>
              <w:spacing w:after="0"/>
              <w:rPr>
                <w:sz w:val="16"/>
                <w:szCs w:val="16"/>
                <w:color w:val="auto"/>
              </w:rPr>
            </w:pPr>
          </w:p>
        </w:tc>
        <w:tc>
          <w:tcPr>
            <w:tcW w:w="880" w:type="dxa"/>
            <w:vAlign w:val="bottom"/>
            <w:gridSpan w:val="2"/>
          </w:tcPr>
          <w:p>
            <w:pPr>
              <w:jc w:val="right"/>
              <w:ind w:right="124"/>
              <w:spacing w:after="0"/>
              <w:rPr>
                <w:sz w:val="20"/>
                <w:szCs w:val="20"/>
                <w:color w:val="auto"/>
              </w:rPr>
            </w:pPr>
            <w:r>
              <w:rPr>
                <w:rFonts w:ascii="Arial" w:cs="Arial" w:eastAsia="Arial" w:hAnsi="Arial"/>
                <w:sz w:val="15"/>
                <w:szCs w:val="15"/>
                <w:color w:val="auto"/>
              </w:rPr>
              <w:t>(135 )</w:t>
            </w:r>
          </w:p>
        </w:tc>
        <w:tc>
          <w:tcPr>
            <w:tcW w:w="10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(136 )</w:t>
            </w:r>
          </w:p>
        </w:tc>
      </w:tr>
      <w:tr>
        <w:trPr>
          <w:trHeight w:val="183"/>
        </w:trPr>
        <w:tc>
          <w:tcPr>
            <w:tcW w:w="76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24,218</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216,224</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83"/>
        </w:trPr>
        <w:tc>
          <w:tcPr>
            <w:tcW w:w="7680" w:type="dxa"/>
            <w:vAlign w:val="bottom"/>
          </w:tcPr>
          <w:p>
            <w:pPr>
              <w:ind w:left="20"/>
              <w:spacing w:after="0"/>
              <w:rPr>
                <w:sz w:val="20"/>
                <w:szCs w:val="20"/>
                <w:color w:val="auto"/>
              </w:rPr>
            </w:pPr>
            <w:r>
              <w:rPr>
                <w:rFonts w:ascii="Arial" w:cs="Arial" w:eastAsia="Arial" w:hAnsi="Arial"/>
                <w:sz w:val="15"/>
                <w:szCs w:val="15"/>
                <w:color w:val="auto"/>
              </w:rPr>
              <w:t>Foreign currency effect on cash, cash equivalents and restricted cash</w:t>
            </w:r>
          </w:p>
        </w:tc>
        <w:tc>
          <w:tcPr>
            <w:tcW w:w="980" w:type="dxa"/>
            <w:vAlign w:val="bottom"/>
          </w:tcPr>
          <w:p>
            <w:pPr>
              <w:spacing w:after="0"/>
              <w:rPr>
                <w:sz w:val="15"/>
                <w:szCs w:val="15"/>
                <w:color w:val="auto"/>
              </w:rPr>
            </w:pPr>
          </w:p>
        </w:tc>
        <w:tc>
          <w:tcPr>
            <w:tcW w:w="880" w:type="dxa"/>
            <w:vAlign w:val="bottom"/>
            <w:gridSpan w:val="2"/>
          </w:tcPr>
          <w:p>
            <w:pPr>
              <w:jc w:val="right"/>
              <w:ind w:right="124"/>
              <w:spacing w:after="0"/>
              <w:rPr>
                <w:sz w:val="20"/>
                <w:szCs w:val="20"/>
                <w:color w:val="auto"/>
              </w:rPr>
            </w:pPr>
            <w:r>
              <w:rPr>
                <w:rFonts w:ascii="Arial" w:cs="Arial" w:eastAsia="Arial" w:hAnsi="Arial"/>
                <w:sz w:val="15"/>
                <w:szCs w:val="15"/>
                <w:color w:val="auto"/>
              </w:rPr>
              <w:t>(97 )</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5"/>
                <w:szCs w:val="15"/>
                <w:color w:val="auto"/>
              </w:rPr>
            </w:pPr>
          </w:p>
        </w:tc>
      </w:tr>
      <w:tr>
        <w:trPr>
          <w:trHeight w:val="183"/>
        </w:trPr>
        <w:tc>
          <w:tcPr>
            <w:tcW w:w="7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Net increase in cash, cash equivalents and restricted cash</w:t>
            </w:r>
          </w:p>
        </w:tc>
        <w:tc>
          <w:tcPr>
            <w:tcW w:w="9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15,831</w:t>
            </w:r>
          </w:p>
        </w:tc>
        <w:tc>
          <w:tcPr>
            <w:tcW w:w="28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219,724</w:t>
            </w: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Beginning of period</w:t>
            </w:r>
          </w:p>
        </w:tc>
        <w:tc>
          <w:tcPr>
            <w:tcW w:w="9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201,829</w:t>
            </w:r>
          </w:p>
        </w:tc>
        <w:tc>
          <w:tcPr>
            <w:tcW w:w="2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46,666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0"/>
              <w:spacing w:after="0"/>
              <w:rPr>
                <w:sz w:val="20"/>
                <w:szCs w:val="20"/>
                <w:color w:val="auto"/>
              </w:rPr>
            </w:pPr>
            <w:r>
              <w:rPr>
                <w:rFonts w:ascii="Arial" w:cs="Arial" w:eastAsia="Arial" w:hAnsi="Arial"/>
                <w:sz w:val="15"/>
                <w:szCs w:val="15"/>
                <w:color w:val="auto"/>
              </w:rPr>
              <w:t>End of period</w:t>
            </w:r>
          </w:p>
        </w:tc>
        <w:tc>
          <w:tcPr>
            <w:tcW w:w="98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217,660</w:t>
            </w:r>
          </w:p>
        </w:tc>
        <w:tc>
          <w:tcPr>
            <w:tcW w:w="280" w:type="dxa"/>
            <w:vAlign w:val="bottom"/>
          </w:tcPr>
          <w:p>
            <w:pPr>
              <w:spacing w:after="0"/>
              <w:rPr>
                <w:sz w:val="15"/>
                <w:szCs w:val="15"/>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266,390</w:t>
            </w:r>
          </w:p>
        </w:tc>
        <w:tc>
          <w:tcPr>
            <w:tcW w:w="10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68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Cash paid for income taxes, net of refunds</w:t>
            </w:r>
          </w:p>
        </w:tc>
        <w:tc>
          <w:tcPr>
            <w:tcW w:w="980" w:type="dxa"/>
            <w:vAlign w:val="bottom"/>
          </w:tcPr>
          <w:p>
            <w:pPr>
              <w:jc w:val="right"/>
              <w:ind w:right="805"/>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184</w:t>
            </w:r>
          </w:p>
        </w:tc>
        <w:tc>
          <w:tcPr>
            <w:tcW w:w="280" w:type="dxa"/>
            <w:vAlign w:val="bottom"/>
          </w:tcPr>
          <w:p>
            <w:pPr>
              <w:spacing w:after="0"/>
              <w:rPr>
                <w:sz w:val="16"/>
                <w:szCs w:val="16"/>
                <w:color w:val="auto"/>
              </w:rPr>
            </w:pPr>
          </w:p>
        </w:tc>
        <w:tc>
          <w:tcPr>
            <w:tcW w:w="1000" w:type="dxa"/>
            <w:vAlign w:val="bottom"/>
          </w:tcPr>
          <w:p>
            <w:pPr>
              <w:jc w:val="right"/>
              <w:ind w:right="82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950</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Non-cash investing activities:</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Property and equipment purchases in accounts payable</w:t>
            </w:r>
          </w:p>
        </w:tc>
        <w:tc>
          <w:tcPr>
            <w:tcW w:w="980" w:type="dxa"/>
            <w:vAlign w:val="bottom"/>
          </w:tcPr>
          <w:p>
            <w:pPr>
              <w:jc w:val="right"/>
              <w:ind w:right="805"/>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83</w:t>
            </w:r>
          </w:p>
        </w:tc>
        <w:tc>
          <w:tcPr>
            <w:tcW w:w="280" w:type="dxa"/>
            <w:vAlign w:val="bottom"/>
          </w:tcPr>
          <w:p>
            <w:pPr>
              <w:spacing w:after="0"/>
              <w:rPr>
                <w:sz w:val="16"/>
                <w:szCs w:val="16"/>
                <w:color w:val="auto"/>
              </w:rPr>
            </w:pPr>
          </w:p>
        </w:tc>
        <w:tc>
          <w:tcPr>
            <w:tcW w:w="1000" w:type="dxa"/>
            <w:vAlign w:val="bottom"/>
          </w:tcPr>
          <w:p>
            <w:pPr>
              <w:jc w:val="right"/>
              <w:ind w:right="82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Software purchases in accounts payable</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89"/>
        </w:trPr>
        <w:tc>
          <w:tcPr>
            <w:tcW w:w="7680" w:type="dxa"/>
            <w:vAlign w:val="bottom"/>
          </w:tcPr>
          <w:p>
            <w:pPr>
              <w:ind w:left="20"/>
              <w:spacing w:after="0"/>
              <w:rPr>
                <w:sz w:val="20"/>
                <w:szCs w:val="20"/>
                <w:color w:val="auto"/>
              </w:rPr>
            </w:pPr>
            <w:r>
              <w:rPr>
                <w:rFonts w:ascii="Arial" w:cs="Arial" w:eastAsia="Arial" w:hAnsi="Arial"/>
                <w:sz w:val="15"/>
                <w:szCs w:val="15"/>
                <w:b w:val="1"/>
                <w:bCs w:val="1"/>
                <w:color w:val="auto"/>
              </w:rPr>
              <w:t>Non-cash financing activities: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Prepaid insurance funded through short-term borrowings</w:t>
            </w:r>
          </w:p>
        </w:tc>
        <w:tc>
          <w:tcPr>
            <w:tcW w:w="980" w:type="dxa"/>
            <w:vAlign w:val="bottom"/>
            <w:shd w:val="clear" w:color="auto" w:fill="CFF0FC"/>
          </w:tcPr>
          <w:p>
            <w:pPr>
              <w:jc w:val="right"/>
              <w:ind w:right="805"/>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1,349</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2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2,135</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5"/>
                <w:szCs w:val="15"/>
                <w:color w:val="auto"/>
              </w:rPr>
              <w:t>Issuance of warrant</w:t>
            </w:r>
          </w:p>
        </w:tc>
        <w:tc>
          <w:tcPr>
            <w:tcW w:w="980" w:type="dxa"/>
            <w:vAlign w:val="bottom"/>
          </w:tcPr>
          <w:p>
            <w:pPr>
              <w:spacing w:after="0"/>
              <w:rPr>
                <w:sz w:val="16"/>
                <w:szCs w:val="16"/>
                <w:color w:val="auto"/>
              </w:rPr>
            </w:pPr>
          </w:p>
        </w:tc>
        <w:tc>
          <w:tcPr>
            <w:tcW w:w="88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4,498</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Unpaid deferred offering costs</w:t>
            </w: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1,105</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-3933825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-3188335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-1872615</wp:posOffset>
            </wp:positionV>
            <wp:extent cx="939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-1872615</wp:posOffset>
            </wp:positionV>
            <wp:extent cx="9398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-1233805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ind w:left="4360"/>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CONDENSED CONSOLIDATED STATEMENTS OF CASH FLOWS (Unaudited) (continued)</w:t>
      </w: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33"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15240</wp:posOffset>
            </wp:positionV>
            <wp:extent cx="21945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 w:lineRule="exact"/>
        <w:rPr>
          <w:sz w:val="20"/>
          <w:szCs w:val="20"/>
          <w:color w:val="auto"/>
        </w:rPr>
      </w:pPr>
    </w:p>
    <w:p>
      <w:pPr>
        <w:jc w:val="both"/>
        <w:ind w:left="8280"/>
        <w:spacing w:after="0"/>
        <w:tabs>
          <w:tab w:leader="none" w:pos="101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15240</wp:posOffset>
            </wp:positionV>
            <wp:extent cx="21945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4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jc w:val="both"/>
        <w:ind w:left="20" w:right="3800"/>
        <w:spacing w:after="0" w:line="237" w:lineRule="auto"/>
        <w:rPr>
          <w:sz w:val="20"/>
          <w:szCs w:val="20"/>
          <w:color w:val="auto"/>
        </w:rPr>
      </w:pPr>
      <w:r>
        <w:rPr>
          <w:rFonts w:ascii="Arial" w:cs="Arial" w:eastAsia="Arial" w:hAnsi="Arial"/>
          <w:sz w:val="15"/>
          <w:szCs w:val="15"/>
          <w:b w:val="1"/>
          <w:bCs w:val="1"/>
          <w:color w:val="auto"/>
        </w:rPr>
        <w:t>The below table reconciles cash, cash equivalents, and restricted cash in the condensed consolidated balance sheets to the total of the same amounts shown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7680" w:type="dxa"/>
            <w:vAlign w:val="bottom"/>
          </w:tcPr>
          <w:p>
            <w:pPr>
              <w:ind w:left="240"/>
              <w:spacing w:after="0"/>
              <w:rPr>
                <w:sz w:val="20"/>
                <w:szCs w:val="20"/>
                <w:color w:val="auto"/>
              </w:rPr>
            </w:pPr>
            <w:r>
              <w:rPr>
                <w:rFonts w:ascii="Arial" w:cs="Arial" w:eastAsia="Arial" w:hAnsi="Arial"/>
                <w:sz w:val="15"/>
                <w:szCs w:val="15"/>
                <w:color w:val="auto"/>
              </w:rPr>
              <w:t>Cash and cash equivalents</w:t>
            </w: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158,335</w:t>
            </w: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266,390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5"/>
                <w:szCs w:val="15"/>
                <w:color w:val="auto"/>
              </w:rPr>
              <w:t>Restricted funds held for financial institutions</w:t>
            </w:r>
          </w:p>
        </w:tc>
        <w:tc>
          <w:tcPr>
            <w:tcW w:w="5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59,325</w:t>
            </w:r>
          </w:p>
        </w:tc>
        <w:tc>
          <w:tcPr>
            <w:tcW w:w="2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680" w:type="dxa"/>
            <w:vAlign w:val="bottom"/>
          </w:tcPr>
          <w:p>
            <w:pPr>
              <w:ind w:left="60"/>
              <w:spacing w:after="0" w:line="138" w:lineRule="exact"/>
              <w:rPr>
                <w:sz w:val="20"/>
                <w:szCs w:val="20"/>
                <w:color w:val="auto"/>
              </w:rPr>
            </w:pPr>
            <w:r>
              <w:rPr>
                <w:rFonts w:ascii="Arial" w:cs="Arial" w:eastAsia="Arial" w:hAnsi="Arial"/>
                <w:sz w:val="15"/>
                <w:szCs w:val="15"/>
                <w:color w:val="auto"/>
              </w:rPr>
              <w:t>Total cash, cash equivalents and restricted cash as shown in the condensed consolidated statements of cash</w:t>
            </w:r>
          </w:p>
        </w:tc>
        <w:tc>
          <w:tcPr>
            <w:tcW w:w="520" w:type="dxa"/>
            <w:vAlign w:val="bottom"/>
            <w:vMerge w:val="restart"/>
          </w:tcPr>
          <w:p>
            <w:pPr>
              <w:jc w:val="right"/>
              <w:ind w:right="344"/>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217,660</w:t>
            </w: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266,390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0"/>
              <w:spacing w:after="0" w:line="166" w:lineRule="exact"/>
              <w:rPr>
                <w:sz w:val="20"/>
                <w:szCs w:val="20"/>
                <w:color w:val="auto"/>
              </w:rPr>
            </w:pPr>
            <w:r>
              <w:rPr>
                <w:rFonts w:ascii="Arial" w:cs="Arial" w:eastAsia="Arial" w:hAnsi="Arial"/>
                <w:sz w:val="15"/>
                <w:szCs w:val="15"/>
                <w:color w:val="auto"/>
              </w:rPr>
              <w:t>flows</w:t>
            </w: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-230505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PAYMENTUS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5"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Richmond Hill, Ontario (Canada), Blacksburg, Virginia, Cromwell, Connecticut, Redmond, Washington and Delhi and Bangalore (India). The Company was headquartered in Charlotte, North Carolina until 2020 when the Company moved its headquarters to Redmond, Washington.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02"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In May 2021, the Company completed its initial public offering (“IPO”), in which the Company issued and sold 11,500,000 shares of its Class A common stock at $21.00 per share, including 1,500,000 shares issued upon the exercise of the underwriters’ option to purchase additional shares. The Company received net proceeds of $224.6 million after deducting underwriting discounts and commissions of $16.9 million. The Company incurred direct offering expenses of $2.0 million.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IPO:</w:t>
      </w:r>
    </w:p>
    <w:p>
      <w:pPr>
        <w:spacing w:after="0" w:line="104" w:lineRule="exact"/>
        <w:rPr>
          <w:sz w:val="20"/>
          <w:szCs w:val="20"/>
          <w:color w:val="auto"/>
        </w:rPr>
      </w:pPr>
    </w:p>
    <w:p>
      <w:pPr>
        <w:ind w:left="1020" w:right="500" w:hanging="503"/>
        <w:spacing w:after="0" w:line="270" w:lineRule="auto"/>
        <w:tabs>
          <w:tab w:leader="none" w:pos="10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all 103,479,239 shares of the Company’s outstanding common stock automatically converted into an equivalent number of shares of Class B common stock on a one-to-one basis; and</w:t>
      </w:r>
    </w:p>
    <w:p>
      <w:pPr>
        <w:spacing w:after="0" w:line="59"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entities affiliated with Accel-KKR purchased 2,380,950 shares of the Company’s Class A common stock at $21.00 per share in a concurrent private placement that closed immediately subsequent to the closing of the IPO. The Company received aggregate proceeds of $50.0 million in this concurrent private placement and did not pay underwriting discounts or commissions with respect to the shares of Class A common stock that were sold in the private placement.</w:t>
      </w:r>
    </w:p>
    <w:p>
      <w:pPr>
        <w:spacing w:after="0" w:line="16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2021 filed with the SEC on March 3, 2022, (the "2021 Form 10-K").</w:t>
      </w:r>
    </w:p>
    <w:p>
      <w:pPr>
        <w:spacing w:after="0" w:line="81" w:lineRule="exact"/>
        <w:rPr>
          <w:sz w:val="20"/>
          <w:szCs w:val="20"/>
          <w:color w:val="auto"/>
        </w:rPr>
      </w:pPr>
    </w:p>
    <w:p>
      <w:pPr>
        <w:jc w:val="both"/>
        <w:ind w:right="160" w:firstLine="494"/>
        <w:spacing w:after="0" w:line="246" w:lineRule="auto"/>
        <w:rPr>
          <w:sz w:val="20"/>
          <w:szCs w:val="20"/>
          <w:color w:val="auto"/>
        </w:rPr>
      </w:pPr>
      <w:r>
        <w:rPr>
          <w:rFonts w:ascii="Arial" w:cs="Arial" w:eastAsia="Arial" w:hAnsi="Arial"/>
          <w:sz w:val="18"/>
          <w:szCs w:val="18"/>
          <w:color w:val="auto"/>
        </w:rPr>
        <w:t>These unaudited interim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comprehensive income, changes in stockholders' equity and cash flows for the periods presented.</w:t>
      </w:r>
    </w:p>
    <w:p>
      <w:pPr>
        <w:spacing w:after="0" w:line="3"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The results of operations for the three and six months ended June 30, 2022 and 2021 are not necessarily indicative of the results to be expected for the full year or any other future interim or annual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15"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On May 10, 2021, the Company effected a 5-for-1 forward stock split of its common stock. In connection with the forward stock split, each issued and outstanding share of common stock, automatically and without action on the part of the holders, became five shares of common stock. The par value per share of common stock was not adjusted. All share, per share and related information presented in the unaudited interim condensed consolidated financial statements and accompanying notes have been retroactively adjusted, where applicable, to reflect the impact of the stock split.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5" w:lineRule="exact"/>
        <w:rPr>
          <w:sz w:val="20"/>
          <w:szCs w:val="20"/>
          <w:color w:val="auto"/>
        </w:rPr>
      </w:pPr>
    </w:p>
    <w:p>
      <w:pPr>
        <w:ind w:right="560" w:firstLine="494"/>
        <w:spacing w:after="0" w:line="271"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5"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220" w:firstLine="494"/>
        <w:spacing w:after="0" w:line="24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02" w:lineRule="exact"/>
        <w:rPr>
          <w:sz w:val="20"/>
          <w:szCs w:val="20"/>
          <w:color w:val="auto"/>
        </w:rPr>
      </w:pPr>
    </w:p>
    <w:p>
      <w:pPr>
        <w:ind w:firstLine="494"/>
        <w:spacing w:after="0" w:line="248" w:lineRule="auto"/>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$41.3 million and $47.4 million as of June 30, 2022 and December 31, 2021,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Funds Held for Financial Institutions and Financial Institution Funds In-Transit</w:t>
      </w:r>
    </w:p>
    <w:p>
      <w:pPr>
        <w:spacing w:after="0" w:line="102" w:lineRule="exact"/>
        <w:rPr>
          <w:sz w:val="20"/>
          <w:szCs w:val="20"/>
          <w:color w:val="auto"/>
        </w:rPr>
      </w:pPr>
    </w:p>
    <w:p>
      <w:pPr>
        <w:ind w:firstLine="494"/>
        <w:spacing w:after="0" w:line="248" w:lineRule="auto"/>
        <w:rPr>
          <w:sz w:val="20"/>
          <w:szCs w:val="20"/>
          <w:color w:val="auto"/>
        </w:rPr>
      </w:pPr>
      <w:r>
        <w:rPr>
          <w:rFonts w:ascii="Arial" w:cs="Arial" w:eastAsia="Arial" w:hAnsi="Arial"/>
          <w:sz w:val="18"/>
          <w:szCs w:val="18"/>
          <w:color w:val="auto"/>
        </w:rPr>
        <w:t>Restricted funds held for financial institutions and the corresponding liability of financial institution funds in-transit represent the timing differences arising between the amounts the Company's sponsor bank receives from the sending financial institutions and the amounts disbursed to the recipient financial institutions. The restricted funds held for financial institutions' account is a transaction account maintained at the Company’s sponsor bank for clearing payments from financial institutions (as defined by the U.S. Treasury’s Financial Crimes Enforcement Network) to other financial institutions. Restricted funds held for financial institutions represent restricted cash that, based upon the Company's intent, are restricted solely for satisfying the corresponding obligations to send funds to the various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w:t>
      </w:r>
    </w:p>
    <w:p>
      <w:pPr>
        <w:spacing w:after="0" w:line="235" w:lineRule="auto"/>
        <w:rPr>
          <w:sz w:val="20"/>
          <w:szCs w:val="20"/>
          <w:color w:val="auto"/>
        </w:rPr>
      </w:pPr>
      <w:r>
        <w:rPr>
          <w:rFonts w:ascii="Arial" w:cs="Arial" w:eastAsia="Arial" w:hAnsi="Arial"/>
          <w:sz w:val="18"/>
          <w:szCs w:val="18"/>
          <w:color w:val="auto"/>
        </w:rPr>
        <w:t>accounts receivable, the Company is exposed to credit risk in the event of nonpayment by customers to the extent of the amounts recorded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in the consolidated balance sheets. No customer accounted for more than 10% of revenue for either of the three or six months ended June 30, 2022 and 2021. No customer accounted for more than 10% of accounts receivable as of June 30, 2022, while one customer accounted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more than 10% of accounts receivable as of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0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2021 and 2020</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1" w:right="419" w:bottom="1440" w:gutter="0" w:footer="0" w:header="0"/>
        </w:sectPr>
      </w:pPr>
    </w:p>
    <w:bookmarkStart w:id="12" w:name="page13"/>
    <w:bookmarkEnd w:id="12"/>
    <w:p>
      <w:pPr>
        <w:ind w:right="360"/>
        <w:spacing w:after="0" w:line="287" w:lineRule="auto"/>
        <w:rPr>
          <w:sz w:val="20"/>
          <w:szCs w:val="20"/>
          <w:color w:val="auto"/>
        </w:rPr>
      </w:pPr>
      <w:r>
        <w:rPr>
          <w:rFonts w:ascii="Arial" w:cs="Arial" w:eastAsia="Arial" w:hAnsi="Arial"/>
          <w:sz w:val="18"/>
          <w:szCs w:val="18"/>
          <w:color w:val="auto"/>
        </w:rPr>
        <w:t>and for the years ended December 31, 2021 and 2020 included in the 2021 Form 10-K. There have been no significant changes to these policies during the three and six months ended June 30,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w:t>
      </w:r>
    </w:p>
    <w:p>
      <w:pPr>
        <w:jc w:val="center"/>
        <w:ind w:right="140"/>
        <w:spacing w:after="0" w:line="234" w:lineRule="auto"/>
        <w:rPr>
          <w:sz w:val="20"/>
          <w:szCs w:val="20"/>
          <w:color w:val="auto"/>
        </w:rPr>
      </w:pPr>
      <w:r>
        <w:rPr>
          <w:rFonts w:ascii="Arial" w:cs="Arial" w:eastAsia="Arial" w:hAnsi="Arial"/>
          <w:sz w:val="18"/>
          <w:szCs w:val="18"/>
          <w:color w:val="auto"/>
        </w:rPr>
        <w:t>Jumpstart Our Business Startups Act of 2012 either (1) within the same periods as those otherwise applicable to public business entities, or</w:t>
      </w:r>
    </w:p>
    <w:p>
      <w:pPr>
        <w:spacing w:after="0" w:line="1" w:lineRule="exact"/>
        <w:rPr>
          <w:sz w:val="20"/>
          <w:szCs w:val="20"/>
          <w:color w:val="auto"/>
        </w:rPr>
      </w:pPr>
    </w:p>
    <w:p>
      <w:pPr>
        <w:ind w:right="140" w:firstLine="8"/>
        <w:spacing w:after="0" w:line="23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5" w:lineRule="exact"/>
        <w:rPr>
          <w:sz w:val="20"/>
          <w:szCs w:val="20"/>
          <w:color w:val="auto"/>
        </w:rPr>
      </w:pPr>
    </w:p>
    <w:p>
      <w:pPr>
        <w:ind w:right="240" w:firstLine="494"/>
        <w:spacing w:after="0" w:line="267"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Contracts with Customers" ("ASU 2021-08")</w:t>
      </w:r>
      <w:r>
        <w:rPr>
          <w:rFonts w:ascii="Arial" w:cs="Arial" w:eastAsia="Arial" w:hAnsi="Arial"/>
          <w:sz w:val="17"/>
          <w:szCs w:val="17"/>
          <w:color w:val="auto"/>
        </w:rPr>
        <w:t>. ASU 2021-08 will require companies to apply the definition of a performance</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obligation under ASU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xml:space="preserve">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ASU 2021-08 is effective for fiscal years beginning after December 15, 2022 for public entities and December 15, 2023 for all other entities, with early adoption permitted. The Company is currently evaluating the impact of this ASU on its condensed consolidated financial statements.</w:t>
      </w:r>
    </w:p>
    <w:p>
      <w:pPr>
        <w:spacing w:after="0" w:line="16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Performance Obligations and Contract Balances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0"/>
                <w:szCs w:val="20"/>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transaction processing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118,512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92,446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233,474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183,646</w:t>
            </w:r>
          </w:p>
        </w:tc>
        <w:tc>
          <w:tcPr>
            <w:tcW w:w="22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18"/>
                <w:szCs w:val="18"/>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119,969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93,495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236,673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185,717</w:t>
            </w:r>
          </w:p>
        </w:tc>
        <w:tc>
          <w:tcPr>
            <w:tcW w:w="2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2" w:lineRule="exact"/>
        <w:rPr>
          <w:sz w:val="20"/>
          <w:szCs w:val="20"/>
          <w:color w:val="auto"/>
        </w:rPr>
      </w:pPr>
    </w:p>
    <w:p>
      <w:pPr>
        <w:jc w:val="both"/>
        <w:ind w:right="160" w:firstLine="494"/>
        <w:spacing w:after="0" w:line="261" w:lineRule="auto"/>
        <w:rPr>
          <w:sz w:val="20"/>
          <w:szCs w:val="20"/>
          <w:color w:val="auto"/>
        </w:rPr>
      </w:pPr>
      <w:r>
        <w:rPr>
          <w:rFonts w:ascii="Arial" w:cs="Arial" w:eastAsia="Arial" w:hAnsi="Arial"/>
          <w:sz w:val="18"/>
          <w:szCs w:val="18"/>
          <w:color w:val="auto"/>
        </w:rPr>
        <w:t>ASU Topic 606 requires disclosure of the aggregate amount of the transaction price allocated to unsatisfied performance obligations. The purpose of this disclosure is to provide additional information about the amounts and expected timing of revenue to be recognized from the remaining performance obligations in our existing contracts.</w:t>
      </w:r>
    </w:p>
    <w:p>
      <w:pPr>
        <w:spacing w:after="0" w:line="54" w:lineRule="exact"/>
        <w:rPr>
          <w:sz w:val="20"/>
          <w:szCs w:val="20"/>
          <w:color w:val="auto"/>
        </w:rPr>
      </w:pPr>
    </w:p>
    <w:p>
      <w:pPr>
        <w:ind w:right="40" w:firstLine="494"/>
        <w:spacing w:after="0" w:line="261" w:lineRule="auto"/>
        <w:rPr>
          <w:sz w:val="20"/>
          <w:szCs w:val="20"/>
          <w:color w:val="auto"/>
        </w:rPr>
      </w:pPr>
      <w:r>
        <w:rPr>
          <w:rFonts w:ascii="Arial" w:cs="Arial" w:eastAsia="Arial" w:hAnsi="Arial"/>
          <w:sz w:val="18"/>
          <w:szCs w:val="18"/>
          <w:color w:val="auto"/>
        </w:rPr>
        <w:t>As of June 30, 2022, the aggregate amount of transaction price allocated to performance obligations that are unsatisfied or partially unsatisfied was $4.0 million, which the Company expects to recognize over 80% within the next four years. The timing of revenue recognition within the next year is largely dependent upon the go-live dates of the Company's contracts.</w:t>
      </w:r>
    </w:p>
    <w:p>
      <w:pPr>
        <w:spacing w:after="0" w:line="162" w:lineRule="exact"/>
        <w:rPr>
          <w:sz w:val="20"/>
          <w:szCs w:val="20"/>
          <w:color w:val="auto"/>
        </w:rPr>
      </w:pPr>
    </w:p>
    <w:p>
      <w:pPr>
        <w:ind w:right="300" w:firstLine="494"/>
        <w:spacing w:after="0" w:line="252" w:lineRule="auto"/>
        <w:rPr>
          <w:sz w:val="20"/>
          <w:szCs w:val="20"/>
          <w:color w:val="auto"/>
        </w:rPr>
      </w:pPr>
      <w:r>
        <w:rPr>
          <w:rFonts w:ascii="Arial" w:cs="Arial" w:eastAsia="Arial" w:hAnsi="Arial"/>
          <w:sz w:val="18"/>
          <w:szCs w:val="18"/>
          <w:color w:val="auto"/>
        </w:rPr>
        <w:t>As of June 30, 2022, the Company has contractual rights under its commercial agreements to receive $29.7 million of fixed consideration related to the future minimum guarantees through March 2026.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The contract asset balances at June 30, 2022 and December 31, 2021 were $6.6 million and $5.6 million, respectively, of which $1.7 million and $1.7 million was included in prepaid expenses and other current assets and $4.9 million and $3.9 million was included in other long-term assets in the condensed consolidated balance sheets, respectively. During the three months ended June 30, 2022 and 2021, the Company reduced revenue and the related contract assets by $0.4 million and $0.2 million and for the six months ended June 30, 2022 and 2021, revenue and the related contract assets were reduced by $0.8 million and $0.2 million.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18"/>
          <w:szCs w:val="18"/>
          <w:color w:val="auto"/>
        </w:rPr>
        <w:t>The Company recorded $4.0 million and $3.9 million of contract liabilities in the condensed consolidated balance sheets as of June 30,</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2022 and December 31, 2021, respectively, of which $2.8 million is related to acquisitions during the year ended December 31, 2021 and the remaining amount related to legacy contracts obtained from prior acquisitions associated with the Company’s insignificant other revenue</w:t>
      </w:r>
    </w:p>
    <w:p>
      <w:pPr>
        <w:spacing w:after="0" w:line="2"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stream and other payments the Company received in advance for services. The change in the contract liabilities is primarily related to timing differences between payment from the customer and the Company’s satisfaction of each performance obligation. Revenue recognized during the three months ended June 30, 2022 and 2021 that was included in the contract liabilities balance at the beginning of each of the periods</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was $0.5 million and $0.6 million, respectively. Revenue recognized during the six months ended June 30, 2022 and 2021 that was included in the contract liabilities balance at the beginning of each of the periods was $0.8 million and $0.6 million, respectively.</w:t>
      </w:r>
    </w:p>
    <w:p>
      <w:pPr>
        <w:spacing w:after="0" w:line="194"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PayVeris, LLC</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September 1, 2021, the Company completed its acquisition of PayVeris, LLC ("Payveris") by acquiring all outstanding equity</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interests for a total purchase price of approximately $145.5 million, comprised of $85.1 million in cash and 2,364,270 shares of the Company's Class A common stock with a fair value of approximately $60.4 million, of which 2,471 shares of the Company's Class A common</w:t>
      </w:r>
    </w:p>
    <w:p>
      <w:pPr>
        <w:spacing w:after="0" w:line="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stock with an approximate value of $0.06 million are subject to final issuance and are currently recorded in accrued liabilities in the condensed consolidated balance sheets. Payveris is a payments processing company for financial institutions. The acquisition is expected to increase the addressable market opportunity for the Company's existing solutions while also enhancing Payveris’ platform with real-time</w:t>
      </w:r>
    </w:p>
    <w:p>
      <w:pPr>
        <w:spacing w:after="0" w:line="1"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capabilities, enhanced electronic bill presentment and additional payment options for banks, credit unions and financial institutions of all sizes.</w:t>
      </w:r>
    </w:p>
    <w:p>
      <w:pPr>
        <w:spacing w:after="0" w:line="86" w:lineRule="exact"/>
        <w:rPr>
          <w:sz w:val="20"/>
          <w:szCs w:val="20"/>
          <w:color w:val="auto"/>
        </w:rPr>
      </w:pPr>
    </w:p>
    <w:p>
      <w:pPr>
        <w:ind w:right="140" w:firstLine="494"/>
        <w:spacing w:after="0" w:line="275"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includes software acquired</w:t>
            </w:r>
          </w:p>
        </w:tc>
        <w:tc>
          <w:tcPr>
            <w:tcW w:w="7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108,950</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Restricted funds held for financial institutions</w:t>
            </w:r>
          </w:p>
        </w:tc>
        <w:tc>
          <w:tcPr>
            <w:tcW w:w="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31,459</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institution funds in-transit</w:t>
            </w:r>
          </w:p>
        </w:tc>
        <w:tc>
          <w:tcPr>
            <w:tcW w:w="7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(31,459 )</w:t>
            </w: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(194 )</w:t>
            </w: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(265 )</w:t>
            </w: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(2,805 )</w:t>
            </w:r>
          </w:p>
        </w:tc>
      </w:tr>
      <w:tr>
        <w:trPr>
          <w:trHeight w:val="250"/>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The purchase price allocation is preliminary. The Company continues to collect information with regard to its estimates and assumptions, including potential liabilities and contingencies. The Company will record adjustments to the fair value of the net assets acquired and goodwill within the twelve months measurement period, if necessary. The Company recorded a measurement period adjustment of $8.5 million during the fourth quarter of 2021 to decrease trademarks and increase goodwill related to the refinement of inputs in the acquisition valuation. There were no measurement period adjustments during the three and six months ended June 30, 2022.</w:t>
      </w:r>
    </w:p>
    <w:p>
      <w:pPr>
        <w:spacing w:after="0" w:line="69" w:lineRule="exact"/>
        <w:rPr>
          <w:sz w:val="20"/>
          <w:szCs w:val="20"/>
          <w:color w:val="auto"/>
        </w:rPr>
      </w:pPr>
    </w:p>
    <w:p>
      <w:pPr>
        <w:ind w:right="580" w:firstLine="494"/>
        <w:spacing w:after="0" w:line="287"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Payveris and the assembled workforce. The goodwill is deductible for income tax purposes.</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220" w:type="dxa"/>
            <w:vAlign w:val="bottom"/>
          </w:tcPr>
          <w:p>
            <w:pPr>
              <w:jc w:val="right"/>
              <w:ind w:right="162"/>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Customer Relationships</w:t>
            </w:r>
          </w:p>
        </w:tc>
        <w:tc>
          <w:tcPr>
            <w:tcW w:w="4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26,154</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4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4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38,249</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180" w:type="dxa"/>
            <w:vAlign w:val="bottom"/>
            <w:vMerge w:val="restart"/>
          </w:tcPr>
          <w:p>
            <w:pPr>
              <w:jc w:val="right"/>
              <w:ind w:right="2130"/>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7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6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-574040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18"/>
          <w:szCs w:val="18"/>
          <w:b w:val="1"/>
          <w:bCs w:val="1"/>
          <w:i w:val="1"/>
          <w:iCs w:val="1"/>
          <w:color w:val="auto"/>
        </w:rPr>
        <w:t>Finovera, Inc.</w:t>
      </w:r>
    </w:p>
    <w:p>
      <w:pPr>
        <w:spacing w:after="0" w:line="115"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On September 2, 2021, the Company completed its acquisition of Finovera by acquiring all outstanding shares for a total purchase price of approximately $12.9 million, net of cash acquired, comprised of $5.0 million in cash of which $0.8 million is being held back by the Company for a period of twenty-four months following the transaction closing date and is recorded in finance leases and other finance obligations, net of current portion in the condensed consolidated balance sheets, and 293,506 shares of the Company's Class A common stock with a fair value of approximately $7.9 million. Finovera is a bill aggregation technology provider for financial institutions. The acquisition of Finovera is expected to increase the addressable market opportunity for the Company's biller and financial institution solutions by, among other things, increasing the availability of certain bill data.</w:t>
      </w:r>
    </w:p>
    <w:p>
      <w:pPr>
        <w:spacing w:after="0" w:line="67" w:lineRule="exact"/>
        <w:rPr>
          <w:sz w:val="20"/>
          <w:szCs w:val="20"/>
          <w:color w:val="auto"/>
        </w:rPr>
      </w:pPr>
    </w:p>
    <w:p>
      <w:pPr>
        <w:ind w:right="140" w:firstLine="494"/>
        <w:spacing w:after="0" w:line="275"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7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(85 )</w:t>
            </w: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(72 )</w:t>
            </w: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7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(588 )</w:t>
            </w:r>
          </w:p>
        </w:tc>
      </w:tr>
      <w:tr>
        <w:trPr>
          <w:trHeight w:val="250"/>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color w:val="auto"/>
        </w:rPr>
        <w:t>The purchase price allocation is preliminary. The Company continues to collect information with regard to its estimates and assumptions, including potential liabilities and contingencies. The Company will record adjustments to the fair value of the net assets acquired and goodwill within the twelve months measurement period, if necessary. There were no measurement period adjustments during the three and six months ended June 30, 2022.</w:t>
      </w:r>
    </w:p>
    <w:p>
      <w:pPr>
        <w:spacing w:after="0" w:line="62" w:lineRule="exact"/>
        <w:rPr>
          <w:sz w:val="20"/>
          <w:szCs w:val="20"/>
          <w:color w:val="auto"/>
        </w:rPr>
      </w:pPr>
    </w:p>
    <w:p>
      <w:pPr>
        <w:ind w:right="580" w:firstLine="494"/>
        <w:spacing w:after="0" w:line="271"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Finovera and the assembled workforce. The goodwill is not deductible for income tax purposes.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62"/>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9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200" w:type="dxa"/>
            <w:vAlign w:val="bottom"/>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5,155</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8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6,048</w:t>
            </w:r>
          </w:p>
        </w:tc>
        <w:tc>
          <w:tcPr>
            <w:tcW w:w="3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-24765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9" w:lineRule="exact"/>
        <w:rPr>
          <w:sz w:val="20"/>
          <w:szCs w:val="20"/>
          <w:color w:val="auto"/>
        </w:rPr>
      </w:pPr>
    </w:p>
    <w:p>
      <w:pPr>
        <w:ind w:right="40" w:firstLine="494"/>
        <w:spacing w:after="0" w:line="252" w:lineRule="auto"/>
        <w:rPr>
          <w:sz w:val="20"/>
          <w:szCs w:val="20"/>
          <w:color w:val="auto"/>
        </w:rPr>
      </w:pPr>
      <w:r>
        <w:rPr>
          <w:rFonts w:ascii="Arial" w:cs="Arial" w:eastAsia="Arial" w:hAnsi="Arial"/>
          <w:sz w:val="18"/>
          <w:szCs w:val="18"/>
          <w:color w:val="auto"/>
        </w:rPr>
        <w:t>The revenue and expenses of the acquired businesses have been included in the Company's condensed consolidated financial results since the acquisition date. Revenues and expenses related to these acquisitions and pro forma results of operations have not been presented for the three and six months ended June 30, 2021 because the effects of these acquisitions was not material to the Company's overall operations.</w:t>
      </w:r>
    </w:p>
    <w:p>
      <w:pPr>
        <w:spacing w:after="0" w:line="62" w:lineRule="exact"/>
        <w:rPr>
          <w:sz w:val="20"/>
          <w:szCs w:val="20"/>
          <w:color w:val="auto"/>
        </w:rPr>
      </w:pPr>
    </w:p>
    <w:p>
      <w:pPr>
        <w:ind w:right="380" w:firstLine="494"/>
        <w:spacing w:after="0" w:line="261" w:lineRule="auto"/>
        <w:rPr>
          <w:sz w:val="20"/>
          <w:szCs w:val="20"/>
          <w:color w:val="auto"/>
        </w:rPr>
      </w:pPr>
      <w:r>
        <w:rPr>
          <w:rFonts w:ascii="Arial" w:cs="Arial" w:eastAsia="Arial" w:hAnsi="Arial"/>
          <w:sz w:val="18"/>
          <w:szCs w:val="18"/>
          <w:color w:val="auto"/>
        </w:rPr>
        <w:t>The Company incurred costs related to these acquisitions of approximately $1.7 million for the year ended December 31, 2021. All acquisition related costs were expensed as incurred and have been recorded in general and administrative expenses in the condensed consolidated statements of operations.</w:t>
      </w:r>
    </w:p>
    <w:p>
      <w:pPr>
        <w:spacing w:after="0" w:line="162"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9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(5,353 )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(4,791 )</w:t>
            </w:r>
          </w:p>
        </w:tc>
        <w:tc>
          <w:tcPr>
            <w:tcW w:w="0" w:type="dxa"/>
            <w:vAlign w:val="bottom"/>
          </w:tcPr>
          <w:p>
            <w:pPr>
              <w:spacing w:after="0"/>
              <w:rPr>
                <w:sz w:val="1"/>
                <w:szCs w:val="1"/>
                <w:color w:val="auto"/>
              </w:rPr>
            </w:pPr>
          </w:p>
        </w:tc>
      </w:tr>
      <w:tr>
        <w:trPr>
          <w:trHeight w:val="209"/>
        </w:trPr>
        <w:tc>
          <w:tcPr>
            <w:tcW w:w="47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29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60" w:type="dxa"/>
            <w:vAlign w:val="bottom"/>
            <w:vMerge w:val="restart"/>
          </w:tcPr>
          <w:p>
            <w:pPr>
              <w:jc w:val="right"/>
              <w:ind w:right="1910"/>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7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76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-856615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-573405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5" w:name="page16"/>
    <w:bookmarkEnd w:id="15"/>
    <w:p>
      <w:pPr>
        <w:ind w:right="340" w:firstLine="494"/>
        <w:spacing w:after="0" w:line="287" w:lineRule="auto"/>
        <w:rPr>
          <w:sz w:val="20"/>
          <w:szCs w:val="20"/>
          <w:color w:val="auto"/>
        </w:rPr>
      </w:pPr>
      <w:r>
        <w:rPr>
          <w:rFonts w:ascii="Arial" w:cs="Arial" w:eastAsia="Arial" w:hAnsi="Arial"/>
          <w:sz w:val="18"/>
          <w:szCs w:val="18"/>
          <w:color w:val="auto"/>
        </w:rPr>
        <w:t>Depreciation and amortization expense recorded for property and equipment was $0.3 million and $0.3 million for the three months ended June 30, 2022 and 2021, and $0.6 million and $0.5 million for the six months ended June 30, 2022 and 2021.</w:t>
      </w:r>
    </w:p>
    <w:p>
      <w:pPr>
        <w:spacing w:after="0" w:line="139"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Internal-use Software Development Costs and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United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97"/>
              <w:spacing w:after="0"/>
              <w:rPr>
                <w:sz w:val="20"/>
                <w:szCs w:val="20"/>
                <w:color w:val="auto"/>
              </w:rPr>
            </w:pPr>
            <w:r>
              <w:rPr>
                <w:rFonts w:ascii="Arial" w:cs="Arial" w:eastAsia="Arial" w:hAnsi="Arial"/>
                <w:sz w:val="14"/>
                <w:szCs w:val="14"/>
                <w:b w:val="1"/>
                <w:bCs w:val="1"/>
                <w:color w:val="auto"/>
              </w:rPr>
              <w:t>States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128,519</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128,519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88" w:lineRule="exact"/>
        <w:rPr>
          <w:sz w:val="20"/>
          <w:szCs w:val="20"/>
          <w:color w:val="auto"/>
        </w:rPr>
      </w:pPr>
    </w:p>
    <w:p>
      <w:pPr>
        <w:jc w:val="both"/>
        <w:ind w:right="20" w:firstLine="494"/>
        <w:spacing w:after="0" w:line="245" w:lineRule="auto"/>
        <w:rPr>
          <w:sz w:val="20"/>
          <w:szCs w:val="20"/>
          <w:color w:val="auto"/>
        </w:rPr>
      </w:pPr>
      <w:r>
        <w:rPr>
          <w:rFonts w:ascii="Arial" w:cs="Arial" w:eastAsia="Arial" w:hAnsi="Arial"/>
          <w:sz w:val="18"/>
          <w:szCs w:val="18"/>
          <w:color w:val="auto"/>
        </w:rPr>
        <w:t>The Company capitalizes qualifying internal -use software development costs related to its platform. The costs consist of personnel costs (including related benefits) that are incurred during the application development stage, as well as implementation costs incurred to fulfill</w:t>
      </w:r>
    </w:p>
    <w:p>
      <w:pPr>
        <w:ind w:right="120"/>
        <w:spacing w:after="0" w:line="226" w:lineRule="auto"/>
        <w:rPr>
          <w:sz w:val="20"/>
          <w:szCs w:val="20"/>
          <w:color w:val="auto"/>
        </w:rPr>
      </w:pPr>
      <w:r>
        <w:rPr>
          <w:rFonts w:ascii="Arial" w:cs="Arial" w:eastAsia="Arial" w:hAnsi="Arial"/>
          <w:sz w:val="18"/>
          <w:szCs w:val="18"/>
          <w:color w:val="auto"/>
        </w:rPr>
        <w:t>our contracts with customers as they (1) relate directly to the contract, (2) are expected to generate resources that will be used to satisfy the performance obligation under the contract, and (3) are expected to be recovered through revenues generated under the contract.</w:t>
      </w:r>
    </w:p>
    <w:p>
      <w:pPr>
        <w:spacing w:after="0" w:line="236" w:lineRule="auto"/>
        <w:rPr>
          <w:sz w:val="20"/>
          <w:szCs w:val="20"/>
          <w:color w:val="auto"/>
        </w:rPr>
      </w:pPr>
      <w:r>
        <w:rPr>
          <w:rFonts w:ascii="Arial" w:cs="Arial" w:eastAsia="Arial" w:hAnsi="Arial"/>
          <w:sz w:val="18"/>
          <w:szCs w:val="18"/>
          <w:color w:val="auto"/>
        </w:rPr>
        <w:t>Capitalization of costs begins when two criteria are met: (1) the preliminary project stage is completed, and (2) it is probable that the software</w:t>
      </w:r>
    </w:p>
    <w:p>
      <w:pPr>
        <w:spacing w:after="0" w:line="1"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will be completed and used for its intended function. Capitalization ceases when the software is substantially complete and ready for its intended use, including the completion of all significant testing. Costs related to preliminary project activities and post-implementation</w:t>
      </w:r>
    </w:p>
    <w:p>
      <w:pPr>
        <w:spacing w:after="0" w:line="236" w:lineRule="auto"/>
        <w:rPr>
          <w:sz w:val="20"/>
          <w:szCs w:val="20"/>
          <w:color w:val="auto"/>
        </w:rPr>
      </w:pPr>
      <w:r>
        <w:rPr>
          <w:rFonts w:ascii="Arial" w:cs="Arial" w:eastAsia="Arial" w:hAnsi="Arial"/>
          <w:sz w:val="18"/>
          <w:szCs w:val="18"/>
          <w:color w:val="auto"/>
        </w:rPr>
        <w:t>operating activities are expensed as incurred. During the three months ended June 30, 2022 and 2021, the Company capitalized $7.7 million</w:t>
      </w:r>
    </w:p>
    <w:p>
      <w:pPr>
        <w:spacing w:after="0" w:line="1"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and $4.4 million in software development costs, respectively, and during the six months ended June 30, 2022 and 2021, the Company capitalized $14.5 million and $8.7 million in software development costs, respectively.</w:t>
      </w:r>
    </w:p>
    <w:p>
      <w:pPr>
        <w:spacing w:after="0" w:line="86"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Capitalized costs are amortized over the estimated useful life of the software, which management estimated to be a range of three to five years, and are recorded on a straight-line basis, which represents the manner in which the expected benefit will be derived. Amortization expense is recorded in cost of revenue and operating expenses in the condensed consolidated statement of operations aligned with the internal organizations that are the primary beneficiaries of such assets. During the three months ended June 30, 2022 and 2021, the Company recorded $2.1 million and $1.1 million of amortization expense in cost of revenue, and $1.4 million and $1.1 million of amortization expense in operating expenses, respectively. During the six months ended June 30, 2022 and 2021, the Company recorded $3.7 million and $2.2 million of amortization expense in cost of revenue, and $2.9 million and $2.1 million of amortization expense in operating expenses,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36"/>
              <w:spacing w:after="0" w:line="158"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270"/>
              <w:spacing w:after="0" w:line="158"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2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2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0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20,835</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(10,339</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10,496</w:t>
            </w:r>
          </w:p>
        </w:tc>
        <w:tc>
          <w:tcPr>
            <w:tcW w:w="3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License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(2,643 )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(9,877 )</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23,950</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(546 )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(1,032 )</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62,545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(24,437 )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38,108</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640" w:type="dxa"/>
            <w:vAlign w:val="bottom"/>
          </w:tcPr>
          <w:p>
            <w:pPr>
              <w:spacing w:after="0"/>
              <w:rPr>
                <w:sz w:val="24"/>
                <w:szCs w:val="24"/>
                <w:color w:val="auto"/>
              </w:rPr>
            </w:pPr>
          </w:p>
        </w:tc>
        <w:tc>
          <w:tcPr>
            <w:tcW w:w="2280" w:type="dxa"/>
            <w:vAlign w:val="bottom"/>
            <w:gridSpan w:val="2"/>
          </w:tcPr>
          <w:p>
            <w:pPr>
              <w:jc w:val="right"/>
              <w:ind w:right="110"/>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64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-573405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-573405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-573405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36"/>
              <w:spacing w:after="0" w:line="158"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290"/>
              <w:spacing w:after="0" w:line="158"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92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20,837</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12,182</w:t>
            </w:r>
          </w:p>
        </w:tc>
        <w:tc>
          <w:tcPr>
            <w:tcW w:w="3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License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(2,652 )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(8,021 )</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25,809</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(456 )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(533 )</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62,405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(20,317 )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42,088</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520" w:firstLine="494"/>
        <w:spacing w:after="0" w:line="271" w:lineRule="auto"/>
        <w:rPr>
          <w:sz w:val="20"/>
          <w:szCs w:val="20"/>
          <w:color w:val="auto"/>
        </w:rPr>
      </w:pPr>
      <w:r>
        <w:rPr>
          <w:rFonts w:ascii="Arial" w:cs="Arial" w:eastAsia="Arial" w:hAnsi="Arial"/>
          <w:sz w:val="18"/>
          <w:szCs w:val="18"/>
          <w:color w:val="auto"/>
        </w:rPr>
        <w:t>Amortization expense of intangible assets was $2.1 million and $0.1 million for the three months ended June 30, 2022 and 2021, respectively, and $4.2 million and $0.1 million for the six months ended June 30, 2022 and 2021.</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future expected amortization expense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2022 (remaining six months)</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8,082</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60" w:type="dxa"/>
            <w:vAlign w:val="bottom"/>
          </w:tcPr>
          <w:p>
            <w:pPr>
              <w:ind w:left="20"/>
              <w:spacing w:after="0"/>
              <w:rPr>
                <w:sz w:val="20"/>
                <w:szCs w:val="20"/>
                <w:color w:val="auto"/>
              </w:rPr>
            </w:pPr>
            <w:r>
              <w:rPr>
                <w:rFonts w:ascii="Arial" w:cs="Arial" w:eastAsia="Arial" w:hAnsi="Arial"/>
                <w:sz w:val="18"/>
                <w:szCs w:val="18"/>
                <w:color w:val="auto"/>
              </w:rPr>
              <w:t>Total future amortization expense</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38,108</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right="240" w:firstLine="499"/>
        <w:spacing w:after="0" w:line="252" w:lineRule="auto"/>
        <w:rPr>
          <w:sz w:val="20"/>
          <w:szCs w:val="20"/>
          <w:color w:val="auto"/>
        </w:rPr>
      </w:pPr>
      <w:r>
        <w:rPr>
          <w:rFonts w:ascii="Arial" w:cs="Arial" w:eastAsia="Arial" w:hAnsi="Arial"/>
          <w:sz w:val="18"/>
          <w:szCs w:val="18"/>
          <w:color w:val="auto"/>
        </w:rPr>
        <w:t>The Company enters into operating and finance leases, primarily related to rental of office space, equipment and data centers. Both operating and finance leases have remaining lease terms which range from less than one year to ten years, and often include one or more renewal or termination options. These options are not included in the determination of the lease term at commencement unless it is reasonably certain that the Company will exercise the option.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6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expense</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Interest on finance lease liabilities</w:t>
            </w: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finance lease cost</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200" w:type="dxa"/>
            <w:vAlign w:val="bottom"/>
            <w:shd w:val="clear" w:color="auto" w:fill="CFF0FC"/>
          </w:tcPr>
          <w:p>
            <w:pPr>
              <w:ind w:left="20"/>
              <w:spacing w:after="0" w:line="163" w:lineRule="exact"/>
              <w:rPr>
                <w:sz w:val="20"/>
                <w:szCs w:val="20"/>
                <w:color w:val="auto"/>
              </w:rPr>
            </w:pPr>
            <w:r>
              <w:rPr>
                <w:rFonts w:ascii="Arial" w:cs="Arial" w:eastAsia="Arial" w:hAnsi="Arial"/>
                <w:sz w:val="18"/>
                <w:szCs w:val="18"/>
                <w:color w:val="auto"/>
              </w:rPr>
              <w:t>Cash paid for amounts included in the measurement of lease</w:t>
            </w: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537</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894</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200" w:type="dxa"/>
            <w:vAlign w:val="bottom"/>
            <w:shd w:val="clear" w:color="auto" w:fill="CFF0FC"/>
          </w:tcPr>
          <w:p>
            <w:pPr>
              <w:ind w:left="20"/>
              <w:spacing w:after="0" w:line="170" w:lineRule="exact"/>
              <w:rPr>
                <w:sz w:val="20"/>
                <w:szCs w:val="20"/>
                <w:color w:val="auto"/>
              </w:rPr>
            </w:pPr>
            <w:r>
              <w:rPr>
                <w:rFonts w:ascii="Arial" w:cs="Arial" w:eastAsia="Arial" w:hAnsi="Arial"/>
                <w:sz w:val="18"/>
                <w:szCs w:val="18"/>
                <w:color w:val="auto"/>
              </w:rPr>
              <w:t>Right-of-use assets obtained in exchange of operating lease</w:t>
            </w: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4,151</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obligations</w:t>
            </w: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52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52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ind w:right="600" w:firstLine="494"/>
        <w:spacing w:after="0" w:line="287" w:lineRule="auto"/>
        <w:rPr>
          <w:sz w:val="20"/>
          <w:szCs w:val="20"/>
          <w:color w:val="auto"/>
        </w:rPr>
      </w:pPr>
      <w:r>
        <w:rPr>
          <w:rFonts w:ascii="Arial" w:cs="Arial" w:eastAsia="Arial" w:hAnsi="Arial"/>
          <w:sz w:val="18"/>
          <w:szCs w:val="18"/>
          <w:color w:val="auto"/>
        </w:rPr>
        <w:t>The total remaining lease payments under non-cancelable operating and finance leases as of June 30, 2022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60" w:type="dxa"/>
            <w:vAlign w:val="bottom"/>
          </w:tcPr>
          <w:p>
            <w:pPr>
              <w:spacing w:after="0"/>
              <w:rPr>
                <w:sz w:val="16"/>
                <w:szCs w:val="16"/>
                <w:color w:val="auto"/>
              </w:rPr>
            </w:pP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Finance Leases</w:t>
            </w: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(remaining six months)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 including interest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(1,193 )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r>
      <w:tr>
        <w:trPr>
          <w:trHeight w:val="25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11,105</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775"/>
        </w:trPr>
        <w:tc>
          <w:tcPr>
            <w:tcW w:w="7560" w:type="dxa"/>
            <w:vAlign w:val="bottom"/>
          </w:tcPr>
          <w:p>
            <w:pPr>
              <w:spacing w:after="0"/>
              <w:rPr>
                <w:sz w:val="20"/>
                <w:szCs w:val="20"/>
                <w:color w:val="auto"/>
              </w:rPr>
            </w:pPr>
            <w:r>
              <w:rPr>
                <w:rFonts w:ascii="Arial" w:cs="Arial" w:eastAsia="Arial" w:hAnsi="Arial"/>
                <w:sz w:val="18"/>
                <w:szCs w:val="18"/>
                <w:b w:val="1"/>
                <w:bCs w:val="1"/>
                <w:color w:val="auto"/>
              </w:rPr>
              <w:t>8.   Accrued Liabilities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7560" w:type="dxa"/>
            <w:vAlign w:val="bottom"/>
          </w:tcPr>
          <w:p>
            <w:pPr>
              <w:ind w:left="500"/>
              <w:spacing w:after="0"/>
              <w:rPr>
                <w:sz w:val="20"/>
                <w:szCs w:val="20"/>
                <w:color w:val="auto"/>
              </w:rPr>
            </w:pPr>
            <w:r>
              <w:rPr>
                <w:rFonts w:ascii="Arial" w:cs="Arial" w:eastAsia="Arial" w:hAnsi="Arial"/>
                <w:sz w:val="18"/>
                <w:szCs w:val="18"/>
                <w:color w:val="auto"/>
              </w:rPr>
              <w:t>Accrued liabilities consisted of the following (in thousands):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4"/>
          </w:tcPr>
          <w:p>
            <w:pPr>
              <w:ind w:left="18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employee-related expenses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10,142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Finance leases and other financing obligations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-1645285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-1628140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20" w:firstLine="499"/>
        <w:spacing w:after="0" w:line="271" w:lineRule="auto"/>
        <w:rPr>
          <w:sz w:val="20"/>
          <w:szCs w:val="20"/>
          <w:color w:val="auto"/>
        </w:rPr>
      </w:pPr>
      <w:r>
        <w:rPr>
          <w:rFonts w:ascii="Arial" w:cs="Arial" w:eastAsia="Arial" w:hAnsi="Arial"/>
          <w:sz w:val="18"/>
          <w:szCs w:val="18"/>
          <w:color w:val="auto"/>
        </w:rPr>
        <w:t>Finance leases and other financing obligations includes the current portion of finance leases related to the acquisition of computer equipment and short-term insurance premium financing arrangements.</w:t>
      </w:r>
    </w:p>
    <w:p>
      <w:pPr>
        <w:spacing w:after="0" w:line="154"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02" w:lineRule="exact"/>
        <w:rPr>
          <w:sz w:val="20"/>
          <w:szCs w:val="20"/>
          <w:color w:val="auto"/>
        </w:rPr>
      </w:pPr>
    </w:p>
    <w:p>
      <w:pPr>
        <w:ind w:right="240" w:firstLine="494"/>
        <w:spacing w:after="0" w:line="247"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2021 Form 10-K.</w:t>
      </w:r>
    </w:p>
    <w:p>
      <w:pPr>
        <w:spacing w:after="0" w:line="82"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The Company sponsors a 401(k) defined contribution plan covering all eligible U.S. employees. Contributions to the 401(k) plan are discretionary. For the three and six months ended June 30, 2022, the Company made $0.2 million and $0.4 million of matching contributions to the 401(k) plan, respectively. The Company did not make any matching contributions to the 401(k) plan for the three and six months ended June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2"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The Company is involved from time to time in various claims and legal proceedings arising in the ordinary course of business. While it is not feasible to predict or determine the ultimate outcome of these matters, the Company believes that none of its current claims and legal proceedings will have a material adverse effect on its financial position, results of operations, or cash flows as of and for the three and six months ended June 30,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5"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17" w:lineRule="exact"/>
        <w:rPr>
          <w:sz w:val="20"/>
          <w:szCs w:val="20"/>
          <w:color w:val="auto"/>
        </w:rPr>
      </w:pPr>
    </w:p>
    <w:p>
      <w:pPr>
        <w:ind w:right="340" w:firstLine="544"/>
        <w:spacing w:after="0" w:line="271" w:lineRule="auto"/>
        <w:rPr>
          <w:sz w:val="20"/>
          <w:szCs w:val="20"/>
          <w:color w:val="auto"/>
        </w:rPr>
      </w:pPr>
      <w:r>
        <w:rPr>
          <w:rFonts w:ascii="Arial" w:cs="Arial" w:eastAsia="Arial" w:hAnsi="Arial"/>
          <w:sz w:val="18"/>
          <w:szCs w:val="18"/>
          <w:color w:val="auto"/>
        </w:rPr>
        <w:t>There have been no material changes to the Company's related party transactions as previously disclosed in the Company's 2021 Form 10-K.</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2"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The Company’s amended and restated certificate of incorporation authorizes the issuance of 5,000,000 shares of undesignated preferred stock with a par value of $0.0001 per share with rights and preferences, including voting rights, designated from time to time by the board of directors. There were no shares of preferred stock issued or outstanding as of June 30,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2" w:lineRule="exact"/>
        <w:rPr>
          <w:sz w:val="20"/>
          <w:szCs w:val="20"/>
          <w:color w:val="auto"/>
        </w:rPr>
      </w:pPr>
    </w:p>
    <w:p>
      <w:pPr>
        <w:ind w:right="20" w:firstLine="374"/>
        <w:spacing w:after="0" w:line="246" w:lineRule="auto"/>
        <w:rPr>
          <w:sz w:val="20"/>
          <w:szCs w:val="20"/>
          <w:color w:val="auto"/>
        </w:rPr>
      </w:pPr>
      <w:r>
        <w:rPr>
          <w:rFonts w:ascii="Arial" w:cs="Arial" w:eastAsia="Arial" w:hAnsi="Arial"/>
          <w:sz w:val="18"/>
          <w:szCs w:val="18"/>
          <w:color w:val="auto"/>
        </w:rPr>
        <w:t>The Company has two classes of common stock: Class A common stock and Class B common stock. The Company’s amended and restated certificate of incorporation authorizes the issuance of 883,950,000 shares of Class A common stock and 111,050,000 shares of Class B common stock. The shares of Class A common stock and Class B common stock are identical, except with respect to voting and conversion. Each share of Class A common stock is entitled to one vote. Each share of Class B common stock is entitled to ten votes. Class A and Class B common stock have a par value of $0.0001 per share, and are referred to as common stock throughout the notes to the condensed consolidated financial statements, unless otherwise noted. Holders of common stock are entitled to receive any dividends as may be declared from time to time by the board of directors.</w:t>
      </w:r>
    </w:p>
    <w:p>
      <w:pPr>
        <w:spacing w:after="0" w:line="67" w:lineRule="exact"/>
        <w:rPr>
          <w:sz w:val="20"/>
          <w:szCs w:val="20"/>
          <w:color w:val="auto"/>
        </w:rPr>
      </w:pPr>
    </w:p>
    <w:p>
      <w:pPr>
        <w:ind w:right="220" w:firstLine="374"/>
        <w:spacing w:after="0" w:line="248" w:lineRule="auto"/>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automatically convert to Class A common stock upon the following: (i) sale or transfer of such share of Class B common stock; (ii) the death of the Class B common stockholder (or nine months 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15" w:lineRule="exact"/>
        <w:rPr>
          <w:sz w:val="20"/>
          <w:szCs w:val="20"/>
          <w:color w:val="auto"/>
        </w:rPr>
      </w:pPr>
    </w:p>
    <w:p>
      <w:pPr>
        <w:ind w:right="180" w:firstLine="374"/>
        <w:spacing w:after="0" w:line="253" w:lineRule="auto"/>
        <w:rPr>
          <w:sz w:val="20"/>
          <w:szCs w:val="20"/>
          <w:color w:val="auto"/>
        </w:rPr>
      </w:pPr>
      <w:r>
        <w:rPr>
          <w:rFonts w:ascii="Arial" w:cs="Arial" w:eastAsia="Arial" w:hAnsi="Arial"/>
          <w:sz w:val="18"/>
          <w:szCs w:val="18"/>
          <w:color w:val="auto"/>
        </w:rPr>
        <w:t>Upon completion of the IPO, the Company used approximately $57.4 million of the net proceeds to redeem all of the issued and outstanding shares of Series A preferred stock (including accrued dividends of $34.4 million). As of June 30, 2022, there were no shares of Series A preferred stock issued and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115" w:lineRule="exact"/>
        <w:rPr>
          <w:sz w:val="20"/>
          <w:szCs w:val="20"/>
          <w:color w:val="auto"/>
        </w:rPr>
      </w:pPr>
    </w:p>
    <w:p>
      <w:pPr>
        <w:ind w:firstLine="449"/>
        <w:spacing w:after="0" w:line="244" w:lineRule="auto"/>
        <w:rPr>
          <w:sz w:val="20"/>
          <w:szCs w:val="20"/>
          <w:color w:val="auto"/>
        </w:rPr>
      </w:pPr>
      <w:r>
        <w:rPr>
          <w:rFonts w:ascii="Arial" w:cs="Arial" w:eastAsia="Arial" w:hAnsi="Arial"/>
          <w:sz w:val="18"/>
          <w:szCs w:val="18"/>
          <w:color w:val="auto"/>
        </w:rPr>
        <w:t xml:space="preserve">On May 13, 2021, the Company entered into a warrant agreement with an affiliate of J.P. Morgan Securities LLC, an underwriter in the IPO, pursuant to which the Company issued a warrant to such affiliate for up to 509,370 shares of Class A common stock upon completion of the IPO at an exercise price of $18.38 per share. Upon completion of the IPO, 382,027 of the warrant shares had vested and are therefore, exercisable. The vesting of the remaining 127,343 shares of Class A common stock underlying the warrant will be subject to the achievement of certain commercial milestones through December 31, 2025 pursuant to a related commercial agreement. Consistent with classification guidance in ASU Topic 606, the Company accounts for the consideration payable in the form of warrants to a customer as a reduction of the transaction price and, therefore, of revenue as the revenue is earned. The warrant fair value was determined using the Black-Scholes pricing model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397,944 warrant shares had vested and were exercisable.</w:t>
      </w:r>
    </w:p>
    <w:p>
      <w:pPr>
        <w:spacing w:after="0" w:line="117"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During 2021, the Company updated the warrant value recognized based on the expectation that the probability of achievement of certain milestones would be achieved. The increase was recorded using the fair value determined at the time of grant multiplied by the estimated number of remaining warrants expected to vest. This increase was recorded as additional paid-in capital and as a contract asset included in prepaid expenses and other current assets and other long-term assets in the condensed consolidated balance sheets. There were no changes to the valuation in the three and six months ended June 30,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04" w:lineRule="exact"/>
        <w:rPr>
          <w:sz w:val="20"/>
          <w:szCs w:val="20"/>
          <w:color w:val="auto"/>
        </w:rPr>
      </w:pPr>
    </w:p>
    <w:p>
      <w:pPr>
        <w:ind w:right="380" w:firstLine="494"/>
        <w:spacing w:after="0" w:line="287" w:lineRule="auto"/>
        <w:rPr>
          <w:sz w:val="20"/>
          <w:szCs w:val="20"/>
          <w:color w:val="auto"/>
        </w:rPr>
      </w:pPr>
      <w:r>
        <w:rPr>
          <w:rFonts w:ascii="Arial" w:cs="Arial" w:eastAsia="Arial" w:hAnsi="Arial"/>
          <w:sz w:val="18"/>
          <w:szCs w:val="18"/>
          <w:color w:val="auto"/>
        </w:rPr>
        <w:t>In May 2021, the Company’s board of directors adopted, and its stockholders approved, the 2021 Equity Incentive Plan (the “2021 Plan”), which became effective in connection with the IPO. The 2021 Plan provides for the grant of</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9" w:name="page20"/>
    <w:bookmarkEnd w:id="19"/>
    <w:p>
      <w:pPr>
        <w:ind w:right="60"/>
        <w:spacing w:after="0" w:line="244" w:lineRule="auto"/>
        <w:rPr>
          <w:sz w:val="20"/>
          <w:szCs w:val="20"/>
          <w:color w:val="auto"/>
        </w:rPr>
      </w:pPr>
      <w:r>
        <w:rPr>
          <w:rFonts w:ascii="Arial" w:cs="Arial" w:eastAsia="Arial" w:hAnsi="Arial"/>
          <w:sz w:val="18"/>
          <w:szCs w:val="18"/>
          <w:color w:val="auto"/>
        </w:rPr>
        <w:t>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2022, pursuant to the Evergreen Addition, 4,825,566 shares of Class A common stock were added to the 2021 Plan issuance reserve. At June 30, 2022, there were 14,307,338 remaining shares available for the Company to grant under the 2021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right="320" w:firstLine="494"/>
        <w:spacing w:after="0" w:line="271" w:lineRule="auto"/>
        <w:rPr>
          <w:sz w:val="20"/>
          <w:szCs w:val="20"/>
          <w:color w:val="auto"/>
        </w:rPr>
      </w:pPr>
      <w:r>
        <w:rPr>
          <w:rFonts w:ascii="Arial" w:cs="Arial" w:eastAsia="Arial" w:hAnsi="Arial"/>
          <w:sz w:val="18"/>
          <w:szCs w:val="18"/>
          <w:color w:val="auto"/>
        </w:rPr>
        <w:t>A summary of the Company’s option activity during the six months ended June 30, 2022 was as follows (in thousands, except share and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left="308"/>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left="320"/>
              <w:spacing w:after="0"/>
              <w:rPr>
                <w:sz w:val="20"/>
                <w:szCs w:val="20"/>
                <w:color w:val="auto"/>
              </w:rPr>
            </w:pPr>
            <w:r>
              <w:rPr>
                <w:rFonts w:ascii="Arial" w:cs="Arial" w:eastAsia="Arial" w:hAnsi="Arial"/>
                <w:sz w:val="14"/>
                <w:szCs w:val="14"/>
                <w:b w:val="1"/>
                <w:bCs w:val="1"/>
                <w:color w:val="auto"/>
              </w:rPr>
              <w:t>Weighted-</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left="308"/>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left="340"/>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left="308"/>
              <w:spacing w:after="0"/>
              <w:rPr>
                <w:sz w:val="20"/>
                <w:szCs w:val="20"/>
                <w:color w:val="auto"/>
              </w:rPr>
            </w:pPr>
            <w:r>
              <w:rPr>
                <w:rFonts w:ascii="Arial" w:cs="Arial" w:eastAsia="Arial" w:hAnsi="Arial"/>
                <w:sz w:val="14"/>
                <w:szCs w:val="14"/>
                <w:b w:val="1"/>
                <w:bCs w:val="1"/>
                <w:color w:val="auto"/>
              </w:rPr>
              <w:t>Remaining</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76"/>
        </w:trPr>
        <w:tc>
          <w:tcPr>
            <w:tcW w:w="4320" w:type="dxa"/>
            <w:vAlign w:val="bottom"/>
          </w:tcPr>
          <w:p>
            <w:pPr>
              <w:spacing w:after="0"/>
              <w:rPr>
                <w:sz w:val="15"/>
                <w:szCs w:val="15"/>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5"/>
                <w:szCs w:val="15"/>
                <w:color w:val="auto"/>
              </w:rPr>
            </w:pPr>
          </w:p>
        </w:tc>
        <w:tc>
          <w:tcPr>
            <w:tcW w:w="1180" w:type="dxa"/>
            <w:vAlign w:val="bottom"/>
          </w:tcPr>
          <w:p>
            <w:pPr>
              <w:jc w:val="center"/>
              <w:ind w:left="308"/>
              <w:spacing w:after="0"/>
              <w:rPr>
                <w:sz w:val="20"/>
                <w:szCs w:val="20"/>
                <w:color w:val="auto"/>
              </w:rPr>
            </w:pPr>
            <w:r>
              <w:rPr>
                <w:rFonts w:ascii="Arial" w:cs="Arial" w:eastAsia="Arial" w:hAnsi="Arial"/>
                <w:sz w:val="14"/>
                <w:szCs w:val="14"/>
                <w:b w:val="1"/>
                <w:bCs w:val="1"/>
                <w:color w:val="auto"/>
              </w:rPr>
              <w:t>Contractual</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85"/>
        </w:trPr>
        <w:tc>
          <w:tcPr>
            <w:tcW w:w="4320" w:type="dxa"/>
            <w:vAlign w:val="bottom"/>
          </w:tcPr>
          <w:p>
            <w:pPr>
              <w:spacing w:after="0"/>
              <w:rPr>
                <w:sz w:val="16"/>
                <w:szCs w:val="16"/>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tcPr>
          <w:p>
            <w:pPr>
              <w:jc w:val="center"/>
              <w:ind w:left="32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left="308"/>
              <w:spacing w:after="0"/>
              <w:rPr>
                <w:sz w:val="20"/>
                <w:szCs w:val="20"/>
                <w:color w:val="auto"/>
              </w:rPr>
            </w:pPr>
            <w:r>
              <w:rPr>
                <w:rFonts w:ascii="Arial" w:cs="Arial" w:eastAsia="Arial" w:hAnsi="Arial"/>
                <w:sz w:val="14"/>
                <w:szCs w:val="14"/>
                <w:b w:val="1"/>
                <w:bCs w:val="1"/>
                <w:color w:val="auto"/>
              </w:rPr>
              <w:t xml:space="preserve">Life </w:t>
            </w:r>
            <w:r>
              <w:rPr>
                <w:rFonts w:ascii="Arial" w:cs="Arial" w:eastAsia="Arial" w:hAnsi="Arial"/>
                <w:sz w:val="14"/>
                <w:szCs w:val="14"/>
                <w:b w:val="1"/>
                <w:bCs w:val="1"/>
                <w:i w:val="1"/>
                <w:iCs w:val="1"/>
                <w:color w:val="auto"/>
              </w:rPr>
              <w:t>(years)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0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6,849,910</w:t>
            </w:r>
          </w:p>
        </w:tc>
        <w:tc>
          <w:tcPr>
            <w:tcW w:w="2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94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4.98</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205,010</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exercised</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(1,977,110 )</w:t>
            </w: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80"/>
              <w:spacing w:after="0"/>
              <w:rPr>
                <w:sz w:val="20"/>
                <w:szCs w:val="20"/>
                <w:color w:val="auto"/>
              </w:rPr>
            </w:pPr>
            <w:r>
              <w:rPr>
                <w:rFonts w:ascii="Arial" w:cs="Arial" w:eastAsia="Arial" w:hAnsi="Arial"/>
                <w:sz w:val="18"/>
                <w:szCs w:val="18"/>
                <w:color w:val="auto"/>
              </w:rPr>
              <w:t>Options forfeited</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(7,417 )</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2022</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4,865,383</w:t>
            </w: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94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6.09</w:t>
            </w:r>
          </w:p>
        </w:tc>
        <w:tc>
          <w:tcPr>
            <w:tcW w:w="5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30,817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320" w:type="dxa"/>
            <w:vAlign w:val="bottom"/>
          </w:tcPr>
          <w:p>
            <w:pPr>
              <w:ind w:left="20"/>
              <w:spacing w:after="0" w:line="196" w:lineRule="exact"/>
              <w:rPr>
                <w:sz w:val="20"/>
                <w:szCs w:val="20"/>
                <w:color w:val="auto"/>
              </w:rPr>
            </w:pPr>
            <w:r>
              <w:rPr>
                <w:rFonts w:ascii="Arial" w:cs="Arial" w:eastAsia="Arial" w:hAnsi="Arial"/>
                <w:sz w:val="18"/>
                <w:szCs w:val="18"/>
                <w:color w:val="auto"/>
              </w:rPr>
              <w:t>Exercisable at June 30, 2022</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3,405,256</w:t>
            </w:r>
          </w:p>
        </w:tc>
        <w:tc>
          <w:tcPr>
            <w:tcW w:w="280" w:type="dxa"/>
            <w:vAlign w:val="bottom"/>
          </w:tcPr>
          <w:p>
            <w:pPr>
              <w:spacing w:after="0"/>
              <w:rPr>
                <w:sz w:val="17"/>
                <w:szCs w:val="17"/>
                <w:color w:val="auto"/>
              </w:rPr>
            </w:pPr>
          </w:p>
        </w:tc>
        <w:tc>
          <w:tcPr>
            <w:tcW w:w="1140" w:type="dxa"/>
            <w:vAlign w:val="bottom"/>
          </w:tcPr>
          <w:p>
            <w:pPr>
              <w:jc w:val="right"/>
              <w:ind w:right="94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6.35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6"/>
              </w:rPr>
              <w:t>5.64</w:t>
            </w:r>
          </w:p>
        </w:tc>
        <w:tc>
          <w:tcPr>
            <w:tcW w:w="5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23,915</w:t>
            </w: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-187960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-170815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ind w:right="460" w:firstLine="499"/>
        <w:spacing w:after="0" w:line="261" w:lineRule="auto"/>
        <w:rPr>
          <w:sz w:val="20"/>
          <w:szCs w:val="20"/>
          <w:color w:val="auto"/>
        </w:rPr>
      </w:pPr>
      <w:r>
        <w:rPr>
          <w:rFonts w:ascii="Arial" w:cs="Arial" w:eastAsia="Arial" w:hAnsi="Arial"/>
          <w:sz w:val="18"/>
          <w:szCs w:val="18"/>
          <w:color w:val="auto"/>
        </w:rPr>
        <w:t>There were no options granted during the three or six months ended June 30, 2022. The weighted average grant date fair value of options granted during the three and six months ended June 30, 2021 was $ 7.21 and $3.39. Aggregate intrinsic value represents the difference between the exercise price of the options and the fair value of the Company’s common stock.</w:t>
      </w:r>
    </w:p>
    <w:p>
      <w:pPr>
        <w:spacing w:after="0" w:line="54" w:lineRule="exact"/>
        <w:rPr>
          <w:sz w:val="20"/>
          <w:szCs w:val="20"/>
          <w:color w:val="auto"/>
        </w:rPr>
      </w:pPr>
    </w:p>
    <w:p>
      <w:pPr>
        <w:ind w:right="140" w:firstLine="494"/>
        <w:spacing w:after="0" w:line="287" w:lineRule="auto"/>
        <w:rPr>
          <w:sz w:val="20"/>
          <w:szCs w:val="20"/>
          <w:color w:val="auto"/>
        </w:rPr>
      </w:pPr>
      <w:r>
        <w:rPr>
          <w:rFonts w:ascii="Arial" w:cs="Arial" w:eastAsia="Arial" w:hAnsi="Arial"/>
          <w:sz w:val="18"/>
          <w:szCs w:val="18"/>
          <w:color w:val="auto"/>
        </w:rPr>
        <w:t>The fair value of options granted during the three and six months ended June 30, 2021 was estimated using the Black-Scholes option-pricing model with the following weighted-average assumptions:</w:t>
      </w:r>
    </w:p>
    <w:p>
      <w:pPr>
        <w:sectPr>
          <w:pgSz w:w="11900" w:h="16838" w:orient="portrait"/>
          <w:cols w:equalWidth="0" w:num="1">
            <w:col w:w="11300"/>
          </w:cols>
          <w:pgMar w:left="320" w:top="431" w:right="279" w:bottom="1440" w:gutter="0" w:footer="0" w:header="0"/>
        </w:sectPr>
      </w:pPr>
    </w:p>
    <w:p>
      <w:pPr>
        <w:spacing w:after="0" w:line="4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15240</wp:posOffset>
            </wp:positionV>
            <wp:extent cx="1440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10795</wp:posOffset>
            </wp:positionV>
            <wp:extent cx="1440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15240</wp:posOffset>
            </wp:positionV>
            <wp:extent cx="14230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4230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40" w:space="640"/>
            <w:col w:w="2220"/>
          </w:cols>
          <w:pgMar w:left="320" w:top="431" w:right="27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320" w:type="dxa"/>
            <w:vAlign w:val="bottom"/>
          </w:tcPr>
          <w:p>
            <w:pPr>
              <w:jc w:val="right"/>
              <w:ind w:right="590"/>
              <w:spacing w:after="0"/>
              <w:rPr>
                <w:sz w:val="20"/>
                <w:szCs w:val="20"/>
                <w:color w:val="auto"/>
              </w:rPr>
            </w:pPr>
            <w:r>
              <w:rPr>
                <w:rFonts w:ascii="Arial" w:cs="Arial" w:eastAsia="Arial" w:hAnsi="Arial"/>
                <w:sz w:val="18"/>
                <w:szCs w:val="18"/>
                <w:color w:val="auto"/>
              </w:rPr>
              <w:t>0.0 %</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35"/>
        </w:trPr>
        <w:tc>
          <w:tcPr>
            <w:tcW w:w="50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320" w:type="dxa"/>
            <w:vAlign w:val="bottom"/>
          </w:tcPr>
          <w:p>
            <w:pPr>
              <w:jc w:val="right"/>
              <w:ind w:right="590"/>
              <w:spacing w:after="0"/>
              <w:rPr>
                <w:sz w:val="20"/>
                <w:szCs w:val="20"/>
                <w:color w:val="auto"/>
              </w:rPr>
            </w:pPr>
            <w:r>
              <w:rPr>
                <w:rFonts w:ascii="Arial" w:cs="Arial" w:eastAsia="Arial" w:hAnsi="Arial"/>
                <w:sz w:val="18"/>
                <w:szCs w:val="18"/>
                <w:color w:val="auto"/>
              </w:rPr>
              <w:t>0.8 %</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0.3 % - 0.8%</w:t>
            </w:r>
          </w:p>
        </w:tc>
        <w:tc>
          <w:tcPr>
            <w:tcW w:w="60" w:type="dxa"/>
            <w:vAlign w:val="bottom"/>
          </w:tcPr>
          <w:p>
            <w:pPr>
              <w:spacing w:after="0"/>
              <w:rPr>
                <w:sz w:val="20"/>
                <w:szCs w:val="20"/>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432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rPr>
              <w:t>5</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320" w:type="dxa"/>
            <w:vAlign w:val="bottom"/>
          </w:tcPr>
          <w:p>
            <w:pPr>
              <w:jc w:val="right"/>
              <w:ind w:right="590"/>
              <w:spacing w:after="0"/>
              <w:rPr>
                <w:sz w:val="20"/>
                <w:szCs w:val="20"/>
                <w:color w:val="auto"/>
              </w:rPr>
            </w:pPr>
            <w:r>
              <w:rPr>
                <w:rFonts w:ascii="Arial" w:cs="Arial" w:eastAsia="Arial" w:hAnsi="Arial"/>
                <w:sz w:val="18"/>
                <w:szCs w:val="18"/>
                <w:color w:val="auto"/>
              </w:rPr>
              <w:t>38.0 %</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 activity during the six months ended June 30, 2022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5"/>
                <w:szCs w:val="15"/>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r>
      <w:tr>
        <w:trPr>
          <w:trHeight w:val="185"/>
        </w:trPr>
        <w:tc>
          <w:tcPr>
            <w:tcW w:w="46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RSU's Outstanding</w:t>
            </w: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1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Awarded and unvested at December 31, 2021</w:t>
            </w:r>
          </w:p>
        </w:tc>
        <w:tc>
          <w:tcPr>
            <w:tcW w:w="3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513,547</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80"/>
              <w:spacing w:after="0"/>
              <w:rPr>
                <w:sz w:val="20"/>
                <w:szCs w:val="20"/>
                <w:color w:val="auto"/>
              </w:rPr>
            </w:pPr>
            <w:r>
              <w:rPr>
                <w:rFonts w:ascii="Arial" w:cs="Arial" w:eastAsia="Arial" w:hAnsi="Arial"/>
                <w:sz w:val="18"/>
                <w:szCs w:val="18"/>
                <w:color w:val="auto"/>
              </w:rPr>
              <w:t>Awards granted</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592,373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Awards vested</w:t>
            </w:r>
          </w:p>
        </w:tc>
        <w:tc>
          <w:tcPr>
            <w:tcW w:w="50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(3,873 )</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80"/>
              <w:spacing w:after="0"/>
              <w:rPr>
                <w:sz w:val="20"/>
                <w:szCs w:val="20"/>
                <w:color w:val="auto"/>
              </w:rPr>
            </w:pPr>
            <w:r>
              <w:rPr>
                <w:rFonts w:ascii="Arial" w:cs="Arial" w:eastAsia="Arial" w:hAnsi="Arial"/>
                <w:sz w:val="18"/>
                <w:szCs w:val="18"/>
                <w:color w:val="auto"/>
              </w:rPr>
              <w:t>Awards forfeited</w:t>
            </w:r>
          </w:p>
        </w:tc>
        <w:tc>
          <w:tcPr>
            <w:tcW w:w="5020" w:type="dxa"/>
            <w:vAlign w:val="bottom"/>
            <w:gridSpan w:val="3"/>
          </w:tcPr>
          <w:p>
            <w:pPr>
              <w:jc w:val="right"/>
              <w:ind w:right="200"/>
              <w:spacing w:after="0"/>
              <w:rPr>
                <w:sz w:val="20"/>
                <w:szCs w:val="20"/>
                <w:color w:val="auto"/>
              </w:rPr>
            </w:pPr>
            <w:r>
              <w:rPr>
                <w:rFonts w:ascii="Arial" w:cs="Arial" w:eastAsia="Arial" w:hAnsi="Arial"/>
                <w:sz w:val="18"/>
                <w:szCs w:val="18"/>
                <w:color w:val="auto"/>
              </w:rPr>
              <w:t>(34,085 )</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8"/>
                <w:szCs w:val="18"/>
                <w:color w:val="auto"/>
              </w:rPr>
            </w:pPr>
          </w:p>
        </w:tc>
      </w:tr>
      <w:tr>
        <w:trPr>
          <w:trHeight w:val="250"/>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Awarded and unvested at June 30, 2022</w:t>
            </w:r>
          </w:p>
        </w:tc>
        <w:tc>
          <w:tcPr>
            <w:tcW w:w="3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1,067,962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4"/>
        </w:trPr>
        <w:tc>
          <w:tcPr>
            <w:tcW w:w="4600" w:type="dxa"/>
            <w:vAlign w:val="bottom"/>
          </w:tcPr>
          <w:p>
            <w:pPr>
              <w:spacing w:after="0"/>
              <w:rPr>
                <w:sz w:val="24"/>
                <w:szCs w:val="24"/>
                <w:color w:val="auto"/>
              </w:rPr>
            </w:pPr>
          </w:p>
        </w:tc>
        <w:tc>
          <w:tcPr>
            <w:tcW w:w="3220" w:type="dxa"/>
            <w:vAlign w:val="bottom"/>
          </w:tcPr>
          <w:p>
            <w:pPr>
              <w:jc w:val="right"/>
              <w:ind w:right="2010"/>
              <w:spacing w:after="0"/>
              <w:rPr>
                <w:sz w:val="20"/>
                <w:szCs w:val="20"/>
                <w:color w:val="auto"/>
              </w:rPr>
            </w:pPr>
            <w:r>
              <w:rPr>
                <w:rFonts w:ascii="Arial" w:cs="Arial" w:eastAsia="Arial" w:hAnsi="Arial"/>
                <w:sz w:val="18"/>
                <w:szCs w:val="18"/>
                <w:color w:val="auto"/>
              </w:rPr>
              <w:t>19</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
        </w:trPr>
        <w:tc>
          <w:tcPr>
            <w:tcW w:w="460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-436880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-419100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1" w:right="279" w:bottom="1440" w:gutter="0" w:footer="0" w:header="0"/>
          <w:type w:val="continuous"/>
        </w:sectPr>
      </w:pPr>
    </w:p>
    <w:bookmarkStart w:id="20" w:name="page21"/>
    <w:bookmarkEnd w:id="20"/>
    <w:p>
      <w:pPr>
        <w:ind w:right="120" w:firstLine="494"/>
        <w:spacing w:after="0" w:line="261"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ranges between four years and five years from the date of grant, subject to continued employment for employees and provision of services for nonemployees.</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6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6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2,620</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firstLine="494"/>
        <w:spacing w:after="0" w:line="301" w:lineRule="auto"/>
        <w:rPr>
          <w:sz w:val="20"/>
          <w:szCs w:val="20"/>
          <w:color w:val="auto"/>
        </w:rPr>
      </w:pPr>
      <w:r>
        <w:rPr>
          <w:rFonts w:ascii="Arial" w:cs="Arial" w:eastAsia="Arial" w:hAnsi="Arial"/>
          <w:sz w:val="17"/>
          <w:szCs w:val="17"/>
          <w:color w:val="auto"/>
        </w:rPr>
        <w:t>At June 30, 2022, there was $4.1 million of total unrecognized compensation cost related to unvested stock options granted under the 2012 Equity Incentive Plan and the 2021 Plan, which is expected to be recognized over a remaining weighted-average period of 2.1 years.</w:t>
      </w:r>
    </w:p>
    <w:p>
      <w:pPr>
        <w:spacing w:after="0" w:line="23" w:lineRule="exact"/>
        <w:rPr>
          <w:sz w:val="20"/>
          <w:szCs w:val="20"/>
          <w:color w:val="auto"/>
        </w:rPr>
      </w:pPr>
    </w:p>
    <w:p>
      <w:pPr>
        <w:ind w:right="140" w:firstLine="494"/>
        <w:spacing w:after="0" w:line="287" w:lineRule="auto"/>
        <w:rPr>
          <w:sz w:val="20"/>
          <w:szCs w:val="20"/>
          <w:color w:val="auto"/>
        </w:rPr>
      </w:pPr>
      <w:r>
        <w:rPr>
          <w:rFonts w:ascii="Arial" w:cs="Arial" w:eastAsia="Arial" w:hAnsi="Arial"/>
          <w:sz w:val="18"/>
          <w:szCs w:val="18"/>
          <w:color w:val="auto"/>
        </w:rPr>
        <w:t>At June 30, 2022, there was $19.5 million of total unrecognized compensation cost related to unvested RSUs granted under the 2021 Plan, which is expected to be recognized over a remaining weighted-average period of 3.9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04"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The Company computes its tax provision for interim periods by applying the estimated annual effective tax rate to year-to-date income from recurring operations and adjusting for discrete items arising in that quarter. However, if the Company is unable to make a reliable estimate of its annual effective tax rate, then the actual effective tax rate for the year-to-date period may be the best estimate. For the three and six months ended June 30, 2021, the Company determined that its annual effective tax rate approach would provide a reliable estimate and therefore used its historical method to calculate its tax provision. However, for the three and six months ended June 30, 2022, the Company used a discrete effective tax rate method as it was determined that the effective tax rate determined using the forecast of ordinary income or loss does not reasonably estimate the effective tax rate to be applied to year-to-date pre-tax (loss) income, and any small changes would result in significant changes in the estimated annual effective tax rate.</w:t>
      </w:r>
    </w:p>
    <w:p>
      <w:pPr>
        <w:spacing w:after="0" w:line="85" w:lineRule="exact"/>
        <w:rPr>
          <w:sz w:val="20"/>
          <w:szCs w:val="20"/>
          <w:color w:val="auto"/>
        </w:rPr>
      </w:pPr>
    </w:p>
    <w:p>
      <w:pPr>
        <w:ind w:right="60" w:firstLine="374"/>
        <w:spacing w:after="0" w:line="252" w:lineRule="auto"/>
        <w:rPr>
          <w:sz w:val="20"/>
          <w:szCs w:val="20"/>
          <w:color w:val="auto"/>
        </w:rPr>
      </w:pPr>
      <w:r>
        <w:rPr>
          <w:rFonts w:ascii="Arial" w:cs="Arial" w:eastAsia="Arial" w:hAnsi="Arial"/>
          <w:sz w:val="18"/>
          <w:szCs w:val="18"/>
          <w:color w:val="auto"/>
        </w:rPr>
        <w:t>The Company’s effective tax rate for the three and six months ended June 30, 2022 is (17.5%) and 78.7%. For the three and six months ended June 30, 2021, the effective tax rate was 85.9% and 52.8%. The difference between the Company’s effective tax rate and the U.S. federal statutory rate of 21% in the above periods was primarily the result of excess tax benefits on stock-based compensation, state taxes, foreign income taxed at different rates and permanent tax adjustments related to nondeductible executive compensation.</w:t>
      </w:r>
    </w:p>
    <w:p>
      <w:pPr>
        <w:spacing w:after="0" w:line="62" w:lineRule="exact"/>
        <w:rPr>
          <w:sz w:val="20"/>
          <w:szCs w:val="20"/>
          <w:color w:val="auto"/>
        </w:rPr>
      </w:pPr>
    </w:p>
    <w:p>
      <w:pPr>
        <w:jc w:val="both"/>
        <w:ind w:right="80" w:firstLine="374"/>
        <w:spacing w:after="0" w:line="247" w:lineRule="auto"/>
        <w:rPr>
          <w:sz w:val="20"/>
          <w:szCs w:val="20"/>
          <w:color w:val="auto"/>
        </w:rPr>
      </w:pPr>
      <w:r>
        <w:rPr>
          <w:rFonts w:ascii="Arial" w:cs="Arial" w:eastAsia="Arial" w:hAnsi="Arial"/>
          <w:sz w:val="18"/>
          <w:szCs w:val="18"/>
          <w:color w:val="auto"/>
        </w:rPr>
        <w:t>During the three months ended June 30, 2022, the Company recognized sizable tax deductions for stock-based compensation. These permanent benefits are creating net operating losses that have resulted in a net deferred tax asset. These permanent tax benefits have also created a cumulative history of losses such that the Company has determined that the resulting net deferred tax asset is not more likely than not to be realized. The Company is recording a valuation allowance beginning in the three months ended June 30, 2022 against its U.S. net deferred tax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Income Per Share Attributable to Common Stock</w:t>
      </w:r>
    </w:p>
    <w:p>
      <w:pPr>
        <w:spacing w:after="0" w:line="117" w:lineRule="exact"/>
        <w:rPr>
          <w:sz w:val="20"/>
          <w:szCs w:val="20"/>
          <w:color w:val="auto"/>
        </w:rPr>
      </w:pPr>
    </w:p>
    <w:p>
      <w:pPr>
        <w:ind w:right="80" w:firstLine="494"/>
        <w:spacing w:after="0" w:line="253" w:lineRule="auto"/>
        <w:rPr>
          <w:sz w:val="20"/>
          <w:szCs w:val="20"/>
          <w:color w:val="auto"/>
        </w:rPr>
      </w:pPr>
      <w:r>
        <w:rPr>
          <w:rFonts w:ascii="Arial" w:cs="Arial" w:eastAsia="Arial" w:hAnsi="Arial"/>
          <w:sz w:val="18"/>
          <w:szCs w:val="18"/>
          <w:color w:val="auto"/>
        </w:rPr>
        <w:t>Basic net (loss) income per share attributable to common stockholders is computed by deducting the undeclared dividends on the Series A preferred stock from net (loss) income to arrive at net (loss) income attributable to common stock and dividing the net (loss) income attributable to common stockholders by the weighted-average number of shares of common stock outstanding during the period.</w:t>
      </w:r>
    </w:p>
    <w:p>
      <w:pPr>
        <w:spacing w:after="0" w:line="74"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color w:val="auto"/>
        </w:rPr>
        <w:t>Diluted net (loss) income per share attributable to common stock is computed by giving effect to all potentially dilutive common stock equivalents to the extent they are dilutive. The dilutive effect of outstanding options, RSUs and warrants is reflected in diluted net (loss) income per share attributable to common stock by application of the treasury stock method. The calculation of diluted net (loss) income per share attributable to common stock excludes all anti-dilutive common shares.</w:t>
      </w:r>
    </w:p>
    <w:p>
      <w:pPr>
        <w:spacing w:after="0" w:line="62" w:lineRule="exact"/>
        <w:rPr>
          <w:sz w:val="20"/>
          <w:szCs w:val="20"/>
          <w:color w:val="auto"/>
        </w:rPr>
      </w:pPr>
    </w:p>
    <w:p>
      <w:pPr>
        <w:ind w:right="100" w:firstLine="494"/>
        <w:spacing w:after="0" w:line="261"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(loss) income per share attributable to</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common stockholders are, therefore, the same for both Class A and Class B common stock on both an individual and combined basis.</w:t>
      </w:r>
    </w:p>
    <w:p>
      <w:pPr>
        <w:spacing w:after="0" w:line="117" w:lineRule="exact"/>
        <w:rPr>
          <w:sz w:val="20"/>
          <w:szCs w:val="20"/>
          <w:color w:val="auto"/>
        </w:rPr>
      </w:pPr>
    </w:p>
    <w:p>
      <w:pPr>
        <w:ind w:right="680" w:firstLine="49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(loss) income per share attributable to common stock (in thousands except share and per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r>
      <w:tr>
        <w:trPr>
          <w:trHeight w:val="20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36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(2,451 )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(733 )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4,213</w:t>
            </w:r>
          </w:p>
        </w:tc>
        <w:tc>
          <w:tcPr>
            <w:tcW w:w="220" w:type="dxa"/>
            <w:vAlign w:val="bottom"/>
          </w:tcPr>
          <w:p>
            <w:pPr>
              <w:spacing w:after="0"/>
              <w:rPr>
                <w:sz w:val="18"/>
                <w:szCs w:val="18"/>
                <w:color w:val="auto"/>
              </w:rPr>
            </w:pPr>
          </w:p>
        </w:tc>
      </w:tr>
      <w:tr>
        <w:trPr>
          <w:trHeight w:val="216"/>
        </w:trPr>
        <w:tc>
          <w:tcPr>
            <w:tcW w:w="5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Undeclared dividends on Series A preferred stock</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(898 )</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(2,258 )</w:t>
            </w:r>
          </w:p>
        </w:tc>
      </w:tr>
      <w:tr>
        <w:trPr>
          <w:trHeight w:val="20"/>
        </w:trPr>
        <w:tc>
          <w:tcPr>
            <w:tcW w:w="5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360" w:type="dxa"/>
            <w:vAlign w:val="bottom"/>
          </w:tcPr>
          <w:p>
            <w:pPr>
              <w:ind w:left="280"/>
              <w:spacing w:after="0"/>
              <w:rPr>
                <w:sz w:val="20"/>
                <w:szCs w:val="20"/>
                <w:color w:val="auto"/>
              </w:rPr>
            </w:pPr>
            <w:r>
              <w:rPr>
                <w:rFonts w:ascii="Arial" w:cs="Arial" w:eastAsia="Arial" w:hAnsi="Arial"/>
                <w:sz w:val="18"/>
                <w:szCs w:val="18"/>
                <w:color w:val="auto"/>
              </w:rPr>
              <w:t>Net (loss) income attributable to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(2,451 )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(323 )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(733 )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5360" w:type="dxa"/>
            <w:vAlign w:val="bottom"/>
          </w:tcPr>
          <w:p>
            <w:pPr>
              <w:ind w:left="280"/>
              <w:spacing w:after="0"/>
              <w:rPr>
                <w:sz w:val="20"/>
                <w:szCs w:val="20"/>
                <w:color w:val="auto"/>
              </w:rPr>
            </w:pPr>
            <w:r>
              <w:rPr>
                <w:rFonts w:ascii="Arial" w:cs="Arial" w:eastAsia="Arial" w:hAnsi="Arial"/>
                <w:sz w:val="18"/>
                <w:szCs w:val="18"/>
                <w:color w:val="auto"/>
              </w:rPr>
              <w:t>Weighted-average shares of common stock - basic</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121,637,711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108,970,604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121,269,688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106,240,091</w:t>
            </w:r>
          </w:p>
        </w:tc>
        <w:tc>
          <w:tcPr>
            <w:tcW w:w="220" w:type="dxa"/>
            <w:vAlign w:val="bottom"/>
          </w:tcPr>
          <w:p>
            <w:pPr>
              <w:spacing w:after="0"/>
              <w:rPr>
                <w:sz w:val="18"/>
                <w:szCs w:val="18"/>
                <w:color w:val="auto"/>
              </w:rPr>
            </w:pPr>
          </w:p>
        </w:tc>
      </w:tr>
      <w:tr>
        <w:trPr>
          <w:trHeight w:val="216"/>
        </w:trPr>
        <w:tc>
          <w:tcPr>
            <w:tcW w:w="5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stock options to purchase common stock</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5,973,878</w:t>
            </w:r>
          </w:p>
        </w:tc>
        <w:tc>
          <w:tcPr>
            <w:tcW w:w="220" w:type="dxa"/>
            <w:vAlign w:val="bottom"/>
            <w:shd w:val="clear" w:color="auto" w:fill="CFF0FC"/>
          </w:tcPr>
          <w:p>
            <w:pPr>
              <w:spacing w:after="0"/>
              <w:rPr>
                <w:sz w:val="18"/>
                <w:szCs w:val="18"/>
                <w:color w:val="auto"/>
              </w:rPr>
            </w:pPr>
          </w:p>
        </w:tc>
      </w:tr>
      <w:tr>
        <w:trPr>
          <w:trHeight w:val="216"/>
        </w:trPr>
        <w:tc>
          <w:tcPr>
            <w:tcW w:w="5360" w:type="dxa"/>
            <w:vAlign w:val="bottom"/>
          </w:tcPr>
          <w:p>
            <w:pPr>
              <w:ind w:left="280"/>
              <w:spacing w:after="0"/>
              <w:rPr>
                <w:sz w:val="20"/>
                <w:szCs w:val="20"/>
                <w:color w:val="auto"/>
              </w:rPr>
            </w:pPr>
            <w:r>
              <w:rPr>
                <w:rFonts w:ascii="Arial" w:cs="Arial" w:eastAsia="Arial" w:hAnsi="Arial"/>
                <w:sz w:val="18"/>
                <w:szCs w:val="18"/>
                <w:color w:val="auto"/>
              </w:rPr>
              <w:t>Dilutive effect of RSUs</w:t>
            </w: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warrants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30,085</w:t>
            </w:r>
          </w:p>
        </w:tc>
        <w:tc>
          <w:tcPr>
            <w:tcW w:w="220" w:type="dxa"/>
            <w:vAlign w:val="bottom"/>
            <w:shd w:val="clear" w:color="auto" w:fill="CFF0FC"/>
          </w:tcPr>
          <w:p>
            <w:pPr>
              <w:spacing w:after="0"/>
              <w:rPr>
                <w:sz w:val="18"/>
                <w:szCs w:val="18"/>
                <w:color w:val="auto"/>
              </w:rPr>
            </w:pPr>
          </w:p>
        </w:tc>
      </w:tr>
      <w:tr>
        <w:trPr>
          <w:trHeight w:val="210"/>
        </w:trPr>
        <w:tc>
          <w:tcPr>
            <w:tcW w:w="53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Weighted-average shares of common stock - diluted</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121,637,711</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108,970,604</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121,269,688</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112,244,054</w:t>
            </w:r>
          </w:p>
        </w:tc>
        <w:tc>
          <w:tcPr>
            <w:tcW w:w="220" w:type="dxa"/>
            <w:vAlign w:val="bottom"/>
            <w:tcBorders>
              <w:top w:val="single" w:sz="8" w:color="CFF0FC"/>
            </w:tcBorders>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income per share attributable to common stock</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536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r>
      <w:tr>
        <w:trPr>
          <w:trHeight w:val="216"/>
        </w:trPr>
        <w:tc>
          <w:tcPr>
            <w:tcW w:w="5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(0.01 )</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-1439545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-1439545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-1439545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-1439545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-582295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-582295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-582295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-582295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both"/>
        <w:ind w:right="140" w:firstLine="494"/>
        <w:spacing w:after="0" w:line="287" w:lineRule="auto"/>
        <w:rPr>
          <w:sz w:val="20"/>
          <w:szCs w:val="20"/>
          <w:color w:val="auto"/>
        </w:rPr>
      </w:pPr>
      <w:r>
        <w:rPr>
          <w:rFonts w:ascii="Arial" w:cs="Arial" w:eastAsia="Arial" w:hAnsi="Arial"/>
          <w:sz w:val="18"/>
          <w:szCs w:val="18"/>
          <w:color w:val="auto"/>
        </w:rPr>
        <w:t>The following table summarizes the securities that were excluded from the computation of diluted net income per share attributable to common stock as their inclusion would have been antidilutive: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740" w:type="dxa"/>
            <w:vAlign w:val="bottom"/>
          </w:tcPr>
          <w:p>
            <w:pPr>
              <w:spacing w:after="0"/>
              <w:rPr>
                <w:sz w:val="17"/>
                <w:szCs w:val="17"/>
                <w:color w:val="auto"/>
              </w:rPr>
            </w:pP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5,819,439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7,564,643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6,195,625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RSUs</w:t>
            </w:r>
          </w:p>
        </w:tc>
        <w:tc>
          <w:tcPr>
            <w:tcW w:w="1160" w:type="dxa"/>
            <w:vAlign w:val="bottom"/>
          </w:tcPr>
          <w:p>
            <w:pPr>
              <w:jc w:val="right"/>
              <w:spacing w:after="0"/>
              <w:rPr>
                <w:sz w:val="20"/>
                <w:szCs w:val="20"/>
                <w:color w:val="auto"/>
              </w:rPr>
            </w:pPr>
            <w:r>
              <w:rPr>
                <w:rFonts w:ascii="Arial" w:cs="Arial" w:eastAsia="Arial" w:hAnsi="Arial"/>
                <w:sz w:val="18"/>
                <w:szCs w:val="18"/>
                <w:color w:val="auto"/>
              </w:rPr>
              <w:t>624,260</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588,426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397,944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151,132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397,944</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Information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117,473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91,458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231,433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181,765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119,969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93,495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236,673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comprising property and equipment assets, by geographic area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6"/>
                <w:szCs w:val="16"/>
                <w:color w:val="auto"/>
              </w:rPr>
            </w:pPr>
          </w:p>
        </w:tc>
      </w:tr>
      <w:tr>
        <w:trPr>
          <w:trHeight w:val="196"/>
        </w:trPr>
        <w:tc>
          <w:tcPr>
            <w:tcW w:w="3320" w:type="dxa"/>
            <w:vAlign w:val="bottom"/>
          </w:tcPr>
          <w:p>
            <w:pPr>
              <w:spacing w:after="0"/>
              <w:rPr>
                <w:sz w:val="17"/>
                <w:szCs w:val="17"/>
                <w:color w:val="auto"/>
              </w:rPr>
            </w:pPr>
          </w:p>
        </w:tc>
        <w:tc>
          <w:tcPr>
            <w:tcW w:w="530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r>
      <w:tr>
        <w:trPr>
          <w:trHeight w:val="210"/>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60" w:type="dxa"/>
            <w:vAlign w:val="bottom"/>
            <w:gridSpan w:val="2"/>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FF0FC"/>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8"/>
                <w:szCs w:val="18"/>
                <w:color w:val="auto"/>
              </w:rPr>
              <w:t>Other</w:t>
            </w:r>
          </w:p>
        </w:tc>
        <w:tc>
          <w:tcPr>
            <w:tcW w:w="4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18"/>
                <w:szCs w:val="18"/>
                <w:color w:val="auto"/>
              </w:rPr>
            </w:pPr>
          </w:p>
        </w:tc>
      </w:tr>
      <w:tr>
        <w:trPr>
          <w:trHeight w:val="250"/>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2,048</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727"/>
        </w:trPr>
        <w:tc>
          <w:tcPr>
            <w:tcW w:w="3320" w:type="dxa"/>
            <w:vAlign w:val="bottom"/>
          </w:tcPr>
          <w:p>
            <w:pPr>
              <w:spacing w:after="0"/>
              <w:rPr>
                <w:sz w:val="24"/>
                <w:szCs w:val="24"/>
                <w:color w:val="auto"/>
              </w:rPr>
            </w:pPr>
          </w:p>
        </w:tc>
        <w:tc>
          <w:tcPr>
            <w:tcW w:w="4220" w:type="dxa"/>
            <w:vAlign w:val="bottom"/>
          </w:tcPr>
          <w:p>
            <w:pPr>
              <w:jc w:val="right"/>
              <w:ind w:right="1739"/>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98"/>
        </w:trPr>
        <w:tc>
          <w:tcPr>
            <w:tcW w:w="332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-574040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-556895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-574040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-556895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right="60" w:firstLine="494"/>
        <w:spacing w:after="0" w:line="245"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1,700 biller business and financial institution clients. Our platform was used by approximately 21 million consumers and businesses in North America in December 2021 to pay their bills, make money movements and engage with our clients. We serve billers of all sizes that primarily provide non-discretionary services across a variety of industry verticals, including utilities, financial services, insurance, government, telecommunications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69" w:lineRule="exact"/>
        <w:rPr>
          <w:sz w:val="20"/>
          <w:szCs w:val="20"/>
          <w:color w:val="auto"/>
        </w:rPr>
      </w:pPr>
    </w:p>
    <w:p>
      <w:pPr>
        <w:ind w:right="60" w:firstLine="494"/>
        <w:spacing w:after="0" w:line="248"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67"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or IPN, which together promote rapid adoption of our platform through partnerships with leading business networks. Through these channels, our platform reaches millions of consumers, driving transaction growth.</w:t>
      </w:r>
    </w:p>
    <w:p>
      <w:pPr>
        <w:spacing w:after="0" w:line="82"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We believe our revenue is highly visible.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allows us to provide integration, implementation, maintenance and upgrades at no additional cost to billers.</w:t>
      </w:r>
    </w:p>
    <w:p>
      <w:pPr>
        <w:spacing w:after="0" w:line="79" w:lineRule="exact"/>
        <w:rPr>
          <w:sz w:val="20"/>
          <w:szCs w:val="20"/>
          <w:color w:val="auto"/>
        </w:rPr>
      </w:pPr>
    </w:p>
    <w:p>
      <w:pPr>
        <w:ind w:right="80" w:firstLine="544"/>
        <w:spacing w:after="0" w:line="246" w:lineRule="auto"/>
        <w:rPr>
          <w:sz w:val="20"/>
          <w:szCs w:val="20"/>
          <w:color w:val="auto"/>
        </w:rPr>
      </w:pPr>
      <w:r>
        <w:rPr>
          <w:rFonts w:ascii="Arial" w:cs="Arial" w:eastAsia="Arial" w:hAnsi="Arial"/>
          <w:sz w:val="18"/>
          <w:szCs w:val="18"/>
          <w:color w:val="auto"/>
        </w:rPr>
        <w:t>In 2022, the United States economy has experienced inflationary conditions, increased interest rates and two consecutive quarters of decreased gross domestic product. While we believe our business is resilient and can generally weather unusual levels of inflation, the economic uncertainty and inflationary pressures have had some impact on our expected 2022 financial performance. For example, some of our clients have deferred anticipated 2022 implementations into 2023, which will delay expected revenue correspondingly. We intend to continue to manage through this uncertain economic environment by working closely with clients on implementations. In addition, we are seeing ongoing wage pressure in our current workforce due to the levels of inflation, which is also putting some short-term pressure on our EBITDA margins.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Impact of the COVID-19 Pandemic</w:t>
      </w:r>
    </w:p>
    <w:p>
      <w:pPr>
        <w:spacing w:after="0" w:line="104" w:lineRule="exact"/>
        <w:rPr>
          <w:sz w:val="20"/>
          <w:szCs w:val="20"/>
          <w:color w:val="auto"/>
        </w:rPr>
      </w:pPr>
    </w:p>
    <w:p>
      <w:pPr>
        <w:ind w:right="80" w:firstLine="494"/>
        <w:spacing w:after="0" w:line="251" w:lineRule="auto"/>
        <w:rPr>
          <w:sz w:val="20"/>
          <w:szCs w:val="20"/>
          <w:color w:val="auto"/>
        </w:rPr>
      </w:pPr>
      <w:r>
        <w:rPr>
          <w:rFonts w:ascii="Arial" w:cs="Arial" w:eastAsia="Arial" w:hAnsi="Arial"/>
          <w:sz w:val="18"/>
          <w:szCs w:val="18"/>
          <w:color w:val="auto"/>
        </w:rPr>
        <w:t>The COVID-19 pandemic, including its variants, and efforts to control its spread have at times significantly curtailed the movement of people, goods and services in the United States, where we generate substantially all of our revenue, and worldwide, where we are targeting future growth. It has also caused extreme societal, economic and financial market volatility, resulting in business shutdowns and a global economic downturn. The magnitude and duration of the COVID-19 pandemic and the magnitude and duration of its effect on business activity cannot be predicted with any certainty.</w:t>
      </w:r>
    </w:p>
    <w:p>
      <w:pPr>
        <w:spacing w:after="0" w:line="6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In light of the uncertainty relating to the spread of COVID-19, we have taken precautionary measures intended to reduce the risk of the virus spreading to our employees, billers and partners, and we may take further precautionary measures. In particular, governmental authorities have at times instituted, and in the future may institute, shelter-in-place policies and other restrictions in many jurisdictions in which we operate, including in Redmond, Washington, where our headquarters are located, and Toronto, Canada, Charlotte, North Carolina and Delhi, India, where we maintain significant operations, which policies and restrictions have at times required our employees to work remotely. Even though many of the shelter-in-place policies or other governmental restrictions have been lifted, we are taking, and expect to continue to take, a measured and careful approach to having employees return to offices and travel for business. To the extent our employees are required to work from our offices, we may experience turnover from employees unwilling to return to the office. These precautionary measures and policies could negatively impact employee productivity, training and</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23" w:name="page24"/>
    <w:bookmarkEnd w:id="23"/>
    <w:p>
      <w:pPr>
        <w:ind w:right="140"/>
        <w:spacing w:after="0" w:line="287" w:lineRule="auto"/>
        <w:rPr>
          <w:sz w:val="20"/>
          <w:szCs w:val="20"/>
          <w:color w:val="auto"/>
        </w:rPr>
      </w:pPr>
      <w:r>
        <w:rPr>
          <w:rFonts w:ascii="Arial" w:cs="Arial" w:eastAsia="Arial" w:hAnsi="Arial"/>
          <w:sz w:val="18"/>
          <w:szCs w:val="18"/>
          <w:color w:val="auto"/>
        </w:rPr>
        <w:t>collaboration or otherwise disrupt our business operations. In addition, such restrictions impact certain of our sales efforts, marketing efforts and implementations, adversely affecting the effectiveness of such efforts in some cases and potentially inhibiting future growth.</w:t>
      </w:r>
    </w:p>
    <w:p>
      <w:pPr>
        <w:spacing w:after="0" w:line="31" w:lineRule="exact"/>
        <w:rPr>
          <w:sz w:val="20"/>
          <w:szCs w:val="20"/>
          <w:color w:val="auto"/>
        </w:rPr>
      </w:pPr>
    </w:p>
    <w:p>
      <w:pPr>
        <w:ind w:right="260" w:firstLine="494"/>
        <w:spacing w:after="0" w:line="252" w:lineRule="auto"/>
        <w:rPr>
          <w:sz w:val="20"/>
          <w:szCs w:val="20"/>
          <w:color w:val="auto"/>
        </w:rPr>
      </w:pPr>
      <w:r>
        <w:rPr>
          <w:rFonts w:ascii="Arial" w:cs="Arial" w:eastAsia="Arial" w:hAnsi="Arial"/>
          <w:sz w:val="18"/>
          <w:szCs w:val="18"/>
          <w:color w:val="auto"/>
        </w:rPr>
        <w:t>In addition, the COVID-19 pandemic has disrupted and may continue to disrupt the operations of our billers and partners for an indefinite period of time, which in turn could negatively impact our business and operating results. Widespread remote work arrangements may also negatively impact our billers’ and partners’ operations, and the operations of third-party service providers who perform critical services for us, and, by extension, our operations.</w:t>
      </w:r>
    </w:p>
    <w:p>
      <w:pPr>
        <w:spacing w:after="0" w:line="62"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We will continue to evaluate the nature and extent of the COVID-19 pandemic’s potential impact on our business, operating results and financial condition.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494"/>
        <w:spacing w:after="0" w:line="251" w:lineRule="auto"/>
        <w:rPr>
          <w:sz w:val="20"/>
          <w:szCs w:val="20"/>
          <w:color w:val="auto"/>
        </w:rPr>
      </w:pPr>
      <w:r>
        <w:rPr>
          <w:rFonts w:ascii="Arial" w:cs="Arial" w:eastAsia="Arial" w:hAnsi="Arial"/>
          <w:sz w:val="18"/>
          <w:szCs w:val="18"/>
          <w:color w:val="auto"/>
        </w:rPr>
        <w:t>We generate substantially all of our revenue from payment transaction fees. Transaction fees are fees collected for each transaction processed through our platform, on either a fixed basis or variable basis based on the transaction value, with the actual fees dependent on type of transaction, payment or transaction channel and industry vertical. However, irrespective of these factors, the transaction fees that we receive are generally consistent across transaction types, payment and transaction channels and industry verticals. We receive such transaction fees directly from billers, financial institutions, partners or, in some cases, from consumers as a convenience fee.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02"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Cost of revenue consists of certain direct costs that are directly attributed to processing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including amortization of intangible assets acquired as part of our acquisitions of other businesses. We expect that cost of revenue will increase in absolute dollars, but it may fluctuate as a percentage of revenue from period to period, as our transaction mix changes and we continue to invest in growing our business across all geographical segments, including through the acquisition of other businesses.</w:t>
      </w:r>
    </w:p>
    <w:p>
      <w:pPr>
        <w:spacing w:after="0" w:line="71" w:lineRule="exact"/>
        <w:rPr>
          <w:sz w:val="20"/>
          <w:szCs w:val="20"/>
          <w:color w:val="auto"/>
        </w:rPr>
      </w:pPr>
    </w:p>
    <w:p>
      <w:pPr>
        <w:ind w:right="60" w:firstLine="494"/>
        <w:spacing w:after="0" w:line="253" w:lineRule="auto"/>
        <w:rPr>
          <w:sz w:val="20"/>
          <w:szCs w:val="20"/>
          <w:color w:val="auto"/>
        </w:rPr>
      </w:pPr>
      <w:r>
        <w:rPr>
          <w:rFonts w:ascii="Arial" w:cs="Arial" w:eastAsia="Arial" w:hAnsi="Arial"/>
          <w:sz w:val="18"/>
          <w:szCs w:val="18"/>
          <w:color w:val="auto"/>
        </w:rPr>
        <w:t>There are external factors that impact interchange fees, such as the average transaction amount in a particular month or quarter. For example, hot summers and cold winters tend to increase utility bills, and property taxes result in two larger payments per year, each of which increases our interchange cost.</w:t>
      </w:r>
    </w:p>
    <w:p>
      <w:pPr>
        <w:spacing w:after="0" w:line="74" w:lineRule="exact"/>
        <w:rPr>
          <w:sz w:val="20"/>
          <w:szCs w:val="20"/>
          <w:color w:val="auto"/>
        </w:rPr>
      </w:pPr>
    </w:p>
    <w:p>
      <w:pPr>
        <w:jc w:val="both"/>
        <w:ind w:right="220" w:firstLine="494"/>
        <w:spacing w:after="0" w:line="253" w:lineRule="auto"/>
        <w:rPr>
          <w:sz w:val="20"/>
          <w:szCs w:val="20"/>
          <w:color w:val="auto"/>
        </w:rPr>
      </w:pPr>
      <w:r>
        <w:rPr>
          <w:rFonts w:ascii="Arial" w:cs="Arial" w:eastAsia="Arial" w:hAnsi="Arial"/>
          <w:sz w:val="18"/>
          <w:szCs w:val="18"/>
          <w:color w:val="auto"/>
        </w:rPr>
        <w:t>Gross profit is equal to our revenue less cost of revenue. Gross profit as a percentage of our revenue is referred to as gross margin. Our gross margin has been and will continue to be affected by a number of factors, including average transaction value, payment type and payments and transactions through our IPN.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ind w:right="20" w:firstLine="494"/>
        <w:spacing w:after="0" w:line="248" w:lineRule="auto"/>
        <w:rPr>
          <w:sz w:val="20"/>
          <w:szCs w:val="20"/>
          <w:color w:val="auto"/>
        </w:rPr>
      </w:pPr>
      <w:r>
        <w:rPr>
          <w:rFonts w:ascii="Arial" w:cs="Arial" w:eastAsia="Arial" w:hAnsi="Arial"/>
          <w:sz w:val="18"/>
          <w:szCs w:val="18"/>
          <w:color w:val="auto"/>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15" w:lineRule="exact"/>
        <w:rPr>
          <w:sz w:val="20"/>
          <w:szCs w:val="20"/>
          <w:color w:val="auto"/>
        </w:rPr>
      </w:pPr>
    </w:p>
    <w:p>
      <w:pPr>
        <w:ind w:right="80" w:firstLine="494"/>
        <w:spacing w:after="0" w:line="247" w:lineRule="auto"/>
        <w:rPr>
          <w:sz w:val="20"/>
          <w:szCs w:val="20"/>
          <w:color w:val="auto"/>
        </w:rPr>
      </w:pPr>
      <w:r>
        <w:rPr>
          <w:rFonts w:ascii="Arial" w:cs="Arial" w:eastAsia="Arial" w:hAnsi="Arial"/>
          <w:sz w:val="18"/>
          <w:szCs w:val="18"/>
          <w:color w:val="auto"/>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as well as amortization of intangible assets acquired as part of our acquisitions of other businesses. We expect our sales and marketing expenses to increase in absolute dollars, but they may fluctuate as a percentage of revenue from period to period.</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24" w:name="page25"/>
    <w:bookmarkEnd w:id="24"/>
    <w:p>
      <w:pPr>
        <w:ind w:right="20" w:firstLine="494"/>
        <w:spacing w:after="0" w:line="246" w:lineRule="auto"/>
        <w:rPr>
          <w:sz w:val="20"/>
          <w:szCs w:val="20"/>
          <w:color w:val="auto"/>
        </w:rPr>
      </w:pPr>
      <w:r>
        <w:rPr>
          <w:rFonts w:ascii="Arial" w:cs="Arial" w:eastAsia="Arial" w:hAnsi="Arial"/>
          <w:sz w:val="18"/>
          <w:szCs w:val="18"/>
          <w:color w:val="auto"/>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and other corporate expenses. We expect to incur additional general and administrative expenses as a result of operating as a public company, and to support the growth in our business. We expect that our general and administrative expenses will increase in absolute dollars, but they may fluctuate as a percentage of revenue from period to period. Over the longer term, we expect general and administrative expenses to decrease as a percentage of revenue as we leverage the scale of our business.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104" w:lineRule="exact"/>
        <w:rPr>
          <w:sz w:val="20"/>
          <w:szCs w:val="20"/>
          <w:color w:val="auto"/>
        </w:rPr>
      </w:pPr>
    </w:p>
    <w:p>
      <w:pPr>
        <w:ind w:right="60" w:firstLine="494"/>
        <w:spacing w:after="0" w:line="252" w:lineRule="auto"/>
        <w:rPr>
          <w:sz w:val="20"/>
          <w:szCs w:val="20"/>
          <w:color w:val="auto"/>
        </w:rPr>
      </w:pPr>
      <w:r>
        <w:rPr>
          <w:rFonts w:ascii="Arial" w:cs="Arial" w:eastAsia="Arial" w:hAnsi="Arial"/>
          <w:sz w:val="18"/>
          <w:szCs w:val="18"/>
          <w:color w:val="auto"/>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our Form 10-K for the year ended December 31, 2021 or the “2021 Form 10-K”.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Adoption of Electronic Bill Payment Solutions</w:t>
      </w:r>
    </w:p>
    <w:p>
      <w:pPr>
        <w:spacing w:after="0" w:line="102"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 providing us with a greater opportunity to provide next-generation bill and digital payment technology and power more transactions, further fueling our growth.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and Maintaining Existing Billers and Financial Institutions</w:t>
      </w:r>
    </w:p>
    <w:p>
      <w:pPr>
        <w:spacing w:after="0" w:line="102"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Our future growth depends on the continued adoption of our platform by new billers and financial institutions, as well as maintaining our existing billers and financial institutions. We intend to continue investing in our efficient go-to-market strategies, increasing brand awareness and driving adoption of our platform and products. We had more than 1,700 billers and financial institution clients as of December 31, 2021, including billers of all sizes and across numerous vertical markets and financial institutions of all sizes. Our ability to attract new, and maintain existing, billers and financial institutions and drive adoption of our platform will depend on a number of factors, including the effectiveness and pricing of our products, offerings of our competitors and the effectiveness of our marketing efforts. Our growth and performance also depends on our ability to promptly implement and begin recognizing revenues from our new billers and financial institutions.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Usage of Our Platform with Existing Billers and Financial Institutions</w:t>
      </w:r>
    </w:p>
    <w:p>
      <w:pPr>
        <w:spacing w:after="0" w:line="115" w:lineRule="exact"/>
        <w:rPr>
          <w:sz w:val="20"/>
          <w:szCs w:val="20"/>
          <w:color w:val="auto"/>
        </w:rPr>
      </w:pPr>
    </w:p>
    <w:p>
      <w:pPr>
        <w:ind w:right="60" w:firstLine="494"/>
        <w:spacing w:after="0" w:line="252" w:lineRule="auto"/>
        <w:rPr>
          <w:sz w:val="20"/>
          <w:szCs w:val="20"/>
          <w:color w:val="auto"/>
        </w:rPr>
      </w:pPr>
      <w:r>
        <w:rPr>
          <w:rFonts w:ascii="Arial" w:cs="Arial" w:eastAsia="Arial" w:hAnsi="Arial"/>
          <w:sz w:val="18"/>
          <w:szCs w:val="18"/>
          <w:color w:val="auto"/>
        </w:rPr>
        <w:t>We believe our large base of existing billers and financial institutions represents a significant opportunity for further consumption of our platform. We believe our solutions create a superior experience for consumers and accelerate revenue realization for billers, which drives increased usage of our platform. We intend to continue investing in this value proposition. Leveraging our platform to capture more transactions from our existing biller and financial institution base is expected to organically drive transaction growth at lower cost.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Partner Base</w:t>
      </w:r>
    </w:p>
    <w:p>
      <w:pPr>
        <w:spacing w:after="0" w:line="102" w:lineRule="exact"/>
        <w:rPr>
          <w:sz w:val="20"/>
          <w:szCs w:val="20"/>
          <w:color w:val="auto"/>
        </w:rPr>
      </w:pPr>
    </w:p>
    <w:p>
      <w:pPr>
        <w:ind w:right="100" w:firstLine="494"/>
        <w:spacing w:after="0" w:line="248" w:lineRule="auto"/>
        <w:rPr>
          <w:sz w:val="20"/>
          <w:szCs w:val="20"/>
          <w:color w:val="auto"/>
        </w:rPr>
      </w:pPr>
      <w:r>
        <w:rPr>
          <w:rFonts w:ascii="Arial" w:cs="Arial" w:eastAsia="Arial" w:hAnsi="Arial"/>
          <w:sz w:val="18"/>
          <w:szCs w:val="18"/>
          <w:color w:val="auto"/>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expect to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Sales and Marketing</w:t>
      </w:r>
    </w:p>
    <w:p>
      <w:pPr>
        <w:spacing w:after="0" w:line="115"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We will continue to expand efforts to market our platform through our diversified sales and marketing strategy. We intend to invest in sales and marketing strategies that we believe will drive further brand awareness and preference among our billers, financial institutions, partners and consumers. Given the nature of our biller, financial institution and partner base, our investment in sales and marketing in a given period may not impact results until subsequent periods. We approach sales and marketing spend strategically to maintain efficient biller and partner acquisition.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5" w:name="page26"/>
    <w:bookmarkEnd w:id="25"/>
    <w:p>
      <w:pPr>
        <w:ind w:right="60" w:firstLine="494"/>
        <w:spacing w:after="0" w:line="252" w:lineRule="auto"/>
        <w:rPr>
          <w:sz w:val="20"/>
          <w:szCs w:val="20"/>
          <w:color w:val="auto"/>
        </w:rPr>
      </w:pPr>
      <w:r>
        <w:rPr>
          <w:rFonts w:ascii="Arial" w:cs="Arial" w:eastAsia="Arial" w:hAnsi="Arial"/>
          <w:sz w:val="18"/>
          <w:szCs w:val="18"/>
          <w:color w:val="auto"/>
        </w:rPr>
        <w:t>We will continue to invest in our platform and IPN to maintain our position as a leading provider of biller communication and payments. To drive adoption and increase penetration of our platform, we intend to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Performance and Non-GAAP Measures</w:t>
      </w:r>
    </w:p>
    <w:p>
      <w:pPr>
        <w:spacing w:after="0" w:line="104" w:lineRule="exact"/>
        <w:rPr>
          <w:sz w:val="20"/>
          <w:szCs w:val="20"/>
          <w:color w:val="auto"/>
        </w:rPr>
      </w:pPr>
    </w:p>
    <w:p>
      <w:pPr>
        <w:ind w:right="60" w:firstLine="494"/>
        <w:spacing w:after="0" w:line="271" w:lineRule="auto"/>
        <w:rPr>
          <w:sz w:val="20"/>
          <w:szCs w:val="20"/>
          <w:color w:val="auto"/>
        </w:rPr>
      </w:pPr>
      <w:r>
        <w:rPr>
          <w:rFonts w:ascii="Arial" w:cs="Arial" w:eastAsia="Arial" w:hAnsi="Arial"/>
          <w:sz w:val="17"/>
          <w:szCs w:val="17"/>
          <w:color w:val="auto"/>
        </w:rPr>
        <w:t>We use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Processed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33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3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4400" w:type="dxa"/>
            <w:vAlign w:val="bottom"/>
          </w:tcPr>
          <w:p>
            <w:pPr>
              <w:spacing w:after="0"/>
              <w:rPr>
                <w:sz w:val="17"/>
                <w:szCs w:val="17"/>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7"/>
                <w:szCs w:val="17"/>
                <w:color w:val="auto"/>
              </w:rPr>
            </w:pPr>
          </w:p>
        </w:tc>
      </w:tr>
      <w:tr>
        <w:trPr>
          <w:trHeight w:val="209"/>
        </w:trPr>
        <w:tc>
          <w:tcPr>
            <w:tcW w:w="4400" w:type="dxa"/>
            <w:vAlign w:val="bottom"/>
          </w:tcPr>
          <w:p>
            <w:pPr>
              <w:spacing w:after="0"/>
              <w:rPr>
                <w:sz w:val="18"/>
                <w:szCs w:val="18"/>
                <w:color w:val="auto"/>
              </w:rPr>
            </w:pPr>
          </w:p>
        </w:tc>
        <w:tc>
          <w:tcPr>
            <w:tcW w:w="1500" w:type="dxa"/>
            <w:vAlign w:val="bottom"/>
            <w:gridSpan w:val="3"/>
          </w:tcPr>
          <w:p>
            <w:pPr>
              <w:ind w:left="66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ind w:left="620"/>
              <w:spacing w:after="0"/>
              <w:rPr>
                <w:sz w:val="20"/>
                <w:szCs w:val="20"/>
                <w:color w:val="auto"/>
              </w:rPr>
            </w:pPr>
            <w:r>
              <w:rPr>
                <w:rFonts w:ascii="Arial" w:cs="Arial" w:eastAsia="Arial" w:hAnsi="Arial"/>
                <w:sz w:val="14"/>
                <w:szCs w:val="14"/>
                <w:b w:val="1"/>
                <w:bCs w:val="1"/>
                <w:color w:val="auto"/>
                <w:w w:val="99"/>
              </w:rPr>
              <w:t>(in millions)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 processed</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8"/>
                <w:szCs w:val="18"/>
                <w:color w:val="auto"/>
              </w:rPr>
            </w:pPr>
          </w:p>
        </w:tc>
      </w:tr>
    </w:tbl>
    <w:p>
      <w:pPr>
        <w:spacing w:after="0" w:line="89" w:lineRule="exact"/>
        <w:rPr>
          <w:sz w:val="20"/>
          <w:szCs w:val="20"/>
          <w:color w:val="auto"/>
        </w:rPr>
      </w:pPr>
    </w:p>
    <w:p>
      <w:pPr>
        <w:ind w:right="200" w:firstLine="494"/>
        <w:spacing w:after="0" w:line="245"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three and six months ended June 30, 2022 increased approximately 39.4% and 40.2%, respectively, as compared to the same periods in 2021. The increase was primarily driven by the addition of new billers and financial institutions and increased transactions from our existing billers and financial institutions.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02" w:lineRule="exact"/>
        <w:rPr>
          <w:sz w:val="20"/>
          <w:szCs w:val="20"/>
          <w:color w:val="auto"/>
        </w:rPr>
      </w:pPr>
    </w:p>
    <w:p>
      <w:pPr>
        <w:jc w:val="both"/>
        <w:ind w:right="400" w:firstLine="494"/>
        <w:spacing w:after="0" w:line="261"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102" w:lineRule="exact"/>
        <w:rPr>
          <w:sz w:val="20"/>
          <w:szCs w:val="20"/>
          <w:color w:val="auto"/>
        </w:rPr>
      </w:pPr>
    </w:p>
    <w:p>
      <w:pPr>
        <w:ind w:right="920" w:firstLine="494"/>
        <w:spacing w:after="0" w:line="287"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115" w:lineRule="exact"/>
        <w:rPr>
          <w:sz w:val="20"/>
          <w:szCs w:val="20"/>
          <w:color w:val="auto"/>
        </w:rPr>
      </w:pPr>
    </w:p>
    <w:p>
      <w:pPr>
        <w:ind w:right="320" w:firstLine="494"/>
        <w:spacing w:after="0" w:line="252" w:lineRule="auto"/>
        <w:rPr>
          <w:sz w:val="20"/>
          <w:szCs w:val="20"/>
          <w:color w:val="auto"/>
        </w:rPr>
      </w:pPr>
      <w:r>
        <w:rPr>
          <w:rFonts w:ascii="Arial" w:cs="Arial" w:eastAsia="Arial" w:hAnsi="Arial"/>
          <w:sz w:val="18"/>
          <w:szCs w:val="18"/>
          <w:color w:val="auto"/>
        </w:rPr>
        <w:t>We calculate adjusted EBITDA as net income before other income (expense) (which consists of interest income (expense), net and foreign exchange gain (loss)), depreciation and amortization, income taxes, adjusted to exclude the effects of stock-based compensation expense and certain nonrecurring expenses that management believes are not indicative of ongoing operations, consisting primarily of professional fees and other indirect charges associated with our IPO.</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Free Cash Flow</w:t>
      </w:r>
    </w:p>
    <w:p>
      <w:pPr>
        <w:spacing w:after="0" w:line="102" w:lineRule="exact"/>
        <w:rPr>
          <w:sz w:val="20"/>
          <w:szCs w:val="20"/>
          <w:color w:val="auto"/>
        </w:rPr>
      </w:pPr>
    </w:p>
    <w:p>
      <w:pPr>
        <w:ind w:right="860" w:firstLine="494"/>
        <w:spacing w:after="0" w:line="287"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and software and capitalized internal-use software development costs.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How we use Non-GAAP Measures</w:t>
      </w:r>
    </w:p>
    <w:p>
      <w:pPr>
        <w:spacing w:after="0" w:line="102" w:lineRule="exact"/>
        <w:rPr>
          <w:sz w:val="20"/>
          <w:szCs w:val="20"/>
          <w:color w:val="auto"/>
        </w:rPr>
      </w:pPr>
    </w:p>
    <w:p>
      <w:pPr>
        <w:jc w:val="both"/>
        <w:ind w:right="60" w:firstLine="494"/>
        <w:spacing w:after="0" w:line="252"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6" w:name="page27"/>
    <w:bookmarkEnd w:id="26"/>
    <w:p>
      <w:pPr>
        <w:ind w:right="60"/>
        <w:spacing w:after="0" w:line="244" w:lineRule="auto"/>
        <w:rPr>
          <w:sz w:val="20"/>
          <w:szCs w:val="20"/>
          <w:color w:val="auto"/>
        </w:rPr>
      </w:pPr>
      <w:r>
        <w:rPr>
          <w:rFonts w:ascii="Arial" w:cs="Arial" w:eastAsia="Arial" w:hAnsi="Arial"/>
          <w:sz w:val="18"/>
          <w:szCs w:val="18"/>
          <w:color w:val="auto"/>
        </w:rPr>
        <w:t>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6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w:t>
      </w:r>
    </w:p>
    <w:p>
      <w:pPr>
        <w:spacing w:after="0" w:line="27"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evaluate our business, we encourage you to review the condensed consolidated financial statements and related notes included elsewhere in this report and to not rely on any single financial measure to evaluate our business.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677"/>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35,828</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70,682</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Plus: other cost of revenue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18"/>
                <w:szCs w:val="18"/>
                <w:color w:val="auto"/>
              </w:rPr>
            </w:pP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Contribution profit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96,109</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including client size, type and industry as well as whether the client is a biller, financial institution or other partner. Contribution profit for the three and six months ended June 30, 2022 increased approximately 30.1% and 32.5%, respectively, as compared to the same period in 2021. The increase was primarily driven by the addition of new billers and financial institutions and increased transactions from our existing billers and financial institutions. For the three and six months ended June 30, 2022, contribution profit increased at a slower rate than transactions due to a continued mix shift to larger clients.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35,828</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70,682</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56,475</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38,707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30,092</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76,071</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58,687</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80" w:firstLine="494"/>
        <w:spacing w:after="0" w:line="248" w:lineRule="auto"/>
        <w:rPr>
          <w:sz w:val="20"/>
          <w:szCs w:val="20"/>
          <w:color w:val="auto"/>
        </w:rPr>
      </w:pPr>
      <w:r>
        <w:rPr>
          <w:rFonts w:ascii="Arial" w:cs="Arial" w:eastAsia="Arial" w:hAnsi="Arial"/>
          <w:sz w:val="18"/>
          <w:szCs w:val="18"/>
          <w:color w:val="auto"/>
        </w:rPr>
        <w:t>Adjusted gross profit for the three and six months ended June 30, 2022 increased approximately 28.6% and 29.6%, respectively, as compared to the same period in 2021. Adjusted gross profit is driven primarily by the same factors that impact gross profit with the exception of excluding the amortization in cost of revenue. The percentage increase in adjusted gross profit is lower than the percentage increase in contribution profit due to additional other cost of revenue recorded related to the PayVeris, LLC or Payveris, and Finovera, Inc., or Finovera, acquisitions. The increase in amortization was driven by additional capitalization of software costs as well as amortization of acquired intangibles associated with our acquisitions of Payveris and Finovera.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169"/>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148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(2,451 )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(733 )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Excluding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(98 )</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(90 )</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(2,693 )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4,940</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(54 )</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(80 )</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16"/>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line="216" w:lineRule="exact"/>
              <w:rPr>
                <w:sz w:val="20"/>
                <w:szCs w:val="20"/>
                <w:color w:val="auto"/>
              </w:rPr>
            </w:pPr>
            <w:r>
              <w:rPr>
                <w:rFonts w:ascii="Arial" w:cs="Arial" w:eastAsia="Arial" w:hAnsi="Arial"/>
                <w:sz w:val="18"/>
                <w:szCs w:val="18"/>
                <w:color w:val="auto"/>
              </w:rPr>
              <w:t>Other nonrecurring expenses</w:t>
            </w:r>
            <w:r>
              <w:rPr>
                <w:rFonts w:ascii="Arial" w:cs="Arial" w:eastAsia="Arial" w:hAnsi="Arial"/>
                <w:sz w:val="24"/>
                <w:szCs w:val="24"/>
                <w:color w:val="auto"/>
                <w:vertAlign w:val="superscript"/>
              </w:rPr>
              <w:t>(1)</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8"/>
                <w:szCs w:val="18"/>
                <w:color w:val="auto"/>
              </w:rPr>
            </w:pP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0" w:lineRule="exact"/>
        <w:rPr>
          <w:sz w:val="20"/>
          <w:szCs w:val="20"/>
          <w:color w:val="auto"/>
        </w:rPr>
      </w:pPr>
    </w:p>
    <w:p>
      <w:pPr>
        <w:ind w:left="900" w:hanging="518"/>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nonrecurring expenses consist of indirect costs incurred associated with our IPO.</w:t>
      </w:r>
    </w:p>
    <w:p>
      <w:pPr>
        <w:spacing w:after="0" w:line="108" w:lineRule="exact"/>
        <w:rPr>
          <w:sz w:val="20"/>
          <w:szCs w:val="20"/>
          <w:color w:val="auto"/>
        </w:rPr>
      </w:pPr>
    </w:p>
    <w:p>
      <w:pPr>
        <w:ind w:right="40" w:firstLine="494"/>
        <w:spacing w:after="0" w:line="252" w:lineRule="auto"/>
        <w:rPr>
          <w:sz w:val="20"/>
          <w:szCs w:val="20"/>
          <w:color w:val="auto"/>
        </w:rPr>
      </w:pPr>
      <w:r>
        <w:rPr>
          <w:rFonts w:ascii="Arial" w:cs="Arial" w:eastAsia="Arial" w:hAnsi="Arial"/>
          <w:sz w:val="18"/>
          <w:szCs w:val="18"/>
          <w:color w:val="auto"/>
        </w:rPr>
        <w:t>As adjusted EBITDA is a measure of profitability, it would generally be expected to move in line with revenue, contribution profit, gross profit and adjusted gross profit. Adjusted EBITDA decreased as compared to the same period in 2021 due to our investment in sales and marketing and research and development in order to drive future growth of the business as well as the increased costs associated with being a public company and the impact of the Payveris and Finovera acquisitions.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Free Cash Flow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500" w:type="dxa"/>
            <w:vAlign w:val="bottom"/>
            <w:gridSpan w:val="5"/>
          </w:tcPr>
          <w:p>
            <w:pPr>
              <w:jc w:val="right"/>
              <w:ind w:right="42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right"/>
              <w:ind w:right="91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12,757</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Purchases of property and equipment and software</w:t>
            </w:r>
          </w:p>
        </w:tc>
        <w:tc>
          <w:tcPr>
            <w:tcW w:w="18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(365 )</w:t>
            </w:r>
          </w:p>
        </w:tc>
        <w:tc>
          <w:tcPr>
            <w:tcW w:w="2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(408 )</w:t>
            </w:r>
          </w:p>
        </w:tc>
        <w:tc>
          <w:tcPr>
            <w:tcW w:w="2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(918 )</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(564 )</w:t>
            </w:r>
          </w:p>
        </w:tc>
      </w:tr>
      <w:tr>
        <w:trPr>
          <w:trHeight w:val="216"/>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Capitalized internal-use software development costs</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(7,733 )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(4,480 )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(14,464 )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(8,736 )</w:t>
            </w:r>
          </w:p>
        </w:tc>
      </w:tr>
      <w:tr>
        <w:trPr>
          <w:trHeight w:val="20"/>
        </w:trPr>
        <w:tc>
          <w:tcPr>
            <w:tcW w:w="5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(4,254 )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(8,290 )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ind w:left="20"/>
              <w:spacing w:after="0" w:line="197" w:lineRule="exact"/>
              <w:rPr>
                <w:sz w:val="20"/>
                <w:szCs w:val="20"/>
                <w:color w:val="auto"/>
              </w:rPr>
            </w:pPr>
            <w:r>
              <w:rPr>
                <w:rFonts w:ascii="Arial" w:cs="Arial" w:eastAsia="Arial" w:hAnsi="Arial"/>
                <w:sz w:val="17"/>
                <w:szCs w:val="17"/>
                <w:color w:val="auto"/>
              </w:rPr>
              <w:t>Net cash used in investing activities</w:t>
            </w:r>
            <w:r>
              <w:rPr>
                <w:rFonts w:ascii="Arial" w:cs="Arial" w:eastAsia="Arial" w:hAnsi="Arial"/>
                <w:sz w:val="22"/>
                <w:szCs w:val="22"/>
                <w:color w:val="auto"/>
                <w:vertAlign w:val="superscript"/>
              </w:rPr>
              <w:t>(1)</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(8,098</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(4,888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(15,382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(9,300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56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21,855</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216,319</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24,218</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216,224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-459740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-459740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-459740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-459740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900" w:right="200" w:hanging="518"/>
        <w:spacing w:after="0" w:line="28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cash used in investing activities includes payments for purchases of property and equipment and software and costs related to capitalized internal-use software development, which is also included in our calculation of free cash flow.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statements of operations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4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0"/>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119,969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93,495</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236,673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185,717</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line="216"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84,141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64,567</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165,991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129,242</w:t>
            </w:r>
          </w:p>
        </w:tc>
        <w:tc>
          <w:tcPr>
            <w:tcW w:w="100" w:type="dxa"/>
            <w:vAlign w:val="bottom"/>
          </w:tcPr>
          <w:p>
            <w:pPr>
              <w:spacing w:after="0"/>
              <w:rPr>
                <w:sz w:val="18"/>
                <w:szCs w:val="18"/>
                <w:color w:val="auto"/>
              </w:rPr>
            </w:pPr>
          </w:p>
        </w:tc>
      </w:tr>
      <w:tr>
        <w:trPr>
          <w:trHeight w:val="210"/>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56,475</w:t>
            </w:r>
          </w:p>
        </w:tc>
        <w:tc>
          <w:tcPr>
            <w:tcW w:w="100" w:type="dxa"/>
            <w:vAlign w:val="bottom"/>
            <w:shd w:val="clear" w:color="auto" w:fill="CFF0FC"/>
          </w:tcPr>
          <w:p>
            <w:pPr>
              <w:spacing w:after="0"/>
              <w:rPr>
                <w:sz w:val="18"/>
                <w:szCs w:val="18"/>
                <w:color w:val="auto"/>
              </w:rPr>
            </w:pPr>
          </w:p>
        </w:tc>
      </w:tr>
      <w:tr>
        <w:trPr>
          <w:trHeight w:val="162"/>
        </w:trPr>
        <w:tc>
          <w:tcPr>
            <w:tcW w:w="5420" w:type="dxa"/>
            <w:vAlign w:val="bottom"/>
          </w:tcPr>
          <w:p>
            <w:pPr>
              <w:ind w:left="20"/>
              <w:spacing w:after="0" w:line="163"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20" w:type="dxa"/>
            <w:vAlign w:val="bottom"/>
          </w:tcPr>
          <w:p>
            <w:pPr>
              <w:ind w:left="140"/>
              <w:spacing w:after="0" w:line="21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20,575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15,651</w:t>
            </w:r>
          </w:p>
        </w:tc>
        <w:tc>
          <w:tcPr>
            <w:tcW w:w="100" w:type="dxa"/>
            <w:vAlign w:val="bottom"/>
          </w:tcPr>
          <w:p>
            <w:pPr>
              <w:spacing w:after="0"/>
              <w:rPr>
                <w:sz w:val="18"/>
                <w:szCs w:val="18"/>
                <w:color w:val="auto"/>
              </w:rPr>
            </w:pPr>
          </w:p>
        </w:tc>
      </w:tr>
      <w:tr>
        <w:trPr>
          <w:trHeight w:val="270"/>
        </w:trPr>
        <w:tc>
          <w:tcPr>
            <w:tcW w:w="5420" w:type="dxa"/>
            <w:vAlign w:val="bottom"/>
          </w:tcPr>
          <w:p>
            <w:pPr>
              <w:ind w:left="14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9,505</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34,041</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17,727</w:t>
            </w:r>
          </w:p>
        </w:tc>
        <w:tc>
          <w:tcPr>
            <w:tcW w:w="100" w:type="dxa"/>
            <w:vAlign w:val="bottom"/>
          </w:tcPr>
          <w:p>
            <w:pPr>
              <w:spacing w:after="0"/>
              <w:rPr>
                <w:sz w:val="23"/>
                <w:szCs w:val="23"/>
                <w:color w:val="auto"/>
              </w:rPr>
            </w:pPr>
          </w:p>
        </w:tc>
      </w:tr>
      <w:tr>
        <w:trPr>
          <w:trHeight w:val="216"/>
        </w:trPr>
        <w:tc>
          <w:tcPr>
            <w:tcW w:w="5420" w:type="dxa"/>
            <w:vAlign w:val="bottom"/>
            <w:tcBorders>
              <w:bottom w:val="single" w:sz="8" w:color="CFF0FC"/>
            </w:tcBorders>
            <w:shd w:val="clear" w:color="auto" w:fill="CFF0FC"/>
          </w:tcPr>
          <w:p>
            <w:pPr>
              <w:ind w:left="140"/>
              <w:spacing w:after="0" w:line="21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7,421</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24,847</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47,541</w:t>
            </w:r>
          </w:p>
        </w:tc>
        <w:tc>
          <w:tcPr>
            <w:tcW w:w="100" w:type="dxa"/>
            <w:vAlign w:val="bottom"/>
          </w:tcPr>
          <w:p>
            <w:pPr>
              <w:spacing w:after="0"/>
              <w:rPr>
                <w:sz w:val="18"/>
                <w:szCs w:val="18"/>
                <w:color w:val="auto"/>
              </w:rPr>
            </w:pPr>
          </w:p>
        </w:tc>
      </w:tr>
      <w:tr>
        <w:trPr>
          <w:trHeight w:val="210"/>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8,934</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(4 )</w:t>
            </w: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r>
      <w:tr>
        <w:trPr>
          <w:trHeight w:val="216"/>
        </w:trPr>
        <w:tc>
          <w:tcPr>
            <w:tcW w:w="542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8"/>
                <w:szCs w:val="18"/>
                <w:color w:val="auto"/>
              </w:rPr>
              <w:t>(1 )</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0"/>
        </w:trPr>
        <w:tc>
          <w:tcPr>
            <w:tcW w:w="5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2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(378 )</w:t>
            </w:r>
          </w:p>
        </w:tc>
        <w:tc>
          <w:tcPr>
            <w:tcW w:w="280" w:type="dxa"/>
            <w:vAlign w:val="bottom"/>
          </w:tcPr>
          <w:p>
            <w:pPr>
              <w:spacing w:after="0"/>
              <w:rPr>
                <w:sz w:val="18"/>
                <w:szCs w:val="18"/>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8"/>
                <w:szCs w:val="18"/>
                <w:color w:val="auto"/>
              </w:rPr>
              <w:t>(3,501 )</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(4,722 )</w:t>
            </w:r>
          </w:p>
        </w:tc>
      </w:tr>
      <w:tr>
        <w:trPr>
          <w:trHeight w:val="250"/>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11"/>
        </w:trPr>
        <w:tc>
          <w:tcPr>
            <w:tcW w:w="54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5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-1576705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-1576705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-1576705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-727710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-727710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-727710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-436245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-419100</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-436245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-419100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-436245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-419100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8" w:name="page29"/>
    <w:bookmarkEnd w:id="28"/>
    <w:p>
      <w:pPr>
        <w:ind w:left="880" w:hanging="498"/>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Stock-based compensation expense was allocated in cost of revenue and operating expenses as follows:</w:t>
      </w:r>
    </w:p>
    <w:p>
      <w:pPr>
        <w:sectPr>
          <w:pgSz w:w="11900" w:h="16838" w:orient="portrait"/>
          <w:cols w:equalWidth="0" w:num="1">
            <w:col w:w="11300"/>
          </w:cols>
          <w:pgMar w:left="320" w:top="42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stock-based compensation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150"/>
        </w:trPr>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jc w:val="right"/>
              <w:ind w:right="53"/>
              <w:spacing w:after="0" w:line="150" w:lineRule="exact"/>
              <w:rPr>
                <w:sz w:val="20"/>
                <w:szCs w:val="20"/>
                <w:color w:val="auto"/>
              </w:rPr>
            </w:pPr>
            <w:r>
              <w:rPr>
                <w:rFonts w:ascii="Arial" w:cs="Arial" w:eastAsia="Arial" w:hAnsi="Arial"/>
                <w:sz w:val="14"/>
                <w:szCs w:val="14"/>
                <w:b w:val="1"/>
                <w:bCs w:val="1"/>
                <w:color w:val="auto"/>
                <w:w w:val="93"/>
              </w:rPr>
              <w:t>(in</w:t>
            </w:r>
          </w:p>
        </w:tc>
        <w:tc>
          <w:tcPr>
            <w:tcW w:w="68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w w:val="87"/>
              </w:rPr>
              <w:t>thousands)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6"/>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5"/>
        </w:trPr>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534</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r>
      <w:tr>
        <w:trPr>
          <w:trHeight w:val="210"/>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28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568</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-719455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-445135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-162560</wp:posOffset>
            </wp:positionV>
            <wp:extent cx="713232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4700" w:space="720"/>
            <w:col w:w="5880"/>
          </w:cols>
          <w:pgMar w:left="320" w:top="422" w:right="279" w:bottom="1440" w:gutter="0" w:footer="0" w:header="0"/>
          <w:type w:val="continuous"/>
        </w:sectPr>
      </w:pPr>
    </w:p>
    <w:p>
      <w:pPr>
        <w:ind w:right="260" w:firstLine="494"/>
        <w:spacing w:after="0" w:line="287"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for the periods presented as a percentage of 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30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2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3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07"/>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100.0 %</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100.0 %</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100.0 %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35"/>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8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14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-153035</wp:posOffset>
            </wp:positionV>
            <wp:extent cx="768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-153035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-153035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-153035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-7620</wp:posOffset>
            </wp:positionV>
            <wp:extent cx="36944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ectPr>
          <w:pgSz w:w="11900" w:h="16838" w:orient="portrait"/>
          <w:cols w:equalWidth="0" w:num="1">
            <w:col w:w="11300"/>
          </w:cols>
          <w:pgMar w:left="320" w:top="422" w:right="279" w:bottom="1440" w:gutter="0" w:footer="0" w:header="0"/>
          <w:type w:val="continuous"/>
        </w:sectPr>
      </w:pPr>
    </w:p>
    <w:p>
      <w:pPr>
        <w:ind w:left="280"/>
        <w:spacing w:after="0"/>
        <w:rPr>
          <w:sz w:val="20"/>
          <w:szCs w:val="20"/>
          <w:color w:val="auto"/>
        </w:rPr>
      </w:pPr>
      <w:r>
        <w:rPr>
          <w:rFonts w:ascii="Arial" w:cs="Arial" w:eastAsia="Arial" w:hAnsi="Arial"/>
          <w:sz w:val="18"/>
          <w:szCs w:val="18"/>
          <w:color w:val="auto"/>
        </w:rPr>
        <w:t>(Loss)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income (expense)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Foreign exchange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right="2180" w:firstLine="126"/>
        <w:spacing w:after="0" w:line="276" w:lineRule="auto"/>
        <w:rPr>
          <w:sz w:val="20"/>
          <w:szCs w:val="20"/>
          <w:color w:val="auto"/>
        </w:rPr>
      </w:pPr>
      <w:r>
        <w:rPr>
          <w:rFonts w:ascii="Arial" w:cs="Arial" w:eastAsia="Arial" w:hAnsi="Arial"/>
          <w:sz w:val="18"/>
          <w:szCs w:val="18"/>
          <w:color w:val="auto"/>
        </w:rPr>
        <w:t>(Loss) income before income taxes (Provision for) 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(loss) income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June 30, 2022 and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90"/>
              </w:rPr>
              <w:t>(1.8 )</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0"/>
                <w:szCs w:val="20"/>
                <w:color w:val="auto"/>
              </w:rPr>
            </w:pP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(1.5 )</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r>
      <w:tr>
        <w:trPr>
          <w:trHeight w:val="391"/>
        </w:trPr>
        <w:tc>
          <w:tcPr>
            <w:tcW w:w="58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35"/>
        </w:trPr>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09"/>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90"/>
              </w:rPr>
              <w:t>(1.7 )</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r>
      <w:tr>
        <w:trPr>
          <w:trHeight w:val="210"/>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90"/>
              </w:rPr>
              <w:t>(0.3 )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r>
              <w:rPr>
                <w:rFonts w:ascii="Arial" w:cs="Arial" w:eastAsia="Arial" w:hAnsi="Arial"/>
                <w:sz w:val="18"/>
                <w:szCs w:val="18"/>
                <w:color w:val="auto"/>
              </w:rPr>
              <w:t>)</w:t>
            </w:r>
          </w:p>
        </w:tc>
      </w:tr>
      <w:tr>
        <w:trPr>
          <w:trHeight w:val="210"/>
        </w:trPr>
        <w:tc>
          <w:tcPr>
            <w:tcW w:w="580" w:type="dxa"/>
            <w:vAlign w:val="bottom"/>
          </w:tcPr>
          <w:p>
            <w:pPr>
              <w:jc w:val="right"/>
              <w:spacing w:after="0"/>
              <w:rPr>
                <w:sz w:val="20"/>
                <w:szCs w:val="20"/>
                <w:color w:val="auto"/>
              </w:rPr>
            </w:pPr>
            <w:r>
              <w:rPr>
                <w:rFonts w:ascii="Arial" w:cs="Arial" w:eastAsia="Arial" w:hAnsi="Arial"/>
                <w:sz w:val="18"/>
                <w:szCs w:val="18"/>
                <w:color w:val="auto"/>
                <w:w w:val="92"/>
              </w:rPr>
              <w:t>(2.0 %)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r>
      <w:tr>
        <w:trPr>
          <w:trHeight w:val="20"/>
        </w:trPr>
        <w:tc>
          <w:tcPr>
            <w:tcW w:w="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-462280</wp:posOffset>
            </wp:positionV>
            <wp:extent cx="8229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-170815</wp:posOffset>
            </wp:positionV>
            <wp:extent cx="8229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94" w:lineRule="exact"/>
        <w:rPr>
          <w:sz w:val="20"/>
          <w:szCs w:val="20"/>
          <w:color w:val="auto"/>
        </w:rPr>
      </w:pPr>
    </w:p>
    <w:p>
      <w:pPr>
        <w:sectPr>
          <w:pgSz w:w="11900" w:h="16838" w:orient="portrait"/>
          <w:cols w:equalWidth="0" w:num="2">
            <w:col w:w="5560" w:space="720"/>
            <w:col w:w="5020"/>
          </w:cols>
          <w:pgMar w:left="320" w:top="422" w:right="279" w:bottom="1440" w:gutter="0" w:footer="0" w:header="0"/>
          <w:type w:val="continuous"/>
        </w:sectPr>
      </w:pP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80" w:type="dxa"/>
            <w:vAlign w:val="bottom"/>
            <w:gridSpan w:val="6"/>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119,969</w:t>
            </w:r>
          </w:p>
        </w:tc>
        <w:tc>
          <w:tcPr>
            <w:tcW w:w="138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93,495</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8"/>
                <w:szCs w:val="18"/>
                <w:color w:val="auto"/>
              </w:rPr>
            </w:pPr>
          </w:p>
        </w:tc>
      </w:tr>
    </w:tbl>
    <w:p>
      <w:pPr>
        <w:spacing w:after="0" w:line="197" w:lineRule="exact"/>
        <w:rPr>
          <w:sz w:val="20"/>
          <w:szCs w:val="20"/>
          <w:color w:val="auto"/>
        </w:rPr>
      </w:pPr>
    </w:p>
    <w:p>
      <w:pPr>
        <w:ind w:right="520" w:firstLine="499"/>
        <w:spacing w:after="0" w:line="261"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increased transactions from our existing billers and additional transactions as a result of the Payveris and Finovera acquisitions, offset by the decrease in revenue we received per transaction on a blended basis.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3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60" w:type="dxa"/>
            <w:vAlign w:val="bottom"/>
            <w:gridSpan w:val="6"/>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84,141</w:t>
            </w: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64,567</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35,828</w:t>
            </w:r>
          </w:p>
        </w:tc>
        <w:tc>
          <w:tcPr>
            <w:tcW w:w="360" w:type="dxa"/>
            <w:vAlign w:val="bottom"/>
          </w:tcPr>
          <w:p>
            <w:pPr>
              <w:spacing w:after="0"/>
              <w:rPr>
                <w:sz w:val="18"/>
                <w:szCs w:val="18"/>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28,928</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29.9 %</w:t>
            </w:r>
          </w:p>
        </w:tc>
        <w:tc>
          <w:tcPr>
            <w:tcW w:w="9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30.9 %</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197" w:lineRule="exact"/>
        <w:rPr>
          <w:sz w:val="20"/>
          <w:szCs w:val="20"/>
          <w:color w:val="auto"/>
        </w:rPr>
      </w:pPr>
    </w:p>
    <w:p>
      <w:pPr>
        <w:ind w:right="300" w:firstLine="499"/>
        <w:spacing w:after="0" w:line="287"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and indirect costs associated with making our platform available to our billers.</w:t>
      </w:r>
    </w:p>
    <w:p>
      <w:pPr>
        <w:spacing w:after="0" w:line="31"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Gross margin decreased for the three months ended June 30, 2022 due to an increase in amortization expense included in cost of revenue associated with the Payveris and Finovera acquisitions.</w:t>
      </w:r>
    </w:p>
    <w:p>
      <w:pPr>
        <w:spacing w:after="0" w:line="5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22" w:right="27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72390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60" w:type="dxa"/>
            <w:vAlign w:val="bottom"/>
            <w:gridSpan w:val="6"/>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10,185</w:t>
            </w:r>
          </w:p>
        </w:tc>
        <w:tc>
          <w:tcPr>
            <w:tcW w:w="13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7,921</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2,264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17,851</w:t>
            </w: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9,505</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10,017</w:t>
            </w:r>
          </w:p>
        </w:tc>
        <w:tc>
          <w:tcPr>
            <w:tcW w:w="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r>
      <w:tr>
        <w:trPr>
          <w:trHeight w:val="209"/>
        </w:trPr>
        <w:tc>
          <w:tcPr>
            <w:tcW w:w="38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38,053</w:t>
            </w:r>
          </w:p>
        </w:tc>
        <w:tc>
          <w:tcPr>
            <w:tcW w:w="360" w:type="dxa"/>
            <w:vAlign w:val="bottom"/>
          </w:tcPr>
          <w:p>
            <w:pPr>
              <w:spacing w:after="0"/>
              <w:rPr>
                <w:sz w:val="18"/>
                <w:szCs w:val="18"/>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24,847</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13,206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8.5 %</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8.5 %</w:t>
            </w:r>
          </w:p>
        </w:tc>
        <w:tc>
          <w:tcPr>
            <w:tcW w:w="15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14.9 %</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10.2 %</w:t>
            </w:r>
          </w:p>
        </w:tc>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8.3 %</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7.9 %</w:t>
            </w:r>
          </w:p>
        </w:tc>
        <w:tc>
          <w:tcPr>
            <w:tcW w:w="15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bl>
    <w:p>
      <w:pPr>
        <w:spacing w:after="0" w:line="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280" w:firstLine="494"/>
        <w:spacing w:after="0" w:line="252"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Additionally, we incurred increased hosting costs as we transitioned from data center to the cloud and an increase in stock-based compensation expense associated with routine grants.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15"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In addition, we incurred amortization expense related to the identifiable intangible assets from the Payveris and Finovera acquisitions as well as increased stock-based compensation associated with routine grants.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right="40" w:firstLine="494"/>
        <w:spacing w:after="0" w:line="261" w:lineRule="auto"/>
        <w:rPr>
          <w:sz w:val="20"/>
          <w:szCs w:val="20"/>
          <w:color w:val="auto"/>
        </w:rPr>
      </w:pPr>
      <w:r>
        <w:rPr>
          <w:rFonts w:ascii="Arial" w:cs="Arial" w:eastAsia="Arial" w:hAnsi="Arial"/>
          <w:sz w:val="18"/>
          <w:szCs w:val="18"/>
          <w:color w:val="auto"/>
        </w:rPr>
        <w:t>The increase in general and administrative expenses was primarily due to increased costs of operating as a public company, including significant increases in our directors and officers insurance premiums, and increases in employee-related costs, including benefits and stock-based compensation, due to an increase in general and administrative headcount.</w:t>
      </w:r>
    </w:p>
    <w:p>
      <w:pPr>
        <w:spacing w:after="0" w:line="54"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Included in the operating expenses above, in the three months ended June 30, 2022 we began to experience a level of wage inflation driven by the broader economic inflationary environment that resulted in higher employee-related costs.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Change</w:t>
            </w:r>
          </w:p>
        </w:tc>
        <w:tc>
          <w:tcPr>
            <w:tcW w:w="1240" w:type="dxa"/>
            <w:vAlign w:val="bottom"/>
            <w:tcBorders>
              <w:bottom w:val="single" w:sz="8" w:color="auto"/>
            </w:tcBorders>
          </w:tcPr>
          <w:p>
            <w:pPr>
              <w:spacing w:after="0"/>
              <w:rPr>
                <w:sz w:val="16"/>
                <w:szCs w:val="16"/>
                <w:color w:val="auto"/>
              </w:rPr>
            </w:pPr>
          </w:p>
        </w:tc>
      </w:tr>
      <w:tr>
        <w:trPr>
          <w:trHeight w:val="196"/>
        </w:trPr>
        <w:tc>
          <w:tcPr>
            <w:tcW w:w="3720" w:type="dxa"/>
            <w:vAlign w:val="bottom"/>
          </w:tcPr>
          <w:p>
            <w:pPr>
              <w:spacing w:after="0"/>
              <w:rPr>
                <w:sz w:val="17"/>
                <w:szCs w:val="17"/>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6"/>
              </w:rPr>
              <w:t>%</w:t>
            </w:r>
          </w:p>
        </w:tc>
      </w:tr>
      <w:tr>
        <w:trPr>
          <w:trHeight w:val="210"/>
        </w:trPr>
        <w:tc>
          <w:tcPr>
            <w:tcW w:w="3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1160" w:type="dxa"/>
            <w:vAlign w:val="bottom"/>
            <w:shd w:val="clear" w:color="auto" w:fill="CFF0FC"/>
          </w:tcPr>
          <w:p>
            <w:pPr>
              <w:jc w:val="right"/>
              <w:ind w:right="96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38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2160" w:type="dxa"/>
            <w:vAlign w:val="bottom"/>
            <w:gridSpan w:val="3"/>
            <w:shd w:val="clear" w:color="auto" w:fill="CFF0FC"/>
          </w:tcPr>
          <w:p>
            <w:pPr>
              <w:ind w:left="460"/>
              <w:spacing w:after="0"/>
              <w:rPr>
                <w:sz w:val="20"/>
                <w:szCs w:val="20"/>
                <w:color w:val="auto"/>
              </w:rPr>
            </w:pPr>
            <w:r>
              <w:rPr>
                <w:rFonts w:ascii="Arial" w:cs="Arial" w:eastAsia="Arial" w:hAnsi="Arial"/>
                <w:sz w:val="18"/>
                <w:szCs w:val="18"/>
                <w:color w:val="auto"/>
              </w:rPr>
              <w:t>(4 )   $</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ind w:right="296"/>
              <w:spacing w:after="0"/>
              <w:rPr>
                <w:sz w:val="20"/>
                <w:szCs w:val="20"/>
                <w:color w:val="auto"/>
              </w:rPr>
            </w:pPr>
            <w:r>
              <w:rPr>
                <w:rFonts w:ascii="Arial" w:cs="Arial" w:eastAsia="Arial" w:hAnsi="Arial"/>
                <w:sz w:val="18"/>
                <w:szCs w:val="18"/>
                <w:color w:val="auto"/>
                <w:w w:val="99"/>
              </w:rPr>
              <w:t>n/m</w:t>
            </w:r>
          </w:p>
        </w:tc>
      </w:tr>
      <w:tr>
        <w:trPr>
          <w:trHeight w:val="197"/>
        </w:trPr>
        <w:tc>
          <w:tcPr>
            <w:tcW w:w="3720" w:type="dxa"/>
            <w:vAlign w:val="bottom"/>
          </w:tcPr>
          <w:p>
            <w:pPr>
              <w:ind w:left="20"/>
              <w:spacing w:after="0" w:line="197" w:lineRule="exact"/>
              <w:rPr>
                <w:sz w:val="20"/>
                <w:szCs w:val="20"/>
                <w:color w:val="auto"/>
              </w:rPr>
            </w:pPr>
            <w:r>
              <w:rPr>
                <w:rFonts w:ascii="Arial" w:cs="Arial" w:eastAsia="Arial" w:hAnsi="Arial"/>
                <w:sz w:val="18"/>
                <w:szCs w:val="18"/>
                <w:color w:val="auto"/>
              </w:rPr>
              <w:t>Foreign exchange gain (loss)</w:t>
            </w:r>
          </w:p>
        </w:tc>
        <w:tc>
          <w:tcPr>
            <w:tcW w:w="1160" w:type="dxa"/>
            <w:vAlign w:val="bottom"/>
          </w:tcPr>
          <w:p>
            <w:pPr>
              <w:spacing w:after="0"/>
              <w:rPr>
                <w:sz w:val="17"/>
                <w:szCs w:val="17"/>
                <w:color w:val="auto"/>
              </w:rPr>
            </w:pPr>
          </w:p>
        </w:tc>
        <w:tc>
          <w:tcPr>
            <w:tcW w:w="440" w:type="dxa"/>
            <w:vAlign w:val="bottom"/>
          </w:tcPr>
          <w:p>
            <w:pPr>
              <w:jc w:val="right"/>
              <w:spacing w:after="0" w:line="197" w:lineRule="exact"/>
              <w:rPr>
                <w:sz w:val="20"/>
                <w:szCs w:val="20"/>
                <w:color w:val="auto"/>
              </w:rPr>
            </w:pPr>
            <w:r>
              <w:rPr>
                <w:rFonts w:ascii="Arial" w:cs="Arial" w:eastAsia="Arial" w:hAnsi="Arial"/>
                <w:sz w:val="18"/>
                <w:szCs w:val="18"/>
                <w:color w:val="auto"/>
              </w:rPr>
              <w:t>54</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gridSpan w:val="2"/>
          </w:tcPr>
          <w:p>
            <w:pPr>
              <w:ind w:left="460"/>
              <w:spacing w:after="0" w:line="197" w:lineRule="exact"/>
              <w:rPr>
                <w:sz w:val="20"/>
                <w:szCs w:val="20"/>
                <w:color w:val="auto"/>
              </w:rPr>
            </w:pPr>
            <w:r>
              <w:rPr>
                <w:rFonts w:ascii="Arial" w:cs="Arial" w:eastAsia="Arial" w:hAnsi="Arial"/>
                <w:sz w:val="18"/>
                <w:szCs w:val="18"/>
                <w:color w:val="auto"/>
              </w:rPr>
              <w:t>(1 )</w:t>
            </w:r>
          </w:p>
        </w:tc>
        <w:tc>
          <w:tcPr>
            <w:tcW w:w="1200" w:type="dxa"/>
            <w:vAlign w:val="bottom"/>
          </w:tcPr>
          <w:p>
            <w:pPr>
              <w:spacing w:after="0"/>
              <w:rPr>
                <w:sz w:val="17"/>
                <w:szCs w:val="17"/>
                <w:color w:val="auto"/>
              </w:rPr>
            </w:pPr>
          </w:p>
        </w:tc>
        <w:tc>
          <w:tcPr>
            <w:tcW w:w="420" w:type="dxa"/>
            <w:vAlign w:val="bottom"/>
          </w:tcPr>
          <w:p>
            <w:pPr>
              <w:jc w:val="right"/>
              <w:spacing w:after="0" w:line="197" w:lineRule="exact"/>
              <w:rPr>
                <w:sz w:val="20"/>
                <w:szCs w:val="20"/>
                <w:color w:val="auto"/>
              </w:rPr>
            </w:pPr>
            <w:r>
              <w:rPr>
                <w:rFonts w:ascii="Arial" w:cs="Arial" w:eastAsia="Arial" w:hAnsi="Arial"/>
                <w:sz w:val="18"/>
                <w:szCs w:val="18"/>
                <w:color w:val="auto"/>
              </w:rPr>
              <w:t>55</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center"/>
              <w:ind w:right="296"/>
              <w:spacing w:after="0" w:line="197" w:lineRule="exact"/>
              <w:rPr>
                <w:sz w:val="20"/>
                <w:szCs w:val="20"/>
                <w:color w:val="auto"/>
              </w:rPr>
            </w:pPr>
            <w:r>
              <w:rPr>
                <w:rFonts w:ascii="Arial" w:cs="Arial" w:eastAsia="Arial" w:hAnsi="Arial"/>
                <w:sz w:val="18"/>
                <w:szCs w:val="18"/>
                <w:color w:val="auto"/>
                <w:w w:val="99"/>
              </w:rPr>
              <w:t>n/m</w:t>
            </w: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___________</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9"/>
        </w:trPr>
        <w:tc>
          <w:tcPr>
            <w:tcW w:w="3720" w:type="dxa"/>
            <w:vAlign w:val="bottom"/>
          </w:tcPr>
          <w:p>
            <w:pPr>
              <w:spacing w:after="0"/>
              <w:rPr>
                <w:sz w:val="20"/>
                <w:szCs w:val="20"/>
                <w:color w:val="auto"/>
              </w:rPr>
            </w:pPr>
            <w:r>
              <w:rPr>
                <w:rFonts w:ascii="Arial" w:cs="Arial" w:eastAsia="Arial" w:hAnsi="Arial"/>
                <w:sz w:val="18"/>
                <w:szCs w:val="18"/>
                <w:color w:val="auto"/>
              </w:rPr>
              <w:t>n/m – not meaningful</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interest income (expense), net and foreign exchange gain (loss) were immaterial.</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3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080" w:type="dxa"/>
            <w:vAlign w:val="bottom"/>
            <w:shd w:val="clear" w:color="auto" w:fill="CFF0FC"/>
          </w:tcPr>
          <w:p>
            <w:pPr>
              <w:jc w:val="right"/>
              <w:ind w:right="90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(378 )</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2040" w:type="dxa"/>
            <w:vAlign w:val="bottom"/>
            <w:gridSpan w:val="3"/>
            <w:shd w:val="clear" w:color="auto" w:fill="CFF0FC"/>
          </w:tcPr>
          <w:p>
            <w:pPr>
              <w:jc w:val="right"/>
              <w:ind w:right="908"/>
              <w:spacing w:after="0"/>
              <w:rPr>
                <w:sz w:val="20"/>
                <w:szCs w:val="20"/>
                <w:color w:val="auto"/>
              </w:rPr>
            </w:pPr>
            <w:r>
              <w:rPr>
                <w:rFonts w:ascii="Arial" w:cs="Arial" w:eastAsia="Arial" w:hAnsi="Arial"/>
                <w:sz w:val="18"/>
                <w:szCs w:val="18"/>
                <w:color w:val="auto"/>
              </w:rPr>
              <w:t>(3,501 )   $</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3,123</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(89.2 )</w:t>
            </w:r>
          </w:p>
        </w:tc>
      </w:tr>
    </w:tbl>
    <w:p>
      <w:pPr>
        <w:spacing w:after="0" w:line="197" w:lineRule="exact"/>
        <w:rPr>
          <w:sz w:val="20"/>
          <w:szCs w:val="20"/>
          <w:color w:val="auto"/>
        </w:rPr>
      </w:pPr>
    </w:p>
    <w:p>
      <w:pPr>
        <w:ind w:right="80" w:firstLine="499"/>
        <w:spacing w:after="0" w:line="252" w:lineRule="auto"/>
        <w:rPr>
          <w:sz w:val="20"/>
          <w:szCs w:val="20"/>
          <w:color w:val="auto"/>
        </w:rPr>
      </w:pPr>
      <w:r>
        <w:rPr>
          <w:rFonts w:ascii="Arial" w:cs="Arial" w:eastAsia="Arial" w:hAnsi="Arial"/>
          <w:sz w:val="18"/>
          <w:szCs w:val="18"/>
          <w:color w:val="auto"/>
        </w:rPr>
        <w:t>The change in (provision for) benefit from income taxes for the three months ended June 30, 2022 as compared to the same period in the prior year, was primarily due to changes in pre-tax (loss) and income and the result of excess tax benefits on stock-based compensation, state taxes, foreign income taxed at different rates and permanent tax adjustments related to nondeductible executive compensation, in addition to a valuation allowance recorded against the net deferred tax assets.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09"/>
        </w:trPr>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236,673</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185,717</w:t>
            </w:r>
          </w:p>
        </w:tc>
        <w:tc>
          <w:tcPr>
            <w:tcW w:w="14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50,956</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8"/>
                <w:szCs w:val="18"/>
                <w:color w:val="auto"/>
              </w:rPr>
            </w:pPr>
          </w:p>
        </w:tc>
      </w:tr>
    </w:tbl>
    <w:p>
      <w:pPr>
        <w:spacing w:after="0" w:line="197" w:lineRule="exact"/>
        <w:rPr>
          <w:sz w:val="20"/>
          <w:szCs w:val="20"/>
          <w:color w:val="auto"/>
        </w:rPr>
      </w:pPr>
    </w:p>
    <w:p>
      <w:pPr>
        <w:ind w:right="460" w:firstLine="499"/>
        <w:spacing w:after="0" w:line="261"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increased transactions from our existing billers and additional transactions as a result of the Payveris and Finovera acquisitions, offset by the decrease in revenue we received per transaction on a blended basis.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2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c>
          <w:tcPr>
            <w:tcW w:w="2060" w:type="dxa"/>
            <w:vAlign w:val="bottom"/>
            <w:gridSpan w:val="3"/>
          </w:tcPr>
          <w:p>
            <w:pPr>
              <w:ind w:left="120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09"/>
        </w:trPr>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165,991</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129,242</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36,749</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70,682</w:t>
            </w:r>
          </w:p>
        </w:tc>
        <w:tc>
          <w:tcPr>
            <w:tcW w:w="340" w:type="dxa"/>
            <w:vAlign w:val="bottom"/>
          </w:tcPr>
          <w:p>
            <w:pPr>
              <w:spacing w:after="0"/>
              <w:rPr>
                <w:sz w:val="18"/>
                <w:szCs w:val="18"/>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56,475</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14,207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29.9 %</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30.4 %</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197" w:lineRule="exact"/>
        <w:rPr>
          <w:sz w:val="20"/>
          <w:szCs w:val="20"/>
          <w:color w:val="auto"/>
        </w:rPr>
      </w:pPr>
    </w:p>
    <w:p>
      <w:pPr>
        <w:ind w:right="240" w:firstLine="499"/>
        <w:spacing w:after="0" w:line="287"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and indirect costs associated with making our platform available to our billers.</w:t>
      </w:r>
    </w:p>
    <w:p>
      <w:pPr>
        <w:spacing w:after="0" w:line="31" w:lineRule="exact"/>
        <w:rPr>
          <w:sz w:val="20"/>
          <w:szCs w:val="20"/>
          <w:color w:val="auto"/>
        </w:rPr>
      </w:pPr>
    </w:p>
    <w:p>
      <w:pPr>
        <w:ind w:right="580" w:firstLine="494"/>
        <w:spacing w:after="0" w:line="271" w:lineRule="auto"/>
        <w:rPr>
          <w:sz w:val="20"/>
          <w:szCs w:val="20"/>
          <w:color w:val="auto"/>
        </w:rPr>
      </w:pPr>
      <w:r>
        <w:rPr>
          <w:rFonts w:ascii="Arial" w:cs="Arial" w:eastAsia="Arial" w:hAnsi="Arial"/>
          <w:sz w:val="18"/>
          <w:szCs w:val="18"/>
          <w:color w:val="auto"/>
        </w:rPr>
        <w:t>Gross margin decreased for the six months ended June 30, 2022 due to an increase in amortization expense included in cost of revenue associated with the Payveris and Finovera acquisitions.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2" w:name="page33"/>
    <w:bookmarkEnd w:id="32"/>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right"/>
              <w:ind w:right="6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(dollars</w:t>
            </w:r>
          </w:p>
        </w:tc>
        <w:tc>
          <w:tcPr>
            <w:tcW w:w="340" w:type="dxa"/>
            <w:vAlign w:val="bottom"/>
          </w:tcPr>
          <w:p>
            <w:pPr>
              <w:spacing w:after="0"/>
              <w:rPr>
                <w:sz w:val="20"/>
                <w:szCs w:val="20"/>
                <w:color w:val="auto"/>
              </w:rPr>
            </w:pPr>
            <w:r>
              <w:rPr>
                <w:rFonts w:ascii="Arial" w:cs="Arial" w:eastAsia="Arial" w:hAnsi="Arial"/>
                <w:sz w:val="14"/>
                <w:szCs w:val="14"/>
                <w:b w:val="1"/>
                <w:bCs w:val="1"/>
                <w:color w:val="auto"/>
              </w:rPr>
              <w:t>in</w:t>
            </w: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3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20,575</w:t>
            </w:r>
          </w:p>
        </w:tc>
        <w:tc>
          <w:tcPr>
            <w:tcW w:w="13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tcPr>
          <w:p>
            <w:pPr>
              <w:ind w:left="40"/>
              <w:spacing w:after="0"/>
              <w:rPr>
                <w:sz w:val="20"/>
                <w:szCs w:val="20"/>
                <w:color w:val="auto"/>
              </w:rPr>
            </w:pPr>
            <w:r>
              <w:rPr>
                <w:rFonts w:ascii="Arial" w:cs="Arial" w:eastAsia="Arial" w:hAnsi="Arial"/>
                <w:sz w:val="18"/>
                <w:szCs w:val="18"/>
                <w:color w:val="auto"/>
                <w:w w:val="98"/>
              </w:rPr>
              <w:t>15,651</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4,924</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34,041</w:t>
            </w: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ind w:left="40"/>
              <w:spacing w:after="0"/>
              <w:rPr>
                <w:sz w:val="20"/>
                <w:szCs w:val="20"/>
                <w:color w:val="auto"/>
              </w:rPr>
            </w:pPr>
            <w:r>
              <w:rPr>
                <w:rFonts w:ascii="Arial" w:cs="Arial" w:eastAsia="Arial" w:hAnsi="Arial"/>
                <w:sz w:val="18"/>
                <w:szCs w:val="18"/>
                <w:color w:val="auto"/>
                <w:w w:val="98"/>
              </w:rPr>
              <w:t>17,727</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16,314</w:t>
            </w: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19,662</w:t>
            </w:r>
          </w:p>
        </w:tc>
        <w:tc>
          <w:tcPr>
            <w:tcW w:w="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8"/>
              </w:rPr>
              <w:t>14,163</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r>
      <w:tr>
        <w:trPr>
          <w:trHeight w:val="209"/>
        </w:trPr>
        <w:tc>
          <w:tcPr>
            <w:tcW w:w="37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74,278</w:t>
            </w:r>
          </w:p>
        </w:tc>
        <w:tc>
          <w:tcPr>
            <w:tcW w:w="360" w:type="dxa"/>
            <w:vAlign w:val="bottom"/>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40"/>
              <w:spacing w:after="0"/>
              <w:rPr>
                <w:sz w:val="20"/>
                <w:szCs w:val="20"/>
                <w:color w:val="auto"/>
              </w:rPr>
            </w:pPr>
            <w:r>
              <w:rPr>
                <w:rFonts w:ascii="Arial" w:cs="Arial" w:eastAsia="Arial" w:hAnsi="Arial"/>
                <w:sz w:val="18"/>
                <w:szCs w:val="18"/>
                <w:color w:val="auto"/>
                <w:w w:val="98"/>
              </w:rPr>
              <w:t>47,541</w:t>
            </w:r>
          </w:p>
        </w:tc>
        <w:tc>
          <w:tcPr>
            <w:tcW w:w="3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26,737</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8.7 %</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8.4 %</w:t>
            </w:r>
          </w:p>
        </w:tc>
        <w:tc>
          <w:tcPr>
            <w:tcW w:w="15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14.4 %</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9.5 %</w:t>
            </w:r>
          </w:p>
        </w:tc>
        <w:tc>
          <w:tcPr>
            <w:tcW w:w="15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8.3 %</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7.6 %</w:t>
            </w:r>
          </w:p>
        </w:tc>
        <w:tc>
          <w:tcPr>
            <w:tcW w:w="15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r>
    </w:tbl>
    <w:p>
      <w:pPr>
        <w:spacing w:after="0" w:line="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280" w:firstLine="494"/>
        <w:spacing w:after="0" w:line="252"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Additionally, we incurred increased hosting costs as we transitioned from data center to the cloud and an increase in stock-based compensation expense associated with routine grants.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15"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In addition, we incurred amortization expense related to the identifiable intangible assets from the Payveris and Finovera acquisitions as well as increased stock-based compensation associated with routine grants.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right="40" w:firstLine="494"/>
        <w:spacing w:after="0" w:line="261" w:lineRule="auto"/>
        <w:rPr>
          <w:sz w:val="20"/>
          <w:szCs w:val="20"/>
          <w:color w:val="auto"/>
        </w:rPr>
      </w:pPr>
      <w:r>
        <w:rPr>
          <w:rFonts w:ascii="Arial" w:cs="Arial" w:eastAsia="Arial" w:hAnsi="Arial"/>
          <w:sz w:val="18"/>
          <w:szCs w:val="18"/>
          <w:color w:val="auto"/>
        </w:rPr>
        <w:t>The increase in general and administrative expenses was primarily due to increased costs of operating as a public company, including significant increases in our directors and officers insurance premiums, and increases in employee-related costs, including benefits and stock-based compensation, due to an increase in general and administrative headcount.</w:t>
      </w:r>
    </w:p>
    <w:p>
      <w:pPr>
        <w:spacing w:after="0" w:line="54"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Included in the operating expenses above, in the three months ended June 30, 2022 we began to experience a level of wage inflation driven by the broader economic inflationary environment that resulted in higher employee-related costs.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spacing w:after="0"/>
              <w:rPr>
                <w:sz w:val="16"/>
                <w:szCs w:val="16"/>
                <w:color w:val="auto"/>
              </w:rPr>
            </w:pPr>
          </w:p>
        </w:tc>
      </w:tr>
      <w:tr>
        <w:trPr>
          <w:trHeight w:val="196"/>
        </w:trPr>
        <w:tc>
          <w:tcPr>
            <w:tcW w:w="3700" w:type="dxa"/>
            <w:vAlign w:val="bottom"/>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w:t>
            </w:r>
          </w:p>
        </w:tc>
      </w:tr>
      <w:tr>
        <w:trPr>
          <w:trHeight w:val="210"/>
        </w:trPr>
        <w:tc>
          <w:tcPr>
            <w:tcW w:w="3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2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FF0FC"/>
          </w:tcPr>
          <w:p>
            <w:pPr>
              <w:jc w:val="right"/>
              <w:ind w:right="98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38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FF0FC"/>
          </w:tcPr>
          <w:p>
            <w:pPr>
              <w:jc w:val="right"/>
              <w:ind w:right="1088"/>
              <w:spacing w:after="0"/>
              <w:rPr>
                <w:sz w:val="20"/>
                <w:szCs w:val="20"/>
                <w:color w:val="auto"/>
              </w:rPr>
            </w:pPr>
            <w:r>
              <w:rPr>
                <w:rFonts w:ascii="Arial" w:cs="Arial" w:eastAsia="Arial" w:hAnsi="Arial"/>
                <w:sz w:val="18"/>
                <w:szCs w:val="18"/>
                <w:color w:val="auto"/>
              </w:rPr>
              <w:t>(7 )   $</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ind w:right="276"/>
              <w:spacing w:after="0"/>
              <w:rPr>
                <w:sz w:val="20"/>
                <w:szCs w:val="20"/>
                <w:color w:val="auto"/>
              </w:rPr>
            </w:pPr>
            <w:r>
              <w:rPr>
                <w:rFonts w:ascii="Arial" w:cs="Arial" w:eastAsia="Arial" w:hAnsi="Arial"/>
                <w:sz w:val="18"/>
                <w:szCs w:val="18"/>
                <w:color w:val="auto"/>
                <w:w w:val="99"/>
              </w:rPr>
              <w:t>n/m</w:t>
            </w:r>
          </w:p>
        </w:tc>
      </w:tr>
      <w:tr>
        <w:trPr>
          <w:trHeight w:val="239"/>
        </w:trPr>
        <w:tc>
          <w:tcPr>
            <w:tcW w:w="3700" w:type="dxa"/>
            <w:vAlign w:val="bottom"/>
          </w:tcPr>
          <w:p>
            <w:pPr>
              <w:ind w:left="20"/>
              <w:spacing w:after="0"/>
              <w:rPr>
                <w:sz w:val="20"/>
                <w:szCs w:val="20"/>
                <w:color w:val="auto"/>
              </w:rPr>
            </w:pPr>
            <w:r>
              <w:rPr>
                <w:rFonts w:ascii="Arial" w:cs="Arial" w:eastAsia="Arial" w:hAnsi="Arial"/>
                <w:sz w:val="18"/>
                <w:szCs w:val="18"/>
                <w:color w:val="auto"/>
              </w:rPr>
              <w:t>Foreign exchange gain</w:t>
            </w:r>
          </w:p>
        </w:tc>
        <w:tc>
          <w:tcPr>
            <w:tcW w:w="1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center"/>
              <w:ind w:right="276"/>
              <w:spacing w:after="0"/>
              <w:rPr>
                <w:sz w:val="20"/>
                <w:szCs w:val="20"/>
                <w:color w:val="auto"/>
              </w:rPr>
            </w:pPr>
            <w:r>
              <w:rPr>
                <w:rFonts w:ascii="Arial" w:cs="Arial" w:eastAsia="Arial" w:hAnsi="Arial"/>
                <w:sz w:val="18"/>
                <w:szCs w:val="18"/>
                <w:color w:val="auto"/>
                <w:w w:val="99"/>
              </w:rPr>
              <w:t>n/m</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interest income (expense), net and foreign exchange gain were immaterial.</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7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3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38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(4,722 )</w:t>
            </w:r>
          </w:p>
        </w:tc>
        <w:tc>
          <w:tcPr>
            <w:tcW w:w="108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(157.0 )</w:t>
            </w:r>
          </w:p>
        </w:tc>
      </w:tr>
    </w:tbl>
    <w:p>
      <w:pPr>
        <w:spacing w:after="0" w:line="197" w:lineRule="exact"/>
        <w:rPr>
          <w:sz w:val="20"/>
          <w:szCs w:val="20"/>
          <w:color w:val="auto"/>
        </w:rPr>
      </w:pPr>
    </w:p>
    <w:p>
      <w:pPr>
        <w:ind w:firstLine="499"/>
        <w:spacing w:after="0" w:line="252" w:lineRule="auto"/>
        <w:rPr>
          <w:sz w:val="20"/>
          <w:szCs w:val="20"/>
          <w:color w:val="auto"/>
        </w:rPr>
      </w:pPr>
      <w:r>
        <w:rPr>
          <w:rFonts w:ascii="Arial" w:cs="Arial" w:eastAsia="Arial" w:hAnsi="Arial"/>
          <w:sz w:val="18"/>
          <w:szCs w:val="18"/>
          <w:color w:val="auto"/>
        </w:rPr>
        <w:t>The change in benefit from (provision for) income taxes for the six months ended June 30, 2022 as compared to the same period in the prior year, was primarily due to changes in pre-tax (loss) and income and the result of excess tax benefits on stock-based compensation, state taxes, foreign income taxed at different rates and permanent tax adjustments related to nondeductible executive compensation, in addition to a valuation allowance recorded against the net deferred tax assets.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2" w:lineRule="exact"/>
        <w:rPr>
          <w:sz w:val="20"/>
          <w:szCs w:val="20"/>
          <w:color w:val="auto"/>
        </w:rPr>
      </w:pPr>
    </w:p>
    <w:p>
      <w:pPr>
        <w:ind w:right="160" w:firstLine="494"/>
        <w:spacing w:after="0" w:line="252" w:lineRule="auto"/>
        <w:rPr>
          <w:sz w:val="20"/>
          <w:szCs w:val="20"/>
          <w:color w:val="auto"/>
        </w:rPr>
      </w:pPr>
      <w:r>
        <w:rPr>
          <w:rFonts w:ascii="Arial" w:cs="Arial" w:eastAsia="Arial" w:hAnsi="Arial"/>
          <w:sz w:val="18"/>
          <w:szCs w:val="18"/>
          <w:color w:val="auto"/>
        </w:rPr>
        <w:t>As of June 30, 2022, we had $158.3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62"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condensed consolidated cash flows.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7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2"/>
              </w:rPr>
              <w:t>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7,092</w:t>
            </w:r>
          </w:p>
        </w:tc>
        <w:tc>
          <w:tcPr>
            <w:tcW w:w="280" w:type="dxa"/>
            <w:vAlign w:val="bottom"/>
          </w:tcPr>
          <w:p>
            <w:pPr>
              <w:spacing w:after="0"/>
              <w:rPr>
                <w:sz w:val="18"/>
                <w:szCs w:val="18"/>
                <w:color w:val="auto"/>
              </w:rPr>
            </w:pPr>
          </w:p>
        </w:tc>
        <w:tc>
          <w:tcPr>
            <w:tcW w:w="540" w:type="dxa"/>
            <w:vAlign w:val="bottom"/>
          </w:tcPr>
          <w:p>
            <w:pPr>
              <w:jc w:val="center"/>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(15,382 )</w:t>
            </w:r>
          </w:p>
        </w:tc>
        <w:tc>
          <w:tcPr>
            <w:tcW w:w="5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(9,300 )</w:t>
            </w:r>
          </w:p>
        </w:tc>
      </w:tr>
      <w:tr>
        <w:trPr>
          <w:trHeight w:val="216"/>
        </w:trPr>
        <w:tc>
          <w:tcPr>
            <w:tcW w:w="776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24,218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216,224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Effects of foreign exchange on cash</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(97 )</w:t>
            </w:r>
          </w:p>
        </w:tc>
        <w:tc>
          <w:tcPr>
            <w:tcW w:w="5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8"/>
                <w:szCs w:val="18"/>
                <w:color w:val="auto"/>
              </w:rPr>
            </w:pPr>
          </w:p>
        </w:tc>
      </w:tr>
      <w:tr>
        <w:trPr>
          <w:trHeight w:val="209"/>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15,831</w:t>
            </w:r>
          </w:p>
        </w:tc>
        <w:tc>
          <w:tcPr>
            <w:tcW w:w="28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center"/>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219,724</w:t>
            </w:r>
          </w:p>
        </w:tc>
        <w:tc>
          <w:tcPr>
            <w:tcW w:w="100" w:type="dxa"/>
            <w:vAlign w:val="bottom"/>
            <w:tcBorders>
              <w:top w:val="single" w:sz="8" w:color="CFF0FC"/>
            </w:tcBorders>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02" w:lineRule="exact"/>
        <w:rPr>
          <w:sz w:val="20"/>
          <w:szCs w:val="20"/>
          <w:color w:val="auto"/>
        </w:rPr>
      </w:pPr>
    </w:p>
    <w:p>
      <w:pPr>
        <w:ind w:right="140" w:firstLine="494"/>
        <w:spacing w:after="0" w:line="252"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mainly consists of our net income adjusted for certain non-cash items, including depreciation and amortization, stock-based compensation, other non-cash income and expense items, and net changes in operating assets and liabilities.</w:t>
      </w:r>
    </w:p>
    <w:p>
      <w:pPr>
        <w:spacing w:after="0" w:line="76" w:lineRule="exact"/>
        <w:rPr>
          <w:sz w:val="20"/>
          <w:szCs w:val="20"/>
          <w:color w:val="auto"/>
        </w:rPr>
      </w:pPr>
    </w:p>
    <w:p>
      <w:pPr>
        <w:jc w:val="both"/>
        <w:ind w:right="100" w:firstLine="494"/>
        <w:spacing w:after="0" w:line="252" w:lineRule="auto"/>
        <w:rPr>
          <w:sz w:val="20"/>
          <w:szCs w:val="20"/>
          <w:color w:val="auto"/>
        </w:rPr>
      </w:pPr>
      <w:r>
        <w:rPr>
          <w:rFonts w:ascii="Arial" w:cs="Arial" w:eastAsia="Arial" w:hAnsi="Arial"/>
          <w:sz w:val="18"/>
          <w:szCs w:val="18"/>
          <w:color w:val="auto"/>
        </w:rPr>
        <w:t>Net cash provided by operating activities for the six months ended June 30, 2022 was $7.1 million. Net loss was $0.7 million, adjusted for non-cash charges of $12.8 million consisting primarily of depreciation and amortization, stock-based compensation, and non-cash lease expense, which contributed positively to operating activities. This was offset by net cash outflows of $4.9 million provided by changes in our operating assets and liabilities.</w:t>
      </w:r>
    </w:p>
    <w:p>
      <w:pPr>
        <w:spacing w:after="0" w:line="62" w:lineRule="exact"/>
        <w:rPr>
          <w:sz w:val="20"/>
          <w:szCs w:val="20"/>
          <w:color w:val="auto"/>
        </w:rPr>
      </w:pPr>
    </w:p>
    <w:p>
      <w:pPr>
        <w:ind w:right="320" w:firstLine="494"/>
        <w:spacing w:after="0" w:line="252" w:lineRule="auto"/>
        <w:rPr>
          <w:sz w:val="20"/>
          <w:szCs w:val="20"/>
          <w:color w:val="auto"/>
        </w:rPr>
      </w:pPr>
      <w:r>
        <w:rPr>
          <w:rFonts w:ascii="Arial" w:cs="Arial" w:eastAsia="Arial" w:hAnsi="Arial"/>
          <w:sz w:val="18"/>
          <w:szCs w:val="18"/>
          <w:color w:val="auto"/>
        </w:rPr>
        <w:t>Net cash provided by operating activities for the six months ended June 30, 2021 was $12.8 million. Net income was $4.2 million, adjusted for non-cash charges of $10.2 million consisting primarily of depreciation and amortization, stock-based compensation, and non-cash lease expense, which contributed positively to operating activities. This was offset by net cash outflows of $1.8 million provided by changes in our operating assets and liabilities.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2" w:lineRule="exact"/>
        <w:rPr>
          <w:sz w:val="20"/>
          <w:szCs w:val="20"/>
          <w:color w:val="auto"/>
        </w:rPr>
      </w:pPr>
    </w:p>
    <w:p>
      <w:pPr>
        <w:ind w:right="420" w:firstLine="494"/>
        <w:spacing w:after="0" w:line="287" w:lineRule="auto"/>
        <w:rPr>
          <w:sz w:val="20"/>
          <w:szCs w:val="20"/>
          <w:color w:val="auto"/>
        </w:rPr>
      </w:pPr>
      <w:r>
        <w:rPr>
          <w:rFonts w:ascii="Arial" w:cs="Arial" w:eastAsia="Arial" w:hAnsi="Arial"/>
          <w:sz w:val="18"/>
          <w:szCs w:val="18"/>
          <w:color w:val="auto"/>
        </w:rPr>
        <w:t>Cash used in our investing activities consists primarily of cash paid for acquisitions, capitalized internal-use software development costs, purchases of property and equipment and intangible assets.</w:t>
      </w:r>
    </w:p>
    <w:p>
      <w:pPr>
        <w:spacing w:after="0" w:line="31" w:lineRule="exact"/>
        <w:rPr>
          <w:sz w:val="20"/>
          <w:szCs w:val="20"/>
          <w:color w:val="auto"/>
        </w:rPr>
      </w:pPr>
    </w:p>
    <w:p>
      <w:pPr>
        <w:ind w:right="520" w:firstLine="494"/>
        <w:spacing w:after="0" w:line="271" w:lineRule="auto"/>
        <w:rPr>
          <w:sz w:val="20"/>
          <w:szCs w:val="20"/>
          <w:color w:val="auto"/>
        </w:rPr>
      </w:pPr>
      <w:r>
        <w:rPr>
          <w:rFonts w:ascii="Arial" w:cs="Arial" w:eastAsia="Arial" w:hAnsi="Arial"/>
          <w:sz w:val="18"/>
          <w:szCs w:val="18"/>
          <w:color w:val="auto"/>
        </w:rPr>
        <w:t>Net cash used in investing activities for the six months ended June 30, 2022 consisted of $14.5 million of capitalized internal-use software development costs and $0.8 million of purchases of property and equipment.</w:t>
      </w:r>
    </w:p>
    <w:p>
      <w:pPr>
        <w:spacing w:after="0" w:line="59" w:lineRule="exact"/>
        <w:rPr>
          <w:sz w:val="20"/>
          <w:szCs w:val="20"/>
          <w:color w:val="auto"/>
        </w:rPr>
      </w:pPr>
    </w:p>
    <w:p>
      <w:pPr>
        <w:ind w:right="620" w:firstLine="494"/>
        <w:spacing w:after="0" w:line="271" w:lineRule="auto"/>
        <w:rPr>
          <w:sz w:val="20"/>
          <w:szCs w:val="20"/>
          <w:color w:val="auto"/>
        </w:rPr>
      </w:pPr>
      <w:r>
        <w:rPr>
          <w:rFonts w:ascii="Arial" w:cs="Arial" w:eastAsia="Arial" w:hAnsi="Arial"/>
          <w:sz w:val="18"/>
          <w:szCs w:val="18"/>
          <w:color w:val="auto"/>
        </w:rPr>
        <w:t>Net cash used in investing activities for the six months ended June 30, 2021 consisted of $8.7 million of capitalized internal-use software development costs and $0.6 million of purchases of property and equipment.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4" w:name="page35"/>
    <w:bookmarkEnd w:id="34"/>
    <w:p>
      <w:pPr>
        <w:ind w:left="5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5"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Cash provided by financing activities consists primarily of proceeds from the IPO and private placement and proceeds from stock option exercises offset by the redemption of the Series A preferred stock, payment of deferred offering costs related to the IPO, changes in financial institution funds in-transit, and payments on capital lease and other financing arrangements and principal payments on debt.</w:t>
      </w:r>
    </w:p>
    <w:p>
      <w:pPr>
        <w:spacing w:after="0" w:line="74" w:lineRule="exact"/>
        <w:rPr>
          <w:sz w:val="20"/>
          <w:szCs w:val="20"/>
          <w:color w:val="auto"/>
        </w:rPr>
      </w:pPr>
    </w:p>
    <w:p>
      <w:pPr>
        <w:jc w:val="both"/>
        <w:ind w:right="120" w:firstLine="494"/>
        <w:spacing w:after="0" w:line="253" w:lineRule="auto"/>
        <w:rPr>
          <w:sz w:val="20"/>
          <w:szCs w:val="20"/>
          <w:color w:val="auto"/>
        </w:rPr>
      </w:pPr>
      <w:r>
        <w:rPr>
          <w:rFonts w:ascii="Arial" w:cs="Arial" w:eastAsia="Arial" w:hAnsi="Arial"/>
          <w:sz w:val="18"/>
          <w:szCs w:val="18"/>
          <w:color w:val="auto"/>
        </w:rPr>
        <w:t>Net cash provided by financing activities for the six months ended June 30, 2022 consisted of an increase in financial institution funds in-transit of $25.9 million and proceeds from stock option exercises of $0.3.million, offset by $1.9 million of payments on finance leases and other financing obligations.</w:t>
      </w:r>
    </w:p>
    <w:p>
      <w:pPr>
        <w:spacing w:after="0" w:line="74"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Net cash provided financing activities for the six months ended June 30, 2021 consisted of proceeds from the IPO of $224.6 million, proceeds from the private placement of $ 50.0 million and proceeds of $0.8 million from the repayment of a related party loan, offset by $23.0 million for the redemption of the Series A preferred stock, $34.4 million for the repayment of dividends on the Series A preferred stock, $0.9 million of payments on finance leases and other financing obligations and $0.9 million of payments of deferred offering costs directly related to our IPO.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ind w:right="160" w:firstLine="494"/>
        <w:spacing w:after="0" w:line="248"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and assumptions that affect the reported amounts of assets, liabilities, net sales,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7"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disclosed in our 2021 Form 10-K.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Emerging Growth Company Status</w:t>
      </w:r>
    </w:p>
    <w:p>
      <w:pPr>
        <w:spacing w:after="0" w:line="104" w:lineRule="exact"/>
        <w:rPr>
          <w:sz w:val="20"/>
          <w:szCs w:val="20"/>
          <w:color w:val="auto"/>
        </w:rPr>
      </w:pPr>
    </w:p>
    <w:p>
      <w:pPr>
        <w:ind w:firstLine="494"/>
        <w:spacing w:after="0" w:line="245" w:lineRule="auto"/>
        <w:rPr>
          <w:sz w:val="20"/>
          <w:szCs w:val="20"/>
          <w:color w:val="auto"/>
        </w:rPr>
      </w:pPr>
      <w:r>
        <w:rPr>
          <w:rFonts w:ascii="Arial" w:cs="Arial" w:eastAsia="Arial" w:hAnsi="Arial"/>
          <w:sz w:val="18"/>
          <w:szCs w:val="18"/>
          <w:color w:val="auto"/>
        </w:rPr>
        <w:t>Section 107 of the Jumpstart Our Business Startups Act of 2012, as amended, or the JOBS Act, provides that an “emerging growth company” may take advantage of the extended transition period provided in Section 7(a)(2)(B) of the Securities Act for complying with new or revised accounting standards. In other words, an “emerging growth company” may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right="580" w:firstLine="494"/>
        <w:spacing w:after="0" w:line="271" w:lineRule="auto"/>
        <w:rPr>
          <w:sz w:val="20"/>
          <w:szCs w:val="20"/>
          <w:color w:val="auto"/>
        </w:rPr>
      </w:pPr>
      <w:r>
        <w:rPr>
          <w:rFonts w:ascii="Arial" w:cs="Arial" w:eastAsia="Arial" w:hAnsi="Arial"/>
          <w:sz w:val="18"/>
          <w:szCs w:val="18"/>
          <w:color w:val="auto"/>
        </w:rPr>
        <w:t>See Note 2 to our condensed consolidated financial statements included elsewhere in this report for more information regarding recently issued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ind w:right="100" w:firstLine="494"/>
        <w:spacing w:after="0" w:line="261"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jc w:val="both"/>
        <w:ind w:right="140" w:firstLine="494"/>
        <w:spacing w:after="0" w:line="247" w:lineRule="auto"/>
        <w:rPr>
          <w:sz w:val="20"/>
          <w:szCs w:val="20"/>
          <w:color w:val="auto"/>
        </w:rPr>
      </w:pPr>
      <w:r>
        <w:rPr>
          <w:rFonts w:ascii="Arial" w:cs="Arial" w:eastAsia="Arial" w:hAnsi="Arial"/>
          <w:sz w:val="18"/>
          <w:szCs w:val="18"/>
          <w:color w:val="auto"/>
        </w:rPr>
        <w:t>Our cash and cash equivalents consist of bank deposits and money market funds with original maturities of three months or less. Our cash and cash equivalents are held for working capital purposes. We do not enter into investments for trading or speculative purposes. Our cash equivalents and our investment portfolio are subject to market risk due to changes in interest rates. We do not believe, as of June 30, 2022, that a hypothetical 10% increase or decrease in interest rates would have had a material impact on the value of our cash equivalents or investment portfolio.</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5"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Certain of our operations are conducted in foreign currencies. While we have generated substantially all of our revenue from billers in the United States, we have foreign currency risks related to revenue denominated in other currencies, such as the Canadian dollar. In addition, we have significant operations outside of the United States,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We do not believe, as of June 30, 2022, that a hypothetical 10% increase or decrease in the relative value of the U.S. dollar to other currencies would have had a material effect on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ind w:firstLine="544"/>
        <w:spacing w:after="0" w:line="24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in internal control over financial reporting described below, our Chief Executive Officer and Chief Financial Officer concluded that, as of June 30, 2022,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15" w:lineRule="exact"/>
        <w:rPr>
          <w:sz w:val="20"/>
          <w:szCs w:val="20"/>
          <w:color w:val="auto"/>
        </w:rPr>
      </w:pPr>
    </w:p>
    <w:p>
      <w:pPr>
        <w:ind w:firstLine="544"/>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June 30, 2022, our material weaknesses were as follows:</w:t>
      </w:r>
    </w:p>
    <w:p>
      <w:pPr>
        <w:spacing w:after="0" w:line="74" w:lineRule="exact"/>
        <w:rPr>
          <w:sz w:val="20"/>
          <w:szCs w:val="20"/>
          <w:color w:val="auto"/>
        </w:rPr>
      </w:pPr>
    </w:p>
    <w:p>
      <w:pPr>
        <w:ind w:left="1020" w:right="40" w:hanging="503"/>
        <w:spacing w:after="0" w:line="265"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53" w:lineRule="exact"/>
        <w:rPr>
          <w:rFonts w:ascii="Times New Roman" w:cs="Times New Roman" w:eastAsia="Times New Roman" w:hAnsi="Times New Roman"/>
          <w:sz w:val="17"/>
          <w:szCs w:val="17"/>
          <w:color w:val="auto"/>
        </w:rPr>
      </w:pPr>
    </w:p>
    <w:p>
      <w:pPr>
        <w:ind w:left="1020" w:hanging="503"/>
        <w:spacing w:after="0" w:line="248"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relevant to the preparation of our financial statements with respect to certain information technology, or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02" w:lineRule="exact"/>
        <w:rPr>
          <w:sz w:val="20"/>
          <w:szCs w:val="20"/>
          <w:color w:val="auto"/>
        </w:rPr>
      </w:pPr>
    </w:p>
    <w:p>
      <w:pPr>
        <w:ind w:right="360" w:firstLine="544"/>
        <w:spacing w:after="0" w:line="252" w:lineRule="auto"/>
        <w:rPr>
          <w:sz w:val="20"/>
          <w:szCs w:val="20"/>
          <w:color w:val="auto"/>
        </w:rPr>
      </w:pPr>
      <w:r>
        <w:rPr>
          <w:rFonts w:ascii="Arial" w:cs="Arial" w:eastAsia="Arial" w:hAnsi="Arial"/>
          <w:sz w:val="18"/>
          <w:szCs w:val="18"/>
          <w:color w:val="auto"/>
        </w:rPr>
        <w:t>We believe we have made significant progress toward remediation of the material weaknesses described above. We have implemented a new general ledger accounting system, including the design of permissions within that system which allow for effective restricted access and segregation of duties to govern the preparation and review of journal entries. Additional remediation measures are ongoing and include the following:</w:t>
      </w:r>
    </w:p>
    <w:p>
      <w:pPr>
        <w:spacing w:after="0" w:line="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hire additional personnel with public company experience for our accounting and finance function;</w:t>
      </w:r>
    </w:p>
    <w:p>
      <w:pPr>
        <w:spacing w:after="0" w:line="102"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enhancing and documenting management review controls over journal entries and the identification and review of complex transactions;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secured the general ledger accounting system by implementing Single Sign-On (SSO); and</w:t>
      </w:r>
    </w:p>
    <w:p>
      <w:pPr>
        <w:spacing w:after="0" w:line="116"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designing additional change management and access controls for our relevant IT applications to further restrict privileged access and implementing controls to review activities, which may materially affect our financial statements, for those users who have privileged access.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1" w:right="399" w:bottom="1440" w:gutter="0" w:footer="0" w:header="0"/>
        </w:sectPr>
      </w:pPr>
    </w:p>
    <w:bookmarkStart w:id="36" w:name="page37"/>
    <w:bookmarkEnd w:id="36"/>
    <w:p>
      <w:pPr>
        <w:jc w:val="both"/>
        <w:ind w:firstLine="494"/>
        <w:spacing w:after="0" w:line="261" w:lineRule="auto"/>
        <w:rPr>
          <w:sz w:val="20"/>
          <w:szCs w:val="20"/>
          <w:color w:val="auto"/>
        </w:rPr>
      </w:pPr>
      <w:r>
        <w:rPr>
          <w:rFonts w:ascii="Arial" w:cs="Arial" w:eastAsia="Arial" w:hAnsi="Arial"/>
          <w:sz w:val="18"/>
          <w:szCs w:val="18"/>
          <w:color w:val="auto"/>
        </w:rPr>
        <w:t>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2022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2"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which may include claims relating to contractual disputes, product liability, tort or personal injury, employment, intellectual property or other commercial or regulatory matters. In addition, if current or future government regulations are interpreted or enforced in a manner adverse to us or our business, including among other things, those with security and privacy laws, we may be subject to enforcement actions, penalties, damages, material limitations on our business and reputational harm. Furthermore, as a public company, we may become subject to stockholder inspection demands under Delaware law and derivative or other similar litigation. Although the results of legal proceedings and claims cannot be predicted with certainty, we are not currently party to any legal proceedings or claims that we believe, if determined adversely to us, would individually or taken together have a material adverse effect on our business, operating results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Investing in our Class A common stock involves a high degree of risk. We operate in a rapidly changing environment that involves a number of risks that could materially affect our business, financial condition or future results, some of which are beyond our control. You should carefully consider the risks described under the heading “Risk Factors” in Part I, Item 1A of our 2021 Form 10-K, the other information in this Quarterly Report on Form 10-Q, including our unaudited condensed consolidated financial statements and the related notes, as well as our other public filings with the SEC, before deciding to invest in our Class A common stock. During the six months ended June 30, 2022, there were no material changes to the risk factors as described in our 2021 Form 10-K. The occurrence of any of the events described therein could harm our business, financial condition, results of operations, liquidity or prospects. In such an event, the market price of our Class A common stock could decline, and you may lose all or part of your investment. Additional risks and uncertainties not presently known to us or that we currently deem immaterial may also impair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9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16"/>
            <w:vMerge w:val="restart"/>
          </w:tcPr>
          <w:p>
            <w:pPr>
              <w:ind w:left="166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Incorporated by Reference</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60" w:type="dxa"/>
            <w:vAlign w:val="bottom"/>
            <w:gridSpan w:val="16"/>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Form</w:t>
            </w:r>
          </w:p>
        </w:tc>
        <w:tc>
          <w:tcPr>
            <w:tcW w:w="120" w:type="dxa"/>
            <w:vAlign w:val="bottom"/>
          </w:tcPr>
          <w:p>
            <w:pPr>
              <w:spacing w:after="0"/>
              <w:rPr>
                <w:sz w:val="11"/>
                <w:szCs w:val="11"/>
                <w:color w:val="auto"/>
              </w:rPr>
            </w:pPr>
          </w:p>
        </w:tc>
        <w:tc>
          <w:tcPr>
            <w:tcW w:w="1140" w:type="dxa"/>
            <w:vAlign w:val="bottom"/>
          </w:tcPr>
          <w:p>
            <w:pPr>
              <w:jc w:val="right"/>
              <w:ind w:right="201"/>
              <w:spacing w:after="0" w:line="135" w:lineRule="exact"/>
              <w:rPr>
                <w:sz w:val="20"/>
                <w:szCs w:val="20"/>
                <w:color w:val="auto"/>
              </w:rPr>
            </w:pPr>
            <w:r>
              <w:rPr>
                <w:rFonts w:ascii="Arial" w:cs="Arial" w:eastAsia="Arial" w:hAnsi="Arial"/>
                <w:sz w:val="15"/>
                <w:szCs w:val="15"/>
                <w:b w:val="1"/>
                <w:bCs w:val="1"/>
                <w:color w:val="auto"/>
              </w:rPr>
              <w:t>File No.</w:t>
            </w:r>
          </w:p>
        </w:tc>
        <w:tc>
          <w:tcPr>
            <w:tcW w:w="12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5"/>
                <w:szCs w:val="15"/>
                <w:b w:val="1"/>
                <w:bCs w:val="1"/>
                <w:color w:val="auto"/>
              </w:rPr>
              <w:t>Exhibit</w:t>
            </w:r>
          </w:p>
        </w:tc>
        <w:tc>
          <w:tcPr>
            <w:tcW w:w="124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Filing Date</w:t>
            </w:r>
          </w:p>
        </w:tc>
        <w:tc>
          <w:tcPr>
            <w:tcW w:w="106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Filed/</w:t>
            </w:r>
          </w:p>
        </w:tc>
        <w:tc>
          <w:tcPr>
            <w:tcW w:w="0" w:type="dxa"/>
            <w:vAlign w:val="bottom"/>
          </w:tcPr>
          <w:p>
            <w:pPr>
              <w:spacing w:after="0"/>
              <w:rPr>
                <w:sz w:val="1"/>
                <w:szCs w:val="1"/>
                <w:color w:val="auto"/>
              </w:rPr>
            </w:pPr>
          </w:p>
        </w:tc>
      </w:tr>
      <w:tr>
        <w:trPr>
          <w:trHeight w:val="175"/>
        </w:trPr>
        <w:tc>
          <w:tcPr>
            <w:tcW w:w="92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17"/>
        </w:trPr>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42"/>
        </w:trPr>
        <w:tc>
          <w:tcPr>
            <w:tcW w:w="920" w:type="dxa"/>
            <w:vAlign w:val="bottom"/>
          </w:tcPr>
          <w:p>
            <w:pPr>
              <w:ind w:left="20"/>
              <w:spacing w:after="0" w:line="142"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2"/>
                <w:szCs w:val="12"/>
                <w:color w:val="auto"/>
              </w:rPr>
            </w:pPr>
          </w:p>
        </w:tc>
        <w:tc>
          <w:tcPr>
            <w:tcW w:w="4280" w:type="dxa"/>
            <w:vAlign w:val="bottom"/>
            <w:gridSpan w:val="17"/>
          </w:tcPr>
          <w:p>
            <w:pPr>
              <w:spacing w:after="0" w:line="142" w:lineRule="exact"/>
              <w:rPr>
                <w:rFonts w:ascii="Arial" w:cs="Arial" w:eastAsia="Arial" w:hAnsi="Arial"/>
                <w:sz w:val="16"/>
                <w:szCs w:val="16"/>
                <w:color w:val="0000FF"/>
              </w:rPr>
            </w:pPr>
            <w:hyperlink r:id="rId282">
              <w:r>
                <w:rPr>
                  <w:rFonts w:ascii="Arial" w:cs="Arial" w:eastAsia="Arial" w:hAnsi="Arial"/>
                  <w:sz w:val="16"/>
                  <w:szCs w:val="16"/>
                  <w:color w:val="0000FF"/>
                </w:rPr>
                <w:t>Form of Restricted Stock Unit Award Agreement for</w:t>
              </w:r>
            </w:hyperlink>
          </w:p>
        </w:tc>
        <w:tc>
          <w:tcPr>
            <w:tcW w:w="1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6"/>
                <w:szCs w:val="16"/>
                <w:color w:val="auto"/>
              </w:rPr>
              <w:t>8-K</w:t>
            </w:r>
          </w:p>
        </w:tc>
        <w:tc>
          <w:tcPr>
            <w:tcW w:w="120" w:type="dxa"/>
            <w:vAlign w:val="bottom"/>
          </w:tcPr>
          <w:p>
            <w:pPr>
              <w:spacing w:after="0"/>
              <w:rPr>
                <w:sz w:val="12"/>
                <w:szCs w:val="12"/>
                <w:color w:val="auto"/>
              </w:rPr>
            </w:pPr>
          </w:p>
        </w:tc>
        <w:tc>
          <w:tcPr>
            <w:tcW w:w="1140" w:type="dxa"/>
            <w:vAlign w:val="bottom"/>
          </w:tcPr>
          <w:p>
            <w:pPr>
              <w:jc w:val="right"/>
              <w:ind w:right="241"/>
              <w:spacing w:after="0" w:line="142" w:lineRule="exact"/>
              <w:rPr>
                <w:sz w:val="20"/>
                <w:szCs w:val="20"/>
                <w:color w:val="auto"/>
              </w:rPr>
            </w:pPr>
            <w:r>
              <w:rPr>
                <w:rFonts w:ascii="Arial" w:cs="Arial" w:eastAsia="Arial" w:hAnsi="Arial"/>
                <w:sz w:val="16"/>
                <w:szCs w:val="16"/>
                <w:color w:val="auto"/>
              </w:rPr>
              <w:t>001-40429</w:t>
            </w:r>
          </w:p>
        </w:tc>
        <w:tc>
          <w:tcPr>
            <w:tcW w:w="120" w:type="dxa"/>
            <w:vAlign w:val="bottom"/>
          </w:tcPr>
          <w:p>
            <w:pPr>
              <w:spacing w:after="0"/>
              <w:rPr>
                <w:sz w:val="12"/>
                <w:szCs w:val="12"/>
                <w:color w:val="auto"/>
              </w:rPr>
            </w:pPr>
          </w:p>
        </w:tc>
        <w:tc>
          <w:tcPr>
            <w:tcW w:w="880" w:type="dxa"/>
            <w:vAlign w:val="bottom"/>
          </w:tcPr>
          <w:p>
            <w:pPr>
              <w:jc w:val="right"/>
              <w:ind w:right="202"/>
              <w:spacing w:after="0" w:line="142"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2"/>
                <w:szCs w:val="12"/>
                <w:color w:val="auto"/>
              </w:rPr>
            </w:pPr>
          </w:p>
        </w:tc>
        <w:tc>
          <w:tcPr>
            <w:tcW w:w="1240" w:type="dxa"/>
            <w:vAlign w:val="bottom"/>
          </w:tcPr>
          <w:p>
            <w:pPr>
              <w:jc w:val="center"/>
              <w:ind w:right="2"/>
              <w:spacing w:after="0" w:line="142" w:lineRule="exact"/>
              <w:rPr>
                <w:sz w:val="20"/>
                <w:szCs w:val="20"/>
                <w:color w:val="auto"/>
              </w:rPr>
            </w:pPr>
            <w:r>
              <w:rPr>
                <w:rFonts w:ascii="Arial" w:cs="Arial" w:eastAsia="Arial" w:hAnsi="Arial"/>
                <w:sz w:val="16"/>
                <w:szCs w:val="16"/>
                <w:color w:val="auto"/>
              </w:rPr>
              <w:t>June 24, 2022</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78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w w:val="99"/>
              </w:rPr>
            </w:pPr>
            <w:hyperlink r:id="rId282">
              <w:r>
                <w:rPr>
                  <w:rFonts w:ascii="Arial" w:cs="Arial" w:eastAsia="Arial" w:hAnsi="Arial"/>
                  <w:sz w:val="17"/>
                  <w:szCs w:val="17"/>
                  <w:color w:val="0000FF"/>
                  <w:w w:val="99"/>
                </w:rPr>
                <w:t>under the 2021 Equity Incentive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11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80" w:type="dxa"/>
            <w:vAlign w:val="bottom"/>
            <w:gridSpan w:val="17"/>
          </w:tcPr>
          <w:p>
            <w:pPr>
              <w:spacing w:after="0" w:line="183" w:lineRule="exact"/>
              <w:rPr>
                <w:sz w:val="20"/>
                <w:szCs w:val="20"/>
                <w:color w:val="auto"/>
              </w:rPr>
            </w:pPr>
            <w:r>
              <w:rPr>
                <w:rFonts w:ascii="Arial" w:cs="Arial" w:eastAsia="Arial" w:hAnsi="Arial"/>
                <w:sz w:val="17"/>
                <w:szCs w:val="17"/>
                <w:color w:val="0000FF"/>
              </w:rPr>
              <w:t>Certification of Principal Executive Officer Pursuant to</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0"/>
          </w:tcPr>
          <w:p>
            <w:pPr>
              <w:spacing w:after="0" w:line="155" w:lineRule="exact"/>
              <w:rPr>
                <w:sz w:val="20"/>
                <w:szCs w:val="20"/>
                <w:color w:val="auto"/>
              </w:rPr>
            </w:pPr>
            <w:r>
              <w:rPr>
                <w:rFonts w:ascii="Arial" w:cs="Arial" w:eastAsia="Arial" w:hAnsi="Arial"/>
                <w:sz w:val="17"/>
                <w:szCs w:val="17"/>
                <w:color w:val="0000FF"/>
              </w:rPr>
              <w:t>Rules 13a-14(a) and 15d-14(a) under the Securities</w:t>
            </w:r>
          </w:p>
        </w:tc>
        <w:tc>
          <w:tcPr>
            <w:tcW w:w="16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16"/>
          </w:tcPr>
          <w:p>
            <w:pPr>
              <w:spacing w:after="0" w:line="155" w:lineRule="exact"/>
              <w:rPr>
                <w:sz w:val="20"/>
                <w:szCs w:val="20"/>
                <w:color w:val="auto"/>
              </w:rPr>
            </w:pPr>
            <w:r>
              <w:rPr>
                <w:rFonts w:ascii="Arial" w:cs="Arial" w:eastAsia="Arial" w:hAnsi="Arial"/>
                <w:sz w:val="17"/>
                <w:szCs w:val="17"/>
                <w:color w:val="0000FF"/>
              </w:rPr>
              <w:t>Exchange Act of 1934, as Adopted Pursuant to Section</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980" w:type="dxa"/>
            <w:vAlign w:val="bottom"/>
            <w:tcBorders>
              <w:top w:val="single" w:sz="8" w:color="0000FF"/>
              <w:bottom w:val="single" w:sz="8" w:color="0000FF"/>
            </w:tcBorders>
            <w:gridSpan w:val="3"/>
          </w:tcPr>
          <w:p>
            <w:pPr>
              <w:spacing w:after="0" w:line="155" w:lineRule="exact"/>
              <w:rPr>
                <w:sz w:val="20"/>
                <w:szCs w:val="20"/>
                <w:color w:val="auto"/>
              </w:rPr>
            </w:pPr>
            <w:r>
              <w:rPr>
                <w:rFonts w:ascii="Arial" w:cs="Arial" w:eastAsia="Arial" w:hAnsi="Arial"/>
                <w:sz w:val="17"/>
                <w:szCs w:val="17"/>
                <w:color w:val="0000FF"/>
                <w:w w:val="99"/>
              </w:rPr>
              <w:t>302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120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80" w:type="dxa"/>
            <w:vAlign w:val="bottom"/>
            <w:gridSpan w:val="17"/>
          </w:tcPr>
          <w:p>
            <w:pPr>
              <w:spacing w:after="0" w:line="183" w:lineRule="exact"/>
              <w:rPr>
                <w:sz w:val="20"/>
                <w:szCs w:val="20"/>
                <w:color w:val="auto"/>
              </w:rPr>
            </w:pPr>
            <w:r>
              <w:rPr>
                <w:rFonts w:ascii="Arial" w:cs="Arial" w:eastAsia="Arial" w:hAnsi="Arial"/>
                <w:sz w:val="17"/>
                <w:szCs w:val="17"/>
                <w:color w:val="0000FF"/>
              </w:rPr>
              <w:t>Certification of Principal Financial Officer Pursuant to</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0"/>
          </w:tcPr>
          <w:p>
            <w:pPr>
              <w:spacing w:after="0" w:line="155" w:lineRule="exact"/>
              <w:rPr>
                <w:sz w:val="20"/>
                <w:szCs w:val="20"/>
                <w:color w:val="auto"/>
              </w:rPr>
            </w:pPr>
            <w:r>
              <w:rPr>
                <w:rFonts w:ascii="Arial" w:cs="Arial" w:eastAsia="Arial" w:hAnsi="Arial"/>
                <w:sz w:val="17"/>
                <w:szCs w:val="17"/>
                <w:color w:val="0000FF"/>
              </w:rPr>
              <w:t>Rules 13a-14(a) and 15d-14(a) under the Securities</w:t>
            </w: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16"/>
          </w:tcPr>
          <w:p>
            <w:pPr>
              <w:spacing w:after="0" w:line="155" w:lineRule="exact"/>
              <w:rPr>
                <w:sz w:val="20"/>
                <w:szCs w:val="20"/>
                <w:color w:val="auto"/>
              </w:rPr>
            </w:pPr>
            <w:r>
              <w:rPr>
                <w:rFonts w:ascii="Arial" w:cs="Arial" w:eastAsia="Arial" w:hAnsi="Arial"/>
                <w:sz w:val="17"/>
                <w:szCs w:val="17"/>
                <w:color w:val="0000FF"/>
              </w:rPr>
              <w:t>Exchange Act of 1934, as Adopted Pursuant to Section</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980" w:type="dxa"/>
            <w:vAlign w:val="bottom"/>
            <w:tcBorders>
              <w:top w:val="single" w:sz="8" w:color="0000FF"/>
              <w:bottom w:val="single" w:sz="8" w:color="0000FF"/>
            </w:tcBorders>
            <w:gridSpan w:val="3"/>
          </w:tcPr>
          <w:p>
            <w:pPr>
              <w:spacing w:after="0" w:line="155" w:lineRule="exact"/>
              <w:rPr>
                <w:sz w:val="20"/>
                <w:szCs w:val="20"/>
                <w:color w:val="auto"/>
              </w:rPr>
            </w:pPr>
            <w:r>
              <w:rPr>
                <w:rFonts w:ascii="Arial" w:cs="Arial" w:eastAsia="Arial" w:hAnsi="Arial"/>
                <w:sz w:val="17"/>
                <w:szCs w:val="17"/>
                <w:color w:val="0000FF"/>
                <w:w w:val="99"/>
              </w:rPr>
              <w:t>302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120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69" w:lineRule="exact"/>
              <w:rPr>
                <w:sz w:val="20"/>
                <w:szCs w:val="20"/>
                <w:color w:val="auto"/>
              </w:rPr>
            </w:pPr>
            <w:r>
              <w:rPr>
                <w:rFonts w:ascii="Arial" w:cs="Arial" w:eastAsia="Arial" w:hAnsi="Arial"/>
                <w:sz w:val="17"/>
                <w:szCs w:val="17"/>
                <w:color w:val="auto"/>
              </w:rPr>
              <w:t>32.1*</w:t>
            </w:r>
          </w:p>
        </w:tc>
        <w:tc>
          <w:tcPr>
            <w:tcW w:w="120" w:type="dxa"/>
            <w:vAlign w:val="bottom"/>
          </w:tcPr>
          <w:p>
            <w:pPr>
              <w:spacing w:after="0"/>
              <w:rPr>
                <w:sz w:val="15"/>
                <w:szCs w:val="15"/>
                <w:color w:val="auto"/>
              </w:rPr>
            </w:pPr>
          </w:p>
        </w:tc>
        <w:tc>
          <w:tcPr>
            <w:tcW w:w="4280" w:type="dxa"/>
            <w:vAlign w:val="bottom"/>
            <w:gridSpan w:val="17"/>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3"/>
          </w:tcPr>
          <w:p>
            <w:pPr>
              <w:spacing w:after="0" w:line="155" w:lineRule="exact"/>
              <w:rPr>
                <w:sz w:val="20"/>
                <w:szCs w:val="20"/>
                <w:color w:val="auto"/>
              </w:rPr>
            </w:pPr>
            <w:r>
              <w:rPr>
                <w:rFonts w:ascii="Arial" w:cs="Arial" w:eastAsia="Arial" w:hAnsi="Arial"/>
                <w:sz w:val="17"/>
                <w:szCs w:val="17"/>
                <w:color w:val="0000FF"/>
              </w:rPr>
              <w:t>18 U.S.C. Section 1350, as Adopted Pursuant to</w:t>
            </w: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600" w:type="dxa"/>
            <w:vAlign w:val="bottom"/>
            <w:tcBorders>
              <w:top w:val="single" w:sz="8" w:color="0000FF"/>
              <w:bottom w:val="single" w:sz="8" w:color="0000FF"/>
            </w:tcBorders>
            <w:gridSpan w:val="6"/>
          </w:tcPr>
          <w:p>
            <w:pPr>
              <w:spacing w:after="0" w:line="155" w:lineRule="exact"/>
              <w:rPr>
                <w:sz w:val="20"/>
                <w:szCs w:val="20"/>
                <w:color w:val="auto"/>
              </w:rPr>
            </w:pPr>
            <w:r>
              <w:rPr>
                <w:rFonts w:ascii="Arial" w:cs="Arial" w:eastAsia="Arial" w:hAnsi="Arial"/>
                <w:sz w:val="17"/>
                <w:szCs w:val="17"/>
                <w:color w:val="0000FF"/>
                <w:w w:val="99"/>
              </w:rPr>
              <w:t>Section 906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69" w:lineRule="exact"/>
              <w:rPr>
                <w:sz w:val="20"/>
                <w:szCs w:val="20"/>
                <w:color w:val="auto"/>
              </w:rPr>
            </w:pPr>
            <w:r>
              <w:rPr>
                <w:rFonts w:ascii="Arial" w:cs="Arial" w:eastAsia="Arial" w:hAnsi="Arial"/>
                <w:sz w:val="17"/>
                <w:szCs w:val="17"/>
                <w:color w:val="auto"/>
              </w:rPr>
              <w:t>32.2*</w:t>
            </w:r>
          </w:p>
        </w:tc>
        <w:tc>
          <w:tcPr>
            <w:tcW w:w="120" w:type="dxa"/>
            <w:vAlign w:val="bottom"/>
          </w:tcPr>
          <w:p>
            <w:pPr>
              <w:spacing w:after="0"/>
              <w:rPr>
                <w:sz w:val="15"/>
                <w:szCs w:val="15"/>
                <w:color w:val="auto"/>
              </w:rPr>
            </w:pPr>
          </w:p>
        </w:tc>
        <w:tc>
          <w:tcPr>
            <w:tcW w:w="4280" w:type="dxa"/>
            <w:vAlign w:val="bottom"/>
            <w:gridSpan w:val="17"/>
          </w:tcPr>
          <w:p>
            <w:pPr>
              <w:spacing w:after="0" w:line="169" w:lineRule="exact"/>
              <w:rPr>
                <w:sz w:val="20"/>
                <w:szCs w:val="20"/>
                <w:color w:val="auto"/>
              </w:rPr>
            </w:pPr>
            <w:r>
              <w:rPr>
                <w:rFonts w:ascii="Arial" w:cs="Arial" w:eastAsia="Arial" w:hAnsi="Arial"/>
                <w:sz w:val="17"/>
                <w:szCs w:val="17"/>
                <w:color w:val="0000FF"/>
              </w:rPr>
              <w:t>Certification of Principal Financial Officer Pursuant to 18</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5"/>
          </w:tcPr>
          <w:p>
            <w:pPr>
              <w:spacing w:after="0" w:line="155" w:lineRule="exact"/>
              <w:rPr>
                <w:sz w:val="20"/>
                <w:szCs w:val="20"/>
                <w:color w:val="auto"/>
              </w:rPr>
            </w:pPr>
            <w:r>
              <w:rPr>
                <w:rFonts w:ascii="Arial" w:cs="Arial" w:eastAsia="Arial" w:hAnsi="Arial"/>
                <w:sz w:val="17"/>
                <w:szCs w:val="17"/>
                <w:color w:val="0000FF"/>
              </w:rPr>
              <w:t>U.S.C. Section 1350, as Adopted Pursuant to Section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020" w:type="dxa"/>
            <w:vAlign w:val="bottom"/>
            <w:tcBorders>
              <w:top w:val="single" w:sz="8" w:color="0000FF"/>
              <w:bottom w:val="single" w:sz="8" w:color="0000EE"/>
            </w:tcBorders>
            <w:gridSpan w:val="5"/>
          </w:tcPr>
          <w:p>
            <w:pPr>
              <w:spacing w:after="0" w:line="155" w:lineRule="exact"/>
              <w:rPr>
                <w:sz w:val="20"/>
                <w:szCs w:val="20"/>
                <w:color w:val="auto"/>
              </w:rPr>
            </w:pPr>
            <w:r>
              <w:rPr>
                <w:rFonts w:ascii="Arial" w:cs="Arial" w:eastAsia="Arial" w:hAnsi="Arial"/>
                <w:sz w:val="17"/>
                <w:szCs w:val="17"/>
                <w:color w:val="0000FF"/>
              </w:rPr>
              <w:t>906 of the Sarbanes-Oxley Act of 2002.</w:t>
            </w:r>
          </w:p>
        </w:tc>
        <w:tc>
          <w:tcPr>
            <w:tcW w:w="1060" w:type="dxa"/>
            <w:vAlign w:val="bottom"/>
            <w:tcBorders>
              <w:top w:val="single" w:sz="8" w:color="0000FF"/>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80" w:type="dxa"/>
            <w:vAlign w:val="bottom"/>
            <w:gridSpan w:val="17"/>
          </w:tcPr>
          <w:p>
            <w:pPr>
              <w:spacing w:after="0" w:line="174" w:lineRule="exact"/>
              <w:rPr>
                <w:sz w:val="20"/>
                <w:szCs w:val="20"/>
                <w:color w:val="auto"/>
              </w:rPr>
            </w:pPr>
            <w:r>
              <w:rPr>
                <w:rFonts w:ascii="Arial" w:cs="Arial" w:eastAsia="Arial" w:hAnsi="Arial"/>
                <w:sz w:val="17"/>
                <w:szCs w:val="17"/>
                <w:color w:val="auto"/>
              </w:rPr>
              <w:t>Inline XBRL Instance Document – the instance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80" w:type="dxa"/>
            <w:vAlign w:val="bottom"/>
            <w:gridSpan w:val="17"/>
          </w:tcPr>
          <w:p>
            <w:pPr>
              <w:spacing w:after="0" w:line="176" w:lineRule="exact"/>
              <w:rPr>
                <w:sz w:val="20"/>
                <w:szCs w:val="20"/>
                <w:color w:val="auto"/>
              </w:rPr>
            </w:pPr>
            <w:r>
              <w:rPr>
                <w:rFonts w:ascii="Arial" w:cs="Arial" w:eastAsia="Arial" w:hAnsi="Arial"/>
                <w:sz w:val="17"/>
                <w:szCs w:val="17"/>
                <w:color w:val="auto"/>
              </w:rPr>
              <w:t>document does not appear in the Interactive Data File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80" w:type="dxa"/>
            <w:vAlign w:val="bottom"/>
            <w:gridSpan w:val="17"/>
          </w:tcPr>
          <w:p>
            <w:pPr>
              <w:spacing w:after="0" w:line="176" w:lineRule="exact"/>
              <w:rPr>
                <w:sz w:val="20"/>
                <w:szCs w:val="20"/>
                <w:color w:val="auto"/>
              </w:rPr>
            </w:pPr>
            <w:r>
              <w:rPr>
                <w:rFonts w:ascii="Arial" w:cs="Arial" w:eastAsia="Arial" w:hAnsi="Arial"/>
                <w:sz w:val="17"/>
                <w:szCs w:val="17"/>
                <w:color w:val="auto"/>
              </w:rPr>
              <w:t>because XBRL tags are embedded within the Inline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gridSpan w:val="17"/>
          </w:tcPr>
          <w:p>
            <w:pPr>
              <w:spacing w:after="0"/>
              <w:rPr>
                <w:sz w:val="20"/>
                <w:szCs w:val="20"/>
                <w:color w:val="auto"/>
              </w:rPr>
            </w:pPr>
            <w:r>
              <w:rPr>
                <w:rFonts w:ascii="Arial" w:cs="Arial" w:eastAsia="Arial" w:hAnsi="Arial"/>
                <w:sz w:val="17"/>
                <w:szCs w:val="17"/>
                <w:color w:val="auto"/>
              </w:rPr>
              <w:t>XBRL document.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20" w:type="dxa"/>
            <w:vAlign w:val="bottom"/>
          </w:tcPr>
          <w:p>
            <w:pPr>
              <w:ind w:left="20"/>
              <w:spacing w:after="0"/>
              <w:rPr>
                <w:sz w:val="20"/>
                <w:szCs w:val="20"/>
                <w:color w:val="auto"/>
              </w:rPr>
            </w:pPr>
            <w:r>
              <w:rPr>
                <w:rFonts w:ascii="Arial" w:cs="Arial" w:eastAsia="Arial" w:hAnsi="Arial"/>
                <w:sz w:val="17"/>
                <w:szCs w:val="17"/>
                <w:color w:val="auto"/>
              </w:rPr>
              <w:t>101.SCH</w:t>
            </w:r>
          </w:p>
        </w:tc>
        <w:tc>
          <w:tcPr>
            <w:tcW w:w="120" w:type="dxa"/>
            <w:vAlign w:val="bottom"/>
          </w:tcPr>
          <w:p>
            <w:pPr>
              <w:spacing w:after="0"/>
              <w:rPr>
                <w:sz w:val="19"/>
                <w:szCs w:val="19"/>
                <w:color w:val="auto"/>
              </w:rPr>
            </w:pPr>
          </w:p>
        </w:tc>
        <w:tc>
          <w:tcPr>
            <w:tcW w:w="4280" w:type="dxa"/>
            <w:vAlign w:val="bottom"/>
            <w:gridSpan w:val="17"/>
          </w:tcPr>
          <w:p>
            <w:pPr>
              <w:spacing w:after="0"/>
              <w:rPr>
                <w:sz w:val="20"/>
                <w:szCs w:val="20"/>
                <w:color w:val="auto"/>
              </w:rPr>
            </w:pPr>
            <w:r>
              <w:rPr>
                <w:rFonts w:ascii="Arial" w:cs="Arial" w:eastAsia="Arial" w:hAnsi="Arial"/>
                <w:sz w:val="17"/>
                <w:szCs w:val="17"/>
                <w:color w:val="auto"/>
              </w:rPr>
              <w:t>Inline XBRL Taxonomy Extension Schema Document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920" w:type="dxa"/>
            <w:vAlign w:val="bottom"/>
          </w:tcPr>
          <w:p>
            <w:pPr>
              <w:ind w:left="20"/>
              <w:spacing w:after="0"/>
              <w:rPr>
                <w:sz w:val="20"/>
                <w:szCs w:val="20"/>
                <w:color w:val="auto"/>
              </w:rPr>
            </w:pPr>
            <w:r>
              <w:rPr>
                <w:rFonts w:ascii="Arial" w:cs="Arial" w:eastAsia="Arial" w:hAnsi="Arial"/>
                <w:sz w:val="17"/>
                <w:szCs w:val="17"/>
                <w:color w:val="auto"/>
              </w:rPr>
              <w:t>101.CAL</w:t>
            </w:r>
          </w:p>
        </w:tc>
        <w:tc>
          <w:tcPr>
            <w:tcW w:w="120" w:type="dxa"/>
            <w:vAlign w:val="bottom"/>
          </w:tcPr>
          <w:p>
            <w:pPr>
              <w:spacing w:after="0"/>
              <w:rPr>
                <w:sz w:val="24"/>
                <w:szCs w:val="24"/>
                <w:color w:val="auto"/>
              </w:rPr>
            </w:pPr>
          </w:p>
        </w:tc>
        <w:tc>
          <w:tcPr>
            <w:tcW w:w="4280" w:type="dxa"/>
            <w:vAlign w:val="bottom"/>
            <w:gridSpan w:val="17"/>
          </w:tcPr>
          <w:p>
            <w:pPr>
              <w:spacing w:after="0"/>
              <w:rPr>
                <w:sz w:val="20"/>
                <w:szCs w:val="20"/>
                <w:color w:val="auto"/>
              </w:rPr>
            </w:pPr>
            <w:r>
              <w:rPr>
                <w:rFonts w:ascii="Arial" w:cs="Arial" w:eastAsia="Arial" w:hAnsi="Arial"/>
                <w:sz w:val="17"/>
                <w:szCs w:val="17"/>
                <w:color w:val="auto"/>
              </w:rPr>
              <w:t>Inline XBRL Taxonomy Extension Calculation Linkbase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17"/>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Pr>
          <w:p>
            <w:pPr>
              <w:ind w:left="20"/>
              <w:spacing w:after="0" w:line="176" w:lineRule="exact"/>
              <w:rPr>
                <w:sz w:val="20"/>
                <w:szCs w:val="20"/>
                <w:color w:val="auto"/>
              </w:rPr>
            </w:pPr>
            <w:r>
              <w:rPr>
                <w:rFonts w:ascii="Arial" w:cs="Arial" w:eastAsia="Arial" w:hAnsi="Arial"/>
                <w:sz w:val="17"/>
                <w:szCs w:val="17"/>
                <w:color w:val="auto"/>
              </w:rPr>
              <w:t>101.DEF</w:t>
            </w:r>
          </w:p>
        </w:tc>
        <w:tc>
          <w:tcPr>
            <w:tcW w:w="120" w:type="dxa"/>
            <w:vAlign w:val="bottom"/>
          </w:tcPr>
          <w:p>
            <w:pPr>
              <w:spacing w:after="0"/>
              <w:rPr>
                <w:sz w:val="15"/>
                <w:szCs w:val="15"/>
                <w:color w:val="auto"/>
              </w:rPr>
            </w:pPr>
          </w:p>
        </w:tc>
        <w:tc>
          <w:tcPr>
            <w:tcW w:w="4280" w:type="dxa"/>
            <w:vAlign w:val="bottom"/>
            <w:gridSpan w:val="17"/>
          </w:tcPr>
          <w:p>
            <w:pPr>
              <w:spacing w:after="0" w:line="176" w:lineRule="exact"/>
              <w:rPr>
                <w:sz w:val="20"/>
                <w:szCs w:val="20"/>
                <w:color w:val="auto"/>
              </w:rPr>
            </w:pPr>
            <w:r>
              <w:rPr>
                <w:rFonts w:ascii="Arial" w:cs="Arial" w:eastAsia="Arial" w:hAnsi="Arial"/>
                <w:sz w:val="17"/>
                <w:szCs w:val="17"/>
                <w:color w:val="auto"/>
              </w:rPr>
              <w:t>Inline XBRL Taxonomy Extension Definition Linkbase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17"/>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Pr>
          <w:p>
            <w:pPr>
              <w:ind w:left="20"/>
              <w:spacing w:after="0" w:line="176" w:lineRule="exact"/>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5"/>
                <w:szCs w:val="15"/>
                <w:color w:val="auto"/>
              </w:rPr>
            </w:pPr>
          </w:p>
        </w:tc>
        <w:tc>
          <w:tcPr>
            <w:tcW w:w="4280" w:type="dxa"/>
            <w:vAlign w:val="bottom"/>
            <w:gridSpan w:val="17"/>
          </w:tcPr>
          <w:p>
            <w:pPr>
              <w:spacing w:after="0" w:line="176" w:lineRule="exact"/>
              <w:rPr>
                <w:sz w:val="20"/>
                <w:szCs w:val="20"/>
                <w:color w:val="auto"/>
              </w:rPr>
            </w:pPr>
            <w:r>
              <w:rPr>
                <w:rFonts w:ascii="Arial" w:cs="Arial" w:eastAsia="Arial" w:hAnsi="Arial"/>
                <w:sz w:val="17"/>
                <w:szCs w:val="17"/>
                <w:color w:val="auto"/>
              </w:rPr>
              <w:t>Inline XBRL Taxonomy Extension Label Linkbase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17"/>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Pr>
          <w:p>
            <w:pPr>
              <w:ind w:left="20"/>
              <w:spacing w:after="0" w:line="176" w:lineRule="exact"/>
              <w:rPr>
                <w:sz w:val="20"/>
                <w:szCs w:val="20"/>
                <w:color w:val="auto"/>
              </w:rPr>
            </w:pPr>
            <w:r>
              <w:rPr>
                <w:rFonts w:ascii="Arial" w:cs="Arial" w:eastAsia="Arial" w:hAnsi="Arial"/>
                <w:sz w:val="17"/>
                <w:szCs w:val="17"/>
                <w:color w:val="auto"/>
              </w:rPr>
              <w:t>101.PRE</w:t>
            </w:r>
          </w:p>
        </w:tc>
        <w:tc>
          <w:tcPr>
            <w:tcW w:w="120" w:type="dxa"/>
            <w:vAlign w:val="bottom"/>
          </w:tcPr>
          <w:p>
            <w:pPr>
              <w:spacing w:after="0"/>
              <w:rPr>
                <w:sz w:val="15"/>
                <w:szCs w:val="15"/>
                <w:color w:val="auto"/>
              </w:rPr>
            </w:pPr>
          </w:p>
        </w:tc>
        <w:tc>
          <w:tcPr>
            <w:tcW w:w="4280" w:type="dxa"/>
            <w:vAlign w:val="bottom"/>
            <w:gridSpan w:val="17"/>
          </w:tcPr>
          <w:p>
            <w:pPr>
              <w:spacing w:after="0" w:line="176" w:lineRule="exact"/>
              <w:rPr>
                <w:sz w:val="20"/>
                <w:szCs w:val="20"/>
                <w:color w:val="auto"/>
              </w:rPr>
            </w:pPr>
            <w:r>
              <w:rPr>
                <w:rFonts w:ascii="Arial" w:cs="Arial" w:eastAsia="Arial" w:hAnsi="Arial"/>
                <w:sz w:val="17"/>
                <w:szCs w:val="17"/>
                <w:color w:val="auto"/>
              </w:rPr>
              <w:t>Inline XBRL Taxonomy Extension Presentation</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80" w:type="dxa"/>
            <w:vAlign w:val="bottom"/>
            <w:gridSpan w:val="17"/>
          </w:tcPr>
          <w:p>
            <w:pPr>
              <w:spacing w:after="0"/>
              <w:rPr>
                <w:sz w:val="20"/>
                <w:szCs w:val="20"/>
                <w:color w:val="auto"/>
              </w:rPr>
            </w:pPr>
            <w:r>
              <w:rPr>
                <w:rFonts w:ascii="Arial" w:cs="Arial" w:eastAsia="Arial" w:hAnsi="Arial"/>
                <w:sz w:val="17"/>
                <w:szCs w:val="17"/>
                <w:color w:val="auto"/>
              </w:rPr>
              <w:t>Linkbase Document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160" w:right="6000" w:hanging="1024"/>
        <w:spacing w:after="0"/>
        <w:tabs>
          <w:tab w:leader="none" w:pos="11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116" w:lineRule="exact"/>
        <w:rPr>
          <w:rFonts w:ascii="Arial" w:cs="Arial" w:eastAsia="Arial" w:hAnsi="Arial"/>
          <w:sz w:val="17"/>
          <w:szCs w:val="17"/>
          <w:color w:val="auto"/>
        </w:rPr>
      </w:pPr>
    </w:p>
    <w:p>
      <w:pPr>
        <w:ind w:left="480" w:hanging="436"/>
        <w:spacing w:after="0"/>
        <w:tabs>
          <w:tab w:leader="none" w:pos="480" w:val="left"/>
        </w:tabs>
        <w:numPr>
          <w:ilvl w:val="1"/>
          <w:numId w:val="17"/>
        </w:numPr>
        <w:rPr>
          <w:rFonts w:ascii="Times New Roman" w:cs="Times New Roman" w:eastAsia="Times New Roman" w:hAnsi="Times New Roman"/>
          <w:sz w:val="14"/>
          <w:szCs w:val="14"/>
          <w:color w:val="auto"/>
        </w:rPr>
      </w:pPr>
      <w:r>
        <w:rPr>
          <w:rFonts w:ascii="Arial" w:cs="Arial" w:eastAsia="Arial" w:hAnsi="Arial"/>
          <w:sz w:val="18"/>
          <w:szCs w:val="18"/>
          <w:color w:val="auto"/>
        </w:rPr>
        <w:t>Indicates a management contract or compensatory plan or arrangement.</w:t>
      </w:r>
    </w:p>
    <w:p>
      <w:pPr>
        <w:spacing w:after="0" w:line="103" w:lineRule="exact"/>
        <w:rPr>
          <w:rFonts w:ascii="Times New Roman" w:cs="Times New Roman" w:eastAsia="Times New Roman" w:hAnsi="Times New Roman"/>
          <w:sz w:val="14"/>
          <w:szCs w:val="14"/>
          <w:color w:val="auto"/>
        </w:rPr>
      </w:pPr>
    </w:p>
    <w:p>
      <w:pPr>
        <w:ind w:right="20" w:firstLine="36"/>
        <w:spacing w:after="0" w:line="252" w:lineRule="auto"/>
        <w:rPr>
          <w:rFonts w:ascii="Times New Roman" w:cs="Times New Roman" w:eastAsia="Times New Roman" w:hAnsi="Times New Roman"/>
          <w:sz w:val="14"/>
          <w:szCs w:val="14"/>
          <w:color w:val="auto"/>
        </w:rPr>
      </w:pPr>
      <w:r>
        <w:rPr>
          <w:rFonts w:ascii="Arial" w:cs="Arial" w:eastAsia="Arial" w:hAnsi="Arial"/>
          <w:sz w:val="18"/>
          <w:szCs w:val="18"/>
          <w:color w:val="auto"/>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9" w:right="439" w:bottom="1440" w:gutter="0" w:footer="0" w:header="0"/>
        </w:sectPr>
      </w:pPr>
    </w:p>
    <w:bookmarkStart w:id="38" w:name="page39"/>
    <w:bookmarkEnd w:id="38"/>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PAYMENTUS HOLDINGS, INC.</w:t>
      </w:r>
    </w:p>
    <w:p>
      <w:pPr>
        <w:spacing w:after="0" w:line="198"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August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20"/>
        <w:spacing w:after="0" w:line="234" w:lineRule="auto"/>
        <w:rPr>
          <w:sz w:val="20"/>
          <w:szCs w:val="20"/>
          <w:color w:val="auto"/>
        </w:rPr>
      </w:pPr>
      <w:r>
        <w:rPr>
          <w:rFonts w:ascii="Arial" w:cs="Arial" w:eastAsia="Arial" w:hAnsi="Arial"/>
          <w:sz w:val="18"/>
          <w:szCs w:val="18"/>
          <w:b w:val="1"/>
          <w:bCs w:val="1"/>
          <w:color w:val="auto"/>
        </w:rPr>
        <w:t>Chairman, President and Chief Executive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Executive Officer)</w:t>
      </w:r>
    </w:p>
    <w:p>
      <w:pPr>
        <w:spacing w:after="0" w:line="180"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August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 Parson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ind w:left="612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3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23" w:right="739" w:bottom="1440" w:gutter="0" w:footer="0" w:header="0"/>
        </w:sectPr>
      </w:pPr>
    </w:p>
    <w:bookmarkStart w:id="39" w:name="page40"/>
    <w:bookmarkEnd w:id="39"/>
    <w:p>
      <w:pPr>
        <w:ind w:left="8520"/>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0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08"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60" w:hanging="372"/>
        <w:spacing w:after="0" w:line="266"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00" w:hanging="372"/>
        <w:spacing w:after="0" w:line="286"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6"/>
          <w:szCs w:val="16"/>
          <w:color w:val="auto"/>
        </w:rPr>
      </w:pPr>
    </w:p>
    <w:p>
      <w:pPr>
        <w:ind w:left="380" w:right="680" w:hanging="372"/>
        <w:spacing w:after="0" w:line="286"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88" w:lineRule="exact"/>
        <w:rPr>
          <w:rFonts w:ascii="Arial" w:cs="Arial" w:eastAsia="Arial" w:hAnsi="Arial"/>
          <w:sz w:val="16"/>
          <w:szCs w:val="16"/>
          <w:color w:val="auto"/>
        </w:rPr>
      </w:pPr>
    </w:p>
    <w:p>
      <w:pPr>
        <w:ind w:left="1060" w:right="160" w:hanging="678"/>
        <w:spacing w:after="0" w:line="257" w:lineRule="auto"/>
        <w:tabs>
          <w:tab w:leader="none" w:pos="7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60" w:right="400" w:hanging="678"/>
        <w:spacing w:after="0" w:line="286" w:lineRule="auto"/>
        <w:tabs>
          <w:tab w:leader="none" w:pos="7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6"/>
          <w:szCs w:val="16"/>
          <w:color w:val="auto"/>
        </w:rPr>
      </w:pPr>
    </w:p>
    <w:p>
      <w:pPr>
        <w:ind w:left="1060" w:right="340" w:hanging="678"/>
        <w:spacing w:after="0" w:line="286" w:lineRule="auto"/>
        <w:tabs>
          <w:tab w:leader="none" w:pos="7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280" w:hanging="678"/>
        <w:spacing w:after="0" w:line="268" w:lineRule="auto"/>
        <w:tabs>
          <w:tab w:leader="none" w:pos="7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0"/>
        <w:spacing w:after="0"/>
        <w:tabs>
          <w:tab w:leader="none" w:pos="5640" w:val="left"/>
          <w:tab w:leader="none" w:pos="7820" w:val="left"/>
        </w:tabs>
        <w:rPr>
          <w:sz w:val="20"/>
          <w:szCs w:val="20"/>
          <w:color w:val="auto"/>
        </w:rPr>
      </w:pPr>
      <w:r>
        <w:rPr>
          <w:rFonts w:ascii="Arial" w:cs="Arial" w:eastAsia="Arial" w:hAnsi="Arial"/>
          <w:sz w:val="16"/>
          <w:szCs w:val="16"/>
          <w:color w:val="auto"/>
        </w:rPr>
        <w:t>Date: August 5,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20955</wp:posOffset>
            </wp:positionV>
            <wp:extent cx="33172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0" w:name="page41"/>
    <w:bookmarkEnd w:id="40"/>
    <w:p>
      <w:pPr>
        <w:ind w:left="1030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ind w:right="-19"/>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Matt Parson, certify that:</w:t>
      </w:r>
    </w:p>
    <w:p>
      <w:pPr>
        <w:spacing w:after="0" w:line="208"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60" w:hanging="372"/>
        <w:spacing w:after="0" w:line="266"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00" w:hanging="372"/>
        <w:spacing w:after="0" w:line="286"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6"/>
          <w:szCs w:val="16"/>
          <w:color w:val="auto"/>
        </w:rPr>
      </w:pPr>
    </w:p>
    <w:p>
      <w:pPr>
        <w:ind w:left="380" w:right="680" w:hanging="372"/>
        <w:spacing w:after="0" w:line="286"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88" w:lineRule="exact"/>
        <w:rPr>
          <w:rFonts w:ascii="Arial" w:cs="Arial" w:eastAsia="Arial" w:hAnsi="Arial"/>
          <w:sz w:val="16"/>
          <w:szCs w:val="16"/>
          <w:color w:val="auto"/>
        </w:rPr>
      </w:pPr>
    </w:p>
    <w:p>
      <w:pPr>
        <w:ind w:left="1060" w:right="160" w:hanging="678"/>
        <w:spacing w:after="0" w:line="257" w:lineRule="auto"/>
        <w:tabs>
          <w:tab w:leader="none" w:pos="746"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60" w:right="400" w:hanging="678"/>
        <w:spacing w:after="0" w:line="286" w:lineRule="auto"/>
        <w:tabs>
          <w:tab w:leader="none" w:pos="746"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6"/>
          <w:szCs w:val="16"/>
          <w:color w:val="auto"/>
        </w:rPr>
      </w:pPr>
    </w:p>
    <w:p>
      <w:pPr>
        <w:ind w:left="1060" w:right="340" w:hanging="678"/>
        <w:spacing w:after="0" w:line="286" w:lineRule="auto"/>
        <w:tabs>
          <w:tab w:leader="none" w:pos="746"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280" w:hanging="678"/>
        <w:spacing w:after="0" w:line="268" w:lineRule="auto"/>
        <w:tabs>
          <w:tab w:leader="none" w:pos="746"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6"/>
          <w:szCs w:val="16"/>
          <w:color w:val="auto"/>
        </w:rPr>
        <w:t>Date: August 5,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20955</wp:posOffset>
            </wp:positionV>
            <wp:extent cx="33172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Matt Parson</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Financial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40" w:firstLine="578"/>
        <w:spacing w:after="0" w:line="257"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June 30, 2022 as filed with the Securities and Exchange Commission on the date hereof (the “Report”), I certify, pursuant to 18 U.S.C. § 1350, as adopted pursuant to § 906 of the Sarbanes-Oxley Act of 2002, that:</w:t>
      </w:r>
    </w:p>
    <w:p>
      <w:pPr>
        <w:spacing w:after="0" w:line="192" w:lineRule="exact"/>
        <w:rPr>
          <w:sz w:val="20"/>
          <w:szCs w:val="20"/>
          <w:color w:val="auto"/>
        </w:rPr>
      </w:pPr>
    </w:p>
    <w:p>
      <w:pPr>
        <w:ind w:left="1020" w:hanging="999"/>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20" w:right="800" w:hanging="899"/>
        <w:spacing w:after="0" w:line="268"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5640" w:val="left"/>
          <w:tab w:leader="none" w:pos="7860" w:val="left"/>
        </w:tabs>
        <w:rPr>
          <w:sz w:val="20"/>
          <w:szCs w:val="20"/>
          <w:color w:val="auto"/>
        </w:rPr>
      </w:pPr>
      <w:r>
        <w:rPr>
          <w:rFonts w:ascii="Arial" w:cs="Arial" w:eastAsia="Arial" w:hAnsi="Arial"/>
          <w:sz w:val="16"/>
          <w:szCs w:val="16"/>
          <w:color w:val="auto"/>
        </w:rPr>
        <w:t>Date: August 5,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20955</wp:posOffset>
            </wp:positionV>
            <wp:extent cx="33172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40" w:firstLine="578"/>
        <w:spacing w:after="0" w:line="257"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June 30, 2022 as filed with the Securities and Exchange Commission on the date hereof (the “Report”), I certify, pursuant to 18 U.S.C. § 1350, as adopted pursuant to § 906 of the Sarbanes-Oxley Act of 2002, that:</w:t>
      </w:r>
    </w:p>
    <w:p>
      <w:pPr>
        <w:spacing w:after="0" w:line="192" w:lineRule="exact"/>
        <w:rPr>
          <w:sz w:val="20"/>
          <w:szCs w:val="20"/>
          <w:color w:val="auto"/>
        </w:rPr>
      </w:pPr>
    </w:p>
    <w:p>
      <w:pPr>
        <w:ind w:left="1020" w:hanging="999"/>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right="680" w:hanging="1019"/>
        <w:spacing w:after="0" w:line="268"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20"/>
        <w:spacing w:after="0"/>
        <w:tabs>
          <w:tab w:leader="none" w:pos="5640" w:val="left"/>
          <w:tab w:leader="none" w:pos="8060" w:val="left"/>
        </w:tabs>
        <w:rPr>
          <w:sz w:val="20"/>
          <w:szCs w:val="20"/>
          <w:color w:val="auto"/>
        </w:rPr>
      </w:pPr>
      <w:r>
        <w:rPr>
          <w:rFonts w:ascii="Arial" w:cs="Arial" w:eastAsia="Arial" w:hAnsi="Arial"/>
          <w:sz w:val="16"/>
          <w:szCs w:val="16"/>
          <w:color w:val="auto"/>
        </w:rPr>
        <w:t>Date: August 5,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20955</wp:posOffset>
            </wp:positionV>
            <wp:extent cx="33172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Matt Parson</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Chief Financial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lvl w:ilvl="1">
      <w:lvlJc w:val="left"/>
      <w:lvlText w:val="•"/>
      <w:numFmt w:val="bullet"/>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decimal"/>
      <w:start w:val="7"/>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82" Type="http://schemas.openxmlformats.org/officeDocument/2006/relationships/hyperlink" Target="https://www.sec.gov/Archives/edgar/data/1841156/000095017022012123/pay-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2022-08-05T16:28:28Z</dcterms:created>
  <dcterms:modified xsi:type="dcterms:W3CDTF">2022-08-05T16:28:28Z</dcterms:modified>
</cp:coreProperties>
</file>