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389890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381635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PAYMENTUS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217170</wp:posOffset>
            </wp:positionV>
            <wp:extent cx="252031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PAYMENTUS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11605 NORTH COMMUNITY HOUSE ROAD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at 1:00 p.m., Eastern Time, on Friday, June 5,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Paymentus Holdings, Inc., to be held on Friday, June 5, 2026 at 1:00 p.m., Eastern Time. The annual meeting will be conducted virtually via live audio webcast in order to allow our stockholders to participate from any location and to reduce the environmental impact of the meeting. We are committed to ensuring that stockholders are afforded the same rights and opportunities to participate as they would at an in-person meeting. You will be able to attend the annual meeting virtually by visiting www.virtualshareholdermeeting.com/PAY2026, where you will be able to listen to the meeting live, submit questions and vote online.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holding the annual meeting to act upon the following matters, as more fully described in the accompanying proxy statement:</w:t>
      </w:r>
    </w:p>
    <w:p>
      <w:pPr>
        <w:spacing w:after="0" w:line="131" w:lineRule="exact"/>
        <w:rPr>
          <w:sz w:val="20"/>
          <w:szCs w:val="20"/>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hold office until our 2029 annual meeting of stockholders and until their respective successors are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our fiscal year ending December 31, 2026;</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for the fiscal year ended December 31, 2025, as disclosed in the proxy statement pursuant to the compensation disclosure rules of the U.S. Securities and Exchange Commission;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whether the above “say-on-pay” advisory vote should occur every one, two or three years;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other business that may properly come before the annual meeting or any adjournments or postponements thereof.</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9, 2026 as the record date for the annual meeting. Only stockholders of record on April 9, 2026 are entitled to notice of and to vote at the annual meeting. Further information regarding voting rights and the matters to be voted upon is presented in the accompanying proxy statement.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2026 Annual Meeting of Stockholders to Be Held on Friday, June 5, 2026. </w:t>
      </w:r>
      <w:r>
        <w:rPr>
          <w:rFonts w:ascii="Times New Roman" w:cs="Times New Roman" w:eastAsia="Times New Roman" w:hAnsi="Times New Roman"/>
          <w:sz w:val="18"/>
          <w:szCs w:val="18"/>
          <w:color w:val="auto"/>
        </w:rPr>
        <w:t>We are mailing to our stockholders a Notice of Internet Availability of Proxy Materials, or the Notice, containing instructions on how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over the Internet our proxy statement for our annual meeting and our annual report to stockholders. The Notice provides instructions on how to vote and includes instructions on how to receive a copy of our proxy materials and annual report by mail or e-mail. The Notice, our proxy statement and our annual report to stockholders can be accessed directly at the following Internet address: www.proxyvote.com, using the 16-digit control number located on the Notice or, if you requested to receive a printed copy of the proxy materials, your accompanying proxy card.</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the directors, management and employees of Paymentus, thank you for your continued support of and ownership in our company.</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92583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Dushyant Sharma</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April 22, 2026</w:t>
      </w:r>
    </w:p>
    <w:p>
      <w:pPr>
        <w:sectPr>
          <w:pgSz w:w="11900" w:h="16838" w:orient="portrait"/>
          <w:cols w:equalWidth="0" w:num="1">
            <w:col w:w="11080"/>
          </w:cols>
          <w:pgMar w:left="320" w:top="482"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QUESTIONS AND ANSWERS ABOUT THE PROXY MATERIALS AND OUR ANNUAL MEETING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OF DIRECTORS AND CORPORATE GOVERNANCE</w:t>
            </w:r>
          </w:p>
        </w:tc>
        <w:tc>
          <w:tcPr>
            <w:tcW w:w="2860" w:type="dxa"/>
            <w:vAlign w:val="bottom"/>
            <w:tcBorders>
              <w:top w:val="single" w:sz="8" w:color="0000EE"/>
            </w:tcBorders>
            <w:gridSpan w:val="4"/>
          </w:tcPr>
          <w:p>
            <w:pPr>
              <w:spacing w:after="0"/>
              <w:rPr>
                <w:sz w:val="17"/>
                <w:szCs w:val="17"/>
                <w:color w:val="auto"/>
              </w:rPr>
            </w:pPr>
          </w:p>
        </w:tc>
        <w:tc>
          <w:tcPr>
            <w:tcW w:w="25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02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THREE CLASS II DIRECTORS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PROPOSAL NO. 2: RATIFICATION OF APPOINTMENT OF INDEPENDENT REGISTERED PUBLIC ACCOUNTING FIRM</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94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78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 ADVISORY VOTE ON EXECUTIVE COMPENSATION</w:t>
            </w:r>
          </w:p>
        </w:tc>
        <w:tc>
          <w:tcPr>
            <w:tcW w:w="446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97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4: ADVISORY VOTE ON THE FREQUENCY OF THE ADVISORY VOTE ON EXECUTIVE COMPENSATION</w:t>
            </w: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30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REPORT OF THE COMPENSATION COMMITTEE</w:t>
            </w:r>
          </w:p>
        </w:tc>
        <w:tc>
          <w:tcPr>
            <w:tcW w:w="630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76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102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67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RELATED PERSON TRANSACTIONS</w:t>
            </w:r>
          </w:p>
        </w:tc>
        <w:tc>
          <w:tcPr>
            <w:tcW w:w="348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CORPORATE RESPONSIBILITY HIGHLIGHTS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3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654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APPENDIX A</w:t>
            </w:r>
          </w:p>
        </w:tc>
        <w:tc>
          <w:tcPr>
            <w:tcW w:w="8740" w:type="dxa"/>
            <w:vAlign w:val="bottom"/>
            <w:gridSpan w:val="1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PAYMENTUS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To Be Held at 1:00 p.m., Eastern Time, on Friday, June 5, 2026</w:t>
      </w:r>
    </w:p>
    <w:p>
      <w:pPr>
        <w:spacing w:after="0" w:line="20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Throughout this proxy statement, we refer to Paymentus Holdings, Inc. as “we,” “our,” “us,” “Paymentus” and the “Company.”</w:t>
      </w:r>
    </w:p>
    <w:p>
      <w:pPr>
        <w:spacing w:after="0" w:line="38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proxy statement and the form of proxy are furnished in connection with the solicitation of proxies by our board of directors for use at the 2026 annual meeting of stockholders of Paymentus Holdings, Inc., a Delaware corporation, and any postponements, adjournments or continuations thereof. The annual meeting will be held on Friday, June 5, 2026 at 1:00 p.m., Eastern Time. The annual meeting will be conducted virtually via live audio webcast. You will be able to attend the annual meeting virtually by visiting www.virtualshareholdermeeting.com/PAY2026, where you will be able to listen to the meeting live, submit questions and vote online during the meeting.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or Notice, containing instructions on how to access this proxy statement, the accompanying notice of annual meeting and form of proxy, and our annual report, is first being sent or given on or about April 22, 2026 to all stockholders of record as of April 9, 2026. The proxy materials and our annual report can be accessed as of April 22, 2026 by visiting https://ir.paymentus.com/financials/sec-filings. If you receive a Notice, then you will not receive a printed copy of the proxy materials or our annual report in the mail unless you specifically request these materials. Instructions for requesting a printed copy of the proxy materials and our annual report are set forth in the Notice.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proposals will be voted on at the annual meeting:</w:t>
      </w:r>
    </w:p>
    <w:p>
      <w:pPr>
        <w:spacing w:after="0" w:line="131" w:lineRule="exact"/>
        <w:rPr>
          <w:sz w:val="20"/>
          <w:szCs w:val="20"/>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to hold office until our 2029 annual meeting of stockholders and until their respective successors are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December 31, 2026;</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our named executive officers, as disclosed in this proxy statement pursuant to the compensation disclosure rules of the Securities and Exchange Commission, or the SEC;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on an advisory basis, as to whether the above “say-on-pay” advisory vote should occur every one, two or three years.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management and board of directors were not aware of any other matters to be presented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27" w:lineRule="exact"/>
        <w:rPr>
          <w:sz w:val="20"/>
          <w:szCs w:val="20"/>
          <w:color w:val="auto"/>
        </w:rPr>
      </w:pPr>
    </w:p>
    <w:p>
      <w:pPr>
        <w:ind w:left="5520" w:right="5240" w:hanging="4864"/>
        <w:spacing w:after="0" w:line="370" w:lineRule="auto"/>
        <w:tabs>
          <w:tab w:leader="none" w:pos="10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 ALL</w:t>
      </w:r>
      <w:r>
        <w:rPr>
          <w:rFonts w:ascii="Times New Roman" w:cs="Times New Roman" w:eastAsia="Times New Roman" w:hAnsi="Times New Roman"/>
          <w:sz w:val="17"/>
          <w:szCs w:val="17"/>
          <w:color w:val="auto"/>
        </w:rPr>
        <w:t>” the director nominees named in this proxy statement; -1-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18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as our independent registered public accounting firm for our fiscal year ending December 31, 2026;</w:t>
      </w:r>
    </w:p>
    <w:p>
      <w:pPr>
        <w:spacing w:after="0" w:line="60" w:lineRule="exact"/>
        <w:rPr>
          <w:rFonts w:ascii="Times New Roman" w:cs="Times New Roman" w:eastAsia="Times New Roman" w:hAnsi="Times New Roman"/>
          <w:sz w:val="18"/>
          <w:szCs w:val="18"/>
          <w:color w:val="auto"/>
        </w:rPr>
      </w:pPr>
    </w:p>
    <w:p>
      <w:pPr>
        <w:ind w:left="1080" w:right="118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the compensation of our named executive officers, as disclosed in this proxy statement pursuant to the compensation disclosure rules of the SEC;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option of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frequency with which stockholders are provided the advisory vote on executive compensation.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other matter that properly comes before the annual meeting, the proxy holders will vote in accordance with their judgment on such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A and Class B common stock as of the close of business on April 9, 2026, the record date for the annual meeting, are entitled to notice of and to vote at the annual meeting and any postponement or adjournment of the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can be voted at the annual meeting?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record date, there were 62,936,502 shares of our Class A common stock outstanding and 62,852,835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matter properly brought before the annual meeting, and each share of Class B common stock is entitled to ten votes on each matter properly brought before the annual meeting. Our Class A common stock and Class B common stock are collectively referred to in this proxy statement as our common stock.</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Through their ownership of Class B common stock, can Accel-KKR and our founder and chief executive officer determine the outcome of the proposals?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Yes. Our Class B common stock has ten votes per share and our Class A common stock has one vote per share. Because of the ten-to-one voting ratio between our Class B common stock and Class A common stock, as of the record date, Accel-KKR, or AKKR, and our founder and chief executive officer collectively controlled more than 50% of the voting power of our outstanding common stock and therefore are able to control all matters submitted to our stockholders for approval at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summarized below, there are some distinctions between shares held of record and those owned beneficially, or in “street name.”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Trust 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We have enclosed a proxy card for you to use if you receive printed proxy materials. Throughout this proxy statement, we refer to these holders as “stockholders of record.”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or “Street Name” Stockholders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shares are held in a brokerage account or by a broker, bank or other nominee, then 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If you do not provide voting instructions, your shares may constitute broker non-votes with respect to Proposal Nos. 1, 3 and 4. If you wish to participate in the meeting and your shares are held in street name, you must obtain, from the broker, bank or nominee that holds your shares, the information required, including a 16-digit control number, in order for you to be able to participate in, and vote at, the annual meeting. Throughout this proxy statement, we refer to these holders as “street name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 and abstentions?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“broker non-vote” occurs when a bank, broker or other nominee holding shares for a beneficial owner does not vote on a particular proposal because that holder does not have discretionary voting power for that particular proposal and has not received instructions from the beneficial owner. If you are a street name stockholder, your bank, broker or other nominee holder of record is permitted to vote your shares on the ratification of the independent registered public accounting firm, which is a routine matter, even if the record holder does not receive voting instructions from you. Absent instructions from you, the record holder may not vote on any non-routine matter, including for example, a director election, a charter amendment, a matter relating to executive compensation or any stockholder proposal. In that case, without your voting instructions, a broker non-vote will occur. Several large brokerage firms have recently eliminated discretionary voting even for routine matters. Therefore, if you hold your shares through such brokerage firms, then your shares might not be voted, even for routine matters, if you do not give voting instructions to your broker, bank or other nominee. You should consult your bank, broker or other nominee holder if you have questions about this.</w:t>
      </w:r>
    </w:p>
    <w:p>
      <w:pPr>
        <w:spacing w:after="0" w:line="188"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An “abstention” will occur at the annual meeting with respect to a proposal if your shares of common stock are deemed to be present at the annual meeting, either because you virtually attend the annual meeting or because you have properly completed and returned a proxy, but you provide explicit instructions to decline to vote on the proposal by indicating that you wish to “ABSTAIN” from voting on such proposal. Under Delaware law (under which we are incorporated), abstentions are counted as shares present and entitled to vote at the annual meeting, but they are not considered votes cast.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registered stockholders entitled to vote at the annual meeting?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 list of registered stockholders entitled to vote at the annual meeting will be made available for examination by any stockholder for any purpose germane to the meeting for a period of at least ten days prior to the meeting between the hours of 9:00 a.m. and 5:00 p.m., Eastern Time, at our principal executive offices located at 11605 North Community House Road, Suite 300, Charlotte, North Carolina 28277, by contacting our corporate secretary.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Proposal No. 1—Election of directors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director is elected by a plurality of the votes cast. A plurality means that the nominees with the largest number of FOR votes are elected as directors. You may (i)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director nominees named herein, (ii) “</w:t>
      </w:r>
      <w:r>
        <w:rPr>
          <w:rFonts w:ascii="Times New Roman" w:cs="Times New Roman" w:eastAsia="Times New Roman" w:hAnsi="Times New Roman"/>
          <w:sz w:val="18"/>
          <w:szCs w:val="18"/>
          <w:b w:val="1"/>
          <w:bCs w:val="1"/>
          <w:color w:val="auto"/>
        </w:rPr>
        <w:t>WITHHOLD ALL</w:t>
      </w:r>
      <w:r>
        <w:rPr>
          <w:rFonts w:ascii="Times New Roman" w:cs="Times New Roman" w:eastAsia="Times New Roman" w:hAnsi="Times New Roman"/>
          <w:sz w:val="18"/>
          <w:szCs w:val="18"/>
          <w:color w:val="auto"/>
        </w:rPr>
        <w:t>” votes for all such director nominees or (iii) vote “</w:t>
      </w:r>
      <w:r>
        <w:rPr>
          <w:rFonts w:ascii="Times New Roman" w:cs="Times New Roman" w:eastAsia="Times New Roman" w:hAnsi="Times New Roman"/>
          <w:sz w:val="18"/>
          <w:szCs w:val="18"/>
          <w:b w:val="1"/>
          <w:bCs w:val="1"/>
          <w:color w:val="auto"/>
        </w:rPr>
        <w:t>FOR ALL EXCEPT</w:t>
      </w:r>
      <w:r>
        <w:rPr>
          <w:rFonts w:ascii="Times New Roman" w:cs="Times New Roman" w:eastAsia="Times New Roman" w:hAnsi="Times New Roman"/>
          <w:sz w:val="18"/>
          <w:szCs w:val="18"/>
          <w:color w:val="auto"/>
        </w:rPr>
        <w:t>,” which is a vote for all director nominees other than any nominees with respect to whom your vote is specifically withheld by indicating such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Proposal No. 2—Ratification of independent registered public accounting firm</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December 31, 2026 requires the affirmative vote of a majority of the voting power of the shares cast.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 or you may indicate that you wish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this proposal. Abstentions will be counted for purposes of determining the presence or absence of a quorum. However, abstentions are not considered votes cast for or against a proposal, and thus will have no effect on the outcome of the vote on this proposal. Because this is a routine proposal, we do not expect any broker non-votes on this proposal; however, as noted above under “What are broker non-votes and abstentions?” several large brokerage firms have recently eliminated discretionary voting even for routine matters. Accordingly, if you hold your shares through such brokerage firms, and you do not give voting instructions to your broker, bank or other nominee, we may have broker non-votes on this proposal. In the event we have broker non-votes on this proposal, broker non-votes will have no effect on the outcome of the vote on this proposal.</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Proposal No. 3—Approval, on an advisory basis, of the compensation of our named executive officers (“say-on-pay”)</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Please note that the “say-on-pay” vote is only advisory in nature and has no binding effect on us or our board of directors.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 or you may indicate that you wish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this proposal. Our board of directors will consider Proposal 3 approved if such proposal receives the affirmative vote of a majority of the voting power of the shares cast. Abstentions will be counted for purposes of determining the presence or absence of a quorum. However, abstentions are not considered votes cast for or against a proposal, and thus will have no effect on the outcome of the vote on this proposal. In the event we have broker non-votes on this proposal, broker non-votes will have no effect on the outcome of the vote on this proposal.</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Proposal No. 4—Whether the above “say-on-pay” advisory vote should occur every one, two or three years (“say-on-frequency”)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Please note that the “say-on-frequency” vote is only advisory in nature and has no binding effect on us or our board of directors. You may vote for the options of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TWO YEARS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THREE YEARS</w:t>
      </w:r>
      <w:r>
        <w:rPr>
          <w:rFonts w:ascii="Times New Roman" w:cs="Times New Roman" w:eastAsia="Times New Roman" w:hAnsi="Times New Roman"/>
          <w:sz w:val="18"/>
          <w:szCs w:val="18"/>
          <w:color w:val="auto"/>
        </w:rPr>
        <w:t>,” or you may indicate that you wish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this proposal. Our board of directors will consider the frequency option that receives the highest number of votes to be the option recommended by the stockholders. Abstentions will be counted for purposes of determining the presence or absence of a quorum. However, abstentions are not considered votes cast for or against a proposal, and thus will have no effect on the outcome of the vote on this proposal. In the event we have broker non-votes on this proposal, broker non-votes will have no effect on the outcome of the vote on this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by proxy at the annual meeting for the meeting to be properly held under our Amended and Restated Bylaws, or our bylaws, and Delaware law. The presence, virtually or by proxy, of holders of a majority of the voting power of our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82"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the following ways:</w:t>
      </w:r>
    </w:p>
    <w:p>
      <w:pPr>
        <w:spacing w:after="0" w:line="131" w:lineRule="exact"/>
        <w:rPr>
          <w:sz w:val="20"/>
          <w:szCs w:val="20"/>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24 hours a day, seven days a week, until 11:59 p.m., Eastern Time, on June 4, 2026 (have your Notice or proxy card in hand when you visit the website);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1-800-690-6903, 24 hours a day, seven days a week, until 11:59 p.m., Eastern Time, on June 4, 2026 (have your Notice or proxy card in hand when you call);</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(if you received printed proxy materials), which must be received by 11:59 p.m., Eastern Time, on June 4, 2026; or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by visiting www.virtualshareholdermeeting.com/PAY2026, where you may vote during the meeting (have your Notice or proxy card in hand when you visit the website).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Submitting your proxy by Internet, by telephone or by mail will in no way limit your right to vote at the annual meeting if you later decide to attend virtually. </w:t>
      </w:r>
      <w:r>
        <w:rPr>
          <w:rFonts w:ascii="Times New Roman" w:cs="Times New Roman" w:eastAsia="Times New Roman" w:hAnsi="Times New Roman"/>
          <w:sz w:val="18"/>
          <w:szCs w:val="18"/>
          <w:b w:val="1"/>
          <w:bCs w:val="1"/>
          <w:color w:val="auto"/>
        </w:rPr>
        <w:t>Even if you currently plan to virtually attend the annual meeting, we recommend that you also submit your proxy as described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above so that your vote will be counted if you later decide not to attend the annual meeting</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Street Name Stockholders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indicates that you may vote your shares through the proxyvote.com website, then you may vote those shares at the annual meeting with the control number indicated on that voting instruction form or Notice. Otherwise, you may not vote your shares at the annual meeting unless you obtain a legal proxy from your broker, bank or other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and you submit a proxy, but you do not provide voting instructions, your shares will be voted:</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director nominees named in this proxy statement;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as our independent registered public accounting firm for our fiscal year ending December 31, 2026;</w:t>
      </w:r>
    </w:p>
    <w:p>
      <w:pPr>
        <w:spacing w:after="0" w:line="60" w:lineRule="exact"/>
        <w:rPr>
          <w:rFonts w:ascii="Times New Roman" w:cs="Times New Roman" w:eastAsia="Times New Roman" w:hAnsi="Times New Roman"/>
          <w:sz w:val="18"/>
          <w:szCs w:val="18"/>
          <w:color w:val="auto"/>
        </w:rPr>
      </w:pPr>
    </w:p>
    <w:p>
      <w:pPr>
        <w:ind w:left="1080" w:right="122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the compensation of our named executive officers, as disclosed in this proxy statement pursuant to the compensation disclosure rules of the SEC;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option of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frequency with which stockholders are provided the advisory vote on executive compensation.</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Street Name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PricewaterhouseCoopers LLP as our independent registered public accounting firm for our fiscal year ending December 31, 2026. Your broker, bank or other nominee will not have discretion to vote on any other proposals, including the election of directors or the say-on-pay and say-on-frequency advisory votes, which are considered non-routine matters, absent direction from you. In addition, several large brokerage firms have recently eliminated discretionary voting even for routine matters and thus may not vote your shares on our sole routine matter. In the event that your broker, bank or other nominee votes your shares on our sole routine matter, but is not able to vote your shares on the non-routine matters, or chooses not to vote your shares even on our sole routine matter,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I return my proxy card?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before the annual meeting by:</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prior to 11:59 p.m., Eastern Time, on June 4,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11:59 p.m., Eastern Time, on June 4, 2026;</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Paymentus Holdings, Inc., 11605 North Community House Road, Suite 300, Charlotte, North Carolina 28277, Attention: Corporate Secretary, which must be received by 11:59 p.m., Eastern Time, on June 4, 2026;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attending and voting at the annual meeting (although attendance at the annual meeting will not, by itself, revoke a proxy).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Street Name Stockholders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then your broker, bank or other nominee can provide you with instructions on how to change your vote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annual meeting?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hosting the annual meeting via live audio webcast only. The live audio webcast of the annual meeting will be available for listening by the general public, but participation in the annual meeting, including voting shares and submitting questions, will be limited to stockholders. Attendees will be required to comply with the meeting guidelines and procedures available at www.virtualshareholdermeeting.com/PAY2026.</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you were a stockholder of record as of the record date, then you may attend the annual meeting virtually, and will be able to submit your questions during the meeting and vote your shares electronically during the meeting by visiting www.virtualshareholdermeeting.com/PAY2026. To attend and participate in the annual meeting, you will need the 16-digit control number included on your Notice or proxy card. If you lose your control number, you may join the annual meeting as a “Guest” but you will not be able to vote or ask questions. The annual meeting live audio webcast will begin promptly at 1:00 p.m., Eastern Time. We encourage you to access the meeting prior to the start time. Online check-in will begin at 12:45 p.m., Eastern Time, and you should allow ample time for the check-in procedures.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8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Street Name Stockholders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were a street name stockholder as of the record date and your voting instruction form or Notice indicates that you may vote your shares through the proxyvote.com website, then you may access and participate in the annual meeting with the control number indicated on that voting instruction form or Notice. Otherwise, street name stockholders should contact their bank, broker or other nominee and obtain a legal proxy in order to be able to attend and participate in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ask questions at the annual meeting?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may submit questions via the Internet during the annual meeting by participating in the webcast at www.virtualshareholdermeeting.com/PAY2026. We will answer timely submitted questions on a matter to be voted on at the annual meeting before voting is closed on the matter. Following adjournment of the formal business of the annual meeting, we will address appropriate general questions from stockholders regarding our company, giving priority to questions with broader stockholder interest. Questions received during the annual meeting will be presented as submitted, uncensored and unedited, except that we may, in our discretion, omit certain personal details for data privacy protection issues and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guidelines and procedures, available at www.virtualshareholdermeeting.com/PAY2026.</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noted above, if you lose your control number, you may join the annual meeting as a “Guest” but you will not be able to vote or ask questions.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annual meeting online?</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Online check-in to the annual meeting webcast will begin at 12:45 p.m., Eastern Time. You should allow ample time to log in to the meeting webcast and test your computer audio system. During online check-in and continuing through the duration of the annual meeting, we will have technicians standing by to assist you with any technical difficulties you may have accessing the annual meeting. If you encounter difficulties accessing the virtual meeting during the check-in or meeting time, please call the technical support number that will be posted on the virtual meeting log-in page.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Dushyant Sharma, our president and chief executive officer, and Sanjay Kalra,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retained Broadridge Financial Solutions to tabulate the votes and serve as the independent inspector of election for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distribution of the proxy materials. Copies of solicitation materials will also be made available upon request to brokers, banks and other nominees to forward to the beneficial owners of the shares held of record by such brokers, banks or other nominees, and we will reimburse the reasonable out-of-pocket expenses they incur in doing so.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At our discretion, we may engage a proxy solicitation firm to assist us with the solicitation process, for which we will bear the costs of any such engagement.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within four business days after the meeting and will provide the final results in an amendment to the Form 8-K as soon as they become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instead of a full set of proxy materials?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we have elected to furnish our proxy materials, including this proxy statement and our annual report, primarily via the Internet. We believe that this process expedites stockholders’ receipt of the proxy materials, lowers the costs of the annual meeting and helps conserve natural resources. As a result, we are mailing to our stockholders a Notice instead of a paper copy of the proxy materials, except for those stockholders who requested to receive paper copies. The Notice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We may, at our discretion, voluntarily choose to mail or deliver a paper copy of the proxy materials, including our proxy statement and annual report, to one or more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access the proxy statement and annual report on the Internet?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Yes. As noted above, we are furnishing our proxy materials to our stockholders via the Internet, except for those stockholders who have elected to receive paper copies. We highly recommend that you receive electronic delivery of our proxy statements, annual reports and other stockholder communications. This helps reduce the use of paper and reduces our printing, postage and other costs.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proxy statement, the form of proxy card and our annual report are available at www.proxyvote.com. If you are a stockholder of record who has requested to receive paper copies of the proxy materials and would like to access our future proxy statements and annual reports electronically instead of receiving paper copies in the mail, there are several ways to do this. You can mark the appropriate box on your proxy card or follow the instructions if you vote by telephone or the Internet. If you choose to access future proxy statements and annual reports on the Internet, you will receive a Notice in the mail next year with instructions containing the Internet address for those materials. Your choice will remain in effect until you advise us otherwise. If you have Internet access, we hope you make this choice.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printed proxy materials?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or more than one set of printed proxy materials, then your shares may be registered in more than one name and/or may be registered in different accounts. Please follow the voting instructions on each Notice or each set of printed proxy materials, as applicable, to ensure that all of your shares are voted.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copy of the Notice or proxy statement and annual report. How may I obtain an additional copy of the Notice or proxy statement and annual report?</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or proxy statement and annual report, as applicable, you may contact us as follows: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Paymentus Holdings,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11605 North Community House Road, Suite 300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 (888) 440-4826</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should I contact if I have questions?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through a brokerage account and you have any questions or need assistance in voting your shares, you should contact the broker or bank where you hold the account.</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are a registered holder of our common stock and you have any questions or need assistance in voting your shares, please call our Investor Relations department at (888) 440-4826.</w:t>
      </w:r>
    </w:p>
    <w:p>
      <w:pPr>
        <w:spacing w:after="0" w:line="26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NO PERSON IS AUTHORIZED TO GIVE ANY INFORMATION OR TO MAKE ANY REPRESENTATION OTHER THAN THOSE CONTAINED IN THIS PROXY STATEMENT, AND, IF GIVEN OR MADE, SUCH INFORMATION MUST NOT BE RELIED UPON AS HAVING BEEN AUTHORIZED. UNDER NO CIRCUMSTANCES DOES THE DELIVERY OF THIS PROXY STATEMENT CREATE ANY IMPLICATION THAT THERE HAS BEEN NO CHANGE IN OUR AFFAIRS SINCE THE DATE OF THIS PROXY STATEMENT.</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seven of whom are independent under the listing standards of the New York Stock Exchange, or the NYSE. Our board of directors is divided into three classes with staggered three-year terms. Thus, at each annual meeting of stockholders, a class of directors will be elected for a three-year term to succeed the class whose term is then expiring.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ages as of April 9, 2026, and certain other information for each of our directors and director nominees: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080" w:type="dxa"/>
            <w:vAlign w:val="bottom"/>
            <w:gridSpan w:val="2"/>
            <w:vMerge w:val="continue"/>
          </w:tcPr>
          <w:p>
            <w:pPr>
              <w:spacing w:after="0"/>
              <w:rPr>
                <w:sz w:val="12"/>
                <w:szCs w:val="12"/>
                <w:color w:val="auto"/>
              </w:rPr>
            </w:pPr>
          </w:p>
        </w:tc>
        <w:tc>
          <w:tcPr>
            <w:tcW w:w="10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8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10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Expires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43"/>
        </w:trPr>
        <w:tc>
          <w:tcPr>
            <w:tcW w:w="428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80" w:type="dxa"/>
            <w:vAlign w:val="bottom"/>
            <w:tcBorders>
              <w:top w:val="single" w:sz="8" w:color="CDE8F5"/>
            </w:tcBorders>
            <w:shd w:val="clear" w:color="auto" w:fill="CDE8F5"/>
          </w:tcPr>
          <w:p>
            <w:pPr>
              <w:spacing w:after="0"/>
              <w:rPr>
                <w:sz w:val="21"/>
                <w:szCs w:val="21"/>
                <w:color w:val="auto"/>
              </w:rPr>
            </w:pPr>
          </w:p>
        </w:tc>
        <w:tc>
          <w:tcPr>
            <w:tcW w:w="560" w:type="dxa"/>
            <w:vAlign w:val="bottom"/>
            <w:tcBorders>
              <w:top w:val="single" w:sz="8" w:color="auto"/>
            </w:tcBorders>
            <w:shd w:val="clear" w:color="auto" w:fill="CDE8F5"/>
          </w:tcPr>
          <w:p>
            <w:pPr>
              <w:spacing w:after="0"/>
              <w:rPr>
                <w:sz w:val="21"/>
                <w:szCs w:val="21"/>
                <w:color w:val="auto"/>
              </w:rPr>
            </w:pPr>
          </w:p>
        </w:tc>
        <w:tc>
          <w:tcPr>
            <w:tcW w:w="160" w:type="dxa"/>
            <w:vAlign w:val="bottom"/>
            <w:tcBorders>
              <w:top w:val="single" w:sz="8" w:color="CDE8F5"/>
            </w:tcBorders>
            <w:shd w:val="clear" w:color="auto" w:fill="CDE8F5"/>
          </w:tcPr>
          <w:p>
            <w:pPr>
              <w:spacing w:after="0"/>
              <w:rPr>
                <w:sz w:val="21"/>
                <w:szCs w:val="21"/>
                <w:color w:val="auto"/>
              </w:rPr>
            </w:pPr>
          </w:p>
        </w:tc>
        <w:tc>
          <w:tcPr>
            <w:tcW w:w="340" w:type="dxa"/>
            <w:vAlign w:val="bottom"/>
            <w:tcBorders>
              <w:top w:val="single" w:sz="8" w:color="auto"/>
            </w:tcBorders>
            <w:shd w:val="clear" w:color="auto" w:fill="CDE8F5"/>
          </w:tcPr>
          <w:p>
            <w:pPr>
              <w:spacing w:after="0"/>
              <w:rPr>
                <w:sz w:val="21"/>
                <w:szCs w:val="21"/>
                <w:color w:val="auto"/>
              </w:rPr>
            </w:pPr>
          </w:p>
        </w:tc>
        <w:tc>
          <w:tcPr>
            <w:tcW w:w="160" w:type="dxa"/>
            <w:vAlign w:val="bottom"/>
            <w:tcBorders>
              <w:top w:val="single" w:sz="8" w:color="CDE8F5"/>
            </w:tcBorders>
            <w:shd w:val="clear" w:color="auto" w:fill="CDE8F5"/>
          </w:tcPr>
          <w:p>
            <w:pPr>
              <w:spacing w:after="0"/>
              <w:rPr>
                <w:sz w:val="21"/>
                <w:szCs w:val="21"/>
                <w:color w:val="auto"/>
              </w:rPr>
            </w:pPr>
          </w:p>
        </w:tc>
        <w:tc>
          <w:tcPr>
            <w:tcW w:w="620" w:type="dxa"/>
            <w:vAlign w:val="bottom"/>
            <w:tcBorders>
              <w:top w:val="single" w:sz="8" w:color="auto"/>
            </w:tcBorders>
            <w:shd w:val="clear" w:color="auto" w:fill="CDE8F5"/>
          </w:tcPr>
          <w:p>
            <w:pPr>
              <w:spacing w:after="0"/>
              <w:rPr>
                <w:sz w:val="21"/>
                <w:szCs w:val="21"/>
                <w:color w:val="auto"/>
              </w:rPr>
            </w:pPr>
          </w:p>
        </w:tc>
        <w:tc>
          <w:tcPr>
            <w:tcW w:w="1320" w:type="dxa"/>
            <w:vAlign w:val="bottom"/>
            <w:tcBorders>
              <w:top w:val="single" w:sz="8" w:color="auto"/>
            </w:tcBorders>
            <w:shd w:val="clear" w:color="auto" w:fill="CDE8F5"/>
          </w:tcPr>
          <w:p>
            <w:pPr>
              <w:spacing w:after="0"/>
              <w:rPr>
                <w:sz w:val="21"/>
                <w:szCs w:val="21"/>
                <w:color w:val="auto"/>
              </w:rPr>
            </w:pPr>
          </w:p>
        </w:tc>
        <w:tc>
          <w:tcPr>
            <w:tcW w:w="160" w:type="dxa"/>
            <w:vAlign w:val="bottom"/>
            <w:tcBorders>
              <w:top w:val="single" w:sz="8" w:color="CDE8F5"/>
            </w:tcBorders>
            <w:shd w:val="clear" w:color="auto" w:fill="CDE8F5"/>
          </w:tcPr>
          <w:p>
            <w:pPr>
              <w:spacing w:after="0"/>
              <w:rPr>
                <w:sz w:val="21"/>
                <w:szCs w:val="21"/>
                <w:color w:val="auto"/>
              </w:rPr>
            </w:pPr>
          </w:p>
        </w:tc>
        <w:tc>
          <w:tcPr>
            <w:tcW w:w="900" w:type="dxa"/>
            <w:vAlign w:val="bottom"/>
            <w:tcBorders>
              <w:top w:val="single" w:sz="8" w:color="auto"/>
            </w:tcBorders>
            <w:shd w:val="clear" w:color="auto" w:fill="CDE8F5"/>
          </w:tcPr>
          <w:p>
            <w:pPr>
              <w:spacing w:after="0"/>
              <w:rPr>
                <w:sz w:val="21"/>
                <w:szCs w:val="21"/>
                <w:color w:val="auto"/>
              </w:rPr>
            </w:pPr>
          </w:p>
        </w:tc>
        <w:tc>
          <w:tcPr>
            <w:tcW w:w="180" w:type="dxa"/>
            <w:vAlign w:val="bottom"/>
            <w:tcBorders>
              <w:top w:val="single" w:sz="8" w:color="CDE8F5"/>
            </w:tcBorders>
            <w:shd w:val="clear" w:color="auto" w:fill="CDE8F5"/>
          </w:tcPr>
          <w:p>
            <w:pPr>
              <w:spacing w:after="0"/>
              <w:rPr>
                <w:sz w:val="21"/>
                <w:szCs w:val="21"/>
                <w:color w:val="auto"/>
              </w:rPr>
            </w:pPr>
          </w:p>
        </w:tc>
        <w:tc>
          <w:tcPr>
            <w:tcW w:w="900" w:type="dxa"/>
            <w:vAlign w:val="bottom"/>
            <w:tcBorders>
              <w:top w:val="single" w:sz="8" w:color="auto"/>
            </w:tcBorders>
            <w:shd w:val="clear" w:color="auto" w:fill="CDE8F5"/>
          </w:tcPr>
          <w:p>
            <w:pPr>
              <w:spacing w:after="0"/>
              <w:rPr>
                <w:sz w:val="21"/>
                <w:szCs w:val="21"/>
                <w:color w:val="auto"/>
              </w:rPr>
            </w:pPr>
          </w:p>
        </w:tc>
        <w:tc>
          <w:tcPr>
            <w:tcW w:w="160" w:type="dxa"/>
            <w:vAlign w:val="bottom"/>
            <w:tcBorders>
              <w:top w:val="single" w:sz="8" w:color="CDE8F5"/>
            </w:tcBorders>
            <w:shd w:val="clear" w:color="auto" w:fill="CDE8F5"/>
          </w:tcPr>
          <w:p>
            <w:pPr>
              <w:spacing w:after="0"/>
              <w:rPr>
                <w:sz w:val="21"/>
                <w:szCs w:val="21"/>
                <w:color w:val="auto"/>
              </w:rPr>
            </w:pPr>
          </w:p>
        </w:tc>
        <w:tc>
          <w:tcPr>
            <w:tcW w:w="1100" w:type="dxa"/>
            <w:vAlign w:val="bottom"/>
            <w:tcBorders>
              <w:top w:val="single" w:sz="8" w:color="auto"/>
            </w:tcBorders>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Jody Davids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3"/>
                <w:szCs w:val="2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II</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70    Director</w:t>
            </w: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3"/>
                <w:szCs w:val="23"/>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Adam Malinowski</w:t>
            </w:r>
          </w:p>
        </w:tc>
        <w:tc>
          <w:tcPr>
            <w:tcW w:w="180" w:type="dxa"/>
            <w:vAlign w:val="bottom"/>
            <w:shd w:val="clear" w:color="auto" w:fill="CDE8F5"/>
          </w:tcPr>
          <w:p>
            <w:pPr>
              <w:spacing w:after="0"/>
              <w:rPr>
                <w:sz w:val="23"/>
                <w:szCs w:val="23"/>
                <w:color w:val="auto"/>
              </w:rPr>
            </w:pPr>
          </w:p>
        </w:tc>
        <w:tc>
          <w:tcPr>
            <w:tcW w:w="720" w:type="dxa"/>
            <w:vAlign w:val="bottom"/>
            <w:gridSpan w:val="2"/>
            <w:shd w:val="clear" w:color="auto" w:fill="CDE8F5"/>
          </w:tcPr>
          <w:p>
            <w:pPr>
              <w:jc w:val="right"/>
              <w:ind w:right="320"/>
              <w:spacing w:after="0"/>
              <w:rPr>
                <w:sz w:val="20"/>
                <w:szCs w:val="20"/>
                <w:color w:val="auto"/>
              </w:rPr>
            </w:pPr>
            <w:r>
              <w:rPr>
                <w:rFonts w:ascii="Times New Roman" w:cs="Times New Roman" w:eastAsia="Times New Roman" w:hAnsi="Times New Roman"/>
                <w:sz w:val="18"/>
                <w:szCs w:val="18"/>
                <w:color w:val="auto"/>
              </w:rPr>
              <w:t>II</w:t>
            </w:r>
          </w:p>
        </w:tc>
        <w:tc>
          <w:tcPr>
            <w:tcW w:w="1120" w:type="dxa"/>
            <w:vAlign w:val="bottom"/>
            <w:gridSpan w:val="3"/>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rPr>
              <w:t>39    Director</w:t>
            </w:r>
          </w:p>
        </w:tc>
        <w:tc>
          <w:tcPr>
            <w:tcW w:w="132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900" w:type="dxa"/>
            <w:vAlign w:val="bottom"/>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CDE8F5"/>
          </w:tcPr>
          <w:p>
            <w:pPr>
              <w:spacing w:after="0"/>
              <w:rPr>
                <w:sz w:val="23"/>
                <w:szCs w:val="23"/>
                <w:color w:val="auto"/>
              </w:rPr>
            </w:pPr>
          </w:p>
        </w:tc>
        <w:tc>
          <w:tcPr>
            <w:tcW w:w="900" w:type="dxa"/>
            <w:vAlign w:val="bottom"/>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DE8F5"/>
          </w:tcPr>
          <w:p>
            <w:pPr>
              <w:spacing w:after="0"/>
              <w:rPr>
                <w:sz w:val="23"/>
                <w:szCs w:val="23"/>
                <w:color w:val="auto"/>
              </w:rPr>
            </w:pPr>
          </w:p>
        </w:tc>
        <w:tc>
          <w:tcPr>
            <w:tcW w:w="1100" w:type="dxa"/>
            <w:vAlign w:val="bottom"/>
            <w:shd w:val="clear" w:color="auto" w:fill="CDE8F5"/>
          </w:tcPr>
          <w:p>
            <w:pPr>
              <w:ind w:left="4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Gary Trainor</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3"/>
                <w:szCs w:val="2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II</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74    Director</w:t>
            </w: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3"/>
                <w:szCs w:val="23"/>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180" w:type="dxa"/>
            <w:vAlign w:val="bottom"/>
            <w:shd w:val="clear" w:color="auto" w:fill="CDE8F5"/>
          </w:tcPr>
          <w:p>
            <w:pPr>
              <w:spacing w:after="0"/>
              <w:rPr>
                <w:sz w:val="23"/>
                <w:szCs w:val="23"/>
                <w:color w:val="auto"/>
              </w:rPr>
            </w:pPr>
          </w:p>
        </w:tc>
        <w:tc>
          <w:tcPr>
            <w:tcW w:w="56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34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620" w:type="dxa"/>
            <w:vAlign w:val="bottom"/>
            <w:shd w:val="clear" w:color="auto" w:fill="CDE8F5"/>
          </w:tcPr>
          <w:p>
            <w:pPr>
              <w:spacing w:after="0"/>
              <w:rPr>
                <w:sz w:val="23"/>
                <w:szCs w:val="23"/>
                <w:color w:val="auto"/>
              </w:rPr>
            </w:pPr>
          </w:p>
        </w:tc>
        <w:tc>
          <w:tcPr>
            <w:tcW w:w="132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90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90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110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William Ingram</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3"/>
                <w:szCs w:val="2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69    Director</w:t>
            </w: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3"/>
                <w:szCs w:val="2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Robert Palumbo</w:t>
            </w:r>
            <w:r>
              <w:rPr>
                <w:rFonts w:ascii="Times New Roman" w:cs="Times New Roman" w:eastAsia="Times New Roman" w:hAnsi="Times New Roman"/>
                <w:sz w:val="26"/>
                <w:szCs w:val="26"/>
                <w:color w:val="auto"/>
                <w:vertAlign w:val="superscript"/>
              </w:rPr>
              <w:t>(2)(3)</w:t>
            </w:r>
          </w:p>
        </w:tc>
        <w:tc>
          <w:tcPr>
            <w:tcW w:w="180" w:type="dxa"/>
            <w:vAlign w:val="bottom"/>
            <w:shd w:val="clear" w:color="auto" w:fill="CDE8F5"/>
          </w:tcPr>
          <w:p>
            <w:pPr>
              <w:spacing w:after="0"/>
              <w:rPr>
                <w:sz w:val="23"/>
                <w:szCs w:val="23"/>
                <w:color w:val="auto"/>
              </w:rPr>
            </w:pPr>
          </w:p>
        </w:tc>
        <w:tc>
          <w:tcPr>
            <w:tcW w:w="720" w:type="dxa"/>
            <w:vAlign w:val="bottom"/>
            <w:gridSpan w:val="2"/>
            <w:shd w:val="clear" w:color="auto" w:fill="CDE8F5"/>
          </w:tcPr>
          <w:p>
            <w:pPr>
              <w:jc w:val="right"/>
              <w:ind w:right="320"/>
              <w:spacing w:after="0"/>
              <w:rPr>
                <w:sz w:val="20"/>
                <w:szCs w:val="20"/>
                <w:color w:val="auto"/>
              </w:rPr>
            </w:pPr>
            <w:r>
              <w:rPr>
                <w:rFonts w:ascii="Times New Roman" w:cs="Times New Roman" w:eastAsia="Times New Roman" w:hAnsi="Times New Roman"/>
                <w:sz w:val="18"/>
                <w:szCs w:val="18"/>
                <w:color w:val="auto"/>
              </w:rPr>
              <w:t>I</w:t>
            </w:r>
          </w:p>
        </w:tc>
        <w:tc>
          <w:tcPr>
            <w:tcW w:w="2600" w:type="dxa"/>
            <w:vAlign w:val="bottom"/>
            <w:gridSpan w:val="5"/>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rPr>
              <w:t>60    Lead Independent Director</w:t>
            </w:r>
          </w:p>
        </w:tc>
        <w:tc>
          <w:tcPr>
            <w:tcW w:w="900" w:type="dxa"/>
            <w:vAlign w:val="bottom"/>
            <w:shd w:val="clear" w:color="auto" w:fill="CDE8F5"/>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shd w:val="clear" w:color="auto" w:fill="CDE8F5"/>
          </w:tcPr>
          <w:p>
            <w:pPr>
              <w:spacing w:after="0"/>
              <w:rPr>
                <w:sz w:val="23"/>
                <w:szCs w:val="23"/>
                <w:color w:val="auto"/>
              </w:rPr>
            </w:pPr>
          </w:p>
        </w:tc>
        <w:tc>
          <w:tcPr>
            <w:tcW w:w="900" w:type="dxa"/>
            <w:vAlign w:val="bottom"/>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DE8F5"/>
          </w:tcPr>
          <w:p>
            <w:pPr>
              <w:spacing w:after="0"/>
              <w:rPr>
                <w:sz w:val="23"/>
                <w:szCs w:val="23"/>
                <w:color w:val="auto"/>
              </w:rPr>
            </w:pPr>
          </w:p>
        </w:tc>
        <w:tc>
          <w:tcPr>
            <w:tcW w:w="1100" w:type="dxa"/>
            <w:vAlign w:val="bottom"/>
            <w:shd w:val="clear" w:color="auto" w:fill="CDE8F5"/>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180" w:type="dxa"/>
            <w:vAlign w:val="bottom"/>
          </w:tcPr>
          <w:p>
            <w:pPr>
              <w:spacing w:after="0"/>
              <w:rPr>
                <w:sz w:val="23"/>
                <w:szCs w:val="2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III</w:t>
            </w: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57    Chairman</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3"/>
                <w:szCs w:val="2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Jason Klein</w:t>
            </w:r>
            <w:r>
              <w:rPr>
                <w:rFonts w:ascii="Times New Roman" w:cs="Times New Roman" w:eastAsia="Times New Roman" w:hAnsi="Times New Roman"/>
                <w:sz w:val="26"/>
                <w:szCs w:val="26"/>
                <w:color w:val="auto"/>
                <w:vertAlign w:val="superscript"/>
              </w:rPr>
              <w:t>(3)</w:t>
            </w:r>
          </w:p>
        </w:tc>
        <w:tc>
          <w:tcPr>
            <w:tcW w:w="180" w:type="dxa"/>
            <w:vAlign w:val="bottom"/>
            <w:shd w:val="clear" w:color="auto" w:fill="CDE8F5"/>
          </w:tcPr>
          <w:p>
            <w:pPr>
              <w:spacing w:after="0"/>
              <w:rPr>
                <w:sz w:val="23"/>
                <w:szCs w:val="23"/>
                <w:color w:val="auto"/>
              </w:rPr>
            </w:pPr>
          </w:p>
        </w:tc>
        <w:tc>
          <w:tcPr>
            <w:tcW w:w="720" w:type="dxa"/>
            <w:vAlign w:val="bottom"/>
            <w:gridSpan w:val="2"/>
            <w:shd w:val="clear" w:color="auto" w:fill="CDE8F5"/>
          </w:tcPr>
          <w:p>
            <w:pPr>
              <w:jc w:val="right"/>
              <w:ind w:right="320"/>
              <w:spacing w:after="0"/>
              <w:rPr>
                <w:sz w:val="20"/>
                <w:szCs w:val="20"/>
                <w:color w:val="auto"/>
              </w:rPr>
            </w:pPr>
            <w:r>
              <w:rPr>
                <w:rFonts w:ascii="Times New Roman" w:cs="Times New Roman" w:eastAsia="Times New Roman" w:hAnsi="Times New Roman"/>
                <w:sz w:val="18"/>
                <w:szCs w:val="18"/>
                <w:color w:val="auto"/>
              </w:rPr>
              <w:t>III</w:t>
            </w:r>
          </w:p>
        </w:tc>
        <w:tc>
          <w:tcPr>
            <w:tcW w:w="1120" w:type="dxa"/>
            <w:vAlign w:val="bottom"/>
            <w:gridSpan w:val="3"/>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rPr>
              <w:t>53    Director</w:t>
            </w:r>
          </w:p>
        </w:tc>
        <w:tc>
          <w:tcPr>
            <w:tcW w:w="1320" w:type="dxa"/>
            <w:vAlign w:val="bottom"/>
            <w:shd w:val="clear" w:color="auto" w:fill="CDE8F5"/>
          </w:tcPr>
          <w:p>
            <w:pPr>
              <w:spacing w:after="0"/>
              <w:rPr>
                <w:sz w:val="23"/>
                <w:szCs w:val="23"/>
                <w:color w:val="auto"/>
              </w:rPr>
            </w:pPr>
          </w:p>
        </w:tc>
        <w:tc>
          <w:tcPr>
            <w:tcW w:w="160" w:type="dxa"/>
            <w:vAlign w:val="bottom"/>
            <w:shd w:val="clear" w:color="auto" w:fill="CDE8F5"/>
          </w:tcPr>
          <w:p>
            <w:pPr>
              <w:spacing w:after="0"/>
              <w:rPr>
                <w:sz w:val="23"/>
                <w:szCs w:val="23"/>
                <w:color w:val="auto"/>
              </w:rPr>
            </w:pPr>
          </w:p>
        </w:tc>
        <w:tc>
          <w:tcPr>
            <w:tcW w:w="900" w:type="dxa"/>
            <w:vAlign w:val="bottom"/>
            <w:shd w:val="clear" w:color="auto" w:fill="CDE8F5"/>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shd w:val="clear" w:color="auto" w:fill="CDE8F5"/>
          </w:tcPr>
          <w:p>
            <w:pPr>
              <w:spacing w:after="0"/>
              <w:rPr>
                <w:sz w:val="23"/>
                <w:szCs w:val="23"/>
                <w:color w:val="auto"/>
              </w:rPr>
            </w:pPr>
          </w:p>
        </w:tc>
        <w:tc>
          <w:tcPr>
            <w:tcW w:w="900" w:type="dxa"/>
            <w:vAlign w:val="bottom"/>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DE8F5"/>
          </w:tcPr>
          <w:p>
            <w:pPr>
              <w:spacing w:after="0"/>
              <w:rPr>
                <w:sz w:val="23"/>
                <w:szCs w:val="23"/>
                <w:color w:val="auto"/>
              </w:rPr>
            </w:pPr>
          </w:p>
        </w:tc>
        <w:tc>
          <w:tcPr>
            <w:tcW w:w="1100" w:type="dxa"/>
            <w:vAlign w:val="bottom"/>
            <w:shd w:val="clear" w:color="auto" w:fill="CDE8F5"/>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Oberoi</w:t>
            </w:r>
          </w:p>
        </w:tc>
        <w:tc>
          <w:tcPr>
            <w:tcW w:w="180" w:type="dxa"/>
            <w:vAlign w:val="bottom"/>
          </w:tcPr>
          <w:p>
            <w:pPr>
              <w:spacing w:after="0"/>
              <w:rPr>
                <w:sz w:val="23"/>
                <w:szCs w:val="2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III</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71    Director</w:t>
            </w: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3"/>
                <w:szCs w:val="2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3"/>
                <w:szCs w:val="2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Director—Class II</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Jody Davids </w:t>
      </w:r>
      <w:r>
        <w:rPr>
          <w:rFonts w:ascii="Times New Roman" w:cs="Times New Roman" w:eastAsia="Times New Roman" w:hAnsi="Times New Roman"/>
          <w:sz w:val="18"/>
          <w:szCs w:val="18"/>
          <w:color w:val="auto"/>
        </w:rPr>
        <w:t>has served as a member of our board of directors since April 2022. She served as senior vice president and global chief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PepsiCo, Inc., a NYSE-listed company that has a global portfolio of food and beverage brands, from April 2016 to October 2019. Prior to that role, she served as chief information officer of Agrium, Inc., a NYSE-listed and Toronto Stock Exchange-listed company that is a global producer and marketer of nutrients for agricultural and industrial markets, from April 2014 to April 2016. Ms. Davids served in various executive and consulting roles with Agrium, Best Buy, Inc., a NYSE-listed company, and Cardinal Health, Inc., a NYSE-listed company, from 2000 to 2014. She served as a director of Premier, Inc., a Nasdaq-listed technology-driven healthcare improvement company, from 2015 to 2025. Ms. Davids holds a B.A. in Human Resources Management and Business and an M.B.A. from San Jose State University. We believe that Ms. Davids’ strong background in information technology and cybersecurity risk management and her leadership experience serving in corporate senior executive positions of other publicly traded companies, qualify her to serve on our board of directors.</w:t>
      </w:r>
    </w:p>
    <w:p>
      <w:pPr>
        <w:spacing w:after="0" w:line="18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Malinowski </w:t>
      </w:r>
      <w:r>
        <w:rPr>
          <w:rFonts w:ascii="Times New Roman" w:cs="Times New Roman" w:eastAsia="Times New Roman" w:hAnsi="Times New Roman"/>
          <w:sz w:val="18"/>
          <w:szCs w:val="18"/>
          <w:color w:val="auto"/>
        </w:rPr>
        <w:t>has served as a member of our board of directors since April 2019. Mr. Malinowski has served as an investment professional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AKKR since August 2010, and currently serves on the boards of several of AKKR’s private portfolio companies. Mr. Malinowski holds a B.S. in Business Administration and a B.A. in Economics from the University of California, Berkeley. We believe Mr. Malinowski’s experience in the areas of corporate strategy, finance, business transactions and software investments qualifies him to serve on our board of directors.</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Trainor </w:t>
      </w:r>
      <w:r>
        <w:rPr>
          <w:rFonts w:ascii="Times New Roman" w:cs="Times New Roman" w:eastAsia="Times New Roman" w:hAnsi="Times New Roman"/>
          <w:sz w:val="18"/>
          <w:szCs w:val="18"/>
          <w:color w:val="auto"/>
        </w:rPr>
        <w:t>has served as a member of our board of directors since September 2011, and served as our executive chairman from September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September 2013. Mr. Trainor has served as executive chairman of PeopleGuru, an HCM software and services company, since April 2022, WorkEasy Software, a workforce management software company, since September 2020, Mindmarker Corporation, a learning software platform company, since August 2020, and Flores &amp; Associates, a national benefits administrator, since April 2020, as well as chief executive officer of CFH Strategic Investment I, LLC, a family office, since March 2018. Mr. Trainor previously served as chief executive officer of Viventium Software from December 2014 to March 2018 and Infinisource (now iSolved Benefit Services) from September 2011 to January 2014, both SaaS-based human capital management software providers. Earlier in his career, Mr. Trainor served as division president at First Data and ADP. Mr. Trainor holds an M.B.A. from Fairleigh Dickinson University and a B.A. in Business Administration from Rutgers University. We believe Mr. Trainor’s extensive industry and management experience, including at other SaaS companies, qualifies him to serve on our board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Directors—Class I</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Ingram </w:t>
      </w:r>
      <w:r>
        <w:rPr>
          <w:rFonts w:ascii="Times New Roman" w:cs="Times New Roman" w:eastAsia="Times New Roman" w:hAnsi="Times New Roman"/>
          <w:sz w:val="18"/>
          <w:szCs w:val="18"/>
          <w:color w:val="auto"/>
        </w:rPr>
        <w:t>has served as a member of our board of directors since February 2021. Mr. Ingram served from December 2015 to March 2020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financial officer and treasurer of Avalara, Inc., a provider of software for automated tax compliance that was listed on the NYSE. Prior to joining Avalara, Mr. Ingram served as interim chief financial officer of Khan Academy, a provider of online learning resources, from April 2015 to December 2015. Mr. Ingram also held various executive roles at Leap Wireless International, Inc., the parent company of Cricket Wireless, a wireless telecommunications provider, including executive vice president and chief of strategy, from August 2007 to March 2014, and with the acquiring company, AT&amp;T, from March 2014 to January 2015. Mr. Ingram currently serves on the board of directors and as chair of the audit committee and member of the human capital and compensation committee of CCC Intelligent Solutions Holdings Inc., a Nasdaq-listed provider of technologies and applications for the property and casualty insurance industry. He served on the board of directors of Avalara from January 2020 until its acquisition in October 2022. Mr. Ingram holds a B.A. in Economics from Stanford University and an M.B.A. from Harvard Business School. We believe Mr. Ingram’s experience in the areas of corporate strategy, finance and business transactions, as well as his experience working with other public technology and software companies, qualify him to serve on our board of directors.</w:t>
      </w:r>
    </w:p>
    <w:p>
      <w:pPr>
        <w:spacing w:after="0" w:line="182"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Palumbo </w:t>
      </w:r>
      <w:r>
        <w:rPr>
          <w:rFonts w:ascii="Times New Roman" w:cs="Times New Roman" w:eastAsia="Times New Roman" w:hAnsi="Times New Roman"/>
          <w:sz w:val="18"/>
          <w:szCs w:val="18"/>
          <w:color w:val="auto"/>
        </w:rPr>
        <w:t>has served as a member of our board of directors since September 2011 and as our lead independent director since May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Palumbo has served as managing director and founding partner of AKKR, a private equity firm, since November 2004, and currently serves on the boards of several of AKKR’s private portfolio companies. Mr. Palumbo holds an A.B. from Princeton University. We believe Mr. Palumbo’s experience in the areas of corporate strategy, finance, investment banking, business transactions and software investments, as well as his experience working with other technology and software companies, qualify him to serve on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Directors—Class III</w:t>
      </w:r>
    </w:p>
    <w:p>
      <w:pPr>
        <w:spacing w:after="0" w:line="117"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Dushyant Sharma</w:t>
      </w:r>
      <w:r>
        <w:rPr>
          <w:rFonts w:ascii="Times New Roman" w:cs="Times New Roman" w:eastAsia="Times New Roman" w:hAnsi="Times New Roman"/>
          <w:sz w:val="18"/>
          <w:szCs w:val="18"/>
          <w:color w:val="auto"/>
        </w:rPr>
        <w:t>, our founder, has served as president, chief executive officer and a member of our board of directors since our inception,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also served as our chairman since December 2013. Before founding Paymentus, Mr. Sharma cofounded Derivion Corporation, a SaaS-based electronic billing company, in 1998. Derivion was acquired in 2001 by Metavante Corporation, a banking and payment technologies provider.</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Sharma continued employment with Metavante from May 2001 to November 2004. Mr. Sharma holds a Bachelor of Engineering in Computer Science and Engineering from Marathwada University in India. We believe Mr. Sharma’s extensive background in billing and payment technologies, as well as his experience serving as our chief executive officer, qualify him to serve on our board of directors.</w:t>
      </w:r>
    </w:p>
    <w:p>
      <w:pPr>
        <w:spacing w:after="0" w:line="18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Klein </w:t>
      </w:r>
      <w:r>
        <w:rPr>
          <w:rFonts w:ascii="Times New Roman" w:cs="Times New Roman" w:eastAsia="Times New Roman" w:hAnsi="Times New Roman"/>
          <w:sz w:val="18"/>
          <w:szCs w:val="18"/>
          <w:color w:val="auto"/>
        </w:rPr>
        <w:t>has served as a member of our board of directors since September 2011. Mr. Klein is a Senior Advisor at AKKR and Co-CEO of 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Iron Group, an investment firm. He was previously a Managing Director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AKKR and joined the firm during its inaugural fund in May 2005. He has served on the boards of many private companies and currently serves on the boards of several of AKKR’s and Red Iron Group’s private portfolio companies. Mr. Klein holds an M.B.A. in Finance and Strategic Management from the Wharton School at the University of Pennsylvania and a B.S. in Finance and Accounting from The Pennsylvania State University. Mr. Klein is a Certified Public Accountant (inactive) and holds the Chartered Financial Analyst designation. We believe Mr. Klein’s experience in the areas of corporate strategy, finance, business transactions and software investments, as well as his extensive experience serving on other boards of directors, qualify him to serve on our board of directors.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Arun Oberoi </w:t>
      </w:r>
      <w:r>
        <w:rPr>
          <w:rFonts w:ascii="Times New Roman" w:cs="Times New Roman" w:eastAsia="Times New Roman" w:hAnsi="Times New Roman"/>
          <w:sz w:val="18"/>
          <w:szCs w:val="18"/>
          <w:color w:val="auto"/>
        </w:rPr>
        <w:t>has served as a member of our board of directors since April 2023. Mr. Oberoi is the former executive vice president, global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services, of Red Hat, a provider of enterprise open source software solutions, where he served from 2012 to 2021. Prior to Red Hat, Mr. Oberoi was chief executive officer of Viridity Software from 2010 to 2012 and chief executive officer of Aveksa from 2008 to 2010. He served as an executive vice president of global sales and technical services of Micromuse (acquired by IBM in 2006) from 2004 to 2008. Prior to joining Micromuse, Mr. Oberoi held a series of senior executive positions at Hewlett-Packard, including vice president and general manager, worldwide corporate accounts and industries and as vice president and general manager, worldwide software sales and marketing. Mr. Oberoi serves on the board of directors and the audit committee of Schrodinger, Inc., a Nasdaq-listed software company enabling the discovery of therapeutics and materials. He also serves as Senior Adviser to EQT Partners and Chairman of the Supervisory Board of their portfolio company SUSE S.A., a provider of cloud infrastructure open source software. Mr. Oberoi received his bachelor’s degree from Delhi University and has an M.B.A. from the Kellogg School of Management at Northwestern University. We believe Mr. Oberoi’s extensive experience serving in corporate senior executive positions of technology and software companies, as well as his board experience with another publicly traded company, qualify him to serve on our board of directors.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Board Consensus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NYSE’s corporate governance rules, a listed company of which more than 50% of the voting power for the election of directors is held by an individual, a group or another company is a “controlled company” and may elect not to comply with certain corporate governance requirements of the NYSE, including the NYSE’s requirements to have a majority of independent directors on the board, an independent compensation committee and an independent nominating/corporate governance committee. A majority of the voting power represented by our capital stock is held by certain entities and individuals affiliated with AKKR and by Mr. Sharma and his affiliates, which investors may be deemed a “group” for purposes of Section 13(d)(3) of the Securities Exchange Act of 1934, as amended, or the Exchange Act, and the NYSE’s corporate governance rules. As a result, we are a “controlled company” within the meaning of the corporate governance rules of the NYSE and are permitted not to comply with the NYSE’s corporate governance requirements described above. Even though we are not required to comply with these corporate governance requirements, we currently have chosen to do so. However, in the event we elect to rely on certain of the exemptions provided to controlled companies in the future, you may not have the same protections afforded to stockholders of companies that are subject to all of these corporate governance requirements. If we cease to be a “controlled company” and our shares continue to be listed on the NYSE, we will be required to comply with these corporate governance provisions within the applicable transition periods.</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an effort to seek greater alignment and consensus among the board of directors on certain corporate governance matters that may be considered for action by the board prior to being formally introduced and voted on pursuant to our bylaws, our board adopted guiding principles for board action on certain corporate governance matters, or the Guiding Principles. Under the Guiding Principles, except where such an action, or the failure to take such an action, would cause a director or the Company to violate applicable law or a stock exchange listing standard, the directors agreed that they will not take a vote on any of the following matters where 25% or more of the board request the matter be tabled for further discussion: (i) the appointment or nomination of any director, (ii) the removal of the chief executive officer, (iii) any change to the number of directors, (iv) any proposed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amendment to the bylaws, (v) the authorization of any material business acquisition or disposition, any material financing transaction, or any material amendment to any board action authorizing the foregoing, or (vi) any matter to be submitted for consideration of the stockholders of the Company (other than a proposal relating solely to the ratification of the appointment of the Company’s independent auditors). The Guiding Principles do not constitute an amendment to the voting requirements for board action or any other provision of the Company’s bylaws.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the NYSE. For as long as we remain a controlled company, we are not required under NYSE listing rules to maintain a board comprised of a majority of independent directors as determined affirmatively by our board; however, we have chosen to do so.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compensation and nominating and corporate governance committees be independent.</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NYSE listing rules applicable to audit committee members. Compensation committee members must also satisfy the additional independence criteria set forth in Rule 10C-1 under the Exchange Act and NYSE listing rules applicable to compensation committee members.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Ms. Davids and Messrs. Ingram, Klein, Malinowski, Palumbo, Trainor and Oberoi, representing seven of our eight directors, do not have any material relationship with us (either directly or as a partner, stockholder or officer of an organization that has a relationship with us) and that each of these directors is an “independent director” as defined under the listing standards of the NYSE. Dushyant Sharma is not considered an independent director because of his position as our president and chief executive officer.</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independent director has with the Company and all other facts and circumstances that our board of directors deemed relevant in determining their independence, including the beneficial ownership of our capital stock by each independent director, and the transactions involving them described in the section titled “Related Person Transactions.” In determining that Mr. Palumbo is independent, our board of directors considered his role as a director of another portfolio company of AKKR and the fact that we have entered into agreements with such other AKKR portfolio company deemed immaterial at this time to each of the Company, AKKR and Mr. Palumbo.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of Lead Independent Director</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We are party to a stockholders agreement with AKKR and Mr. Sharma, Ashigrace LLC, or Ashigrace, which is an entity under the control of Mr. Sharma, and certain trusts affiliated with Mr. Sharma, which we collectively refer to as the Sharma parties. The stockholders agreement contemplates that our board of directors may have up to nine members and provides that, for so long as AKKR or certain of its permitted transferees holds more of our outstanding common stock than the Sharma parties, AKKR will have the right to nominate (i) five directors to our board of directors for so long as AKKR beneficially owns at least 10% of our outstanding common stock and (ii) two directors to our board of directors for so long as AKKR beneficially owns at least 5% but less than 10% of our outstanding</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common stock. Moreover, after such time as AKKR ceases to hold more of our outstanding common stock than the Sharma parties, AKKR will continue to have the right to nominate two directors to our board of directors until such time as AKKR ceases to beneficially own at least 5% of our outstanding common stock. In addition, for so long as the Sharma parties own at least 5% of our outstanding common stock or Mr. Sharma serves as our chief executive officer, the Sharma parties will have the right to nominate Mr. Sharma to our board of directors. Messrs. Klein, Malinowski and Palumbo were nominated to our board of directors by AKKR, and Mr. Sharma was nominated by the Sharma parties pursuant to the stockholders agreement.</w:t>
      </w:r>
    </w:p>
    <w:p>
      <w:pPr>
        <w:spacing w:after="0" w:line="16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Mr. Sharma currently serves as both our chairman and as our chief executive officer. Our board of directors has adopted corporate governance guidelines that provide that one of our independent directors will serve as our lead independent director at any time when our board of directors does not have an independent chairperson. Because Mr. Sharma is our chairman and also our chief executive officer, our board of directors has appointed</w:t>
      </w:r>
    </w:p>
    <w:p>
      <w:pPr>
        <w:spacing w:after="0" w:line="1"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Mr. Palumbo to serve as our lead independent director. As lead independent director, Mr. Palumbo presides over periodic meetings of our independent directors, serves as a liaison between Mr. Sharma and our independent directors and performs such additional duties as our board of directors may otherwise determine or delegate.</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board of directors’ committee system and the existence of a majority of independent directors, the board of directors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 Mr. Palumbo’s role as lead independent director, as well as the independent committees of our board of directors, is appropriate and enhances our board of directors’ ability to effectively carry out its roles and responsibilities on behalf of our stockholders by effectively allocating authority, responsibility and oversight, while Mr. Sharma’s combined role enables strong leadership, creates clear accountability and enhances our ability to communicate our message and strategy clearly and consistently to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and reporting, cybersecurity and data privacy, operational and service delivery, regulatory and compliance, third-party and vendor, and reputational. We have designed and implemented processes to manage risk in our operations. Management, including our executive team, chief information security officer, or CISO, chief compliance officer and the legal department,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conflicts of interest, and also, among other things, discusses with management and the independent auditor guidelines and policies with respect to risk assessment and risk management. In addition, our audit committee is designated to oversee risks related to information technology and cybersecurity matters and to regularly communicate with our CISO regarding such matters. Our compensation committee, with the assistance of its outside advisor Compensia, Inc., or Compensia, assesses risks relating to our executive compensation plans and arrangements, and whether our compensation policies and programs have the potential to encourage excessive risk taking. Our nominating and corporate governance committee assesses risks relating to our corporate governance practices, the independence of the board and our corporate responsibility policies.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has established the following standing committees of the board: audit committee, compensation committee and nominating and corporate governance committee. The composition and responsibilities of each of the committees of our board of directors is described below.</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current members of our audit committee are Ms. Davids and Messrs. Ingram and Trainor. Mr. Ingram is the chairperson of our audit committee. Our board of directors has determined that each member of the audit committee meets the requirements for independence of audit committee members under the rules and regulations of the SEC and the listing standards of the NYSE, and that each member of our audit committee meets the financial literacy requirements of the listing standards of the NYSE.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has determined that each of Messrs. Ingram and Trainor is an audit committee financial expert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407(d) of Regulation S-K. Our audit committee is responsible for, among other things:</w:t>
      </w:r>
    </w:p>
    <w:p>
      <w:pPr>
        <w:spacing w:after="0" w:line="112" w:lineRule="exact"/>
        <w:rPr>
          <w:sz w:val="20"/>
          <w:szCs w:val="20"/>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compensating, evaluating, overseeing and, where appropriate, terminating and replacing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and plans for the audits and the audit fees and approving all non-audit and tax services to be performed by the independent auditor;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qualifications of our independent registered public accounting firm;</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discussing with management, the internal audit department and our independent registered public accounting firm the results of the annual audit and the quarterly reviews, and the independent auditor’s opinion(s) on the audited financial statements and internal control over financial reporting;</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internal audit department and our independent registered public accounting firm the quality and adequacy of our internal controls and our disclosure controls and procedures;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procedures regarding the presentation of our financial information, and reviewing earnings press releases and guidance;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with regard to the hiring of employees and former employees of our independent auditor and overseeing compliance with such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person transactions as specified in our related person transactions policy;</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business conduct and ethics, or the Code of Ethics, and reviewing conflicts of interest of our board members and officers;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internal audit function and our independent auditor the adequacy and effectiveness of our legal, regulatory and ethical compliance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risks related to information technology and cybersecurity matters and regularly communicating with our CISO;</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our guidelines and policies to identify, monitor and address enterprise risks;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procedures regarding the use of artificial intelligence, or AI, and automated technologies, specifically as they relate to financial reporting integrity, data quality and compliance with emerging AI regulations.</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the NYSE. A copy of the charter of our audit committee is available on our website at https://ir.paymentus.com/governance/governance-documents. During 2025, our audit committee held five meetings.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current members of our compensation committee are Messrs. Palumbo and Klein. Mr. Palumbo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the NYSE. Our compensation committee is responsible for, among other things:</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for our executive officers, including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results of our stockholder votes on executive compensation when evaluating and determining executive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our employee benefit and equity incentive plans;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ordinary course compensation of any immediate family member of a related person that would constitute a related person transaction as specified in our related person transactions policy;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recommending approval of), administering and monitoring compliance with any clawback policy;</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the frequency with which we will conduct say-on-pay votes and reviewing and approving proposals regarding the say-on-pay vote and the say-on-frequency votes to be included in our annual proxy statement;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non-employee director compensation.</w:t>
      </w:r>
    </w:p>
    <w:p>
      <w:pPr>
        <w:spacing w:after="0" w:line="225"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the NYSE. A copy of the charter of our compensation committee is available on our website at https://ir.paymentus.com/governance/governance-documents. During 2025, our compensation committee held five meetings.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Compensation Consultant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elsewhere in this proxy statement, Compensia, the independent third party consultant to our compensation committee, does not provide any other services to us or our management, and the compensation committee is not aware of any work performed by Compensia that raises any conflicts of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Messrs. Palumbo and Ingram. Mr. Palumbo is the chairperson of our nominating and corporate governance committee. Our board of directors has determined that each member of our nominating and corporate governance committee meets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requirements for independence for nominating and corporate governance committee members under the listing standards of the NYSE. Our nominating and corporate governance committee is responsible for, among other things:</w:t>
      </w:r>
    </w:p>
    <w:p>
      <w:pPr>
        <w:spacing w:after="0" w:line="67" w:lineRule="exact"/>
        <w:rPr>
          <w:sz w:val="20"/>
          <w:szCs w:val="20"/>
          <w:color w:val="auto"/>
        </w:rPr>
      </w:pPr>
    </w:p>
    <w:p>
      <w:pPr>
        <w:ind w:left="1080" w:right="8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and making recommendations to our board of directors regarding, desired qualifications, expertise and characteristics sought of board members;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selecting or making recommendations to our board of directors regarding nominees for election to our board of directors, subject to the director nomination rights in our stockholders agreement described in the section titled “—Board Leadership Structure and Role of Lead Independent Director;”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for considering stockholder nominees for election to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size, composition, organization and governance of our board of directors and its committees;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monitoring our strategy, policies, commitments and initiatives with respect to environmental, social and governance matters;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our corporate governance guidelines and corporate governance framework;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performance of our board of directors and management, including through periodic self-evaluations of our board of directors, its committees, and, at the board of directors’ discretion, each board member;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policies and procedures for communications with the non-management members of our board of directors.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the NYSE. A copy of the charter of our nominating and corporate governance committee is available on our website at https://ir.paymentus.com/governance/governance-documents. During 2025, our nominating and corporate governance committee did not meet, but took action by written consent.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121"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During 2025, our board of directors held five meetings, and each director attended at least 75% of the aggregate of (i) the total number of meetings of the board of directors held during the period for which he or she has been a director and (ii) the total number of meetings held by all committees on which he or she served during the periods that he or she served.</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Seven of our directors attended our 2025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encourage and enhance communication among independent directors, and as required under applicable NYSE rules, our corporate governance guidelines provide that the independent directors will meet in executive sessions without management directors or management present on a periodic basis, no less often than once per year. These executive sessions are chaired by Mr. Palumbo, our lead independent director.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During 2025, the members of our compensation committee were Messrs. Klein and Palumbo.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uses a variety of methods for identifying and evaluating potential director nominees, subject to the director nomination rights in our stockholders agreement. In its evaluation of director candidates, including the current directors eligible for re-election, our nominating and corporate governance committee will consider the current size and composition of our board of directors, the needs of our board of directors and the respective committees of our board of directors, the qualifications and characteristics set forth in the stockholders agreement and other director qualifications. While our board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experience, and diverse viewpoints arising from a variety of factors, such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body with diverse viewpoints, and the nominating and corporate governance committee considers a broad range of perspectives, backgrounds and experiences.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or charter, our bylaws, stockholders agreement, all applicable company policies and all applicable laws, rules and regulations, including those promulgated by the SEC. Our nominating and corporate governance committee will evaluate such recommendations in accordance with its charter, our bylaws and corporate governance guidelines and the director nominee criteria described above.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a stockholder that wants to recommend a candidate to our board of directors should direct the recommendation in writing by letter to our corporate secretary at Paymentus Holdings, Inc., 11605 North Community House Road, Suite 300, Charlotte, North Carolina 28277, Attention: Corporate Secretary. Such recommendation must include the candidate’s name, age, home and business contact information, detailed biographical data, relevant qualifications, a signed letter from the candidate confirming willingness to serve and to be named in our proxy statement, information regarding any relationships between the candidate and us and evidence of the recommending stockholder’s ownership of our capital stock. Such recommendation must also include a statement from the recommending stockholder in support of the candidate. Stockholder recommendations must be received by December 31st of the year prior to the year in which the recommended candidate(s) will be considered for nomination. Our nominating and corporate governance committee has discretion to decide which individuals to recommend for nomination as directors.</w:t>
      </w:r>
    </w:p>
    <w:p>
      <w:pPr>
        <w:spacing w:after="0" w:line="192"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2027 annual meeting of stockholders, nominations must be received by our corporate secretary in compliance with the deadlines discussed below under “</w:t>
      </w:r>
      <w:r>
        <w:rPr>
          <w:rFonts w:ascii="Times New Roman" w:cs="Times New Roman" w:eastAsia="Times New Roman" w:hAnsi="Times New Roman"/>
          <w:sz w:val="18"/>
          <w:szCs w:val="18"/>
          <w:i w:val="1"/>
          <w:iCs w:val="1"/>
          <w:color w:val="auto"/>
        </w:rPr>
        <w:t>Other Matters—Stockholder Proposals or Director Nominations for 2027 Annual Meeting</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lead independent director or our non-management directors as a group may do so by writing and sending the correspondence to our general counsel, chief financial officer or legal department by mail to our principal executive offices at Paymentus Holdings, Inc., 11605 North Community House Road, Suite 300, Charlotte, North Carolina 28277. Our general counsel, chief financial officer or legal department, in consultation with appropriate directors as necessary, will review all incoming communications and screen for communications that (i) are solicitations for products and services, (ii) relate to matters of a personal nature not relevant for our stockholders to act on or for our board to consider or (iii) are of a type that are improper or irrelevant to the functioning of our board or our business, for example, mass mailings, job inquiries and business solicitations. If appropriate, our general counsel, chief financial officer or legal department will route such communications to the appropriate director(s) or, if none is specified, then to the chairperson of the board or the lead independent director. These policies and procedures do not apply to communications to non-management directors from our officers or directors who are stockholders or to stockholder proposals submitted pursuant to Rule 14a-8 under the Exchange Act.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transfers of our common stock by our directors, officers and employees that we believe is reasonably designed to promote compliance with insider trading laws, rules and regulations and the NYSE listing standards. Our insider trading policy also sets forth detailed requirements regarding the adoption of trading plans under Exchange Act Rule 10b5-1. In addition, with regard to the trading of the Company’s own securities, it is our policy to comply with the federal securities laws and the applicable exchange listing requirements. The full text of our insider trading policy is available on our website at https://ir.paymentus.com/governance/governance-documents and as an exhibit to our Annual Report on Form 10-K for the year ended December 31, 2025 filed with the SEC on February 24, 2026.</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October 2023, our board of directors adopted our Policy for the Recovery of Erroneously Awarded Compensation, or the Clawback Policy. The Clawback Policy requires us to claw back erroneously awarded incentive compensation received by covered employees (current and former executive officers) during the three fiscal years that precede the date we are required to prepare an accounting restatement due to material noncompliance with a financial reporting requirement. We did not have an accounting restatement in the year ended December 31, 2025. A copy of the Clawback Policy is included as an exhibit to our Annual Report on Form 10-K for the year ended December 31, 2025 filed with the SEC on February 24, 2026.</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Under our insider trading policy, our employees, including our executive officers, and the members of our board of directors are prohibited from, directly or indirectly, among other things, (i) engaging in short sales, (ii) trading in publicly-traded options, such as puts and calls, and other derivative securities with respect to our securities (other than stock options, restricted stock units and other compensatory awards issued to such individuals by us),</w:t>
      </w:r>
    </w:p>
    <w:p>
      <w:pPr>
        <w:spacing w:after="0" w:line="2" w:lineRule="exact"/>
        <w:rPr>
          <w:sz w:val="20"/>
          <w:szCs w:val="20"/>
          <w:color w:val="auto"/>
        </w:rPr>
      </w:pPr>
    </w:p>
    <w:p>
      <w:pPr>
        <w:jc w:val="both"/>
        <w:ind w:left="120" w:hanging="4"/>
        <w:spacing w:after="0" w:line="253" w:lineRule="auto"/>
        <w:tabs>
          <w:tab w:leader="none" w:pos="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(iv) pledging any of our securities as collateral for any loans and (v) holding our securities in a margin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the Code of Ethics that applies to all of our employees, officers and directors, including our chief executive officer, chief financial officer and other executive and senior financial officers. The full text of our corporate governance guidelines and the Code of Ethics are available on our website at https://ir.paymentus.com/governance/governance-documents. We will post amendments to the Code of Ethics or any waivers of the Code of Ethics for directors and executive officers on the same website.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paid to Mr. Sharma in 2025 in respect of his employment is included under “Summary Compensation Table” in the section titled “Executive Compensation.” No compensation was paid or provided to Messrs. Klein, Malinowski, Palumbo and Trainor in 2025.</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February 2021, our compensation committee retained Compensia, an independent third-party compensation consultant, to provide our board of directors and its compensation committee with an analysis of publicly available market data and assistance in determining director compensation under our initial director compensation policy. Our board, upon the recommendation of the compensation committee, approved and adopted our outside director compensation policy, effective February 13, 2023. Our board of directors or any committee of our board of directors that has been designated appropriate authority to administer our outside director compensation policy may amend, alter, suspend or terminate such policy at any time and for any reason.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outside director compensation policy provides for the following cash compensation program for our non-employee directors:</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per year for service as a non-employee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lead independent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chairperson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per year for service as chairperson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per year for service as a member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per year for service as chairperson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per year for service as a member of the nominating and corporate governance committee.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 short-term or ad hoc committee is formed by the board, the committee chairperson shall be paid a quarterly retainer of $2,000 and each other committee member shall be paid a quarterly retainer of $1,000, payable in each case at the end of each fiscal quarter during which the ad hoc committee existed.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non-employee director who serves as a committee chair receives the cash retainer fee as the chair of the committee but not the cash retainer fee as a member of that committee. The non-employee director who serves as the lead independent director receives the cash retainer fee for services provided in such role as well as the cash retainer fee as a non-employee director. These fees to our non-employee directors are paid quarterly in arrears on a prorated basis. However, our outside director compensation policy provides that any non-employee director who served as a director at any time prior to December 31, 2020 will not be eligible to receive the cash retainer fees described above. Accordingly, Messrs. Klein, Malinowski, Palumbo and Trainor have not been paid any cash retainer fees under our outside director compensation policy for service on our board of directors.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Under our outside director compensation policy, we will reimburse our non-employee directors for reasonable travel expenses to attend meetings of our board of directors and its committees.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our outside director compensation policy, each non-employee director automatically will receive an annual award, or the Annual Award, of restricted stock units covering shares of our Class A common stock with a value of $170,000 on the earlier of June 15 or the first business day immediately after the date of each annual meeting of our stockholders. A non-employee director joining the board after the date of grant of the most recent Annual Award is entitled to a prorated grant on the date such individual becomes a director with a value of $170,000 multiplied by the number of days of service expected prior to the next Annual Award (assuming the next Annual Award date will be the anniversary date of the most recent Annual Award) divided by 365. The value of the Annual Award is equivalent to the fair market value of the shares subject to such Annual Award on its grant date (provided that any resulting fractional shares will be rounded down to the nearest whole share).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Annual Award is scheduled to vest as to all of the shares subject to the Annual Award on the one-year anniversary of its grant date, subject to continued service with us through the applicable vesting date.</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above terms, our outside director compensation policy provides that any non-employee director who served as a director at any time prior to December 31, 2020 is not eligible to receive any equity awards under our outside director compensation policy, including Annual Awards. Accordingly, Messrs. Klein, Malinowski, Palumbo and Trainor have not been granted equity awards pursuant to our outside director compensation policy for service on our board of directors.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jc w:val="center"/>
        <w:ind w:right="220"/>
        <w:spacing w:after="0" w:line="289" w:lineRule="auto"/>
        <w:rPr>
          <w:sz w:val="20"/>
          <w:szCs w:val="20"/>
          <w:color w:val="auto"/>
        </w:rPr>
      </w:pPr>
      <w:r>
        <w:rPr>
          <w:rFonts w:ascii="Times New Roman" w:cs="Times New Roman" w:eastAsia="Times New Roman" w:hAnsi="Times New Roman"/>
          <w:sz w:val="17"/>
          <w:szCs w:val="17"/>
          <w:color w:val="auto"/>
        </w:rPr>
        <w:t>In the event of our change in control, as defined in our 2021 Equity Incentive Plan, or the 2021 Plan, each non-employee director’s then outstanding equity awards covering shares of our common stock granted to him or her while a non-employee director, as of immediately prior to the change in control, will accelerate vesting in full, provided that he or she remains a non-employee director through the date of our change in control.</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Award Terms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Annual Awards have been granted under and are subject to the terms and conditions of the 2021 Plan (or its successor plan, as applicable) and form of award agreement under such plan.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Limits</w:t>
      </w:r>
    </w:p>
    <w:p>
      <w:pPr>
        <w:spacing w:after="0" w:line="12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Our outside director compensation policy provides that in any fiscal year, a non-employee director may be paid cash compensation and granted equity awards with an aggregate value of no more than $550,000 (with the value of equity awards based on the grant date fair value determined in accordance with U.S. Generally Accepted Accounting Principles, or GAAP, for purposes of this limit). Equity awards granted or other compensation provided to a non-employee director for his or her services as an employee or consultant (other than as a non-employee director) do not count toward this annual limit. This maximum limit provision does not reflect the intended size of any potential grants or a commitment to make grants to our non-employee directors in the future.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2025</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ended December 31, 2025. Directors who are also our employees receive no additional compensation for their service as directors. During 2025, Mr. Sharma was an employee and executive officer of the Company and therefore did not receive compensation as a director. See the section titled “Executive Compensation” for additional information regarding Mr. Sharma’s compensation.</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0"/>
                <w:szCs w:val="10"/>
                <w:b w:val="1"/>
                <w:bCs w:val="1"/>
                <w:color w:val="auto"/>
              </w:rPr>
              <w:t>(1)(2)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Paid in Cash ($)</w:t>
            </w:r>
          </w:p>
        </w:tc>
        <w:tc>
          <w:tcPr>
            <w:tcW w:w="21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top w:val="single" w:sz="8" w:color="CDE8F5"/>
            </w:tcBorders>
            <w:gridSpan w:val="2"/>
            <w:shd w:val="clear" w:color="auto" w:fill="CDE8F5"/>
          </w:tcPr>
          <w:p>
            <w:pPr>
              <w:spacing w:after="0" w:line="243" w:lineRule="exact"/>
              <w:rPr>
                <w:sz w:val="20"/>
                <w:szCs w:val="20"/>
                <w:color w:val="auto"/>
              </w:rPr>
            </w:pPr>
            <w:r>
              <w:rPr>
                <w:rFonts w:ascii="Times New Roman" w:cs="Times New Roman" w:eastAsia="Times New Roman" w:hAnsi="Times New Roman"/>
                <w:sz w:val="18"/>
                <w:szCs w:val="18"/>
                <w:color w:val="auto"/>
              </w:rPr>
              <w:t>William Ingram</w:t>
            </w:r>
            <w:r>
              <w:rPr>
                <w:rFonts w:ascii="Times New Roman" w:cs="Times New Roman" w:eastAsia="Times New Roman" w:hAnsi="Times New Roman"/>
                <w:sz w:val="26"/>
                <w:szCs w:val="26"/>
                <w:color w:val="auto"/>
                <w:vertAlign w:val="superscript"/>
              </w:rPr>
              <w:t>(3)</w:t>
            </w:r>
          </w:p>
        </w:tc>
        <w:tc>
          <w:tcPr>
            <w:tcW w:w="240" w:type="dxa"/>
            <w:vAlign w:val="bottom"/>
            <w:tcBorders>
              <w:top w:val="single" w:sz="8" w:color="CDE8F5"/>
            </w:tcBorders>
            <w:shd w:val="clear" w:color="auto" w:fill="CDE8F5"/>
          </w:tcPr>
          <w:p>
            <w:pPr>
              <w:spacing w:after="0"/>
              <w:rPr>
                <w:sz w:val="21"/>
                <w:szCs w:val="21"/>
                <w:color w:val="auto"/>
              </w:rPr>
            </w:pPr>
          </w:p>
        </w:tc>
        <w:tc>
          <w:tcPr>
            <w:tcW w:w="1540" w:type="dxa"/>
            <w:vAlign w:val="bottom"/>
            <w:tcBorders>
              <w:top w:val="single" w:sz="8" w:color="auto"/>
            </w:tcBorders>
            <w:shd w:val="clear" w:color="auto" w:fill="CDE8F5"/>
          </w:tcPr>
          <w:p>
            <w:pPr>
              <w:jc w:val="right"/>
              <w:ind w:right="415"/>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tcBorders>
              <w:top w:val="single" w:sz="8" w:color="CDE8F5"/>
            </w:tcBorders>
            <w:shd w:val="clear" w:color="auto" w:fill="CDE8F5"/>
          </w:tcPr>
          <w:p>
            <w:pPr>
              <w:spacing w:after="0"/>
              <w:rPr>
                <w:sz w:val="21"/>
                <w:szCs w:val="21"/>
                <w:color w:val="auto"/>
              </w:rPr>
            </w:pPr>
          </w:p>
        </w:tc>
        <w:tc>
          <w:tcPr>
            <w:tcW w:w="1880" w:type="dxa"/>
            <w:vAlign w:val="bottom"/>
            <w:tcBorders>
              <w:top w:val="single" w:sz="8" w:color="auto"/>
            </w:tcBorders>
            <w:shd w:val="clear" w:color="auto" w:fill="CDE8F5"/>
          </w:tcPr>
          <w:p>
            <w:pPr>
              <w:ind w:left="680"/>
              <w:spacing w:after="0"/>
              <w:rPr>
                <w:sz w:val="20"/>
                <w:szCs w:val="20"/>
                <w:color w:val="auto"/>
              </w:rPr>
            </w:pPr>
            <w:r>
              <w:rPr>
                <w:rFonts w:ascii="Times New Roman" w:cs="Times New Roman" w:eastAsia="Times New Roman" w:hAnsi="Times New Roman"/>
                <w:sz w:val="18"/>
                <w:szCs w:val="18"/>
                <w:color w:val="auto"/>
              </w:rPr>
              <w:t>169,974</w:t>
            </w:r>
          </w:p>
        </w:tc>
        <w:tc>
          <w:tcPr>
            <w:tcW w:w="240" w:type="dxa"/>
            <w:vAlign w:val="bottom"/>
            <w:tcBorders>
              <w:top w:val="single" w:sz="8" w:color="CDE8F5"/>
            </w:tcBorders>
            <w:shd w:val="clear" w:color="auto" w:fill="CDE8F5"/>
          </w:tcPr>
          <w:p>
            <w:pPr>
              <w:spacing w:after="0"/>
              <w:rPr>
                <w:sz w:val="21"/>
                <w:szCs w:val="21"/>
                <w:color w:val="auto"/>
              </w:rPr>
            </w:pPr>
          </w:p>
        </w:tc>
        <w:tc>
          <w:tcPr>
            <w:tcW w:w="700" w:type="dxa"/>
            <w:vAlign w:val="bottom"/>
            <w:tcBorders>
              <w:top w:val="single" w:sz="8" w:color="auto"/>
            </w:tcBorders>
            <w:shd w:val="clear" w:color="auto" w:fill="CDE8F5"/>
          </w:tcPr>
          <w:p>
            <w:pPr>
              <w:ind w:left="100"/>
              <w:spacing w:after="0"/>
              <w:rPr>
                <w:sz w:val="20"/>
                <w:szCs w:val="20"/>
                <w:color w:val="auto"/>
              </w:rPr>
            </w:pPr>
            <w:r>
              <w:rPr>
                <w:rFonts w:ascii="Times New Roman" w:cs="Times New Roman" w:eastAsia="Times New Roman" w:hAnsi="Times New Roman"/>
                <w:sz w:val="18"/>
                <w:szCs w:val="18"/>
                <w:color w:val="auto"/>
                <w:w w:val="99"/>
              </w:rPr>
              <w:t>223,974</w:t>
            </w: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Jody Davids</w:t>
            </w:r>
            <w:r>
              <w:rPr>
                <w:rFonts w:ascii="Times New Roman" w:cs="Times New Roman" w:eastAsia="Times New Roman" w:hAnsi="Times New Roman"/>
                <w:sz w:val="26"/>
                <w:szCs w:val="26"/>
                <w:color w:val="auto"/>
                <w:vertAlign w:val="superscript"/>
              </w:rPr>
              <w:t>(4)</w:t>
            </w:r>
          </w:p>
        </w:tc>
        <w:tc>
          <w:tcPr>
            <w:tcW w:w="178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23"/>
                <w:szCs w:val="23"/>
                <w:color w:val="auto"/>
              </w:rPr>
            </w:pPr>
          </w:p>
        </w:tc>
        <w:tc>
          <w:tcPr>
            <w:tcW w:w="1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169,974</w:t>
            </w:r>
          </w:p>
        </w:tc>
        <w:tc>
          <w:tcPr>
            <w:tcW w:w="24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209,974</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Arun Oberoi</w:t>
            </w:r>
            <w:r>
              <w:rPr>
                <w:rFonts w:ascii="Times New Roman" w:cs="Times New Roman" w:eastAsia="Times New Roman" w:hAnsi="Times New Roman"/>
                <w:sz w:val="26"/>
                <w:szCs w:val="26"/>
                <w:color w:val="auto"/>
                <w:vertAlign w:val="superscript"/>
              </w:rPr>
              <w:t>(5)</w:t>
            </w:r>
          </w:p>
        </w:tc>
        <w:tc>
          <w:tcPr>
            <w:tcW w:w="1780" w:type="dxa"/>
            <w:vAlign w:val="bottom"/>
            <w:gridSpan w:val="2"/>
            <w:shd w:val="clear" w:color="auto" w:fill="CDE8F5"/>
          </w:tcPr>
          <w:p>
            <w:pPr>
              <w:jc w:val="right"/>
              <w:ind w:right="415"/>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DE8F5"/>
          </w:tcPr>
          <w:p>
            <w:pPr>
              <w:spacing w:after="0"/>
              <w:rPr>
                <w:sz w:val="23"/>
                <w:szCs w:val="23"/>
                <w:color w:val="auto"/>
              </w:rPr>
            </w:pPr>
          </w:p>
        </w:tc>
        <w:tc>
          <w:tcPr>
            <w:tcW w:w="1880" w:type="dxa"/>
            <w:vAlign w:val="bottom"/>
            <w:shd w:val="clear" w:color="auto" w:fill="CDE8F5"/>
          </w:tcPr>
          <w:p>
            <w:pPr>
              <w:ind w:left="680"/>
              <w:spacing w:after="0"/>
              <w:rPr>
                <w:sz w:val="20"/>
                <w:szCs w:val="20"/>
                <w:color w:val="auto"/>
              </w:rPr>
            </w:pPr>
            <w:r>
              <w:rPr>
                <w:rFonts w:ascii="Times New Roman" w:cs="Times New Roman" w:eastAsia="Times New Roman" w:hAnsi="Times New Roman"/>
                <w:sz w:val="18"/>
                <w:szCs w:val="18"/>
                <w:color w:val="auto"/>
              </w:rPr>
              <w:t>169,974</w:t>
            </w:r>
          </w:p>
        </w:tc>
        <w:tc>
          <w:tcPr>
            <w:tcW w:w="240" w:type="dxa"/>
            <w:vAlign w:val="bottom"/>
            <w:shd w:val="clear" w:color="auto" w:fill="CDE8F5"/>
          </w:tcPr>
          <w:p>
            <w:pPr>
              <w:spacing w:after="0"/>
              <w:rPr>
                <w:sz w:val="23"/>
                <w:szCs w:val="23"/>
                <w:color w:val="auto"/>
              </w:rPr>
            </w:pPr>
          </w:p>
        </w:tc>
        <w:tc>
          <w:tcPr>
            <w:tcW w:w="700" w:type="dxa"/>
            <w:vAlign w:val="bottom"/>
            <w:shd w:val="clear" w:color="auto" w:fill="CDE8F5"/>
          </w:tcPr>
          <w:p>
            <w:pPr>
              <w:ind w:left="100"/>
              <w:spacing w:after="0"/>
              <w:rPr>
                <w:sz w:val="20"/>
                <w:szCs w:val="20"/>
                <w:color w:val="auto"/>
              </w:rPr>
            </w:pPr>
            <w:r>
              <w:rPr>
                <w:rFonts w:ascii="Times New Roman" w:cs="Times New Roman" w:eastAsia="Times New Roman" w:hAnsi="Times New Roman"/>
                <w:sz w:val="18"/>
                <w:szCs w:val="18"/>
                <w:color w:val="auto"/>
                <w:w w:val="99"/>
              </w:rPr>
              <w:t>199,974</w:t>
            </w: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Jason Klein</w:t>
            </w:r>
            <w:r>
              <w:rPr>
                <w:rFonts w:ascii="Times New Roman" w:cs="Times New Roman" w:eastAsia="Times New Roman" w:hAnsi="Times New Roman"/>
                <w:sz w:val="26"/>
                <w:szCs w:val="26"/>
                <w:color w:val="auto"/>
                <w:vertAlign w:val="superscript"/>
              </w:rPr>
              <w:t>(6)</w:t>
            </w:r>
          </w:p>
        </w:tc>
        <w:tc>
          <w:tcPr>
            <w:tcW w:w="240" w:type="dxa"/>
            <w:vAlign w:val="bottom"/>
          </w:tcPr>
          <w:p>
            <w:pPr>
              <w:spacing w:after="0"/>
              <w:rPr>
                <w:sz w:val="23"/>
                <w:szCs w:val="23"/>
                <w:color w:val="auto"/>
              </w:rPr>
            </w:pPr>
          </w:p>
        </w:tc>
        <w:tc>
          <w:tcPr>
            <w:tcW w:w="1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Adam Malinowski</w:t>
            </w:r>
            <w:r>
              <w:rPr>
                <w:rFonts w:ascii="Times New Roman" w:cs="Times New Roman" w:eastAsia="Times New Roman" w:hAnsi="Times New Roman"/>
                <w:sz w:val="26"/>
                <w:szCs w:val="26"/>
                <w:color w:val="auto"/>
                <w:vertAlign w:val="superscript"/>
              </w:rPr>
              <w:t>(6)</w:t>
            </w:r>
          </w:p>
        </w:tc>
        <w:tc>
          <w:tcPr>
            <w:tcW w:w="240" w:type="dxa"/>
            <w:vAlign w:val="bottom"/>
            <w:shd w:val="clear" w:color="auto" w:fill="CDE8F5"/>
          </w:tcPr>
          <w:p>
            <w:pPr>
              <w:spacing w:after="0"/>
              <w:rPr>
                <w:sz w:val="23"/>
                <w:szCs w:val="23"/>
                <w:color w:val="auto"/>
              </w:rPr>
            </w:pPr>
          </w:p>
        </w:tc>
        <w:tc>
          <w:tcPr>
            <w:tcW w:w="1780" w:type="dxa"/>
            <w:vAlign w:val="bottom"/>
            <w:gridSpan w:val="2"/>
            <w:shd w:val="clear" w:color="auto" w:fill="CDE8F5"/>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2"/>
            <w:shd w:val="clear" w:color="auto" w:fill="CDE8F5"/>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DE8F5"/>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70"/>
        </w:trPr>
        <w:tc>
          <w:tcPr>
            <w:tcW w:w="44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Robert Palumbo</w:t>
            </w:r>
            <w:r>
              <w:rPr>
                <w:rFonts w:ascii="Times New Roman" w:cs="Times New Roman" w:eastAsia="Times New Roman" w:hAnsi="Times New Roman"/>
                <w:sz w:val="26"/>
                <w:szCs w:val="26"/>
                <w:color w:val="auto"/>
                <w:vertAlign w:val="superscript"/>
              </w:rPr>
              <w:t>(6)</w:t>
            </w:r>
          </w:p>
        </w:tc>
        <w:tc>
          <w:tcPr>
            <w:tcW w:w="240" w:type="dxa"/>
            <w:vAlign w:val="bottom"/>
          </w:tcPr>
          <w:p>
            <w:pPr>
              <w:spacing w:after="0"/>
              <w:rPr>
                <w:sz w:val="23"/>
                <w:szCs w:val="23"/>
                <w:color w:val="auto"/>
              </w:rPr>
            </w:pPr>
          </w:p>
        </w:tc>
        <w:tc>
          <w:tcPr>
            <w:tcW w:w="1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Gary Trainor</w:t>
            </w:r>
            <w:r>
              <w:rPr>
                <w:rFonts w:ascii="Times New Roman" w:cs="Times New Roman" w:eastAsia="Times New Roman" w:hAnsi="Times New Roman"/>
                <w:sz w:val="26"/>
                <w:szCs w:val="26"/>
                <w:color w:val="auto"/>
                <w:vertAlign w:val="superscript"/>
              </w:rPr>
              <w:t>(6)</w:t>
            </w:r>
          </w:p>
        </w:tc>
        <w:tc>
          <w:tcPr>
            <w:tcW w:w="240" w:type="dxa"/>
            <w:vAlign w:val="bottom"/>
            <w:shd w:val="clear" w:color="auto" w:fill="CDE8F5"/>
          </w:tcPr>
          <w:p>
            <w:pPr>
              <w:spacing w:after="0"/>
              <w:rPr>
                <w:sz w:val="23"/>
                <w:szCs w:val="23"/>
                <w:color w:val="auto"/>
              </w:rPr>
            </w:pPr>
          </w:p>
        </w:tc>
        <w:tc>
          <w:tcPr>
            <w:tcW w:w="1780" w:type="dxa"/>
            <w:vAlign w:val="bottom"/>
            <w:gridSpan w:val="2"/>
            <w:shd w:val="clear" w:color="auto" w:fill="CDE8F5"/>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2"/>
            <w:shd w:val="clear" w:color="auto" w:fill="CDE8F5"/>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DE8F5"/>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right="340" w:hanging="424"/>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provide information regarding the assumptions used to calculate the value of all restricted stock units granted to our directors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to our consolidated financial statements included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filed with the SEC on February 24, 2026.</w:t>
      </w:r>
    </w:p>
    <w:p>
      <w:pPr>
        <w:ind w:left="540" w:right="2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outside director compensation policy, Ms. Davids and Messrs. Ingram and Oberoi received an Annual Award of restricted stock units with a grant date fair value of $169,974. The grant date fair value for the Annual Awards is based on the closing price for our common stock on the award date, June 9, 2025. Grant date fair value for of our restricted stock unit awards was computed in accordance with FASB Accounting Standards Codification, or ASC, Topic 718.</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“Fees Earned or Paid in Cash” column for Mr. Ingram represents a $30,000 retainer for board service and a $24,000 retainer for committee service.</w:t>
      </w:r>
    </w:p>
    <w:p>
      <w:pPr>
        <w:ind w:left="540" w:right="2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“Fees Earned or Paid in Cash” column for Ms. Davids represents a $30,000 retainer for board service and a $10,000 retainer for committee service.</w:t>
      </w: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“Fees Earned or Paid in Cash” column for Mr. Oberoi represents a $30,000 retainer for board service.</w:t>
      </w:r>
    </w:p>
    <w:p>
      <w:pPr>
        <w:spacing w:after="0" w:line="9" w:lineRule="exact"/>
        <w:rPr>
          <w:rFonts w:ascii="Times New Roman" w:cs="Times New Roman" w:eastAsia="Times New Roman" w:hAnsi="Times New Roman"/>
          <w:sz w:val="18"/>
          <w:szCs w:val="18"/>
          <w:color w:val="auto"/>
        </w:rPr>
      </w:pPr>
    </w:p>
    <w:p>
      <w:pPr>
        <w:ind w:left="540" w:right="760" w:hanging="424"/>
        <w:spacing w:after="0" w:line="26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Klein, Malinowski, Palumbo and Trainor did not receive director compensation in 2025, in accordance with our outside director compensation policy as described above.</w:t>
      </w:r>
    </w:p>
    <w:p>
      <w:pPr>
        <w:spacing w:after="0" w:line="18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Number of Outstanding</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4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18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50"/>
        </w:trPr>
        <w:tc>
          <w:tcPr>
            <w:tcW w:w="260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Jody Davids</w:t>
            </w:r>
          </w:p>
        </w:tc>
        <w:tc>
          <w:tcPr>
            <w:tcW w:w="1760" w:type="dxa"/>
            <w:vAlign w:val="bottom"/>
            <w:tcBorders>
              <w:top w:val="single" w:sz="8" w:color="CDE8F5"/>
            </w:tcBorders>
            <w:shd w:val="clear" w:color="auto" w:fill="CDE8F5"/>
          </w:tcPr>
          <w:p>
            <w:pPr>
              <w:spacing w:after="0"/>
              <w:rPr>
                <w:sz w:val="21"/>
                <w:szCs w:val="21"/>
                <w:color w:val="auto"/>
              </w:rPr>
            </w:pPr>
          </w:p>
        </w:tc>
        <w:tc>
          <w:tcPr>
            <w:tcW w:w="1840" w:type="dxa"/>
            <w:vAlign w:val="bottom"/>
            <w:tcBorders>
              <w:top w:val="single" w:sz="8" w:color="auto"/>
            </w:tcBorders>
            <w:shd w:val="clear" w:color="auto" w:fill="CDE8F5"/>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DE8F5"/>
            </w:tcBorders>
            <w:shd w:val="clear" w:color="auto" w:fill="CDE8F5"/>
          </w:tcPr>
          <w:p>
            <w:pPr>
              <w:spacing w:after="0"/>
              <w:rPr>
                <w:sz w:val="21"/>
                <w:szCs w:val="21"/>
                <w:color w:val="auto"/>
              </w:rPr>
            </w:pPr>
          </w:p>
        </w:tc>
        <w:tc>
          <w:tcPr>
            <w:tcW w:w="1880" w:type="dxa"/>
            <w:vAlign w:val="bottom"/>
            <w:tcBorders>
              <w:top w:val="single" w:sz="8" w:color="auto"/>
            </w:tcBorders>
            <w:shd w:val="clear" w:color="auto" w:fill="CDE8F5"/>
          </w:tcPr>
          <w:p>
            <w:pPr>
              <w:jc w:val="right"/>
              <w:ind w:right="617"/>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7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Ingram</w:t>
            </w:r>
          </w:p>
        </w:tc>
        <w:tc>
          <w:tcPr>
            <w:tcW w:w="360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26,195</w:t>
            </w:r>
          </w:p>
        </w:tc>
        <w:tc>
          <w:tcPr>
            <w:tcW w:w="280" w:type="dxa"/>
            <w:vAlign w:val="bottom"/>
          </w:tcPr>
          <w:p>
            <w:pPr>
              <w:spacing w:after="0"/>
              <w:rPr>
                <w:sz w:val="23"/>
                <w:szCs w:val="23"/>
                <w:color w:val="auto"/>
              </w:rPr>
            </w:pPr>
          </w:p>
        </w:tc>
        <w:tc>
          <w:tcPr>
            <w:tcW w:w="18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auto"/>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Arun Oberoi</w:t>
            </w:r>
          </w:p>
        </w:tc>
        <w:tc>
          <w:tcPr>
            <w:tcW w:w="1760" w:type="dxa"/>
            <w:vAlign w:val="bottom"/>
            <w:tcBorders>
              <w:bottom w:val="single" w:sz="8" w:color="auto"/>
            </w:tcBorders>
            <w:shd w:val="clear" w:color="auto" w:fill="CDE8F5"/>
          </w:tcPr>
          <w:p>
            <w:pPr>
              <w:spacing w:after="0"/>
              <w:rPr>
                <w:sz w:val="24"/>
                <w:szCs w:val="24"/>
                <w:color w:val="auto"/>
              </w:rPr>
            </w:pPr>
          </w:p>
        </w:tc>
        <w:tc>
          <w:tcPr>
            <w:tcW w:w="2120" w:type="dxa"/>
            <w:vAlign w:val="bottom"/>
            <w:tcBorders>
              <w:bottom w:val="single" w:sz="8" w:color="auto"/>
            </w:tcBorders>
            <w:gridSpan w:val="2"/>
            <w:shd w:val="clear" w:color="auto" w:fill="CDE8F5"/>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bottom w:val="single" w:sz="8" w:color="auto"/>
            </w:tcBorders>
            <w:shd w:val="clear" w:color="auto" w:fill="CDE8F5"/>
          </w:tcPr>
          <w:p>
            <w:pPr>
              <w:jc w:val="right"/>
              <w:ind w:right="617"/>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 ELECTION OF THREE CLASS II DIRECTORS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and is divided into three classes with staggered three-year terms. At the annual meeting, three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right="90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Jody Davids, Adam Malinowski and Gary Trainor as nominees for election as Class II directors at the annual meeting. If elected, each of Ms. Davids and</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Messrs. Malinowski and Trainor will serve as a Class II director until the 2029 annual meeting of stockholders and until his or her respective successor is elected and qualified or until his or her earlier death, resignation or removal. For more information concerning the nominees, please see the section titled “Board of Directors and Corporate Governance.”</w:t>
      </w:r>
    </w:p>
    <w:p>
      <w:pPr>
        <w:spacing w:after="0" w:line="18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Ms. Davids and Messrs. Malinowski and Trainor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director is elected by a plurality of the votes cast.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ALL” OF THE DIRECTOR NOMINEES NAMED ABOVE.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2: RATIFICATION OF APPOINTMENT OF INDEPENDENT REGISTERED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PricewaterhouseCoopers LLP as our independent registered public accounting firm for the fiscal year ending December 31, 2026. PricewaterhouseCoopers LLP served as our independent registered public accounting firm for the fiscal year ended December 31, 2025. PricewaterhouseCoopers LLP has audited our financial statements for each of the years ended December 31, 2018 through 2025.</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PricewaterhouseCoopers LLP as our independent registered public accounting firm for our fiscal year ending December 31, 2026.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audit and other services rendered to us by PricewaterhouseCoopers LLP for our fiscal years ended December 31, 2025 and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Borders>
              <w:bottom w:val="single" w:sz="8" w:color="CDE8F5"/>
            </w:tcBorders>
          </w:tcPr>
          <w:p>
            <w:pPr>
              <w:spacing w:after="0"/>
              <w:rPr>
                <w:sz w:val="15"/>
                <w:szCs w:val="15"/>
                <w:color w:val="auto"/>
              </w:rPr>
            </w:pPr>
          </w:p>
        </w:tc>
        <w:tc>
          <w:tcPr>
            <w:tcW w:w="280" w:type="dxa"/>
            <w:vAlign w:val="bottom"/>
            <w:tcBorders>
              <w:bottom w:val="single" w:sz="8" w:color="CDE8F5"/>
            </w:tcBorders>
          </w:tcPr>
          <w:p>
            <w:pPr>
              <w:spacing w:after="0"/>
              <w:rPr>
                <w:sz w:val="15"/>
                <w:szCs w:val="15"/>
                <w:color w:val="auto"/>
              </w:rPr>
            </w:pPr>
          </w:p>
        </w:tc>
        <w:tc>
          <w:tcPr>
            <w:tcW w:w="8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DE8F5"/>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0"/>
        </w:trPr>
        <w:tc>
          <w:tcPr>
            <w:tcW w:w="6020" w:type="dxa"/>
            <w:vAlign w:val="bottom"/>
            <w:shd w:val="clear" w:color="auto" w:fill="CDE8F5"/>
          </w:tcPr>
          <w:p>
            <w:pPr>
              <w:spacing w:after="0" w:line="25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1180" w:type="dxa"/>
            <w:vAlign w:val="bottom"/>
            <w:gridSpan w:val="4"/>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DE8F5"/>
              </w:rPr>
              <w:t>$2,044,400</w:t>
            </w:r>
          </w:p>
        </w:tc>
        <w:tc>
          <w:tcPr>
            <w:tcW w:w="280" w:type="dxa"/>
            <w:vAlign w:val="bottom"/>
            <w:shd w:val="clear" w:color="auto" w:fill="CDE8F5"/>
          </w:tcPr>
          <w:p>
            <w:pPr>
              <w:spacing w:after="0"/>
              <w:rPr>
                <w:sz w:val="21"/>
                <w:szCs w:val="21"/>
                <w:color w:val="auto"/>
              </w:rPr>
            </w:pPr>
          </w:p>
        </w:tc>
        <w:tc>
          <w:tcPr>
            <w:tcW w:w="60" w:type="dxa"/>
            <w:vAlign w:val="bottom"/>
            <w:shd w:val="clear" w:color="auto" w:fill="CDE8F5"/>
          </w:tcPr>
          <w:p>
            <w:pPr>
              <w:spacing w:after="0"/>
              <w:rPr>
                <w:sz w:val="21"/>
                <w:szCs w:val="21"/>
                <w:color w:val="auto"/>
              </w:rPr>
            </w:pP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DE8F5"/>
              </w:rPr>
              <w:t>$1,597,000</w:t>
            </w:r>
          </w:p>
        </w:tc>
      </w:tr>
      <w:tr>
        <w:trPr>
          <w:trHeight w:val="270"/>
        </w:trPr>
        <w:tc>
          <w:tcPr>
            <w:tcW w:w="6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020" w:type="dxa"/>
            <w:vAlign w:val="bottom"/>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280" w:type="dxa"/>
            <w:vAlign w:val="bottom"/>
            <w:shd w:val="clear" w:color="auto" w:fill="CDE8F5"/>
          </w:tcPr>
          <w:p>
            <w:pPr>
              <w:spacing w:after="0"/>
              <w:rPr>
                <w:sz w:val="23"/>
                <w:szCs w:val="23"/>
                <w:color w:val="auto"/>
              </w:rPr>
            </w:pPr>
          </w:p>
        </w:tc>
        <w:tc>
          <w:tcPr>
            <w:tcW w:w="60" w:type="dxa"/>
            <w:vAlign w:val="bottom"/>
            <w:shd w:val="clear" w:color="auto" w:fill="CDE8F5"/>
          </w:tcPr>
          <w:p>
            <w:pPr>
              <w:spacing w:after="0"/>
              <w:rPr>
                <w:sz w:val="23"/>
                <w:szCs w:val="23"/>
                <w:color w:val="auto"/>
              </w:rPr>
            </w:pPr>
          </w:p>
        </w:tc>
        <w:tc>
          <w:tcPr>
            <w:tcW w:w="1180" w:type="dxa"/>
            <w:vAlign w:val="bottom"/>
            <w:gridSpan w:val="4"/>
            <w:shd w:val="clear" w:color="auto" w:fill="CDE8F5"/>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r>
      <w:tr>
        <w:trPr>
          <w:trHeight w:val="257"/>
        </w:trPr>
        <w:tc>
          <w:tcPr>
            <w:tcW w:w="6020" w:type="dxa"/>
            <w:vAlign w:val="bottom"/>
            <w:shd w:val="clear" w:color="auto" w:fill="CDE8F5"/>
          </w:tcPr>
          <w:p>
            <w:pPr>
              <w:ind w:left="3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80" w:type="dxa"/>
            <w:vAlign w:val="bottom"/>
            <w:gridSpan w:val="4"/>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shd w:val="clear" w:color="auto" w:fill="CDE8F5"/>
              </w:rPr>
              <w:t>$</w:t>
            </w:r>
            <w:r>
              <w:rPr>
                <w:rFonts w:ascii="Times New Roman" w:cs="Times New Roman" w:eastAsia="Times New Roman" w:hAnsi="Times New Roman"/>
                <w:sz w:val="18"/>
                <w:szCs w:val="18"/>
                <w:b w:val="1"/>
                <w:bCs w:val="1"/>
                <w:color w:val="auto"/>
                <w:shd w:val="clear" w:color="auto" w:fill="CDE8F5"/>
              </w:rPr>
              <w:t>2,046,400</w:t>
            </w:r>
          </w:p>
        </w:tc>
        <w:tc>
          <w:tcPr>
            <w:tcW w:w="280" w:type="dxa"/>
            <w:vAlign w:val="bottom"/>
            <w:shd w:val="clear" w:color="auto" w:fill="CDE8F5"/>
          </w:tcPr>
          <w:p>
            <w:pPr>
              <w:spacing w:after="0"/>
              <w:rPr>
                <w:sz w:val="22"/>
                <w:szCs w:val="22"/>
                <w:color w:val="auto"/>
              </w:rPr>
            </w:pPr>
          </w:p>
        </w:tc>
        <w:tc>
          <w:tcPr>
            <w:tcW w:w="60" w:type="dxa"/>
            <w:vAlign w:val="bottom"/>
            <w:shd w:val="clear" w:color="auto" w:fill="CDE8F5"/>
          </w:tcPr>
          <w:p>
            <w:pPr>
              <w:spacing w:after="0"/>
              <w:rPr>
                <w:sz w:val="22"/>
                <w:szCs w:val="22"/>
                <w:color w:val="auto"/>
              </w:rPr>
            </w:pP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shd w:val="clear" w:color="auto" w:fill="CDE8F5"/>
              </w:rPr>
              <w:t>$</w:t>
            </w:r>
            <w:r>
              <w:rPr>
                <w:rFonts w:ascii="Times New Roman" w:cs="Times New Roman" w:eastAsia="Times New Roman" w:hAnsi="Times New Roman"/>
                <w:sz w:val="18"/>
                <w:szCs w:val="18"/>
                <w:b w:val="1"/>
                <w:bCs w:val="1"/>
                <w:color w:val="auto"/>
                <w:w w:val="98"/>
                <w:shd w:val="clear" w:color="auto" w:fill="CDE8F5"/>
              </w:rPr>
              <w:t>1,599,000</w:t>
            </w: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20" w:hanging="424"/>
        <w:spacing w:after="0" w:line="255"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integrated audit of our annual consolidated financial statements included in our Form 10-K filing and review of financial statements included in our Form 10-Q filings. Amount also includes other services that are normally provided by independent registered public accountants in connection with statutory and regulatory filings or engagements.</w:t>
      </w:r>
    </w:p>
    <w:p>
      <w:pPr>
        <w:spacing w:after="0" w:line="2"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professional services for assurance and related services that are reasonably related to the performance of the audit or review, and are not reported under “Audit Fees” above. No such services were provided by PricewaterhouseCoopers LLP in fiscal years 2025 and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services for tax compliance, tax advice or tax planning were provided by PricewaterhouseCoopers LLP in fiscal years 2025 and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access to disclosure checklist software.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to the Company by PricewaterhouseCoopers LLP, other than those listed above, that would have required our audit committee to consider their compatibility with maintaining the independence of PricewaterhouseCoopers LLP.</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its charter, the audit committee must review and approve, in advance, the scope and plans for the audits and the audit fees and approve in advance (or, where permitted under the rules and regulations of the SEC, subsequently) all non-audit and tax services to be performed by the independent auditor that are not otherwise prohibited by law or regulations and any associated fees. All services provided by PricewaterhouseCoopers LLP for our fiscal years ended December 31, 2025 and 2024 were pre-approved by our audit committee. The chairperson of the audit committee and one or more members of the audit committee to which such authority is delegated by the audit committee may pre-approve all audit and permissible non-audit and tax services, as long as (i) this pre-approval is presented to the full committee at scheduled meetings and (ii) fees for any individual services or set of related services approved pursuant to such delegation do not exceed $100,000.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December 31, 2026 requires the affirmative vote of a majority of the voting power of the shares cast. Abstentions will have no effect on the outcome of the vote on this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120" w:right="4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PRICEWATERHOUSECOOPERS LLP AS OUR INDEPENDENT REGISTERED PUBLIC ACCOUNTING FIRM FOR OUR FISCAL YEAR ENDING DECEMBER 31, 2026.</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currently comprised of three directors, all of whom meet the independence requirements for audit committee members under the NYSE listing rules and the rules and regulations of the SEC. The audit committee operates under a written charter adopted by the board of directors. This written charter is reviewed annually for changes, as appropriate. With respect to our financial reporting process, management is responsible for (i) establishing and maintaining internal controls and (ii) preparing our consolidated financial statements. Our independent registered public accounting firm, PricewaterhouseCoopers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9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consolidated financial statements with management and PricewaterhouseCoopers LLP;</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PricewaterhouseCoopers LLP the matters required to be discussed by the applicable requirements of the Public Company Accounting Oversight Board, or PCAOB, and the SEC;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PricewaterhouseCoopers LLP required by the applicable requirements of the PCAOB regarding the independent accountant’s communications with the audit committee concerning independence, and has discussed with PricewaterhouseCoopers LLP its independence.</w:t>
      </w:r>
    </w:p>
    <w:p>
      <w:pPr>
        <w:spacing w:after="0" w:line="176"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discussions noted above, the audit committee recommended to the board of directors that the audited consolidated financial statements be included in the Annual Report on Form 10-K for the fiscal year ended December 31, 2025 for filing with the SEC.</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William Ingram (Chair)</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Jody Davids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Gary Trainor</w:t>
      </w:r>
    </w:p>
    <w:p>
      <w:pPr>
        <w:spacing w:after="0" w:line="20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shall not be deemed to be “soliciting material” or to be “filed” with the SEC or subject to Regulation 14A promulgated by the SEC or to the liabilities of Section 18 of the Exchange Act, and shall not be deemed incorporated by reference into any prior or subsequent filing by Paymentus under the Exchange Act or the Securities Act of 1933, as amended, or the Securities Act, except to the extent Paymentus specifically requests that the information be treated as “soliciting material” or specifically incorporates it by reference.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3: ADVISORY VOTE ON EXECUTIVE COMPENSATION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Section 14A of the Exchange Act, we are seeking your advisory vote on our executive compensation programs and asking that you support the compensation of our named executive officers as disclosed under the heading “Executive Compensation,” beginning on page 32 and the accompanying tables and related narrative disclosure. This proposal, commonly referred to as a “say-on-pay” proposal, gives stockholders the opportunity to express their views on our named executive officers’ compensation. This vote is not intended to address any specific item of compensation, but rather the overall compensation of the named executive officers and the philosophy, policies and practices described in this proxy statement.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described under the heading “Compensation Discussion and Analysis,” we provide annual and long-term compensation incentives to attract, motivate, and retain our named executive officers, each of whom is critical to our success, and to create a remuneration and incentive program that aligns the interests of the named executive officers with those of our stockholders. The board of directors believes the program strikes the appropriate balance between utilizing responsible, measured pay practices and effectively incentivizing the named executive officers to dedicate themselves fully to value creation for our stockholders.</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are encouraged to read the information detailed under the heading “Executive Compensation” beginning on page 32 for additional details about our executive compensation programs.</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strongly endorses our executive compensation programs and recommends that the stockholders vote in favor of the following resolution:</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Paymentus Holdings, Inc. Definitive Proxy Statement for the 2026 annual meeting of stockholders pursuant to the compensation disclosure rules of the Securities and Exchange Commission, including the Compensation Discussion and Analysis, the Summary Compensation Table and the other related tables and disclosure.”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say-on-pay vote is advisory, and therefore not binding on us, the compensation committee or the board of directors. Our board of directors and the compensation committee value the opinions of our stockholders, and to the extent there is any significant vote against the named executive officer compensation as disclosed in this proxy statement, we will consider stockholders’ concerns and the compensation committee will evaluate whether any actions are necessary to address those concerns. The approval, on an advisory basis, of this say-on-pay vote requires the affirmative vote of a majority of the voting power of the shares cast.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THE COMPENSATION OF OUR NAMED EXECUTIVE OFFICERS, AS DISCLOSED IN THIS PROXY STATEMENT PURSUANT TO THE COMPENSATION DISCLOSURE RULES OF THE SECURITIES AND EXCHANGE COMMISSION.</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4: ADVISORY VOTE ON THE FREQUENCY OF THE ADVISORY VOTE 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Exchange Act, we are seeking your input with regard to the frequency of future stockholder advisory votes on our executive compensation programs. In particular, we are asking whether the say-on-pay advisory vote should occur every year, every two years or every three years. You may cast your vote on your preferred voting frequency by choosing the option of one year, two years, three years or abstain from voting.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stockholders will be deemed the frequency for the advisory vote on executive compensation that has been approved by stockholders. While the board of directors will take into account the outcome of this non-binding, advisory vote when making future decisions regarding the frequency of the say-on-pay advisory vote, the board of directors may decide that it is in the best interests of stockholders and the Company to hold such an advisory vote more or less frequently than the option selected by a plurality of stockholders at the annual meeting. As a reminder, you are NOT voting for or against the board’s recommendation itself. Instead, your vote is a selection of one of the three frequency options if you do not abstain.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OPTION OF “ONE YEAR” AS THE FREQUENCY WITH WHICH STOCKHOLDERS ARE PROVIDED AN ADVISORY VOTE ON EXECUTIVE COMPENSATION, AS DISCLOSED PURSUANT TO THE COMPENSATION DISCLOSURE RULES OF THE SEC.</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82"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02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April 9, 2026.</w:t>
            </w:r>
          </w:p>
        </w:tc>
      </w:tr>
      <w:tr>
        <w:trPr>
          <w:trHeight w:val="398"/>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60" w:type="dxa"/>
            <w:vAlign w:val="bottom"/>
          </w:tcPr>
          <w:p>
            <w:pPr>
              <w:spacing w:after="0"/>
              <w:rPr>
                <w:sz w:val="24"/>
                <w:szCs w:val="24"/>
                <w:color w:val="auto"/>
              </w:rPr>
            </w:pPr>
          </w:p>
        </w:tc>
        <w:tc>
          <w:tcPr>
            <w:tcW w:w="624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480" w:type="dxa"/>
            <w:vAlign w:val="bottom"/>
            <w:tcBorders>
              <w:top w:val="single" w:sz="8" w:color="auto"/>
            </w:tcBorders>
            <w:shd w:val="clear" w:color="auto" w:fill="CDE8F5"/>
          </w:tcPr>
          <w:p>
            <w:pPr>
              <w:spacing w:after="0" w:line="20" w:lineRule="exact"/>
              <w:rPr>
                <w:sz w:val="1"/>
                <w:szCs w:val="1"/>
                <w:color w:val="auto"/>
              </w:rPr>
            </w:pPr>
          </w:p>
        </w:tc>
        <w:tc>
          <w:tcPr>
            <w:tcW w:w="740" w:type="dxa"/>
            <w:vAlign w:val="bottom"/>
            <w:shd w:val="clear" w:color="auto" w:fill="CDE8F5"/>
          </w:tcPr>
          <w:p>
            <w:pPr>
              <w:spacing w:after="0" w:line="20" w:lineRule="exact"/>
              <w:rPr>
                <w:sz w:val="1"/>
                <w:szCs w:val="1"/>
                <w:color w:val="auto"/>
              </w:rPr>
            </w:pPr>
          </w:p>
        </w:tc>
        <w:tc>
          <w:tcPr>
            <w:tcW w:w="2660" w:type="dxa"/>
            <w:vAlign w:val="bottom"/>
            <w:shd w:val="clear" w:color="auto" w:fill="CDE8F5"/>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shd w:val="clear" w:color="auto" w:fill="CDE8F5"/>
          </w:tcPr>
          <w:p>
            <w:pPr>
              <w:spacing w:after="0" w:line="20" w:lineRule="exact"/>
              <w:rPr>
                <w:sz w:val="1"/>
                <w:szCs w:val="1"/>
                <w:color w:val="auto"/>
              </w:rPr>
            </w:pPr>
          </w:p>
        </w:tc>
        <w:tc>
          <w:tcPr>
            <w:tcW w:w="360" w:type="dxa"/>
            <w:vAlign w:val="bottom"/>
            <w:shd w:val="clear" w:color="auto" w:fill="CDE8F5"/>
          </w:tcPr>
          <w:p>
            <w:pPr>
              <w:spacing w:after="0" w:line="20" w:lineRule="exact"/>
              <w:rPr>
                <w:sz w:val="1"/>
                <w:szCs w:val="1"/>
                <w:color w:val="auto"/>
              </w:rPr>
            </w:pPr>
          </w:p>
        </w:tc>
        <w:tc>
          <w:tcPr>
            <w:tcW w:w="6240" w:type="dxa"/>
            <w:vAlign w:val="bottom"/>
            <w:tcBorders>
              <w:top w:val="single" w:sz="8" w:color="auto"/>
            </w:tcBorders>
            <w:shd w:val="clear" w:color="auto" w:fill="000000"/>
          </w:tcPr>
          <w:p>
            <w:pPr>
              <w:spacing w:after="0" w:line="20" w:lineRule="exact"/>
              <w:rPr>
                <w:sz w:val="1"/>
                <w:szCs w:val="1"/>
                <w:color w:val="auto"/>
              </w:rPr>
            </w:pPr>
          </w:p>
        </w:tc>
      </w:tr>
      <w:tr>
        <w:trPr>
          <w:trHeight w:val="250"/>
        </w:trPr>
        <w:tc>
          <w:tcPr>
            <w:tcW w:w="3880" w:type="dxa"/>
            <w:vAlign w:val="bottom"/>
            <w:gridSpan w:val="3"/>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540" w:type="dxa"/>
            <w:vAlign w:val="bottom"/>
            <w:gridSpan w:val="2"/>
            <w:shd w:val="clear" w:color="auto" w:fill="CDE8F5"/>
          </w:tcPr>
          <w:p>
            <w:pPr>
              <w:ind w:left="100"/>
              <w:spacing w:after="0"/>
              <w:rPr>
                <w:sz w:val="20"/>
                <w:szCs w:val="20"/>
                <w:color w:val="auto"/>
              </w:rPr>
            </w:pPr>
            <w:r>
              <w:rPr>
                <w:rFonts w:ascii="Times New Roman" w:cs="Times New Roman" w:eastAsia="Times New Roman" w:hAnsi="Times New Roman"/>
                <w:sz w:val="18"/>
                <w:szCs w:val="18"/>
                <w:color w:val="auto"/>
              </w:rPr>
              <w:t>57    </w:t>
            </w:r>
          </w:p>
        </w:tc>
        <w:tc>
          <w:tcPr>
            <w:tcW w:w="6600" w:type="dxa"/>
            <w:vAlign w:val="bottom"/>
            <w:gridSpan w:val="2"/>
            <w:shd w:val="clear" w:color="auto" w:fill="CDE8F5"/>
          </w:tcPr>
          <w:p>
            <w:pPr>
              <w:ind w:left="3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70"/>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53    </w:t>
            </w: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7"/>
        </w:trPr>
        <w:tc>
          <w:tcPr>
            <w:tcW w:w="3880" w:type="dxa"/>
            <w:vAlign w:val="bottom"/>
            <w:tcBorders>
              <w:bottom w:val="single" w:sz="8" w:color="auto"/>
            </w:tcBorders>
            <w:gridSpan w:val="3"/>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540" w:type="dxa"/>
            <w:vAlign w:val="bottom"/>
            <w:tcBorders>
              <w:bottom w:val="single" w:sz="8" w:color="auto"/>
            </w:tcBorders>
            <w:gridSpan w:val="2"/>
            <w:shd w:val="clear" w:color="auto" w:fill="CDE8F5"/>
          </w:tcPr>
          <w:p>
            <w:pPr>
              <w:ind w:left="100"/>
              <w:spacing w:after="0"/>
              <w:rPr>
                <w:sz w:val="20"/>
                <w:szCs w:val="20"/>
                <w:color w:val="auto"/>
              </w:rPr>
            </w:pPr>
            <w:r>
              <w:rPr>
                <w:rFonts w:ascii="Times New Roman" w:cs="Times New Roman" w:eastAsia="Times New Roman" w:hAnsi="Times New Roman"/>
                <w:sz w:val="18"/>
                <w:szCs w:val="18"/>
                <w:color w:val="auto"/>
              </w:rPr>
              <w:t>61    </w:t>
            </w:r>
          </w:p>
        </w:tc>
        <w:tc>
          <w:tcPr>
            <w:tcW w:w="6600" w:type="dxa"/>
            <w:vAlign w:val="bottom"/>
            <w:tcBorders>
              <w:bottom w:val="single" w:sz="8" w:color="auto"/>
            </w:tcBorders>
            <w:gridSpan w:val="2"/>
            <w:shd w:val="clear" w:color="auto" w:fill="CDE8F5"/>
          </w:tcPr>
          <w:p>
            <w:pPr>
              <w:ind w:left="36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135"/>
        </w:trPr>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4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Gerber served as our general counsel and corporate secretary until April 6, 2026.</w:t>
      </w:r>
    </w:p>
    <w:p>
      <w:pPr>
        <w:spacing w:after="0" w:line="221"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Dushyant Sharma</w:t>
      </w:r>
      <w:r>
        <w:rPr>
          <w:rFonts w:ascii="Times New Roman" w:cs="Times New Roman" w:eastAsia="Times New Roman" w:hAnsi="Times New Roman"/>
          <w:sz w:val="18"/>
          <w:szCs w:val="18"/>
          <w:color w:val="auto"/>
        </w:rPr>
        <w:t>. See the section titled “Board of Directors and Corporate Governance—Continuing Directors—Class III” for Mr. Sharma’s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w:t>
      </w:r>
    </w:p>
    <w:p>
      <w:pPr>
        <w:spacing w:after="0" w:line="155"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Sanjay Kalra </w:t>
      </w:r>
      <w:r>
        <w:rPr>
          <w:rFonts w:ascii="Times New Roman" w:cs="Times New Roman" w:eastAsia="Times New Roman" w:hAnsi="Times New Roman"/>
          <w:sz w:val="18"/>
          <w:szCs w:val="18"/>
          <w:color w:val="auto"/>
        </w:rPr>
        <w:t>has served as our senior vice president and chief financial officer since March 2023. Prior to joining Paymentus, Mr. Kalra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and chief financial officer of Harmonic Inc., a Nasdaq-listed virtualized broadband and video delivery solutions company, from June 2017 to March 2023. Previously, he served as chief accounting officer at Harmonic, corporate controller at TiVo, Inc. and vice president and corporate controller at Model N, Inc., and held various senior financial leadership roles at Silicon Image after beginning his career in public accounting at Ernst &amp; Young LLP. Mr. Kalra holds a B. Com. in Commerce and Accounting from CCS University, India, is a Chartered Accountant from Institute of Chartered Accountants of India and is a Certified Public Accountant.</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Gerasimos (Jerry) Portocalis </w:t>
      </w:r>
      <w:r>
        <w:rPr>
          <w:rFonts w:ascii="Times New Roman" w:cs="Times New Roman" w:eastAsia="Times New Roman" w:hAnsi="Times New Roman"/>
          <w:sz w:val="18"/>
          <w:szCs w:val="18"/>
          <w:color w:val="auto"/>
        </w:rPr>
        <w:t>has served as our chief commercial officer since October 2020 and prior to that served as our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and operations since October 2012. Prior to joining Paymentus, Mr. Portocalis served as president and chief executive officer of QT Technologies, a business-process outsourcing and e-payments company, from October 2006 to March 2012. Mr. Portocalis was also previously an executive founder of the BillMatrix Corporation, a Fiserv company providing business-to-business and business-to-consumer e-payment solutions, from March 1999 to October 2006, most recently as executive vice president, sales, marketing and client services. Mr. Portocalis holds an M.B.A. from California State University, East Bay and a B.S. in Marketing from Northern Illinois University.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oversees our compensation programs on behalf of the board of directors. In fulfilling its oversight responsibilities, the compensation committee reviewed and discussed with management the Compensation Discussion and Analysis included in this proxy statement. Following that review and discussion, the compensation committee recommended to the board of directors that the Compensation Discussion and Analysis be included in our proxy statement to be filed with the SEC in connection with our annual meeting and incorporated by reference in our Annual Report on Form 10-K for the fiscal year ended December 31, 2025, filed with the SEC on February 24, 2026.</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Robert Palumbo (Chair)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Jason Klein</w:t>
      </w:r>
    </w:p>
    <w:p>
      <w:pPr>
        <w:spacing w:after="0" w:line="20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shall not be deemed to be “soliciting material” or to be “filed” with the SEC or subject to Regulation 14A promulgated by the SEC or to the liabilities of Section 18 of the Exchange Act, and shall not be deemed incorporated by reference into any prior or subsequent filing by Paymentus under the Exchange Act or the Securities Act, except to the extent Paymentus specifically requests that the information be treated as “soliciting material” or specifically incorporates it by reference.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82"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section presents the key components of our executive compensation program. We explain why we compensate our executive officers in the manner we do and how these philosophies guide the individual compensation decisions for our named executive officers, or NEOs. Our 2025 compensation decisions were directed by our board of directors and its compensation committee.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December 31, 2025, our NEOs consisted of all individuals who served as executive officers during the year, as follows: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Dushyant Sharma, our chairman,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Sanjay Kalra, our senior vice president and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Gerasimos (Jerry) Portocalis, our chief commercial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Gerber, our former general counsel and corporate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leading provider of cloud-based bill payment technology and solutions, we deliver our next-generation product suite through a modern technology stack to a broad and diverse base of business and financial institution clients. Our platform was used by approximately 53 million consumers and businesses globally in December 2025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business to business (B2B)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with organic network effects that enables us to continuously drive innovation, grow our business and uniquely improve the electronic bill payment experience for participants in the bill payment ecosystem.</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 as a Service, or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Business Highlights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mission is to simplify bill payments and provide easy, fast and innovative solutions to the market and its consumers. In fiscal 2025, we delivered strong results from a financial and operational standpoint, as highlighted by the following: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$1,196.5 million, an increase of 37.3% year-over-year, driven largely by increased billers and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$296.3 million, an increase of 24.4% year-over-year.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$386.3 million, a year-over-year increase of 23.8%.</w:t>
      </w:r>
    </w:p>
    <w:p>
      <w:pPr>
        <w:spacing w:after="0" w:line="5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$66.9 million compared to $44.2 million in the prior period, and diluted GAAP earnings per share was $0.52 compared to $0.35 in the prior period.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$137.4 million for the full year of 2025, an increase of 45.9% year-over-year.</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$125.0 million, compared to $27.1 million in 2024.</w:t>
      </w:r>
    </w:p>
    <w:p>
      <w:pPr>
        <w:spacing w:after="0" w:line="3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processed 724.0 million transactions for the full year of 2025, an increase of 21.3% year-over-year.</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Performance and Executive Compensation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utilize performance objectives in our compensation plans which we believe will, over time, lead to enhanced stockholder value. Over the past several years, we established a track record of delivering strong results, and we are proud of our strong 2025 operational and financial performance, growth and significant advancement of our strategic positioning.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 of Executive Compensation Actions in 2025</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2025, our compensation committee considered the total compensation packages, both in whole and by component, of our NEOs to determine appropriateness in light of our executive compensation philosophy and 2025 anticipated challenges. We took the following actions:</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2025 Executive Compensation Action Summary</w:t>
            </w:r>
          </w:p>
        </w:tc>
        <w:tc>
          <w:tcPr>
            <w:tcW w:w="3680" w:type="dxa"/>
            <w:vAlign w:val="bottom"/>
          </w:tcPr>
          <w:p>
            <w:pPr>
              <w:spacing w:after="0"/>
              <w:rPr>
                <w:sz w:val="17"/>
                <w:szCs w:val="17"/>
                <w:color w:val="auto"/>
              </w:rPr>
            </w:pPr>
          </w:p>
        </w:tc>
      </w:tr>
      <w:tr>
        <w:trPr>
          <w:trHeight w:val="439"/>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tcBorders>
              <w:bottom w:val="single" w:sz="8" w:color="auto"/>
            </w:tcBorders>
            <w:gridSpan w:val="2"/>
          </w:tcPr>
          <w:p>
            <w:pPr>
              <w:ind w:left="2460"/>
              <w:spacing w:after="0"/>
              <w:rPr>
                <w:sz w:val="20"/>
                <w:szCs w:val="20"/>
                <w:color w:val="auto"/>
              </w:rPr>
            </w:pPr>
            <w:r>
              <w:rPr>
                <w:rFonts w:ascii="Times New Roman" w:cs="Times New Roman" w:eastAsia="Times New Roman" w:hAnsi="Times New Roman"/>
                <w:sz w:val="14"/>
                <w:szCs w:val="14"/>
                <w:b w:val="1"/>
                <w:bCs w:val="1"/>
                <w:color w:val="auto"/>
              </w:rPr>
              <w:t>Actions Related to 2025 Compensation</w:t>
            </w:r>
          </w:p>
        </w:tc>
      </w:tr>
      <w:tr>
        <w:trPr>
          <w:trHeight w:val="250"/>
        </w:trPr>
        <w:tc>
          <w:tcPr>
            <w:tcW w:w="364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0" w:type="dxa"/>
            <w:vAlign w:val="bottom"/>
            <w:tcBorders>
              <w:top w:val="single" w:sz="8" w:color="CDE8F5"/>
            </w:tcBorders>
            <w:shd w:val="clear" w:color="auto" w:fill="CDE8F5"/>
          </w:tcPr>
          <w:p>
            <w:pPr>
              <w:spacing w:after="0"/>
              <w:rPr>
                <w:sz w:val="21"/>
                <w:szCs w:val="21"/>
                <w:color w:val="auto"/>
              </w:rPr>
            </w:pPr>
          </w:p>
        </w:tc>
        <w:tc>
          <w:tcPr>
            <w:tcW w:w="80" w:type="dxa"/>
            <w:vAlign w:val="bottom"/>
            <w:tcBorders>
              <w:top w:val="single" w:sz="8" w:color="CDE8F5"/>
            </w:tcBorders>
            <w:shd w:val="clear" w:color="auto" w:fill="CDE8F5"/>
          </w:tcPr>
          <w:p>
            <w:pPr>
              <w:spacing w:after="0"/>
              <w:rPr>
                <w:sz w:val="21"/>
                <w:szCs w:val="21"/>
                <w:color w:val="auto"/>
              </w:rPr>
            </w:pPr>
          </w:p>
        </w:tc>
        <w:tc>
          <w:tcPr>
            <w:tcW w:w="7280" w:type="dxa"/>
            <w:vAlign w:val="bottom"/>
            <w:tcBorders>
              <w:top w:val="single" w:sz="8" w:color="auto"/>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Increased base salaries of each of our NEOs by 3.0%.</w:t>
            </w:r>
          </w:p>
        </w:tc>
      </w:tr>
      <w:tr>
        <w:trPr>
          <w:trHeight w:val="25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Incentive Compensation Plan (EICP)</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Established the target bonus opportunity for Messrs. Sharma, Kalra, Portocalis and Gerber based on</w:t>
            </w:r>
          </w:p>
        </w:tc>
      </w:tr>
      <w:tr>
        <w:trPr>
          <w:trHeight w:val="216"/>
        </w:trPr>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financial metrics (as discussed below) at 192.9%, 100.0%, 100.0% and 61.5%, respectively,</w:t>
            </w:r>
          </w:p>
        </w:tc>
      </w:tr>
      <w:tr>
        <w:trPr>
          <w:trHeight w:val="234"/>
        </w:trPr>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their 2025 base salaries.</w:t>
            </w:r>
          </w:p>
        </w:tc>
      </w:tr>
      <w:tr>
        <w:trPr>
          <w:trHeight w:val="252"/>
        </w:trPr>
        <w:tc>
          <w:tcPr>
            <w:tcW w:w="36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Long-Term Incentive Compensation (Restricted</w:t>
            </w:r>
          </w:p>
        </w:tc>
        <w:tc>
          <w:tcPr>
            <w:tcW w:w="20" w:type="dxa"/>
            <w:vAlign w:val="bottom"/>
            <w:shd w:val="clear" w:color="auto" w:fill="CDE8F5"/>
          </w:tcPr>
          <w:p>
            <w:pPr>
              <w:spacing w:after="0"/>
              <w:rPr>
                <w:sz w:val="21"/>
                <w:szCs w:val="21"/>
                <w:color w:val="auto"/>
              </w:rPr>
            </w:pPr>
          </w:p>
        </w:tc>
        <w:tc>
          <w:tcPr>
            <w:tcW w:w="80" w:type="dxa"/>
            <w:vAlign w:val="bottom"/>
            <w:shd w:val="clear" w:color="auto" w:fill="CDE8F5"/>
          </w:tcPr>
          <w:p>
            <w:pPr>
              <w:spacing w:after="0"/>
              <w:rPr>
                <w:sz w:val="21"/>
                <w:szCs w:val="21"/>
                <w:color w:val="auto"/>
              </w:rPr>
            </w:pPr>
          </w:p>
        </w:tc>
        <w:tc>
          <w:tcPr>
            <w:tcW w:w="728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w w:val="99"/>
              </w:rPr>
              <w:t>Awarded 68,447 RSUs to Messrs. Kalra and Portocalis and 17,112 RSUs to Mr. Gerber as part of the</w:t>
            </w:r>
          </w:p>
        </w:tc>
      </w:tr>
      <w:tr>
        <w:trPr>
          <w:trHeight w:val="216"/>
        </w:trPr>
        <w:tc>
          <w:tcPr>
            <w:tcW w:w="3640" w:type="dxa"/>
            <w:vAlign w:val="bottom"/>
            <w:gridSpan w:val="2"/>
            <w:shd w:val="clear" w:color="auto" w:fill="CDE8F5"/>
          </w:tcPr>
          <w:p>
            <w:pPr>
              <w:ind w:left="180"/>
              <w:spacing w:after="0"/>
              <w:rPr>
                <w:sz w:val="20"/>
                <w:szCs w:val="20"/>
                <w:color w:val="auto"/>
              </w:rPr>
            </w:pPr>
            <w:r>
              <w:rPr>
                <w:rFonts w:ascii="Times New Roman" w:cs="Times New Roman" w:eastAsia="Times New Roman" w:hAnsi="Times New Roman"/>
                <w:sz w:val="18"/>
                <w:szCs w:val="18"/>
                <w:color w:val="auto"/>
              </w:rPr>
              <w:t>Stock Units (RSUs))</w:t>
            </w:r>
          </w:p>
        </w:tc>
        <w:tc>
          <w:tcPr>
            <w:tcW w:w="20" w:type="dxa"/>
            <w:vAlign w:val="bottom"/>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728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annual RSU grant process. Separately, the board, following extensive compensation committee</w:t>
            </w:r>
          </w:p>
        </w:tc>
      </w:tr>
      <w:tr>
        <w:trPr>
          <w:trHeight w:val="241"/>
        </w:trPr>
        <w:tc>
          <w:tcPr>
            <w:tcW w:w="1640" w:type="dxa"/>
            <w:vAlign w:val="bottom"/>
            <w:tcBorders>
              <w:bottom w:val="single" w:sz="8" w:color="auto"/>
            </w:tcBorders>
            <w:shd w:val="clear" w:color="auto" w:fill="CDE8F5"/>
          </w:tcPr>
          <w:p>
            <w:pPr>
              <w:spacing w:after="0"/>
              <w:rPr>
                <w:sz w:val="20"/>
                <w:szCs w:val="20"/>
                <w:color w:val="auto"/>
              </w:rPr>
            </w:pPr>
          </w:p>
        </w:tc>
        <w:tc>
          <w:tcPr>
            <w:tcW w:w="2000" w:type="dxa"/>
            <w:vAlign w:val="bottom"/>
            <w:tcBorders>
              <w:bottom w:val="single" w:sz="8" w:color="auto"/>
            </w:tcBorders>
            <w:shd w:val="clear" w:color="auto" w:fill="CDE8F5"/>
          </w:tcPr>
          <w:p>
            <w:pPr>
              <w:spacing w:after="0"/>
              <w:rPr>
                <w:sz w:val="20"/>
                <w:szCs w:val="20"/>
                <w:color w:val="auto"/>
              </w:rPr>
            </w:pPr>
          </w:p>
        </w:tc>
        <w:tc>
          <w:tcPr>
            <w:tcW w:w="20" w:type="dxa"/>
            <w:vAlign w:val="bottom"/>
            <w:tcBorders>
              <w:bottom w:val="single" w:sz="8" w:color="auto"/>
            </w:tcBorders>
            <w:shd w:val="clear" w:color="auto" w:fill="CDE8F5"/>
          </w:tcPr>
          <w:p>
            <w:pPr>
              <w:spacing w:after="0"/>
              <w:rPr>
                <w:sz w:val="20"/>
                <w:szCs w:val="20"/>
                <w:color w:val="auto"/>
              </w:rPr>
            </w:pPr>
          </w:p>
        </w:tc>
        <w:tc>
          <w:tcPr>
            <w:tcW w:w="80" w:type="dxa"/>
            <w:vAlign w:val="bottom"/>
            <w:tcBorders>
              <w:bottom w:val="single" w:sz="8" w:color="auto"/>
            </w:tcBorders>
            <w:shd w:val="clear" w:color="auto" w:fill="CDE8F5"/>
          </w:tcPr>
          <w:p>
            <w:pPr>
              <w:spacing w:after="0"/>
              <w:rPr>
                <w:sz w:val="20"/>
                <w:szCs w:val="20"/>
                <w:color w:val="auto"/>
              </w:rPr>
            </w:pPr>
          </w:p>
        </w:tc>
        <w:tc>
          <w:tcPr>
            <w:tcW w:w="7280" w:type="dxa"/>
            <w:vAlign w:val="bottom"/>
            <w:tcBorders>
              <w:bottom w:val="single" w:sz="8" w:color="auto"/>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discussions, awarded 1.1 million RSUs to Mr. Sharma, which is described in more detail below.</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Philosophy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committed to developing a compensation program that rewards our executives in direct alignment with the achievement of both near and long-term business and strategic objectives (i.e., pay-for-performance). In furtherance of this objective, our compensation committee routinely considers appropriate adjustments to the design of our compensation program to reflect our strategic direction and evolving needs of our business. Additionally, our compensation committee seeks to set compensation levels for our executive officers at competitive levels so that we can attract, retain and motivate highly qualified executives to contribute to our success. In assessing the overall compensation for executive officers, the compensation committee generally considers our financial performance, stockholder returns and position relative to selected peers, market compensation data, executive performance, awards given in previous years and recommendations of our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340" w:right="60" w:hanging="224"/>
        <w:spacing w:after="0" w:line="208" w:lineRule="auto"/>
        <w:tabs>
          <w:tab w:leader="none" w:pos="3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see Appendix A to this proxy statement for a reconciliation of contribution profit, adjusted EBITDA and free cash flow, which are non-GAAP financial measures.</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making executive compensation decisions, the compensation committee is guided by the following principles:</w:t>
      </w:r>
    </w:p>
    <w:p>
      <w:pPr>
        <w:spacing w:after="0" w:line="131" w:lineRule="exact"/>
        <w:rPr>
          <w:sz w:val="20"/>
          <w:szCs w:val="20"/>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interests of our executives with stockholders to ensure that executive compensation payouts align with the achievement of results that are correlated with long-term value and stock price appreciation.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Rewarding achievement by providing appropriate levels of awards for attaining both short-term and long-term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for performance to ensure that a significant portion of executives’ compensation is realized when we meet our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senior executives with the right expertise necessary to achieve our strategic objectives and grow our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2025 executive compensation program consisted of the following core elements:</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compensation (RSUs);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health benefits on the same terms as for similarly situated non-executive employees.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 and Performance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is designed to provide a strong correlation between pay and performance. Pay refers to the value of an executive officer’s total direct compensation, or TDC.</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Base Salary + Annual Cash Incentive + Long-Term Equity Incentives = Total Direct Compensation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2025 NEO Target Total Direct Compensation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6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Target Annual</w:t>
            </w:r>
          </w:p>
        </w:tc>
        <w:tc>
          <w:tcPr>
            <w:tcW w:w="14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Target Total</w:t>
            </w:r>
          </w:p>
        </w:tc>
        <w:tc>
          <w:tcPr>
            <w:tcW w:w="0" w:type="dxa"/>
            <w:vAlign w:val="bottom"/>
          </w:tcPr>
          <w:p>
            <w:pPr>
              <w:spacing w:after="0"/>
              <w:rPr>
                <w:sz w:val="1"/>
                <w:szCs w:val="1"/>
                <w:color w:val="auto"/>
              </w:rPr>
            </w:pPr>
          </w:p>
        </w:tc>
      </w:tr>
      <w:tr>
        <w:trPr>
          <w:trHeight w:val="180"/>
        </w:trPr>
        <w:tc>
          <w:tcPr>
            <w:tcW w:w="5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Cash Incentive</w:t>
            </w:r>
          </w:p>
        </w:tc>
        <w:tc>
          <w:tcPr>
            <w:tcW w:w="140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Equity Incentive</w:t>
            </w:r>
            <w:r>
              <w:rPr>
                <w:rFonts w:ascii="Times New Roman" w:cs="Times New Roman" w:eastAsia="Times New Roman" w:hAnsi="Times New Roman"/>
                <w:sz w:val="10"/>
                <w:szCs w:val="10"/>
                <w:b w:val="1"/>
                <w:bCs w:val="1"/>
                <w:color w:val="auto"/>
              </w:rPr>
              <w:t>(1)</w:t>
            </w:r>
          </w:p>
        </w:tc>
        <w:tc>
          <w:tcPr>
            <w:tcW w:w="13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Direct Compensation</w:t>
            </w:r>
          </w:p>
        </w:tc>
        <w:tc>
          <w:tcPr>
            <w:tcW w:w="0" w:type="dxa"/>
            <w:vAlign w:val="bottom"/>
          </w:tcPr>
          <w:p>
            <w:pPr>
              <w:spacing w:after="0"/>
              <w:rPr>
                <w:sz w:val="1"/>
                <w:szCs w:val="1"/>
                <w:color w:val="auto"/>
              </w:rPr>
            </w:pPr>
          </w:p>
        </w:tc>
      </w:tr>
      <w:tr>
        <w:trPr>
          <w:trHeight w:val="244"/>
        </w:trPr>
        <w:tc>
          <w:tcPr>
            <w:tcW w:w="1540" w:type="dxa"/>
            <w:vAlign w:val="bottom"/>
            <w:tcBorders>
              <w:top w:val="single" w:sz="8" w:color="auto"/>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4360" w:type="dxa"/>
            <w:vAlign w:val="bottom"/>
            <w:tcBorders>
              <w:top w:val="single" w:sz="8" w:color="CDE8F5"/>
            </w:tcBorders>
            <w:shd w:val="clear" w:color="auto" w:fill="CDE8F5"/>
          </w:tcPr>
          <w:p>
            <w:pPr>
              <w:spacing w:after="0"/>
              <w:rPr>
                <w:sz w:val="21"/>
                <w:szCs w:val="21"/>
                <w:color w:val="auto"/>
              </w:rPr>
            </w:pPr>
          </w:p>
        </w:tc>
        <w:tc>
          <w:tcPr>
            <w:tcW w:w="260" w:type="dxa"/>
            <w:vAlign w:val="bottom"/>
            <w:tcBorders>
              <w:top w:val="single" w:sz="8" w:color="CDE8F5"/>
            </w:tcBorders>
            <w:shd w:val="clear" w:color="auto" w:fill="CDE8F5"/>
          </w:tcPr>
          <w:p>
            <w:pPr>
              <w:spacing w:after="0"/>
              <w:rPr>
                <w:sz w:val="21"/>
                <w:szCs w:val="21"/>
                <w:color w:val="auto"/>
              </w:rPr>
            </w:pPr>
          </w:p>
        </w:tc>
        <w:tc>
          <w:tcPr>
            <w:tcW w:w="74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$371,315</w:t>
            </w:r>
          </w:p>
        </w:tc>
        <w:tc>
          <w:tcPr>
            <w:tcW w:w="240" w:type="dxa"/>
            <w:vAlign w:val="bottom"/>
            <w:tcBorders>
              <w:top w:val="single" w:sz="8" w:color="CDE8F5"/>
            </w:tcBorders>
            <w:shd w:val="clear" w:color="auto" w:fill="CDE8F5"/>
          </w:tcPr>
          <w:p>
            <w:pPr>
              <w:spacing w:after="0"/>
              <w:rPr>
                <w:sz w:val="21"/>
                <w:szCs w:val="21"/>
                <w:color w:val="auto"/>
              </w:rPr>
            </w:pPr>
          </w:p>
        </w:tc>
        <w:tc>
          <w:tcPr>
            <w:tcW w:w="92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$716,267</w:t>
            </w:r>
          </w:p>
        </w:tc>
        <w:tc>
          <w:tcPr>
            <w:tcW w:w="240" w:type="dxa"/>
            <w:vAlign w:val="bottom"/>
            <w:tcBorders>
              <w:top w:val="single" w:sz="8" w:color="CDE8F5"/>
            </w:tcBorders>
            <w:shd w:val="clear" w:color="auto" w:fill="CDE8F5"/>
          </w:tcPr>
          <w:p>
            <w:pPr>
              <w:spacing w:after="0"/>
              <w:rPr>
                <w:sz w:val="21"/>
                <w:szCs w:val="21"/>
                <w:color w:val="auto"/>
              </w:rPr>
            </w:pPr>
          </w:p>
        </w:tc>
        <w:tc>
          <w:tcPr>
            <w:tcW w:w="14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DE8F5"/>
          </w:tcPr>
          <w:p>
            <w:pPr>
              <w:jc w:val="right"/>
              <w:spacing w:after="0" w:line="243" w:lineRule="exact"/>
              <w:rPr>
                <w:sz w:val="20"/>
                <w:szCs w:val="20"/>
                <w:color w:val="auto"/>
              </w:rPr>
            </w:pPr>
            <w:r>
              <w:rPr>
                <w:rFonts w:ascii="Times New Roman" w:cs="Times New Roman" w:eastAsia="Times New Roman" w:hAnsi="Times New Roman"/>
                <w:sz w:val="18"/>
                <w:szCs w:val="18"/>
                <w:color w:val="auto"/>
                <w:w w:val="94"/>
              </w:rPr>
              <w:t>34,232,000</w:t>
            </w:r>
            <w:r>
              <w:rPr>
                <w:rFonts w:ascii="Times New Roman" w:cs="Times New Roman" w:eastAsia="Times New Roman" w:hAnsi="Times New Roman"/>
                <w:sz w:val="26"/>
                <w:szCs w:val="26"/>
                <w:color w:val="auto"/>
                <w:w w:val="94"/>
                <w:vertAlign w:val="superscript"/>
              </w:rPr>
              <w:t>(2)</w:t>
            </w:r>
          </w:p>
        </w:tc>
        <w:tc>
          <w:tcPr>
            <w:tcW w:w="220" w:type="dxa"/>
            <w:vAlign w:val="bottom"/>
            <w:tcBorders>
              <w:top w:val="single" w:sz="8" w:color="CDE8F5"/>
            </w:tcBorders>
            <w:shd w:val="clear" w:color="auto" w:fill="CDE8F5"/>
          </w:tcPr>
          <w:p>
            <w:pPr>
              <w:spacing w:after="0"/>
              <w:rPr>
                <w:sz w:val="21"/>
                <w:szCs w:val="21"/>
                <w:color w:val="auto"/>
              </w:rPr>
            </w:pPr>
          </w:p>
        </w:tc>
        <w:tc>
          <w:tcPr>
            <w:tcW w:w="50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w w:val="98"/>
              </w:rPr>
              <w:t>35,319,582</w:t>
            </w:r>
          </w:p>
        </w:tc>
        <w:tc>
          <w:tcPr>
            <w:tcW w:w="0" w:type="dxa"/>
            <w:vAlign w:val="bottom"/>
          </w:tcPr>
          <w:p>
            <w:pPr>
              <w:spacing w:after="0"/>
              <w:rPr>
                <w:sz w:val="1"/>
                <w:szCs w:val="1"/>
                <w:color w:val="auto"/>
              </w:rPr>
            </w:pPr>
          </w:p>
        </w:tc>
      </w:tr>
      <w:tr>
        <w:trPr>
          <w:trHeight w:val="304"/>
        </w:trPr>
        <w:tc>
          <w:tcPr>
            <w:tcW w:w="5900" w:type="dxa"/>
            <w:vAlign w:val="bottom"/>
            <w:tcBorders>
              <w:bottom w:val="single" w:sz="8" w:color="CDE8F5"/>
            </w:tcBorders>
            <w:gridSpan w:val="2"/>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240" w:type="dxa"/>
            <w:vAlign w:val="bottom"/>
            <w:tcBorders>
              <w:bottom w:val="single" w:sz="8" w:color="CDE8F5"/>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$530,450</w:t>
            </w:r>
          </w:p>
        </w:tc>
        <w:tc>
          <w:tcPr>
            <w:tcW w:w="1160" w:type="dxa"/>
            <w:vAlign w:val="bottom"/>
            <w:tcBorders>
              <w:bottom w:val="single" w:sz="8" w:color="CDE8F5"/>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$530,450</w:t>
            </w:r>
          </w:p>
        </w:tc>
        <w:tc>
          <w:tcPr>
            <w:tcW w:w="14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DE8F5"/>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2,000,021</w:t>
            </w:r>
          </w:p>
        </w:tc>
        <w:tc>
          <w:tcPr>
            <w:tcW w:w="220" w:type="dxa"/>
            <w:vAlign w:val="bottom"/>
            <w:tcBorders>
              <w:bottom w:val="single" w:sz="8" w:color="CDE8F5"/>
            </w:tcBorders>
          </w:tcPr>
          <w:p>
            <w:pPr>
              <w:spacing w:after="0"/>
              <w:rPr>
                <w:sz w:val="24"/>
                <w:szCs w:val="24"/>
                <w:color w:val="auto"/>
              </w:rPr>
            </w:pPr>
          </w:p>
        </w:tc>
        <w:tc>
          <w:tcPr>
            <w:tcW w:w="50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3,060,921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240" w:type="dxa"/>
            <w:vAlign w:val="bottom"/>
            <w:gridSpan w:val="3"/>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$445,578</w:t>
            </w:r>
          </w:p>
        </w:tc>
        <w:tc>
          <w:tcPr>
            <w:tcW w:w="1160" w:type="dxa"/>
            <w:vAlign w:val="bottom"/>
            <w:gridSpan w:val="2"/>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$445,578</w:t>
            </w:r>
          </w:p>
        </w:tc>
        <w:tc>
          <w:tcPr>
            <w:tcW w:w="14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DE8F5"/>
          </w:tcPr>
          <w:p>
            <w:pPr>
              <w:jc w:val="right"/>
              <w:ind w:right="134"/>
              <w:spacing w:after="0"/>
              <w:rPr>
                <w:sz w:val="20"/>
                <w:szCs w:val="20"/>
                <w:color w:val="auto"/>
              </w:rPr>
            </w:pPr>
            <w:r>
              <w:rPr>
                <w:rFonts w:ascii="Times New Roman" w:cs="Times New Roman" w:eastAsia="Times New Roman" w:hAnsi="Times New Roman"/>
                <w:sz w:val="18"/>
                <w:szCs w:val="18"/>
                <w:color w:val="auto"/>
              </w:rPr>
              <w:t>2,000,021</w:t>
            </w:r>
          </w:p>
        </w:tc>
        <w:tc>
          <w:tcPr>
            <w:tcW w:w="220" w:type="dxa"/>
            <w:vAlign w:val="bottom"/>
            <w:shd w:val="clear" w:color="auto" w:fill="CDE8F5"/>
          </w:tcPr>
          <w:p>
            <w:pPr>
              <w:spacing w:after="0"/>
              <w:rPr>
                <w:sz w:val="18"/>
                <w:szCs w:val="18"/>
                <w:color w:val="auto"/>
              </w:rPr>
            </w:pPr>
          </w:p>
        </w:tc>
        <w:tc>
          <w:tcPr>
            <w:tcW w:w="50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2,891,177</w:t>
            </w:r>
          </w:p>
        </w:tc>
        <w:tc>
          <w:tcPr>
            <w:tcW w:w="0" w:type="dxa"/>
            <w:vAlign w:val="bottom"/>
          </w:tcPr>
          <w:p>
            <w:pPr>
              <w:spacing w:after="0"/>
              <w:rPr>
                <w:sz w:val="1"/>
                <w:szCs w:val="1"/>
                <w:color w:val="auto"/>
              </w:rPr>
            </w:pPr>
          </w:p>
        </w:tc>
      </w:tr>
      <w:tr>
        <w:trPr>
          <w:trHeight w:val="27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$362,033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$222,650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500,013</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80" w:hanging="424"/>
        <w:spacing w:after="0" w:line="26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equals the grant date fair value of awards granted during the year ended December 31, 2025. Long-term equity represents the actual amount awarded because RSUs are not awarded pursuant to predetermined targets.</w:t>
      </w:r>
    </w:p>
    <w:p>
      <w:pPr>
        <w:ind w:left="540" w:right="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Sharma was granted a large one-time RSU in recognition of his significant past dedication to and achievements with the Company, in order to address the fact that he had not previously been awarded any RSUs, to provide additional retention incentives to Mr. Sharma, to better align</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Sharma’s equity compensation with peers and the market and to further align his financial interests with those of our stockholders.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ensure our company has strong corporate governance and risk mitigation, the board of directors and compensation committee have adopted the following best practices related to executive compensation:</w:t>
      </w:r>
    </w:p>
    <w:p>
      <w:pPr>
        <w:sectPr>
          <w:pgSz w:w="11900" w:h="16838" w:orient="portrait"/>
          <w:cols w:equalWidth="0" w:num="1">
            <w:col w:w="11080"/>
          </w:cols>
          <w:pgMar w:left="320" w:top="482" w:right="499" w:bottom="1440" w:gutter="0" w:footer="0" w:header="0"/>
        </w:sectPr>
      </w:pPr>
    </w:p>
    <w:p>
      <w:pPr>
        <w:spacing w:after="0" w:line="18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What we do</w:t>
      </w:r>
    </w:p>
    <w:p>
      <w:pPr>
        <w:spacing w:after="0" w:line="26" w:lineRule="exact"/>
        <w:rPr>
          <w:sz w:val="20"/>
          <w:szCs w:val="20"/>
          <w:color w:val="auto"/>
        </w:rPr>
      </w:pPr>
    </w:p>
    <w:p>
      <w:pPr>
        <w:ind w:left="120" w:right="280" w:hanging="4"/>
        <w:spacing w:after="0" w:line="255" w:lineRule="auto"/>
        <w:tabs>
          <w:tab w:leader="none" w:pos="306"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Independent Compensation Committee Advisor</w:t>
      </w:r>
      <w:r>
        <w:rPr>
          <w:rFonts w:ascii="Times New Roman" w:cs="Times New Roman" w:eastAsia="Times New Roman" w:hAnsi="Times New Roman"/>
          <w:sz w:val="18"/>
          <w:szCs w:val="18"/>
          <w:color w:val="auto"/>
        </w:rPr>
        <w:t>. Our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engaged its own independent compensation consultant to assist with the design of the 2025 executive compensation program.</w:t>
      </w:r>
    </w:p>
    <w:p>
      <w:pPr>
        <w:spacing w:after="0" w:line="235" w:lineRule="exact"/>
        <w:rPr>
          <w:rFonts w:ascii="Wingdings" w:cs="Wingdings" w:eastAsia="Wingdings" w:hAnsi="Wingdings"/>
          <w:sz w:val="18"/>
          <w:szCs w:val="18"/>
          <w:b w:val="1"/>
          <w:bCs w:val="1"/>
          <w:color w:val="auto"/>
          <w:highlight w:val="black"/>
        </w:rPr>
      </w:pPr>
    </w:p>
    <w:p>
      <w:pPr>
        <w:ind w:left="120" w:right="40" w:hanging="4"/>
        <w:spacing w:after="0" w:line="259" w:lineRule="auto"/>
        <w:tabs>
          <w:tab w:leader="none" w:pos="306"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Compensation At-Risk</w:t>
      </w:r>
      <w:r>
        <w:rPr>
          <w:rFonts w:ascii="Times New Roman" w:cs="Times New Roman" w:eastAsia="Times New Roman" w:hAnsi="Times New Roman"/>
          <w:sz w:val="18"/>
          <w:szCs w:val="18"/>
          <w:color w:val="auto"/>
        </w:rPr>
        <w:t>. The executive compensation program is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that a significant portion of executive annual compensation is “at risk,” to align the interests of our NEOs and our stockholders. The 2025 annual incentive plan achievement for our NEOs was 118.2% of target based on the challenging goals set by our compensation committee.</w:t>
      </w:r>
    </w:p>
    <w:p>
      <w:pPr>
        <w:spacing w:after="0" w:line="71" w:lineRule="exact"/>
        <w:rPr>
          <w:rFonts w:ascii="Wingdings" w:cs="Wingdings" w:eastAsia="Wingdings" w:hAnsi="Wingdings"/>
          <w:sz w:val="18"/>
          <w:szCs w:val="18"/>
          <w:b w:val="1"/>
          <w:bCs w:val="1"/>
          <w:color w:val="auto"/>
          <w:highlight w:val="black"/>
        </w:rPr>
      </w:pPr>
    </w:p>
    <w:p>
      <w:pPr>
        <w:ind w:left="120" w:right="40" w:hanging="4"/>
        <w:spacing w:after="0" w:line="262" w:lineRule="auto"/>
        <w:tabs>
          <w:tab w:leader="none" w:pos="306"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Multi-Year Vesting Requirements</w:t>
      </w:r>
      <w:r>
        <w:rPr>
          <w:rFonts w:ascii="Times New Roman" w:cs="Times New Roman" w:eastAsia="Times New Roman" w:hAnsi="Times New Roman"/>
          <w:sz w:val="18"/>
          <w:szCs w:val="18"/>
          <w:color w:val="auto"/>
        </w:rPr>
        <w:t>. The equity awards granted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NEOs vest over multiple years and generally no portion of these awards vests until approximately 12 months after the grant date, consistent with current market practice and our retention objectives.</w:t>
      </w:r>
    </w:p>
    <w:p>
      <w:pPr>
        <w:spacing w:after="0" w:line="68" w:lineRule="exact"/>
        <w:rPr>
          <w:rFonts w:ascii="Wingdings" w:cs="Wingdings" w:eastAsia="Wingdings" w:hAnsi="Wingdings"/>
          <w:sz w:val="18"/>
          <w:szCs w:val="18"/>
          <w:b w:val="1"/>
          <w:bCs w:val="1"/>
          <w:color w:val="auto"/>
          <w:highlight w:val="black"/>
        </w:rPr>
      </w:pPr>
    </w:p>
    <w:p>
      <w:pPr>
        <w:ind w:left="120" w:right="180" w:hanging="4"/>
        <w:spacing w:after="0" w:line="286" w:lineRule="auto"/>
        <w:tabs>
          <w:tab w:leader="none" w:pos="306"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Limited Perquisites</w:t>
      </w:r>
      <w:r>
        <w:rPr>
          <w:rFonts w:ascii="Times New Roman" w:cs="Times New Roman" w:eastAsia="Times New Roman" w:hAnsi="Times New Roman"/>
          <w:sz w:val="18"/>
          <w:szCs w:val="18"/>
          <w:color w:val="auto"/>
        </w:rPr>
        <w:t>. We provide minimal perquisites and other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to our NEOs.</w:t>
      </w:r>
    </w:p>
    <w:p>
      <w:pPr>
        <w:spacing w:after="0" w:line="200" w:lineRule="exact"/>
        <w:rPr>
          <w:rFonts w:ascii="Wingdings" w:cs="Wingdings" w:eastAsia="Wingdings" w:hAnsi="Wingdings"/>
          <w:sz w:val="18"/>
          <w:szCs w:val="18"/>
          <w:b w:val="1"/>
          <w:bCs w:val="1"/>
          <w:color w:val="auto"/>
          <w:highlight w:val="black"/>
        </w:rPr>
      </w:pPr>
    </w:p>
    <w:p>
      <w:pPr>
        <w:spacing w:after="0" w:line="200" w:lineRule="exact"/>
        <w:rPr>
          <w:rFonts w:ascii="Wingdings" w:cs="Wingdings" w:eastAsia="Wingdings" w:hAnsi="Wingdings"/>
          <w:sz w:val="18"/>
          <w:szCs w:val="18"/>
          <w:b w:val="1"/>
          <w:bCs w:val="1"/>
          <w:color w:val="auto"/>
          <w:highlight w:val="black"/>
        </w:rPr>
      </w:pPr>
    </w:p>
    <w:p>
      <w:pPr>
        <w:spacing w:after="0" w:line="200" w:lineRule="exact"/>
        <w:rPr>
          <w:rFonts w:ascii="Wingdings" w:cs="Wingdings" w:eastAsia="Wingdings" w:hAnsi="Wingdings"/>
          <w:sz w:val="18"/>
          <w:szCs w:val="18"/>
          <w:b w:val="1"/>
          <w:bCs w:val="1"/>
          <w:color w:val="auto"/>
          <w:highlight w:val="black"/>
        </w:rPr>
      </w:pPr>
    </w:p>
    <w:p>
      <w:pPr>
        <w:spacing w:after="0" w:line="310" w:lineRule="exact"/>
        <w:rPr>
          <w:rFonts w:ascii="Wingdings" w:cs="Wingdings" w:eastAsia="Wingdings" w:hAnsi="Wingdings"/>
          <w:sz w:val="18"/>
          <w:szCs w:val="18"/>
          <w:b w:val="1"/>
          <w:bCs w:val="1"/>
          <w:color w:val="auto"/>
          <w:highlight w:val="black"/>
        </w:rPr>
      </w:pPr>
    </w:p>
    <w:p>
      <w:pPr>
        <w:ind w:left="120" w:hanging="4"/>
        <w:spacing w:after="0" w:line="257" w:lineRule="auto"/>
        <w:tabs>
          <w:tab w:leader="none" w:pos="306"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2023, our board adopted a compensation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“clawback” policy that satisfies the NYSE requirements regarding clawback policies. Our clawback policy provides for the recoupment of certain incentive-based compensation in the event we are required to restate our financial statements due to our material noncompliance with any financial reporting requirements under the securities laws.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39"/>
        <w:spacing w:after="0"/>
        <w:rPr>
          <w:sz w:val="20"/>
          <w:szCs w:val="20"/>
          <w:color w:val="auto"/>
        </w:rPr>
      </w:pPr>
      <w:r>
        <w:rPr>
          <w:rFonts w:ascii="Times New Roman" w:cs="Times New Roman" w:eastAsia="Times New Roman" w:hAnsi="Times New Roman"/>
          <w:sz w:val="14"/>
          <w:szCs w:val="14"/>
          <w:b w:val="1"/>
          <w:bCs w:val="1"/>
          <w:u w:val="single" w:color="auto"/>
          <w:color w:val="auto"/>
        </w:rPr>
        <w:t>What we don’t do</w:t>
      </w:r>
    </w:p>
    <w:p>
      <w:pPr>
        <w:spacing w:after="0" w:line="21" w:lineRule="exact"/>
        <w:rPr>
          <w:sz w:val="20"/>
          <w:szCs w:val="20"/>
          <w:color w:val="auto"/>
        </w:rPr>
      </w:pPr>
    </w:p>
    <w:p>
      <w:pPr>
        <w:ind w:left="-1" w:firstLine="1"/>
        <w:spacing w:after="0" w:line="251" w:lineRule="auto"/>
        <w:tabs>
          <w:tab w:leader="none" w:pos="192"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“Golden Parachute” Tax Reimbursements</w:t>
      </w:r>
      <w:r>
        <w:rPr>
          <w:rFonts w:ascii="Times New Roman" w:cs="Times New Roman" w:eastAsia="Times New Roman" w:hAnsi="Times New Roman"/>
          <w:sz w:val="18"/>
          <w:szCs w:val="18"/>
          <w:color w:val="auto"/>
        </w:rPr>
        <w:t>. We do not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reimbursement payments (including “gross-ups”) on any tax liability that our NEOs might owe as a result of the application of Sections 280G or 4999 of the Internal Revenue Code, or the Code.</w:t>
      </w:r>
    </w:p>
    <w:p>
      <w:pPr>
        <w:spacing w:after="0" w:line="34" w:lineRule="exact"/>
        <w:rPr>
          <w:rFonts w:ascii="MS PGothic" w:cs="MS PGothic" w:eastAsia="MS PGothic" w:hAnsi="MS PGothic"/>
          <w:sz w:val="18"/>
          <w:szCs w:val="18"/>
          <w:color w:val="auto"/>
        </w:rPr>
      </w:pPr>
    </w:p>
    <w:p>
      <w:pPr>
        <w:ind w:left="-1" w:right="20" w:firstLine="1"/>
        <w:spacing w:after="0" w:line="262" w:lineRule="auto"/>
        <w:tabs>
          <w:tab w:leader="none" w:pos="192"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Special Retirement Plans</w:t>
      </w:r>
      <w:r>
        <w:rPr>
          <w:rFonts w:ascii="Times New Roman" w:cs="Times New Roman" w:eastAsia="Times New Roman" w:hAnsi="Times New Roman"/>
          <w:sz w:val="18"/>
          <w:szCs w:val="18"/>
          <w:color w:val="auto"/>
        </w:rPr>
        <w:t>. We do not offer, nor do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to provide, pension arrangements, retirement plans or nonqualified deferred compensation plans or arrangements exclusively to our NEOs.</w:t>
      </w:r>
    </w:p>
    <w:p>
      <w:pPr>
        <w:spacing w:after="0" w:line="284" w:lineRule="exact"/>
        <w:rPr>
          <w:rFonts w:ascii="MS PGothic" w:cs="MS PGothic" w:eastAsia="MS PGothic" w:hAnsi="MS PGothic"/>
          <w:sz w:val="18"/>
          <w:szCs w:val="18"/>
          <w:color w:val="auto"/>
        </w:rPr>
      </w:pPr>
    </w:p>
    <w:p>
      <w:pPr>
        <w:jc w:val="both"/>
        <w:ind w:left="-1" w:right="60" w:firstLine="1"/>
        <w:spacing w:after="0" w:line="268" w:lineRule="auto"/>
        <w:tabs>
          <w:tab w:leader="none" w:pos="192"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Special Health and Welfare Benefits</w:t>
      </w:r>
      <w:r>
        <w:rPr>
          <w:rFonts w:ascii="Times New Roman" w:cs="Times New Roman" w:eastAsia="Times New Roman" w:hAnsi="Times New Roman"/>
          <w:sz w:val="18"/>
          <w:szCs w:val="18"/>
          <w:color w:val="auto"/>
        </w:rPr>
        <w:t>. Our NEOs participate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company-sponsored health and welfare benefits programs as our other full-time, salaried employees.</w:t>
      </w:r>
    </w:p>
    <w:p>
      <w:pPr>
        <w:spacing w:after="0" w:line="278" w:lineRule="exact"/>
        <w:rPr>
          <w:rFonts w:ascii="MS PGothic" w:cs="MS PGothic" w:eastAsia="MS PGothic" w:hAnsi="MS PGothic"/>
          <w:sz w:val="18"/>
          <w:szCs w:val="18"/>
          <w:color w:val="auto"/>
        </w:rPr>
      </w:pPr>
    </w:p>
    <w:p>
      <w:pPr>
        <w:ind w:left="-1" w:right="20" w:firstLine="1"/>
        <w:spacing w:after="0" w:line="257" w:lineRule="auto"/>
        <w:tabs>
          <w:tab w:leader="none" w:pos="192"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“Single Trigger” Change of Control Arrangements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of control payments or benefits are triggered simply by the occurrence of a change of control. All change-of-control payments and benefits are based on a “double-trigger” arrangement (that is, they require both a change of control of the Company plus a qualifying termination of employment before payments and benefits are paid).</w:t>
      </w:r>
    </w:p>
    <w:p>
      <w:pPr>
        <w:spacing w:after="0" w:line="74" w:lineRule="exact"/>
        <w:rPr>
          <w:rFonts w:ascii="MS PGothic" w:cs="MS PGothic" w:eastAsia="MS PGothic" w:hAnsi="MS PGothic"/>
          <w:sz w:val="18"/>
          <w:szCs w:val="18"/>
          <w:color w:val="auto"/>
        </w:rPr>
      </w:pPr>
    </w:p>
    <w:p>
      <w:pPr>
        <w:ind w:left="-1" w:firstLine="1"/>
        <w:spacing w:after="0" w:line="317" w:lineRule="auto"/>
        <w:tabs>
          <w:tab w:leader="none" w:pos="192" w:val="left"/>
        </w:tabs>
        <w:numPr>
          <w:ilvl w:val="0"/>
          <w:numId w:val="3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No Hedging or Pledging</w:t>
      </w:r>
      <w:r>
        <w:rPr>
          <w:rFonts w:ascii="Times New Roman" w:cs="Times New Roman" w:eastAsia="Times New Roman" w:hAnsi="Times New Roman"/>
          <w:sz w:val="17"/>
          <w:szCs w:val="17"/>
          <w:color w:val="auto"/>
        </w:rPr>
        <w:t>. We have a policy that restricts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hedging our securities or pledging our securities as collateral.</w:t>
      </w:r>
    </w:p>
    <w:p>
      <w:pPr>
        <w:spacing w:after="0" w:line="1013" w:lineRule="exact"/>
        <w:rPr>
          <w:sz w:val="20"/>
          <w:szCs w:val="20"/>
          <w:color w:val="auto"/>
        </w:rPr>
      </w:pPr>
    </w:p>
    <w:p>
      <w:pPr>
        <w:sectPr>
          <w:pgSz w:w="11900" w:h="16838" w:orient="portrait"/>
          <w:cols w:equalWidth="0" w:num="2">
            <w:col w:w="5740" w:space="221"/>
            <w:col w:w="5119"/>
          </w:cols>
          <w:pgMar w:left="320" w:top="482" w:right="499" w:bottom="1440" w:gutter="0" w:footer="0" w:header="0"/>
          <w:type w:val="continuous"/>
        </w:sectPr>
      </w:pP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Votes on Named Executive Officer Compensation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Prior to December 31, 2025, we were an Emerging Growth Company as defined in the Jumpstart Our Business Startups Act of 2012. As such, we were previously exempt from the requirement to include a non-binding advisory vote on the compensation of our NEOs in our proxy materials (a “say-on-pay” vote). Accordingly, the compensation committee did not consider the results of a prior say-on-pay vote when determining executive compensation for fiscal year 2025.</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82" w:right="4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Governance of Executive Compensation Program</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Participants</w:t>
            </w:r>
          </w:p>
        </w:tc>
        <w:tc>
          <w:tcPr>
            <w:tcW w:w="4280" w:type="dxa"/>
            <w:vAlign w:val="bottom"/>
          </w:tcPr>
          <w:p>
            <w:pPr>
              <w:spacing w:after="0"/>
              <w:rPr>
                <w:sz w:val="15"/>
                <w:szCs w:val="15"/>
                <w:color w:val="auto"/>
              </w:rPr>
            </w:pPr>
          </w:p>
        </w:tc>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Roles and Responsibilities</w:t>
            </w:r>
          </w:p>
        </w:tc>
        <w:tc>
          <w:tcPr>
            <w:tcW w:w="3060" w:type="dxa"/>
            <w:vAlign w:val="bottom"/>
          </w:tcPr>
          <w:p>
            <w:pPr>
              <w:spacing w:after="0"/>
              <w:rPr>
                <w:sz w:val="15"/>
                <w:szCs w:val="15"/>
                <w:color w:val="auto"/>
              </w:rPr>
            </w:pPr>
          </w:p>
        </w:tc>
      </w:tr>
      <w:tr>
        <w:trPr>
          <w:trHeight w:val="245"/>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Oversees our compensation and employee benefit and human capital objectives, plans and policies. Reviews</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and recommends for approval the individual compensation of our executive officers. The compensation</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committee is comprised of two independent directors. Its responsibilities related to the compensation of our</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NEOs include:</w:t>
            </w:r>
          </w:p>
        </w:tc>
      </w:tr>
      <w:tr>
        <w:trPr>
          <w:trHeight w:val="319"/>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reviewing and approving our compensation programs and policies, including cash incentive and</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equity-based plans; and</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reviewing and approving corporate goals and objectives related to the compensation of our NEOs,</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evaluating their performance and determining their base compensation levels and incentive</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compensation based on this evaluation.</w:t>
            </w:r>
          </w:p>
        </w:tc>
      </w:tr>
      <w:tr>
        <w:trPr>
          <w:trHeight w:val="25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Makes recommendations to the compensation committee regarding our executive compensation plans and,</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for all other NEOs, proposes adjustments to base salaries and awards under our annual incentive</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compensation and long-term equity-based plan, establishes individual objectives and reviews with the</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compensation committee the performance of the other NEOs on their individual objectives.</w:t>
            </w:r>
          </w:p>
        </w:tc>
      </w:tr>
      <w:tr>
        <w:trPr>
          <w:trHeight w:val="25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Consultant</w:t>
            </w: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The compensation committee relies on Compensia for independent executive compensation advice and</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w w:val="99"/>
              </w:rPr>
              <w:t>support. Compensia is retained by, and works directly for, the compensation committee and attends meetings</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of the compensation committee, as requested by the committee chair. Compensia has no decision making</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authority regarding our executive compensation. Services provided include, among others:</w:t>
            </w:r>
          </w:p>
        </w:tc>
      </w:tr>
      <w:tr>
        <w:trPr>
          <w:trHeight w:val="319"/>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updating and advising on the regulatory environment as it relates to executive compensation</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matters;</w:t>
            </w:r>
          </w:p>
        </w:tc>
      </w:tr>
      <w:tr>
        <w:trPr>
          <w:trHeight w:val="319"/>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assisting the Company annually with its determination of its peer group, and providing benchmark</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data for the NEOs within the peer group; and</w:t>
            </w:r>
          </w:p>
        </w:tc>
      </w:tr>
      <w:tr>
        <w:trPr>
          <w:trHeight w:val="319"/>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advising on trends and best practices in executive compensation and executive compensation plan</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design.</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Assessment of Competitive Compensation Practices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employ a strict formula in determining executive compensation. A number of factors are considered in determining executive base salaries, annual incentive opportunities and long-term incentive awards, including:</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responsibilities;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within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plans and business continuity;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data.</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82"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To compare our executive compensation against the competitive market, the compensation committee reviews and considers the compensation levels and practices of a group of comparable technology companies. For 2025 pay decisions, the compensation committee used compensation data derived from the compensation peer group as updated in October 2024. The companies in this compensation peer group were selected on the basis of their comparable industry, business model and/or executive labor market, as well as their size and scope, based on these primary target screening criteria:</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Headquartered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technology and payment companies;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- 0.3x to 3.0x our last four fiscal quarter revenue of approximately $700 million (at the time of selection, we were at the 61st percentile of the chosen peers); and</w:t>
      </w:r>
    </w:p>
    <w:p>
      <w:pPr>
        <w:spacing w:after="0" w:line="67" w:lineRule="exact"/>
        <w:rPr>
          <w:rFonts w:ascii="Times New Roman" w:cs="Times New Roman" w:eastAsia="Times New Roman" w:hAnsi="Times New Roman"/>
          <w:sz w:val="18"/>
          <w:szCs w:val="18"/>
          <w:color w:val="auto"/>
        </w:rPr>
      </w:pPr>
    </w:p>
    <w:p>
      <w:pPr>
        <w:ind w:left="1080" w:right="600" w:hanging="424"/>
        <w:spacing w:after="0" w:line="29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market capitalization (30 day average) - 0.3x to 4.0x our market capitalization of approximately $2.7 billion (at the time of selection, we were at the 47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chosen peers).</w:t>
      </w:r>
    </w:p>
    <w:p>
      <w:pPr>
        <w:spacing w:after="0" w:line="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After consultation with Compensia, the compensation committee approved the following compensation peer group for 2025 compensation decisions:</w:t>
      </w:r>
    </w:p>
    <w:p>
      <w:pPr>
        <w:sectPr>
          <w:pgSz w:w="11900" w:h="16838" w:orient="portrait"/>
          <w:cols w:equalWidth="0" w:num="1">
            <w:col w:w="11100"/>
          </w:cols>
          <w:pgMar w:left="320" w:top="482" w:right="47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ACI Worldwide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color w:val="auto"/>
        </w:rPr>
        <w:t>Marqeta</w:t>
      </w:r>
    </w:p>
    <w:p>
      <w:pPr>
        <w:spacing w:after="0" w:line="36"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Alkami Technology</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Times New Roman" w:cs="Times New Roman" w:eastAsia="Times New Roman" w:hAnsi="Times New Roman"/>
          <w:sz w:val="17"/>
          <w:szCs w:val="17"/>
          <w:color w:val="auto"/>
        </w:rPr>
        <w:t>nCino</w:t>
      </w:r>
    </w:p>
    <w:p>
      <w:pPr>
        <w:spacing w:after="0" w:line="48"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AvidXchange Holdings</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18"/>
          <w:szCs w:val="18"/>
          <w:color w:val="auto"/>
        </w:rPr>
        <w:t>Paycor HCM</w:t>
      </w:r>
    </w:p>
    <w:p>
      <w:pPr>
        <w:spacing w:after="0" w:line="36"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BILL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Payoneer Global</w:t>
      </w:r>
    </w:p>
    <w:p>
      <w:pPr>
        <w:spacing w:after="0" w:line="48"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Blackbaud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Q2 Holdings</w:t>
      </w:r>
    </w:p>
    <w:p>
      <w:pPr>
        <w:spacing w:after="0" w:line="48"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Flywire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Remitly Global</w:t>
      </w:r>
    </w:p>
    <w:p>
      <w:pPr>
        <w:spacing w:after="0" w:line="36"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i3 Verticals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Repay Holdings</w:t>
      </w:r>
    </w:p>
    <w:p>
      <w:pPr>
        <w:spacing w:after="0" w:line="48"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Intapp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Shift4 Payments</w:t>
      </w:r>
    </w:p>
    <w:p>
      <w:pPr>
        <w:spacing w:after="0" w:line="47"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Lightspeed Commerce</w:t>
      </w:r>
    </w:p>
    <w:p>
      <w:pPr>
        <w:spacing w:after="0" w:line="20" w:lineRule="exact"/>
        <w:rPr>
          <w:sz w:val="20"/>
          <w:szCs w:val="20"/>
          <w:color w:val="auto"/>
        </w:rPr>
      </w:pPr>
      <w:r>
        <w:rPr>
          <w:sz w:val="20"/>
          <w:szCs w:val="20"/>
          <w:color w:val="auto"/>
        </w:rPr>
        <w:br w:type="column"/>
      </w:r>
    </w:p>
    <w:p>
      <w:pPr>
        <w:jc w:val="center"/>
        <w:ind w:right="4660"/>
        <w:spacing w:after="0"/>
        <w:rPr>
          <w:sz w:val="20"/>
          <w:szCs w:val="20"/>
          <w:color w:val="auto"/>
        </w:rPr>
      </w:pPr>
      <w:r>
        <w:rPr>
          <w:rFonts w:ascii="Times New Roman" w:cs="Times New Roman" w:eastAsia="Times New Roman" w:hAnsi="Times New Roman"/>
          <w:sz w:val="17"/>
          <w:szCs w:val="17"/>
          <w:color w:val="auto"/>
        </w:rPr>
        <w:t>Vertex</w:t>
      </w:r>
    </w:p>
    <w:p>
      <w:pPr>
        <w:spacing w:after="0" w:line="211" w:lineRule="exact"/>
        <w:rPr>
          <w:sz w:val="20"/>
          <w:szCs w:val="20"/>
          <w:color w:val="auto"/>
        </w:rPr>
      </w:pPr>
    </w:p>
    <w:p>
      <w:pPr>
        <w:sectPr>
          <w:pgSz w:w="11900" w:h="16838" w:orient="portrait"/>
          <w:cols w:equalWidth="0" w:num="2">
            <w:col w:w="5240" w:space="720"/>
            <w:col w:w="5140"/>
          </w:cols>
          <w:pgMar w:left="320" w:top="482" w:right="479" w:bottom="1440" w:gutter="0" w:footer="0" w:header="0"/>
          <w:type w:val="continuous"/>
        </w:sectPr>
      </w:pPr>
    </w:p>
    <w:p>
      <w:pPr>
        <w:spacing w:after="0" w:line="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analyze the executive compensation practices of the companies in our compensation peer group, Compensia gathered data from proxy statements and Form 8-K filings. This information is supplemented with survey data from the Radford Global Compensation Database, focusing on U.S. public software companies with revenue between $200 million and $1.5 billion. Compensia utilizes this data to provide a broader market context for executive positions, ensuring that our compensation programs remain competitive not only against our direct peers but also within the wider talent market in which we compete for specialized leadership.</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competitive data on base salary levels, annual incentives and long-term incentives for each executive and the NEO group as a whole. As noted above, the compensation committee generally does not target executive compensation to be at a certain percentile relative to peers and takes into consideration the scope, responsibility and skills required of each NEO’s position, each of our NEOs’ contributions and past performance, achievement of short- and long-term objectives, the competitive market (based on an analysis of compensation peer group and survey data) and internal pay parity.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considered the appropriate competitive target range to attract and retain the kind of executive talent necessary to successfully achieve our strategic objectives. The compensation committee’s objective is to establish target performance goals that will result in strong performance by our company. Executives may achieve higher actual compensation for exceptional performance relative to these target performance goals and below-median levels of compensation for performance that is not as strong as expected.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2025, the primary elements of our executive compensation program consisted of base salary, an annual cash bonus opportunity and long-term incentive compensation in the form of time-based RSUs.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provide executives and other employees with base salaries to compensate them with regular income at competitive levels. Base salary considerations include the factors listed under “Assessment of Competitive Compensation Practices” above. The base salaries of our NEOs are reviewed annually. In March 2025, the salaries for all of the NEOs were increased by 3.0% for fiscal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base salaries for our NEOs that were in effect at the end of 2024 and 2025, respectively, are set forth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518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vMerge w:val="restart"/>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0" w:type="dxa"/>
            <w:vAlign w:val="bottom"/>
          </w:tcPr>
          <w:p>
            <w:pPr>
              <w:spacing w:after="0"/>
              <w:rPr>
                <w:sz w:val="1"/>
                <w:szCs w:val="1"/>
                <w:color w:val="auto"/>
              </w:rPr>
            </w:pPr>
          </w:p>
        </w:tc>
      </w:tr>
      <w:tr>
        <w:trPr>
          <w:trHeight w:val="187"/>
        </w:trPr>
        <w:tc>
          <w:tcPr>
            <w:tcW w:w="360" w:type="dxa"/>
            <w:vAlign w:val="bottom"/>
            <w:tcBorders>
              <w:bottom w:val="single" w:sz="8" w:color="auto"/>
            </w:tcBorders>
            <w:vMerge w:val="continue"/>
          </w:tcPr>
          <w:p>
            <w:pPr>
              <w:spacing w:after="0"/>
              <w:rPr>
                <w:sz w:val="16"/>
                <w:szCs w:val="16"/>
                <w:color w:val="auto"/>
              </w:rPr>
            </w:pPr>
          </w:p>
        </w:tc>
        <w:tc>
          <w:tcPr>
            <w:tcW w:w="3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6"/>
                <w:szCs w:val="16"/>
                <w:color w:val="auto"/>
              </w:rPr>
            </w:pPr>
          </w:p>
        </w:tc>
        <w:tc>
          <w:tcPr>
            <w:tcW w:w="800" w:type="dxa"/>
            <w:vAlign w:val="bottom"/>
            <w:tcBorders>
              <w:bottom w:val="single" w:sz="8" w:color="auto"/>
            </w:tcBorders>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50"/>
        </w:trPr>
        <w:tc>
          <w:tcPr>
            <w:tcW w:w="362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220" w:type="dxa"/>
            <w:vAlign w:val="bottom"/>
            <w:tcBorders>
              <w:top w:val="single" w:sz="8" w:color="CDE8F5"/>
            </w:tcBorders>
            <w:shd w:val="clear" w:color="auto" w:fill="CDE8F5"/>
          </w:tcPr>
          <w:p>
            <w:pPr>
              <w:spacing w:after="0"/>
              <w:rPr>
                <w:sz w:val="21"/>
                <w:szCs w:val="21"/>
                <w:color w:val="auto"/>
              </w:rPr>
            </w:pPr>
          </w:p>
        </w:tc>
        <w:tc>
          <w:tcPr>
            <w:tcW w:w="5180" w:type="dxa"/>
            <w:vAlign w:val="bottom"/>
            <w:tcBorders>
              <w:top w:val="single" w:sz="8" w:color="auto"/>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00" w:type="dxa"/>
            <w:vAlign w:val="bottom"/>
            <w:tcBorders>
              <w:top w:val="single" w:sz="8" w:color="CDE8F5"/>
            </w:tcBorders>
            <w:shd w:val="clear" w:color="auto" w:fill="CDE8F5"/>
          </w:tcPr>
          <w:p>
            <w:pPr>
              <w:spacing w:after="0"/>
              <w:rPr>
                <w:sz w:val="21"/>
                <w:szCs w:val="21"/>
                <w:color w:val="auto"/>
              </w:rPr>
            </w:pPr>
          </w:p>
        </w:tc>
        <w:tc>
          <w:tcPr>
            <w:tcW w:w="780" w:type="dxa"/>
            <w:vAlign w:val="bottom"/>
            <w:tcBorders>
              <w:top w:val="single" w:sz="8" w:color="auto"/>
            </w:tcBorders>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rPr>
              <w:t>$360,500</w:t>
            </w:r>
          </w:p>
        </w:tc>
        <w:tc>
          <w:tcPr>
            <w:tcW w:w="220" w:type="dxa"/>
            <w:vAlign w:val="bottom"/>
            <w:tcBorders>
              <w:top w:val="single" w:sz="8" w:color="CDE8F5"/>
            </w:tcBorders>
            <w:shd w:val="clear" w:color="auto" w:fill="CDE8F5"/>
          </w:tcPr>
          <w:p>
            <w:pPr>
              <w:spacing w:after="0"/>
              <w:rPr>
                <w:sz w:val="21"/>
                <w:szCs w:val="21"/>
                <w:color w:val="auto"/>
              </w:rPr>
            </w:pPr>
          </w:p>
        </w:tc>
        <w:tc>
          <w:tcPr>
            <w:tcW w:w="800" w:type="dxa"/>
            <w:vAlign w:val="bottom"/>
            <w:tcBorders>
              <w:top w:val="single" w:sz="8" w:color="auto"/>
            </w:tcBorders>
            <w:shd w:val="clear" w:color="auto" w:fill="CDE8F5"/>
          </w:tcPr>
          <w:p>
            <w:pPr>
              <w:ind w:left="80"/>
              <w:spacing w:after="0"/>
              <w:rPr>
                <w:sz w:val="20"/>
                <w:szCs w:val="20"/>
                <w:color w:val="auto"/>
              </w:rPr>
            </w:pPr>
            <w:r>
              <w:rPr>
                <w:rFonts w:ascii="Times New Roman" w:cs="Times New Roman" w:eastAsia="Times New Roman" w:hAnsi="Times New Roman"/>
                <w:sz w:val="18"/>
                <w:szCs w:val="18"/>
                <w:color w:val="auto"/>
              </w:rPr>
              <w:t>$371,315</w:t>
            </w: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$515,000</w:t>
            </w:r>
          </w:p>
        </w:tc>
        <w:tc>
          <w:tcPr>
            <w:tcW w:w="220" w:type="dxa"/>
            <w:vAlign w:val="bottom"/>
          </w:tcPr>
          <w:p>
            <w:pPr>
              <w:spacing w:after="0"/>
              <w:rPr>
                <w:sz w:val="23"/>
                <w:szCs w:val="23"/>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$530,450</w:t>
            </w: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5600" w:type="dxa"/>
            <w:vAlign w:val="bottom"/>
            <w:gridSpan w:val="3"/>
            <w:shd w:val="clear" w:color="auto" w:fill="CDE8F5"/>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780" w:type="dxa"/>
            <w:vAlign w:val="bottom"/>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rPr>
              <w:t>$432,600</w:t>
            </w:r>
          </w:p>
        </w:tc>
        <w:tc>
          <w:tcPr>
            <w:tcW w:w="220" w:type="dxa"/>
            <w:vAlign w:val="bottom"/>
            <w:shd w:val="clear" w:color="auto" w:fill="CDE8F5"/>
          </w:tcPr>
          <w:p>
            <w:pPr>
              <w:spacing w:after="0"/>
              <w:rPr>
                <w:sz w:val="23"/>
                <w:szCs w:val="23"/>
                <w:color w:val="auto"/>
              </w:rPr>
            </w:pPr>
          </w:p>
        </w:tc>
        <w:tc>
          <w:tcPr>
            <w:tcW w:w="800" w:type="dxa"/>
            <w:vAlign w:val="bottom"/>
            <w:shd w:val="clear" w:color="auto" w:fill="CDE8F5"/>
          </w:tcPr>
          <w:p>
            <w:pPr>
              <w:ind w:left="80"/>
              <w:spacing w:after="0"/>
              <w:rPr>
                <w:sz w:val="20"/>
                <w:szCs w:val="20"/>
                <w:color w:val="auto"/>
              </w:rPr>
            </w:pPr>
            <w:r>
              <w:rPr>
                <w:rFonts w:ascii="Times New Roman" w:cs="Times New Roman" w:eastAsia="Times New Roman" w:hAnsi="Times New Roman"/>
                <w:sz w:val="18"/>
                <w:szCs w:val="18"/>
                <w:color w:val="auto"/>
              </w:rPr>
              <w:t>$445,578</w:t>
            </w:r>
          </w:p>
        </w:tc>
        <w:tc>
          <w:tcPr>
            <w:tcW w:w="0" w:type="dxa"/>
            <w:vAlign w:val="bottom"/>
          </w:tcPr>
          <w:p>
            <w:pPr>
              <w:spacing w:after="0"/>
              <w:rPr>
                <w:sz w:val="1"/>
                <w:szCs w:val="1"/>
                <w:color w:val="auto"/>
              </w:rPr>
            </w:pPr>
          </w:p>
        </w:tc>
      </w:tr>
      <w:tr>
        <w:trPr>
          <w:trHeight w:val="277"/>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5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Former General Counsel and Corporate Secretary</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$351,488</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$362,033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Executive Incentive Compensation Plan</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NEOs are eligible to earn annual cash bonuses under our Executive Incentive Compensation Plan, or the EIC Plan. The EIC Plan is designed to reward the achievement of specific performance goals established annually by the compensation committee. Awards are generally paid in a single cash lump sum only after they are earned, and the NEO must be employed with us through the date the actual award is paid. Considerations for setting EIC Plan targets include the factors listed under “Assessment of Competitive Compensation Practices” above. The full text of the EIC Plan is filed as Exhibit 10.3 to our Annual Report on Form 10-K for the year ended December 31, 2025 filed with the SEC on February 24, 2026.</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Executive Incentive Compensation Plan</w:t>
      </w:r>
    </w:p>
    <w:p>
      <w:pPr>
        <w:spacing w:after="0" w:line="11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On March 13, 2025, the board of directors approved and adopted the 2025 Executive Incentive Compensation Program, or the 2025 Program, which was established under our EIC Plan. The board’s adoption of the 2025 Program followed the recommendation of the compensation committee, after a review by the compensation committee of our executive compensation program and related information provided by the compensation committee’s independent compensation consultant. The 2025 Program was designed to recognize attainment of corporate goals, reward individual performance and promote retention of our executive officers.</w:t>
      </w:r>
    </w:p>
    <w:p>
      <w:pPr>
        <w:spacing w:after="0" w:line="183"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performance components under the 2025 Program were equally weighted and consisted of the following, with a performance target established for each of the four financial components, for the fiscal year ended December 31, 2025:</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 or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contribution profit, or CP;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less capitalized software, or Adjusted EBITDA-LCS;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component under the 2025 Program could be achieved and a corresponding payout made independent of the other components, but the minimum threshold (as described below) for at least two of the four financial components was required to be achieved before any bonus payments would be made. The compensation committee established targets under the 2025 Program that were challenging to meet and that would require material growth over the prior year in each component. All four of the financial components in the 2025 Program were also used in the 2024 incentive compensation program.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2025 Program:</w:t>
      </w:r>
    </w:p>
    <w:p>
      <w:pPr>
        <w:spacing w:after="0" w:line="131" w:lineRule="exact"/>
        <w:rPr>
          <w:sz w:val="20"/>
          <w:szCs w:val="20"/>
          <w:color w:val="auto"/>
        </w:rPr>
      </w:pPr>
    </w:p>
    <w:p>
      <w:pPr>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threshold equal to 90% of the Revenue and CP targets was required to be met before any bonus payments were made with respect to such components, and in the event either of the Revenue or CP targets were achieved at a level above 100% of the target for such components, the participant could receive up to an additional 10% payout with respect to such components;</w:t>
      </w:r>
    </w:p>
    <w:p>
      <w:pPr>
        <w:spacing w:after="0" w:line="81" w:lineRule="exact"/>
        <w:rPr>
          <w:rFonts w:ascii="Times New Roman" w:cs="Times New Roman" w:eastAsia="Times New Roman" w:hAnsi="Times New Roman"/>
          <w:sz w:val="18"/>
          <w:szCs w:val="18"/>
          <w:color w:val="auto"/>
        </w:rPr>
      </w:pPr>
    </w:p>
    <w:p>
      <w:pPr>
        <w:ind w:left="1080" w:right="4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threshold equal to 80% of the Adjusted EBITDA and Adjusted EBITDA-LCS targets were required to be met before any bonus payments would be made with respect to such components, and in the event either of the Adjusted EBITDA or Adjusted EBITDA-LCS targets were achieved at a level above 100% of the target for such components, the participant could receive up to an additional 10% payout with respect to such components;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component would receive a payment of 0% to 120% of target, as determined by the compensation committee.</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annual target bonus opportunity under the 2025 Program for each NEO. Payment of the applicable bonus amount was subject to the NEO’s continued employment with us through the payment date.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Target Cash</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Target Cash</w:t>
            </w:r>
          </w:p>
        </w:tc>
        <w:tc>
          <w:tcPr>
            <w:tcW w:w="0" w:type="dxa"/>
            <w:vAlign w:val="bottom"/>
          </w:tcPr>
          <w:p>
            <w:pPr>
              <w:spacing w:after="0"/>
              <w:rPr>
                <w:sz w:val="1"/>
                <w:szCs w:val="1"/>
                <w:color w:val="auto"/>
              </w:rPr>
            </w:pPr>
          </w:p>
        </w:tc>
      </w:tr>
      <w:tr>
        <w:trPr>
          <w:trHeight w:val="148"/>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67"/>
        </w:trPr>
        <w:tc>
          <w:tcPr>
            <w:tcW w:w="8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760" w:type="dxa"/>
            <w:vAlign w:val="bottom"/>
          </w:tcPr>
          <w:p>
            <w:pPr>
              <w:jc w:val="right"/>
              <w:ind w:right="21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tcBorders>
            <w:shd w:val="clear" w:color="auto" w:fill="CDE8F5"/>
          </w:tcPr>
          <w:p>
            <w:pPr>
              <w:spacing w:after="0" w:line="20" w:lineRule="exact"/>
              <w:rPr>
                <w:sz w:val="1"/>
                <w:szCs w:val="1"/>
                <w:color w:val="auto"/>
              </w:rPr>
            </w:pPr>
          </w:p>
        </w:tc>
        <w:tc>
          <w:tcPr>
            <w:tcW w:w="6620" w:type="dxa"/>
            <w:vAlign w:val="bottom"/>
            <w:shd w:val="clear" w:color="auto" w:fill="CDE8F5"/>
          </w:tcPr>
          <w:p>
            <w:pPr>
              <w:spacing w:after="0" w:line="20" w:lineRule="exact"/>
              <w:rPr>
                <w:sz w:val="1"/>
                <w:szCs w:val="1"/>
                <w:color w:val="auto"/>
              </w:rPr>
            </w:pPr>
          </w:p>
        </w:tc>
        <w:tc>
          <w:tcPr>
            <w:tcW w:w="200" w:type="dxa"/>
            <w:vAlign w:val="bottom"/>
            <w:shd w:val="clear" w:color="auto" w:fill="CDE8F5"/>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shd w:val="clear" w:color="auto" w:fill="CDE8F5"/>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shd w:val="clear" w:color="auto" w:fill="CDE8F5"/>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6620" w:type="dxa"/>
            <w:vAlign w:val="bottom"/>
            <w:shd w:val="clear" w:color="auto" w:fill="CDE8F5"/>
          </w:tcPr>
          <w:p>
            <w:pPr>
              <w:spacing w:after="0"/>
              <w:rPr>
                <w:sz w:val="21"/>
                <w:szCs w:val="21"/>
                <w:color w:val="auto"/>
              </w:rPr>
            </w:pPr>
          </w:p>
        </w:tc>
        <w:tc>
          <w:tcPr>
            <w:tcW w:w="200" w:type="dxa"/>
            <w:vAlign w:val="bottom"/>
            <w:shd w:val="clear" w:color="auto" w:fill="CDE8F5"/>
          </w:tcPr>
          <w:p>
            <w:pPr>
              <w:spacing w:after="0"/>
              <w:rPr>
                <w:sz w:val="21"/>
                <w:szCs w:val="21"/>
                <w:color w:val="auto"/>
              </w:rPr>
            </w:pPr>
          </w:p>
        </w:tc>
        <w:tc>
          <w:tcPr>
            <w:tcW w:w="960" w:type="dxa"/>
            <w:vAlign w:val="bottom"/>
            <w:gridSpan w:val="2"/>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shd w:val="clear" w:color="auto" w:fill="CDE8F5"/>
              </w:rPr>
              <w:t>$371,315</w:t>
            </w:r>
          </w:p>
        </w:tc>
        <w:tc>
          <w:tcPr>
            <w:tcW w:w="74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192.9%</w:t>
            </w:r>
          </w:p>
        </w:tc>
        <w:tc>
          <w:tcPr>
            <w:tcW w:w="200" w:type="dxa"/>
            <w:vAlign w:val="bottom"/>
            <w:shd w:val="clear" w:color="auto" w:fill="CDE8F5"/>
          </w:tcPr>
          <w:p>
            <w:pPr>
              <w:spacing w:after="0"/>
              <w:rPr>
                <w:sz w:val="21"/>
                <w:szCs w:val="21"/>
                <w:color w:val="auto"/>
              </w:rPr>
            </w:pPr>
          </w:p>
        </w:tc>
        <w:tc>
          <w:tcPr>
            <w:tcW w:w="7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$716,267</w:t>
            </w:r>
          </w:p>
        </w:tc>
        <w:tc>
          <w:tcPr>
            <w:tcW w:w="0" w:type="dxa"/>
            <w:vAlign w:val="bottom"/>
          </w:tcPr>
          <w:p>
            <w:pPr>
              <w:spacing w:after="0"/>
              <w:rPr>
                <w:sz w:val="1"/>
                <w:szCs w:val="1"/>
                <w:color w:val="auto"/>
              </w:rPr>
            </w:pPr>
          </w:p>
        </w:tc>
      </w:tr>
      <w:tr>
        <w:trPr>
          <w:trHeight w:val="304"/>
        </w:trPr>
        <w:tc>
          <w:tcPr>
            <w:tcW w:w="8160" w:type="dxa"/>
            <w:vAlign w:val="bottom"/>
            <w:tcBorders>
              <w:bottom w:val="single" w:sz="8" w:color="CDE8F5"/>
            </w:tcBorders>
            <w:gridSpan w:val="2"/>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160" w:type="dxa"/>
            <w:vAlign w:val="bottom"/>
            <w:tcBorders>
              <w:bottom w:val="single" w:sz="8" w:color="CDE8F5"/>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$530,450</w:t>
            </w:r>
          </w:p>
        </w:tc>
        <w:tc>
          <w:tcPr>
            <w:tcW w:w="74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DE8F5"/>
            </w:tcBorders>
          </w:tcPr>
          <w:p>
            <w:pPr>
              <w:spacing w:after="0"/>
              <w:rPr>
                <w:sz w:val="24"/>
                <w:szCs w:val="24"/>
                <w:color w:val="auto"/>
              </w:rPr>
            </w:pPr>
          </w:p>
        </w:tc>
        <w:tc>
          <w:tcPr>
            <w:tcW w:w="76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$530,450</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160" w:type="dxa"/>
            <w:vAlign w:val="bottom"/>
            <w:gridSpan w:val="3"/>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shd w:val="clear" w:color="auto" w:fill="CDE8F5"/>
              </w:rPr>
              <w:t>$445,578</w:t>
            </w:r>
          </w:p>
        </w:tc>
        <w:tc>
          <w:tcPr>
            <w:tcW w:w="74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100.0%</w:t>
            </w:r>
          </w:p>
        </w:tc>
        <w:tc>
          <w:tcPr>
            <w:tcW w:w="200" w:type="dxa"/>
            <w:vAlign w:val="bottom"/>
            <w:shd w:val="clear" w:color="auto" w:fill="CDE8F5"/>
          </w:tcPr>
          <w:p>
            <w:pPr>
              <w:spacing w:after="0"/>
              <w:rPr>
                <w:sz w:val="18"/>
                <w:szCs w:val="18"/>
                <w:color w:val="auto"/>
              </w:rPr>
            </w:pPr>
          </w:p>
        </w:tc>
        <w:tc>
          <w:tcPr>
            <w:tcW w:w="7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$445,578</w:t>
            </w:r>
          </w:p>
        </w:tc>
        <w:tc>
          <w:tcPr>
            <w:tcW w:w="0" w:type="dxa"/>
            <w:vAlign w:val="bottom"/>
          </w:tcPr>
          <w:p>
            <w:pPr>
              <w:spacing w:after="0"/>
              <w:rPr>
                <w:sz w:val="1"/>
                <w:szCs w:val="1"/>
                <w:color w:val="auto"/>
              </w:rPr>
            </w:pPr>
          </w:p>
        </w:tc>
      </w:tr>
      <w:tr>
        <w:trPr>
          <w:trHeight w:val="277"/>
        </w:trPr>
        <w:tc>
          <w:tcPr>
            <w:tcW w:w="8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$362,033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certain information regarding the achievement and payout percentages for each of the 2025 Program metrics individually and the aggregate payout percentage under the 2025 Program.</w:t>
      </w:r>
    </w:p>
    <w:p>
      <w:pPr>
        <w:sectPr>
          <w:pgSz w:w="11900" w:h="16838" w:orient="portrait"/>
          <w:cols w:equalWidth="0" w:num="1">
            <w:col w:w="11140"/>
          </w:cols>
          <w:pgMar w:left="320" w:top="482" w:right="439" w:bottom="1440" w:gutter="0" w:footer="0" w:header="0"/>
        </w:sectPr>
      </w:pP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2025 Program Payout Matrices for Financial Components</w:t>
      </w:r>
    </w:p>
    <w:p>
      <w:pPr>
        <w:spacing w:after="0" w:line="3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u w:val="single" w:color="auto"/>
          <w:color w:val="auto"/>
        </w:rPr>
        <w:t>Revenue and Contribution Profit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Achievement Percentage</w:t>
            </w:r>
          </w:p>
        </w:tc>
        <w:tc>
          <w:tcPr>
            <w:tcW w:w="200" w:type="dxa"/>
            <w:vAlign w:val="bottom"/>
          </w:tcPr>
          <w:p>
            <w:pPr>
              <w:spacing w:after="0"/>
              <w:rPr>
                <w:sz w:val="17"/>
                <w:szCs w:val="17"/>
                <w:color w:val="auto"/>
              </w:rPr>
            </w:pPr>
          </w:p>
        </w:tc>
        <w:tc>
          <w:tcPr>
            <w:tcW w:w="27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250"/>
        </w:trPr>
        <w:tc>
          <w:tcPr>
            <w:tcW w:w="1500" w:type="dxa"/>
            <w:vAlign w:val="bottom"/>
            <w:tcBorders>
              <w:top w:val="single" w:sz="8" w:color="auto"/>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Below 90%</w:t>
            </w:r>
          </w:p>
        </w:tc>
        <w:tc>
          <w:tcPr>
            <w:tcW w:w="800" w:type="dxa"/>
            <w:vAlign w:val="bottom"/>
            <w:tcBorders>
              <w:top w:val="single" w:sz="8" w:color="CDE8F5"/>
            </w:tcBorders>
            <w:shd w:val="clear" w:color="auto" w:fill="CDE8F5"/>
          </w:tcPr>
          <w:p>
            <w:pPr>
              <w:spacing w:after="0"/>
              <w:rPr>
                <w:sz w:val="21"/>
                <w:szCs w:val="21"/>
                <w:color w:val="auto"/>
              </w:rPr>
            </w:pPr>
          </w:p>
        </w:tc>
        <w:tc>
          <w:tcPr>
            <w:tcW w:w="200" w:type="dxa"/>
            <w:vAlign w:val="bottom"/>
            <w:tcBorders>
              <w:top w:val="single" w:sz="8" w:color="CDE8F5"/>
            </w:tcBorders>
            <w:shd w:val="clear" w:color="auto" w:fill="CDE8F5"/>
          </w:tcPr>
          <w:p>
            <w:pPr>
              <w:spacing w:after="0"/>
              <w:rPr>
                <w:sz w:val="21"/>
                <w:szCs w:val="21"/>
                <w:color w:val="auto"/>
              </w:rPr>
            </w:pPr>
          </w:p>
        </w:tc>
        <w:tc>
          <w:tcPr>
            <w:tcW w:w="2780" w:type="dxa"/>
            <w:vAlign w:val="bottom"/>
            <w:tcBorders>
              <w:top w:val="single" w:sz="8" w:color="auto"/>
            </w:tcBorders>
            <w:shd w:val="clear" w:color="auto" w:fill="CDE8F5"/>
          </w:tcPr>
          <w:p>
            <w:pPr>
              <w:ind w:left="2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tcPr>
          <w:p>
            <w:pPr>
              <w:spacing w:after="0"/>
              <w:rPr>
                <w:sz w:val="23"/>
                <w:szCs w:val="23"/>
                <w:color w:val="auto"/>
              </w:rPr>
            </w:pP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150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91%-95%</w:t>
            </w:r>
          </w:p>
        </w:tc>
        <w:tc>
          <w:tcPr>
            <w:tcW w:w="800" w:type="dxa"/>
            <w:vAlign w:val="bottom"/>
            <w:shd w:val="clear" w:color="auto" w:fill="CDE8F5"/>
          </w:tcPr>
          <w:p>
            <w:pPr>
              <w:spacing w:after="0"/>
              <w:rPr>
                <w:sz w:val="23"/>
                <w:szCs w:val="23"/>
                <w:color w:val="auto"/>
              </w:rPr>
            </w:pPr>
          </w:p>
        </w:tc>
        <w:tc>
          <w:tcPr>
            <w:tcW w:w="2980" w:type="dxa"/>
            <w:vAlign w:val="bottom"/>
            <w:gridSpan w:val="2"/>
            <w:shd w:val="clear" w:color="auto" w:fill="CDE8F5"/>
          </w:tcPr>
          <w:p>
            <w:pPr>
              <w:ind w:left="220"/>
              <w:spacing w:after="0"/>
              <w:rPr>
                <w:sz w:val="20"/>
                <w:szCs w:val="20"/>
                <w:color w:val="auto"/>
              </w:rPr>
            </w:pPr>
            <w:r>
              <w:rPr>
                <w:rFonts w:ascii="Times New Roman" w:cs="Times New Roman" w:eastAsia="Times New Roman" w:hAnsi="Times New Roman"/>
                <w:sz w:val="18"/>
                <w:szCs w:val="18"/>
                <w:color w:val="auto"/>
              </w:rPr>
              <w:t>50%-85%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96%-100%</w:t>
            </w:r>
          </w:p>
        </w:tc>
        <w:tc>
          <w:tcPr>
            <w:tcW w:w="800" w:type="dxa"/>
            <w:vAlign w:val="bottom"/>
          </w:tcPr>
          <w:p>
            <w:pPr>
              <w:spacing w:after="0"/>
              <w:rPr>
                <w:sz w:val="23"/>
                <w:szCs w:val="23"/>
                <w:color w:val="auto"/>
              </w:rPr>
            </w:pP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85%-100%</w:t>
            </w:r>
          </w:p>
        </w:tc>
      </w:tr>
      <w:tr>
        <w:trPr>
          <w:trHeight w:val="250"/>
        </w:trPr>
        <w:tc>
          <w:tcPr>
            <w:tcW w:w="230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Over 100%-110%</w:t>
            </w:r>
          </w:p>
        </w:tc>
        <w:tc>
          <w:tcPr>
            <w:tcW w:w="200" w:type="dxa"/>
            <w:vAlign w:val="bottom"/>
            <w:shd w:val="clear" w:color="auto" w:fill="CDE8F5"/>
          </w:tcPr>
          <w:p>
            <w:pPr>
              <w:spacing w:after="0"/>
              <w:rPr>
                <w:sz w:val="21"/>
                <w:szCs w:val="21"/>
                <w:color w:val="auto"/>
              </w:rPr>
            </w:pPr>
          </w:p>
        </w:tc>
        <w:tc>
          <w:tcPr>
            <w:tcW w:w="2780" w:type="dxa"/>
            <w:vAlign w:val="bottom"/>
            <w:shd w:val="clear" w:color="auto" w:fill="CDE8F5"/>
          </w:tcPr>
          <w:p>
            <w:pPr>
              <w:ind w:left="20"/>
              <w:spacing w:after="0"/>
              <w:rPr>
                <w:sz w:val="20"/>
                <w:szCs w:val="20"/>
                <w:color w:val="auto"/>
              </w:rPr>
            </w:pPr>
            <w:r>
              <w:rPr>
                <w:rFonts w:ascii="Times New Roman" w:cs="Times New Roman" w:eastAsia="Times New Roman" w:hAnsi="Times New Roman"/>
                <w:sz w:val="18"/>
                <w:szCs w:val="18"/>
                <w:color w:val="auto"/>
              </w:rPr>
              <w:t>Actual Achievement percentage</w:t>
            </w:r>
          </w:p>
        </w:tc>
      </w:tr>
      <w:tr>
        <w:trPr>
          <w:trHeight w:val="218"/>
        </w:trPr>
        <w:tc>
          <w:tcPr>
            <w:tcW w:w="1500" w:type="dxa"/>
            <w:vAlign w:val="bottom"/>
            <w:shd w:val="clear" w:color="auto" w:fill="CDE8F5"/>
          </w:tcPr>
          <w:p>
            <w:pPr>
              <w:spacing w:after="0"/>
              <w:rPr>
                <w:sz w:val="18"/>
                <w:szCs w:val="18"/>
                <w:color w:val="auto"/>
              </w:rPr>
            </w:pPr>
          </w:p>
        </w:tc>
        <w:tc>
          <w:tcPr>
            <w:tcW w:w="800" w:type="dxa"/>
            <w:vAlign w:val="bottom"/>
            <w:shd w:val="clear" w:color="auto" w:fill="CDE8F5"/>
          </w:tcPr>
          <w:p>
            <w:pPr>
              <w:spacing w:after="0"/>
              <w:rPr>
                <w:sz w:val="18"/>
                <w:szCs w:val="18"/>
                <w:color w:val="auto"/>
              </w:rPr>
            </w:pPr>
          </w:p>
        </w:tc>
        <w:tc>
          <w:tcPr>
            <w:tcW w:w="200" w:type="dxa"/>
            <w:vAlign w:val="bottom"/>
            <w:shd w:val="clear" w:color="auto" w:fill="CDE8F5"/>
          </w:tcPr>
          <w:p>
            <w:pPr>
              <w:spacing w:after="0"/>
              <w:rPr>
                <w:sz w:val="18"/>
                <w:szCs w:val="18"/>
                <w:color w:val="auto"/>
              </w:rPr>
            </w:pPr>
          </w:p>
        </w:tc>
        <w:tc>
          <w:tcPr>
            <w:tcW w:w="2780" w:type="dxa"/>
            <w:vAlign w:val="bottom"/>
            <w:shd w:val="clear" w:color="auto" w:fill="CDE8F5"/>
          </w:tcPr>
          <w:p>
            <w:pPr>
              <w:ind w:left="20"/>
              <w:spacing w:after="0"/>
              <w:rPr>
                <w:sz w:val="20"/>
                <w:szCs w:val="20"/>
                <w:color w:val="auto"/>
              </w:rPr>
            </w:pPr>
            <w:r>
              <w:rPr>
                <w:rFonts w:ascii="Times New Roman" w:cs="Times New Roman" w:eastAsia="Times New Roman" w:hAnsi="Times New Roman"/>
                <w:sz w:val="18"/>
                <w:szCs w:val="18"/>
                <w:color w:val="auto"/>
              </w:rPr>
              <w:t xml:space="preserve">(100%-110%)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up to an</w:t>
            </w:r>
          </w:p>
        </w:tc>
      </w:tr>
      <w:tr>
        <w:trPr>
          <w:trHeight w:val="241"/>
        </w:trPr>
        <w:tc>
          <w:tcPr>
            <w:tcW w:w="1500" w:type="dxa"/>
            <w:vAlign w:val="bottom"/>
            <w:tcBorders>
              <w:bottom w:val="single" w:sz="8" w:color="auto"/>
            </w:tcBorders>
            <w:shd w:val="clear" w:color="auto" w:fill="CDE8F5"/>
          </w:tcPr>
          <w:p>
            <w:pPr>
              <w:spacing w:after="0"/>
              <w:rPr>
                <w:sz w:val="20"/>
                <w:szCs w:val="20"/>
                <w:color w:val="auto"/>
              </w:rPr>
            </w:pPr>
          </w:p>
        </w:tc>
        <w:tc>
          <w:tcPr>
            <w:tcW w:w="800" w:type="dxa"/>
            <w:vAlign w:val="bottom"/>
            <w:tcBorders>
              <w:bottom w:val="single" w:sz="8" w:color="auto"/>
            </w:tcBorders>
            <w:shd w:val="clear" w:color="auto" w:fill="CDE8F5"/>
          </w:tcPr>
          <w:p>
            <w:pPr>
              <w:spacing w:after="0"/>
              <w:rPr>
                <w:sz w:val="20"/>
                <w:szCs w:val="20"/>
                <w:color w:val="auto"/>
              </w:rPr>
            </w:pPr>
          </w:p>
        </w:tc>
        <w:tc>
          <w:tcPr>
            <w:tcW w:w="200" w:type="dxa"/>
            <w:vAlign w:val="bottom"/>
            <w:tcBorders>
              <w:bottom w:val="single" w:sz="8" w:color="auto"/>
            </w:tcBorders>
            <w:shd w:val="clear" w:color="auto" w:fill="CDE8F5"/>
          </w:tcPr>
          <w:p>
            <w:pPr>
              <w:spacing w:after="0"/>
              <w:rPr>
                <w:sz w:val="20"/>
                <w:szCs w:val="20"/>
                <w:color w:val="auto"/>
              </w:rPr>
            </w:pPr>
          </w:p>
        </w:tc>
        <w:tc>
          <w:tcPr>
            <w:tcW w:w="2780" w:type="dxa"/>
            <w:vAlign w:val="bottom"/>
            <w:tcBorders>
              <w:bottom w:val="single" w:sz="8" w:color="auto"/>
            </w:tcBorders>
            <w:shd w:val="clear" w:color="auto" w:fill="CDE8F5"/>
          </w:tcPr>
          <w:p>
            <w:pPr>
              <w:ind w:left="20"/>
              <w:spacing w:after="0"/>
              <w:rPr>
                <w:sz w:val="20"/>
                <w:szCs w:val="20"/>
                <w:color w:val="auto"/>
              </w:rPr>
            </w:pPr>
            <w:r>
              <w:rPr>
                <w:rFonts w:ascii="Times New Roman" w:cs="Times New Roman" w:eastAsia="Times New Roman" w:hAnsi="Times New Roman"/>
                <w:sz w:val="18"/>
                <w:szCs w:val="18"/>
                <w:color w:val="auto"/>
              </w:rPr>
              <w:t>additional 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 and Adjusted EBITDA-LCS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Achievement Percentage</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20"/>
        </w:trPr>
        <w:tc>
          <w:tcPr>
            <w:tcW w:w="2280" w:type="dxa"/>
            <w:vAlign w:val="bottom"/>
            <w:gridSpan w:val="2"/>
            <w:shd w:val="clear" w:color="auto" w:fill="CDE8F5"/>
          </w:tcPr>
          <w:p>
            <w:pPr>
              <w:spacing w:after="0" w:line="20" w:lineRule="exact"/>
              <w:rPr>
                <w:sz w:val="1"/>
                <w:szCs w:val="1"/>
                <w:color w:val="auto"/>
              </w:rPr>
            </w:pPr>
          </w:p>
        </w:tc>
        <w:tc>
          <w:tcPr>
            <w:tcW w:w="300" w:type="dxa"/>
            <w:vAlign w:val="bottom"/>
            <w:shd w:val="clear" w:color="auto" w:fill="CDE8F5"/>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57"/>
        </w:trPr>
        <w:tc>
          <w:tcPr>
            <w:tcW w:w="2280" w:type="dxa"/>
            <w:vAlign w:val="bottom"/>
            <w:tcBorders>
              <w:bottom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Below 80%</w:t>
            </w:r>
          </w:p>
        </w:tc>
        <w:tc>
          <w:tcPr>
            <w:tcW w:w="3120" w:type="dxa"/>
            <w:vAlign w:val="bottom"/>
            <w:tcBorders>
              <w:bottom w:val="single" w:sz="8" w:color="CDE8F5"/>
            </w:tcBorders>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tcPr>
          <w:p>
            <w:pPr>
              <w:spacing w:after="0"/>
              <w:rPr>
                <w:sz w:val="23"/>
                <w:szCs w:val="23"/>
                <w:color w:val="auto"/>
              </w:rPr>
            </w:pPr>
          </w:p>
        </w:tc>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77"/>
        </w:trPr>
        <w:tc>
          <w:tcPr>
            <w:tcW w:w="1520" w:type="dxa"/>
            <w:vAlign w:val="bottom"/>
            <w:tcBorders>
              <w:bottom w:val="single" w:sz="8" w:color="CDE8F5"/>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81%-85%</w:t>
            </w:r>
          </w:p>
        </w:tc>
        <w:tc>
          <w:tcPr>
            <w:tcW w:w="760" w:type="dxa"/>
            <w:vAlign w:val="bottom"/>
            <w:tcBorders>
              <w:bottom w:val="single" w:sz="8" w:color="CDE8F5"/>
            </w:tcBorders>
            <w:shd w:val="clear" w:color="auto" w:fill="CDE8F5"/>
          </w:tcPr>
          <w:p>
            <w:pPr>
              <w:spacing w:after="0"/>
              <w:rPr>
                <w:sz w:val="24"/>
                <w:szCs w:val="24"/>
                <w:color w:val="auto"/>
              </w:rPr>
            </w:pPr>
          </w:p>
        </w:tc>
        <w:tc>
          <w:tcPr>
            <w:tcW w:w="3120" w:type="dxa"/>
            <w:vAlign w:val="bottom"/>
            <w:tcBorders>
              <w:bottom w:val="single" w:sz="8" w:color="CDE8F5"/>
            </w:tcBorders>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51%-70%</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86%-90%</w:t>
            </w:r>
          </w:p>
        </w:tc>
        <w:tc>
          <w:tcPr>
            <w:tcW w:w="760" w:type="dxa"/>
            <w:vAlign w:val="bottom"/>
          </w:tcPr>
          <w:p>
            <w:pPr>
              <w:spacing w:after="0"/>
              <w:rPr>
                <w:sz w:val="23"/>
                <w:szCs w:val="23"/>
                <w:color w:val="auto"/>
              </w:rPr>
            </w:pPr>
          </w:p>
        </w:tc>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71%-85%</w:t>
            </w:r>
          </w:p>
        </w:tc>
      </w:tr>
      <w:tr>
        <w:trPr>
          <w:trHeight w:val="27"/>
        </w:trPr>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77"/>
        </w:trPr>
        <w:tc>
          <w:tcPr>
            <w:tcW w:w="1520" w:type="dxa"/>
            <w:vAlign w:val="bottom"/>
            <w:tcBorders>
              <w:bottom w:val="single" w:sz="8" w:color="CDE8F5"/>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91%-95%</w:t>
            </w:r>
          </w:p>
        </w:tc>
        <w:tc>
          <w:tcPr>
            <w:tcW w:w="760" w:type="dxa"/>
            <w:vAlign w:val="bottom"/>
            <w:tcBorders>
              <w:bottom w:val="single" w:sz="8" w:color="CDE8F5"/>
            </w:tcBorders>
            <w:shd w:val="clear" w:color="auto" w:fill="CDE8F5"/>
          </w:tcPr>
          <w:p>
            <w:pPr>
              <w:spacing w:after="0"/>
              <w:rPr>
                <w:sz w:val="24"/>
                <w:szCs w:val="24"/>
                <w:color w:val="auto"/>
              </w:rPr>
            </w:pPr>
          </w:p>
        </w:tc>
        <w:tc>
          <w:tcPr>
            <w:tcW w:w="3120" w:type="dxa"/>
            <w:vAlign w:val="bottom"/>
            <w:tcBorders>
              <w:bottom w:val="single" w:sz="8" w:color="CDE8F5"/>
            </w:tcBorders>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86%-95%</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96%-100%</w:t>
            </w:r>
          </w:p>
        </w:tc>
        <w:tc>
          <w:tcPr>
            <w:tcW w:w="760" w:type="dxa"/>
            <w:vAlign w:val="bottom"/>
          </w:tcPr>
          <w:p>
            <w:pPr>
              <w:spacing w:after="0"/>
              <w:rPr>
                <w:sz w:val="23"/>
                <w:szCs w:val="23"/>
                <w:color w:val="auto"/>
              </w:rPr>
            </w:pPr>
          </w:p>
        </w:tc>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96%-100%</w:t>
            </w:r>
          </w:p>
        </w:tc>
      </w:tr>
      <w:tr>
        <w:trPr>
          <w:trHeight w:val="27"/>
        </w:trPr>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28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Over 100%-110%</w:t>
            </w:r>
          </w:p>
        </w:tc>
        <w:tc>
          <w:tcPr>
            <w:tcW w:w="3120" w:type="dxa"/>
            <w:vAlign w:val="bottom"/>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Actual Achievement percentage</w:t>
            </w:r>
          </w:p>
        </w:tc>
      </w:tr>
      <w:tr>
        <w:trPr>
          <w:trHeight w:val="218"/>
        </w:trPr>
        <w:tc>
          <w:tcPr>
            <w:tcW w:w="1520" w:type="dxa"/>
            <w:vAlign w:val="bottom"/>
            <w:shd w:val="clear" w:color="auto" w:fill="CDE8F5"/>
          </w:tcPr>
          <w:p>
            <w:pPr>
              <w:spacing w:after="0"/>
              <w:rPr>
                <w:sz w:val="18"/>
                <w:szCs w:val="18"/>
                <w:color w:val="auto"/>
              </w:rPr>
            </w:pPr>
          </w:p>
        </w:tc>
        <w:tc>
          <w:tcPr>
            <w:tcW w:w="760" w:type="dxa"/>
            <w:vAlign w:val="bottom"/>
            <w:shd w:val="clear" w:color="auto" w:fill="CDE8F5"/>
          </w:tcPr>
          <w:p>
            <w:pPr>
              <w:spacing w:after="0"/>
              <w:rPr>
                <w:sz w:val="18"/>
                <w:szCs w:val="18"/>
                <w:color w:val="auto"/>
              </w:rPr>
            </w:pPr>
          </w:p>
        </w:tc>
        <w:tc>
          <w:tcPr>
            <w:tcW w:w="3120" w:type="dxa"/>
            <w:vAlign w:val="bottom"/>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 xml:space="preserve">(100%-110%)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up to an additional</w:t>
            </w:r>
          </w:p>
        </w:tc>
      </w:tr>
      <w:tr>
        <w:trPr>
          <w:trHeight w:val="241"/>
        </w:trPr>
        <w:tc>
          <w:tcPr>
            <w:tcW w:w="1520" w:type="dxa"/>
            <w:vAlign w:val="bottom"/>
            <w:tcBorders>
              <w:bottom w:val="single" w:sz="8" w:color="auto"/>
            </w:tcBorders>
            <w:shd w:val="clear" w:color="auto" w:fill="CDE8F5"/>
          </w:tcPr>
          <w:p>
            <w:pPr>
              <w:spacing w:after="0"/>
              <w:rPr>
                <w:sz w:val="20"/>
                <w:szCs w:val="20"/>
                <w:color w:val="auto"/>
              </w:rPr>
            </w:pPr>
          </w:p>
        </w:tc>
        <w:tc>
          <w:tcPr>
            <w:tcW w:w="760" w:type="dxa"/>
            <w:vAlign w:val="bottom"/>
            <w:tcBorders>
              <w:bottom w:val="single" w:sz="8" w:color="auto"/>
            </w:tcBorders>
            <w:shd w:val="clear" w:color="auto" w:fill="CDE8F5"/>
          </w:tcPr>
          <w:p>
            <w:pPr>
              <w:spacing w:after="0"/>
              <w:rPr>
                <w:sz w:val="20"/>
                <w:szCs w:val="20"/>
                <w:color w:val="auto"/>
              </w:rPr>
            </w:pPr>
          </w:p>
        </w:tc>
        <w:tc>
          <w:tcPr>
            <w:tcW w:w="3120" w:type="dxa"/>
            <w:vAlign w:val="bottom"/>
            <w:tcBorders>
              <w:bottom w:val="single" w:sz="8" w:color="auto"/>
            </w:tcBorders>
            <w:gridSpan w:val="2"/>
            <w:shd w:val="clear" w:color="auto" w:fill="CDE8F5"/>
          </w:tcPr>
          <w:p>
            <w:pPr>
              <w:ind w:left="30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Actual 2025 Program Component Achievement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Relative Metric</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Component</w:t>
            </w:r>
          </w:p>
        </w:tc>
        <w:tc>
          <w:tcPr>
            <w:tcW w:w="59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Plan Allocation</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88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9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of Target</w:t>
            </w:r>
            <w:r>
              <w:rPr>
                <w:rFonts w:ascii="Times New Roman" w:cs="Times New Roman" w:eastAsia="Times New Roman" w:hAnsi="Times New Roman"/>
                <w:sz w:val="10"/>
                <w:szCs w:val="10"/>
                <w:b w:val="1"/>
                <w:bCs w:val="1"/>
                <w:color w:val="auto"/>
              </w:rPr>
              <w:t>(1)</w:t>
            </w:r>
          </w:p>
        </w:tc>
        <w:tc>
          <w:tcPr>
            <w:tcW w:w="8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6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243"/>
        </w:trPr>
        <w:tc>
          <w:tcPr>
            <w:tcW w:w="668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DE8F5"/>
            </w:tcBorders>
            <w:shd w:val="clear" w:color="auto" w:fill="CDE8F5"/>
          </w:tcPr>
          <w:p>
            <w:pPr>
              <w:spacing w:after="0"/>
              <w:rPr>
                <w:sz w:val="21"/>
                <w:szCs w:val="21"/>
                <w:color w:val="auto"/>
              </w:rPr>
            </w:pPr>
          </w:p>
        </w:tc>
        <w:tc>
          <w:tcPr>
            <w:tcW w:w="1160" w:type="dxa"/>
            <w:vAlign w:val="bottom"/>
            <w:tcBorders>
              <w:top w:val="single" w:sz="8" w:color="auto"/>
            </w:tcBorders>
            <w:shd w:val="clear" w:color="auto" w:fill="CDE8F5"/>
          </w:tcPr>
          <w:p>
            <w:pPr>
              <w:jc w:val="right"/>
              <w:ind w:right="219"/>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DE8F5"/>
            </w:tcBorders>
            <w:shd w:val="clear" w:color="auto" w:fill="CDE8F5"/>
          </w:tcPr>
          <w:p>
            <w:pPr>
              <w:spacing w:after="0"/>
              <w:rPr>
                <w:sz w:val="21"/>
                <w:szCs w:val="21"/>
                <w:color w:val="auto"/>
              </w:rPr>
            </w:pPr>
          </w:p>
        </w:tc>
        <w:tc>
          <w:tcPr>
            <w:tcW w:w="82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Borders>
              <w:top w:val="single" w:sz="8" w:color="CDE8F5"/>
            </w:tcBorders>
            <w:shd w:val="clear" w:color="auto" w:fill="CDE8F5"/>
          </w:tcPr>
          <w:p>
            <w:pPr>
              <w:spacing w:after="0"/>
              <w:rPr>
                <w:sz w:val="21"/>
                <w:szCs w:val="21"/>
                <w:color w:val="auto"/>
              </w:rPr>
            </w:pPr>
          </w:p>
        </w:tc>
        <w:tc>
          <w:tcPr>
            <w:tcW w:w="70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Borders>
              <w:top w:val="single" w:sz="8" w:color="CDE8F5"/>
            </w:tcBorders>
            <w:shd w:val="clear" w:color="auto" w:fill="CDE8F5"/>
          </w:tcPr>
          <w:p>
            <w:pPr>
              <w:spacing w:after="0"/>
              <w:rPr>
                <w:sz w:val="21"/>
                <w:szCs w:val="21"/>
                <w:color w:val="auto"/>
              </w:rPr>
            </w:pPr>
          </w:p>
        </w:tc>
        <w:tc>
          <w:tcPr>
            <w:tcW w:w="96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6"/>
                <w:szCs w:val="26"/>
                <w:color w:val="auto"/>
                <w:vertAlign w:val="superscript"/>
              </w:rPr>
              <w:t>(2)</w:t>
            </w:r>
          </w:p>
        </w:tc>
        <w:tc>
          <w:tcPr>
            <w:tcW w:w="13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0"/>
        </w:trPr>
        <w:tc>
          <w:tcPr>
            <w:tcW w:w="668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(2)</w:t>
            </w:r>
          </w:p>
        </w:tc>
        <w:tc>
          <w:tcPr>
            <w:tcW w:w="1340" w:type="dxa"/>
            <w:vAlign w:val="bottom"/>
            <w:gridSpan w:val="2"/>
            <w:shd w:val="clear" w:color="auto" w:fill="CDE8F5"/>
          </w:tcPr>
          <w:p>
            <w:pPr>
              <w:jc w:val="right"/>
              <w:ind w:right="219"/>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DE8F5"/>
          </w:tcPr>
          <w:p>
            <w:pPr>
              <w:spacing w:after="0"/>
              <w:rPr>
                <w:sz w:val="23"/>
                <w:szCs w:val="23"/>
                <w:color w:val="auto"/>
              </w:rPr>
            </w:pP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60" w:type="dxa"/>
            <w:vAlign w:val="bottom"/>
            <w:shd w:val="clear" w:color="auto" w:fill="CDE8F5"/>
          </w:tcPr>
          <w:p>
            <w:pPr>
              <w:spacing w:after="0"/>
              <w:rPr>
                <w:sz w:val="23"/>
                <w:szCs w:val="23"/>
                <w:color w:val="auto"/>
              </w:rPr>
            </w:pPr>
          </w:p>
        </w:tc>
        <w:tc>
          <w:tcPr>
            <w:tcW w:w="70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DE8F5"/>
          </w:tcPr>
          <w:p>
            <w:pPr>
              <w:spacing w:after="0"/>
              <w:rPr>
                <w:sz w:val="23"/>
                <w:szCs w:val="23"/>
                <w:color w:val="auto"/>
              </w:rPr>
            </w:pPr>
          </w:p>
        </w:tc>
        <w:tc>
          <w:tcPr>
            <w:tcW w:w="9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Adjusted EBITDA-LCS</w:t>
            </w:r>
            <w:r>
              <w:rPr>
                <w:rFonts w:ascii="Times New Roman" w:cs="Times New Roman" w:eastAsia="Times New Roman" w:hAnsi="Times New Roman"/>
                <w:sz w:val="26"/>
                <w:szCs w:val="26"/>
                <w:color w:val="auto"/>
                <w:vertAlign w:val="superscript"/>
              </w:rPr>
              <w:t>(2)</w:t>
            </w:r>
          </w:p>
        </w:tc>
        <w:tc>
          <w:tcPr>
            <w:tcW w:w="13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0"/>
        </w:trPr>
        <w:tc>
          <w:tcPr>
            <w:tcW w:w="668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Individual Performance</w:t>
            </w:r>
            <w:r>
              <w:rPr>
                <w:rFonts w:ascii="Times New Roman" w:cs="Times New Roman" w:eastAsia="Times New Roman" w:hAnsi="Times New Roman"/>
                <w:sz w:val="26"/>
                <w:szCs w:val="26"/>
                <w:color w:val="auto"/>
                <w:vertAlign w:val="superscript"/>
              </w:rPr>
              <w:t>(3)</w:t>
            </w:r>
          </w:p>
        </w:tc>
        <w:tc>
          <w:tcPr>
            <w:tcW w:w="1340" w:type="dxa"/>
            <w:vAlign w:val="bottom"/>
            <w:gridSpan w:val="2"/>
            <w:shd w:val="clear" w:color="auto" w:fill="CDE8F5"/>
          </w:tcPr>
          <w:p>
            <w:pPr>
              <w:jc w:val="right"/>
              <w:ind w:right="219"/>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DE8F5"/>
          </w:tcPr>
          <w:p>
            <w:pPr>
              <w:spacing w:after="0"/>
              <w:rPr>
                <w:sz w:val="23"/>
                <w:szCs w:val="23"/>
                <w:color w:val="auto"/>
              </w:rPr>
            </w:pP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DE8F5"/>
          </w:tcPr>
          <w:p>
            <w:pPr>
              <w:spacing w:after="0"/>
              <w:rPr>
                <w:sz w:val="23"/>
                <w:szCs w:val="23"/>
                <w:color w:val="auto"/>
              </w:rPr>
            </w:pPr>
          </w:p>
        </w:tc>
        <w:tc>
          <w:tcPr>
            <w:tcW w:w="70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DE8F5"/>
          </w:tcPr>
          <w:p>
            <w:pPr>
              <w:spacing w:after="0"/>
              <w:rPr>
                <w:sz w:val="23"/>
                <w:szCs w:val="23"/>
                <w:color w:val="auto"/>
              </w:rPr>
            </w:pPr>
          </w:p>
        </w:tc>
        <w:tc>
          <w:tcPr>
            <w:tcW w:w="9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Program Achievement Score</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in this table are rounded to the nearest tenth.</w:t>
      </w:r>
    </w:p>
    <w:p>
      <w:pPr>
        <w:spacing w:after="0" w:line="27"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Contribution Profit as gross profit plus other cost of revenue. Other cost of revenue equals cost of revenue less interchange, assessment and other network fees paid by us to our payment processors. We calculate Adjusted EBITDA as net income before other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 We calculate Adjusted EBITDA-LCS by subtracting our capitalized software expense from Adjusted EBITDA. For more information regarding these measures, please refer to “Item 7— Management’s Discussion and Analysis of Financial Condition and Results of Operations—Key Performance and Non-GAAP Measures” in our Annual Report on Form 10-K for the year ended December 31, 2025 filed with the SEC on February 24, 2026.</w:t>
      </w:r>
    </w:p>
    <w:p>
      <w:pPr>
        <w:spacing w:after="0" w:line="3"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earned an individual performance score of 120.0% based on a review of other qualitative key performance indicators separately applicable to each individual NEO, outside of the preceding four primary financial performance metrics.</w:t>
      </w:r>
    </w:p>
    <w:p>
      <w:pPr>
        <w:spacing w:after="0" w:line="18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do not disclose the specific targets for our performance components as they are highly confidential and would provide competitors and third parties with insight into our internal planning processes that may allow them to predict certain of our financial and/or operational strategies, which could cause us competitive harm. The performance metrics of Revenue, Contribution Profit, Adjusted EBITDA and Adjusted EBITDA-LCS software were set at levels deemed challenging by the compensation committee and were based on a range of factors, including (i) the rate at which the market is being captured and growth of our platform footprint, (ii) gross margins through new and existing business generated through business relationships,</w:t>
      </w:r>
    </w:p>
    <w:p>
      <w:pPr>
        <w:spacing w:after="0" w:line="3" w:lineRule="exact"/>
        <w:rPr>
          <w:sz w:val="20"/>
          <w:szCs w:val="20"/>
          <w:color w:val="auto"/>
        </w:rPr>
      </w:pPr>
    </w:p>
    <w:p>
      <w:pPr>
        <w:ind w:left="120" w:right="80" w:hanging="4"/>
        <w:spacing w:after="0" w:line="255" w:lineRule="auto"/>
        <w:tabs>
          <w:tab w:leader="none" w:pos="4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operating leverage of our business, and (iv) innovation leverage, which is our ability to expand our innovation footprint and product functionality and capability while keeping growth in research and development expense significantly lower than the growth of revenue and contribution profit.</w:t>
      </w: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Actual 2025 Program Payout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2025 Program</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46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Target Opportunity</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Program Payout</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0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Score</w:t>
            </w:r>
            <w:r>
              <w:rPr>
                <w:rFonts w:ascii="Times New Roman" w:cs="Times New Roman" w:eastAsia="Times New Roman" w:hAnsi="Times New Roman"/>
                <w:sz w:val="10"/>
                <w:szCs w:val="10"/>
                <w:b w:val="1"/>
                <w:bCs w:val="1"/>
                <w:color w:val="auto"/>
              </w:rPr>
              <w:t>(1)</w:t>
            </w: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4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160" w:type="dxa"/>
            <w:vAlign w:val="bottom"/>
            <w:tcBorders>
              <w:top w:val="single" w:sz="8" w:color="CDE8F5"/>
            </w:tcBorders>
            <w:shd w:val="clear" w:color="auto" w:fill="CDE8F5"/>
          </w:tcPr>
          <w:p>
            <w:pPr>
              <w:spacing w:after="0"/>
              <w:rPr>
                <w:sz w:val="21"/>
                <w:szCs w:val="21"/>
                <w:color w:val="auto"/>
              </w:rPr>
            </w:pPr>
          </w:p>
        </w:tc>
        <w:tc>
          <w:tcPr>
            <w:tcW w:w="1920" w:type="dxa"/>
            <w:vAlign w:val="bottom"/>
            <w:tcBorders>
              <w:top w:val="single" w:sz="8" w:color="auto"/>
            </w:tcBorders>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rPr>
              <w:t>$716,267</w:t>
            </w:r>
          </w:p>
        </w:tc>
        <w:tc>
          <w:tcPr>
            <w:tcW w:w="160" w:type="dxa"/>
            <w:vAlign w:val="bottom"/>
            <w:tcBorders>
              <w:top w:val="single" w:sz="8" w:color="CDE8F5"/>
            </w:tcBorders>
            <w:shd w:val="clear" w:color="auto" w:fill="CDE8F5"/>
          </w:tcPr>
          <w:p>
            <w:pPr>
              <w:spacing w:after="0"/>
              <w:rPr>
                <w:sz w:val="21"/>
                <w:szCs w:val="21"/>
                <w:color w:val="auto"/>
              </w:rPr>
            </w:pPr>
          </w:p>
        </w:tc>
        <w:tc>
          <w:tcPr>
            <w:tcW w:w="880" w:type="dxa"/>
            <w:vAlign w:val="bottom"/>
            <w:tcBorders>
              <w:top w:val="single" w:sz="8" w:color="auto"/>
            </w:tcBorders>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top w:val="single" w:sz="8" w:color="CDE8F5"/>
            </w:tcBorders>
            <w:shd w:val="clear" w:color="auto" w:fill="CDE8F5"/>
          </w:tcPr>
          <w:p>
            <w:pPr>
              <w:spacing w:after="0"/>
              <w:rPr>
                <w:sz w:val="21"/>
                <w:szCs w:val="21"/>
                <w:color w:val="auto"/>
              </w:rPr>
            </w:pPr>
          </w:p>
        </w:tc>
        <w:tc>
          <w:tcPr>
            <w:tcW w:w="2020" w:type="dxa"/>
            <w:vAlign w:val="bottom"/>
            <w:tcBorders>
              <w:top w:val="single" w:sz="8" w:color="auto"/>
            </w:tcBorders>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rPr>
              <w:t>$846,768</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2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$530,450</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$627,096</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2080" w:type="dxa"/>
            <w:vAlign w:val="bottom"/>
            <w:gridSpan w:val="2"/>
            <w:shd w:val="clear" w:color="auto" w:fill="CDE8F5"/>
          </w:tcPr>
          <w:p>
            <w:pPr>
              <w:jc w:val="center"/>
              <w:ind w:left="70"/>
              <w:spacing w:after="0"/>
              <w:rPr>
                <w:sz w:val="20"/>
                <w:szCs w:val="20"/>
                <w:color w:val="auto"/>
              </w:rPr>
            </w:pPr>
            <w:r>
              <w:rPr>
                <w:rFonts w:ascii="Times New Roman" w:cs="Times New Roman" w:eastAsia="Times New Roman" w:hAnsi="Times New Roman"/>
                <w:sz w:val="18"/>
                <w:szCs w:val="18"/>
                <w:color w:val="auto"/>
              </w:rPr>
              <w:t>$445,578</w:t>
            </w:r>
          </w:p>
        </w:tc>
        <w:tc>
          <w:tcPr>
            <w:tcW w:w="160" w:type="dxa"/>
            <w:vAlign w:val="bottom"/>
            <w:shd w:val="clear" w:color="auto" w:fill="CDE8F5"/>
          </w:tcPr>
          <w:p>
            <w:pPr>
              <w:spacing w:after="0"/>
              <w:rPr>
                <w:sz w:val="23"/>
                <w:szCs w:val="23"/>
                <w:color w:val="auto"/>
              </w:rPr>
            </w:pPr>
          </w:p>
        </w:tc>
        <w:tc>
          <w:tcPr>
            <w:tcW w:w="88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shd w:val="clear" w:color="auto" w:fill="CDE8F5"/>
          </w:tcPr>
          <w:p>
            <w:pPr>
              <w:spacing w:after="0"/>
              <w:rPr>
                <w:sz w:val="23"/>
                <w:szCs w:val="23"/>
                <w:color w:val="auto"/>
              </w:rPr>
            </w:pPr>
          </w:p>
        </w:tc>
        <w:tc>
          <w:tcPr>
            <w:tcW w:w="2020" w:type="dxa"/>
            <w:vAlign w:val="bottom"/>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rPr>
              <w:t>$526,760</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2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$222,650</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$263,216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rounded to the nearest tenth.</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March 2026, our board of directors reviewed the 2025 Program achievement set forth above and determined, based on the recommendation of our compensation committee, that the amounts set forth above and in the column “Non-Equity Incentive Plan Compensation” of the “Summary Compensation Table” be paid. These 2025 Program bonus awards were paid to the NEOs in March 2026.</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Discretionary Bonuses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2025 Program payouts above, in recognition of the exceptional financial performance of our company, including revenue exceeding $1 billion during the fiscal year ended December 31, 2025, the compensation committee and board approved the payment of additional discretionary one-time bonuses equal to 20% of the 2025 Program bonus payouts set forth above as follows: $169,354 for Mr. Sharma, $125,419 for Mr. Kalra, $105,352 for Mr. Portocalis and $52,643 for Mr. Gerber. These discretionary awards were paid to the NEOs in March 2026 and are set forth in the column “Bonus” of the “Summary Compensation Table.”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issue long-term equity incentive awards under our 2021 Equity Incentive Plan, or the 2021 Plan. The purposes of the 2021 Plan are to attract and retain the best available personnel for positions of substantial responsibility, to provide additional incentives to employees, directors and consultants, and to promote the success of our business. Our compensation committee administers the 2021 Plan and determines the specific terms of awards, including the vesting period and performance conditions, if any, applicable to such awards. Although we have only granted time-based RSUs under the 2021 Plan, the compensation committee is permitted to grant the following types of awards to our employees, including our NEOs, directors and consultants, and any of our parent or subsidiary corporations’ employees and consultants:</w:t>
      </w:r>
    </w:p>
    <w:p>
      <w:pPr>
        <w:spacing w:after="0" w:line="93"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within the meaning of Section 422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more information, please see (i) the full text of the 2021 Plan and forms of award agreements, which are filed as Exhibits 10.14, 10.15, 10.17, 10.20, 10.21 and 10.22, respectively, to our Annual Report on Form 10-K for the year ended December 31, 2025 filed with the SEC on February 24, 2026, and (ii) form of restricted stock unit award agreement for employees, which is filed as Exhibit 10.1 to our Current Report on Form 8-K filed with the SEC on March 13, 2026.</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Restricted Stock Unit Grants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 further align the interests of management and stockholders, a significant portion of each NEO’s total direct compensation is in the form of time-based restricted stock units granted under the 2021 Plan. We believe such awards promote strategic and operational decisions that align the long-term interests of management and the stockholders and help retain executives. Considerations for amounts of RSUs granted to our NEOs include the factors listed under “Assessment of Competitive Compensation Practices” above.</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March 2025, the board of directors, on the recommendation of the compensation committee, granted RSUs to Messrs. Kalra, Portocalis and Gerber, in the amounts shown in the table below, all of which vest over five years, subject to continued service through the applicable vesting date. Mr. Kalra received this RSU grant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lieu of the RSU grant scheduled for the second anniversary of his start date, as set forth in his confirmatory employment letter dated as of March 6, 2023.</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80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CDE8F5"/>
          </w:tcPr>
          <w:p>
            <w:pPr>
              <w:spacing w:after="0" w:line="20" w:lineRule="exact"/>
              <w:rPr>
                <w:sz w:val="1"/>
                <w:szCs w:val="1"/>
                <w:color w:val="auto"/>
              </w:rPr>
            </w:pPr>
          </w:p>
        </w:tc>
        <w:tc>
          <w:tcPr>
            <w:tcW w:w="7660" w:type="dxa"/>
            <w:vAlign w:val="bottom"/>
            <w:shd w:val="clear" w:color="auto" w:fill="CDE8F5"/>
          </w:tcPr>
          <w:p>
            <w:pPr>
              <w:spacing w:after="0" w:line="20" w:lineRule="exact"/>
              <w:rPr>
                <w:sz w:val="1"/>
                <w:szCs w:val="1"/>
                <w:color w:val="auto"/>
              </w:rPr>
            </w:pPr>
          </w:p>
        </w:tc>
        <w:tc>
          <w:tcPr>
            <w:tcW w:w="300" w:type="dxa"/>
            <w:vAlign w:val="bottom"/>
            <w:shd w:val="clear" w:color="auto" w:fill="CDE8F5"/>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DE8F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260" w:type="dxa"/>
            <w:vAlign w:val="bottom"/>
            <w:gridSpan w:val="3"/>
            <w:shd w:val="clear" w:color="auto" w:fill="CDE8F5"/>
          </w:tcPr>
          <w:p>
            <w:pPr>
              <w:jc w:val="right"/>
              <w:ind w:right="280"/>
              <w:spacing w:after="0"/>
              <w:rPr>
                <w:sz w:val="20"/>
                <w:szCs w:val="20"/>
                <w:color w:val="auto"/>
              </w:rPr>
            </w:pPr>
            <w:r>
              <w:rPr>
                <w:rFonts w:ascii="Times New Roman" w:cs="Times New Roman" w:eastAsia="Times New Roman" w:hAnsi="Times New Roman"/>
                <w:sz w:val="18"/>
                <w:szCs w:val="18"/>
                <w:color w:val="auto"/>
              </w:rPr>
              <w:t>68,447</w:t>
            </w:r>
          </w:p>
        </w:tc>
        <w:tc>
          <w:tcPr>
            <w:tcW w:w="84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2,000,021</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CDE8F5"/>
            </w:tcBorders>
            <w:gridSpan w:val="2"/>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260" w:type="dxa"/>
            <w:vAlign w:val="bottom"/>
            <w:tcBorders>
              <w:bottom w:val="single" w:sz="8" w:color="CDE8F5"/>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68,447</w:t>
            </w:r>
          </w:p>
        </w:tc>
        <w:tc>
          <w:tcPr>
            <w:tcW w:w="84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2,000,021</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260" w:type="dxa"/>
            <w:vAlign w:val="bottom"/>
            <w:gridSpan w:val="3"/>
            <w:shd w:val="clear" w:color="auto" w:fill="CDE8F5"/>
          </w:tcPr>
          <w:p>
            <w:pPr>
              <w:jc w:val="right"/>
              <w:ind w:right="280"/>
              <w:spacing w:after="0"/>
              <w:rPr>
                <w:sz w:val="20"/>
                <w:szCs w:val="20"/>
                <w:color w:val="auto"/>
              </w:rPr>
            </w:pPr>
            <w:r>
              <w:rPr>
                <w:rFonts w:ascii="Times New Roman" w:cs="Times New Roman" w:eastAsia="Times New Roman" w:hAnsi="Times New Roman"/>
                <w:sz w:val="18"/>
                <w:szCs w:val="18"/>
                <w:color w:val="auto"/>
              </w:rPr>
              <w:t>17,112</w:t>
            </w:r>
          </w:p>
        </w:tc>
        <w:tc>
          <w:tcPr>
            <w:tcW w:w="84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500,013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CEO Long-Term Incentive</w:t>
      </w:r>
    </w:p>
    <w:p>
      <w:pPr>
        <w:spacing w:after="0" w:line="11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Beginning in November 2024, the compensation committee, with support from Compensia, initiated a review of Mr. Sharma’s compensation, focusing on his long-term incentives. In connection with this review, the compensation committee evaluated Mr. Sharma’s compensation during his tenure as CEO as well as market data among peer companies, with an objective of ensuring ongoing pay that:</w:t>
      </w:r>
    </w:p>
    <w:p>
      <w:pPr>
        <w:spacing w:after="0" w:line="81" w:lineRule="exact"/>
        <w:rPr>
          <w:sz w:val="20"/>
          <w:szCs w:val="20"/>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competitive with market norms, including among our peers, and reflecting his service as our chairman, president and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Mr. Sharma’s interests with those of our stockholders;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retention and motivation incentives above and beyond Mr. Sharma’s owned shares and fully vested 2019 stock option award.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this review, in July 2025, the board of directors, on the recommendation of the compensation committee, granted Mr. Sharma 1,100,000 RSUs in recognition of his significant past dedication to and achievements with the Company, in order to address the fact that he had not previously been awarded any RSUs, to provide additional retention incentives to Mr. Sharma, to better align Mr. Sharma’s equity compensation with peers and the market and to further align his financial interests with those of our stockholders. Mr. Sharma’s RSUs, which had a grant date fair value of $34,232,000, vest over four years, subject to continued service through the applicable vesting date.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Changes for 2026</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and compensation committee made the following compensation determinations in March 2026:</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received a 3.0% increase in base salary.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opportunities for Messrs. Sharma, Kalra, Portocalis and Gerber were established at 192.9%, 100.0%, 100.0% and 61.5%, respectively, of their 2026 base salaries.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Sharma received a grant of 480,000 RSUs, and Messrs. Kalra and Portocalis each received a grant of 139,644 RSUs. Mr. Gerber received a grant of 23,274 RSUs, but that award was forfeited upon his resignation effective April 6,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NEOs,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40"/>
          </w:cols>
          <w:pgMar w:left="320" w:top="482"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addition, our NEOs are eligible to participate in our employee welfare benefit programs on the same basis as all employees. These benefits include medical, dental and vision benefits, health savings accounts, disability insurance, life insurance and accidental death and dismemberment insurance. We design our employee benefits programs to be affordable and competitive in relation to the market, as well as compliant with applicable laws and practices. We adjust our employee benefit programs as needed based upon regular monitoring of applicable laws and practices and the competitive market.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Perquisite Practices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general, we do not believe significant personal benefits are necessary for us to attract and retain executive talent. We do not provide tax payment reimbursements, gross ups or any other tax payments to any of our executive officers.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confirmatory employment letter agreements with each of our NEOs. These agreements have no specific fixed term and constitute at-will employment. Each letter sets forth the executive’s initial base salary, target annual bonus opportunity and eligibility to participate in our equity incentive plans and standard employee benefit programs. The agreements also entitle our NEOs to enter into change in control and severance agreements, as described below. The agreements for Messrs. Sharma, Kalra, Portocalis and Gerber are filed as Exhibits 10.5, 10.6, 10.7 and 10.8, respectively, to our Annual Report on Form 10-K for the year ended December 31, 2025 filed with the SEC on February 24, 2026.</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change in control and severance agreements with our NEOs to ensure leadership continuity and align executives’ interests with those of our stockholders during periods of transition. Benefits are triggered if an executive is terminated by us without “cause” or resigns for a “good reason,” either of which we call a “qualifying termination.” The level of protection depends on whether the termination occurs during or outside the change in control period, which is three months prior to twelve months after a change in control.</w:t>
      </w:r>
    </w:p>
    <w:p>
      <w:pPr>
        <w:sectPr>
          <w:pgSz w:w="11900" w:h="16838" w:orient="portrait"/>
          <w:cols w:equalWidth="0" w:num="1">
            <w:col w:w="11120"/>
          </w:cols>
          <w:pgMar w:left="320" w:top="482" w:right="459" w:bottom="1440" w:gutter="0" w:footer="0" w:header="0"/>
        </w:sectPr>
      </w:pP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 Component</w:t>
            </w:r>
          </w:p>
        </w:tc>
        <w:tc>
          <w:tcPr>
            <w:tcW w:w="37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0" w:type="dxa"/>
            <w:vAlign w:val="bottom"/>
          </w:tcPr>
          <w:p>
            <w:pPr>
              <w:spacing w:after="0"/>
              <w:rPr>
                <w:sz w:val="1"/>
                <w:szCs w:val="1"/>
                <w:color w:val="auto"/>
              </w:rPr>
            </w:pPr>
          </w:p>
        </w:tc>
      </w:tr>
      <w:tr>
        <w:trPr>
          <w:trHeight w:val="193"/>
        </w:trPr>
        <w:tc>
          <w:tcPr>
            <w:tcW w:w="3640" w:type="dxa"/>
            <w:vAlign w:val="bottom"/>
            <w:gridSpan w:val="2"/>
            <w:vMerge w:val="continue"/>
          </w:tcPr>
          <w:p>
            <w:pPr>
              <w:spacing w:after="0"/>
              <w:rPr>
                <w:sz w:val="16"/>
                <w:szCs w:val="16"/>
                <w:color w:val="auto"/>
              </w:rPr>
            </w:pPr>
          </w:p>
        </w:tc>
        <w:tc>
          <w:tcPr>
            <w:tcW w:w="37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(Not Within CIC Period)</w:t>
            </w:r>
          </w:p>
        </w:tc>
        <w:tc>
          <w:tcPr>
            <w:tcW w:w="0" w:type="dxa"/>
            <w:vAlign w:val="bottom"/>
          </w:tcPr>
          <w:p>
            <w:pPr>
              <w:spacing w:after="0"/>
              <w:rPr>
                <w:sz w:val="1"/>
                <w:szCs w:val="1"/>
                <w:color w:val="auto"/>
              </w:rPr>
            </w:pPr>
          </w:p>
        </w:tc>
      </w:tr>
      <w:tr>
        <w:trPr>
          <w:trHeight w:val="185"/>
        </w:trPr>
        <w:tc>
          <w:tcPr>
            <w:tcW w:w="1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Cash Severance</w:t>
            </w:r>
          </w:p>
        </w:tc>
        <w:tc>
          <w:tcPr>
            <w:tcW w:w="2440" w:type="dxa"/>
            <w:vAlign w:val="bottom"/>
          </w:tcPr>
          <w:p>
            <w:pPr>
              <w:spacing w:after="0"/>
              <w:rPr>
                <w:sz w:val="16"/>
                <w:szCs w:val="16"/>
                <w:color w:val="auto"/>
              </w:rPr>
            </w:pPr>
          </w:p>
        </w:tc>
        <w:tc>
          <w:tcPr>
            <w:tcW w:w="3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Continued payment of base salary for 12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months + prorated bonus</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Continued payment of base salary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 6 months</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Vesting</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 automatic acceleration</w:t>
            </w:r>
          </w:p>
        </w:tc>
        <w:tc>
          <w:tcPr>
            <w:tcW w:w="0" w:type="dxa"/>
            <w:vAlign w:val="bottom"/>
          </w:tcPr>
          <w:p>
            <w:pPr>
              <w:spacing w:after="0"/>
              <w:rPr>
                <w:sz w:val="1"/>
                <w:szCs w:val="1"/>
                <w:color w:val="auto"/>
              </w:rPr>
            </w:pPr>
          </w:p>
        </w:tc>
      </w:tr>
      <w:tr>
        <w:trPr>
          <w:trHeight w:val="46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 (Health Insurance)</w:t>
            </w: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12 months</w:t>
            </w: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6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Qualifying Termination in Connection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168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right="260"/>
        <w:spacing w:after="0" w:line="256" w:lineRule="auto"/>
        <w:rPr>
          <w:sz w:val="20"/>
          <w:szCs w:val="20"/>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Lump sum payment of 100% of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 prorated bonus</w:t>
      </w:r>
    </w:p>
    <w:p>
      <w:pPr>
        <w:ind w:right="140"/>
        <w:spacing w:after="0" w:line="260" w:lineRule="auto"/>
        <w:rPr>
          <w:sz w:val="20"/>
          <w:szCs w:val="20"/>
          <w:color w:val="auto"/>
        </w:rPr>
      </w:pP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Lump sum payment of 75%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salary + prorated bonus</w:t>
      </w:r>
    </w:p>
    <w:p>
      <w:pPr>
        <w:spacing w:after="0" w:line="1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100% acceleration of all unvested time-based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12 months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9 months</w:t>
      </w:r>
    </w:p>
    <w:p>
      <w:pPr>
        <w:spacing w:after="0" w:line="207" w:lineRule="exact"/>
        <w:rPr>
          <w:sz w:val="20"/>
          <w:szCs w:val="20"/>
          <w:color w:val="auto"/>
        </w:rPr>
      </w:pPr>
    </w:p>
    <w:p>
      <w:pPr>
        <w:sectPr>
          <w:pgSz w:w="11900" w:h="16838" w:orient="portrait"/>
          <w:cols w:equalWidth="0" w:num="2">
            <w:col w:w="7500" w:space="220"/>
            <w:col w:w="3400"/>
          </w:cols>
          <w:pgMar w:left="320" w:top="482" w:right="459" w:bottom="1440" w:gutter="0" w:footer="0" w:header="0"/>
          <w:type w:val="continuous"/>
        </w:sect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Vesting acceleration and enhanced cash payments require both a change in control and a qualifying termination. We do not provide “gross-up” payments for Section 280G excise taxes. Instead, payments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subject to a “best-of-net” provision intended to ensure the most tax-efficient outcome for the NEO without additional cost to us. All benefits are contingent upon the NEO signing a general release of claims in our favor.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Recoupment Policy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October 2023, our board of directors adopted our Policy for the Recovery of Erroneously Awarded Compensation, or the Clawback Policy. The Clawback Policy is administered by our compensation committee and requires us to recover erroneously awarded incentive compensation received by covered employees (current and former executive officers) during the three fiscal years that precede the date we are required to prepare an accounting restatement due to material noncompliance with a financial reporting requirement. Awards under our EIC Plan and 2021 Plan are subject to our Clawback Policy and any additional clawback policy which we may be required to adopt from time to time to comply with the listing standards of any national securities exchange or association on which our securities are listed or as is otherwise required by applicable laws.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Under our insider trading policy, all of our employees, including our executive officers, directors, consultants, contractors and advisors, are prohibited from, directly or indirectly, among other things, (i) engaging in short sales, (ii) trading in publicly-traded options, such as puts and calls, and other derivative securities with respect to our securities (other than stock options, restricted stock units and other compensatory awards issued to such individuals by us), (iii)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(iv) pledging any of our securities as collateral for any loans and</w:t>
      </w:r>
    </w:p>
    <w:p>
      <w:pPr>
        <w:spacing w:after="0" w:line="5" w:lineRule="exact"/>
        <w:rPr>
          <w:sz w:val="20"/>
          <w:szCs w:val="20"/>
          <w:color w:val="auto"/>
        </w:rPr>
      </w:pPr>
    </w:p>
    <w:p>
      <w:pPr>
        <w:ind w:left="120" w:hanging="4"/>
        <w:spacing w:after="0" w:line="260"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 securities in a margin account. In addition, unless an exception is granted, the insider trading policy prohibits our NEOs from purchasing or selling our common stock outside of a valid trading plan adopted under Exchange Act Rule 10b5-1.</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and management consider the financial impact of our compensation program as one of many factors in its design and implementation.</w:t>
      </w:r>
    </w:p>
    <w:p>
      <w:pPr>
        <w:spacing w:after="0" w:line="67" w:lineRule="exact"/>
        <w:rPr>
          <w:sz w:val="20"/>
          <w:szCs w:val="20"/>
          <w:color w:val="auto"/>
        </w:rPr>
      </w:pPr>
    </w:p>
    <w:p>
      <w:pPr>
        <w:ind w:left="1080" w:right="100" w:hanging="424"/>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Deductibility (Section 162(m)): Section 162(m) of the Code generally limits the deductibility of compensation paid to our “covered employees” (including our NEOs) to $1 million per person per year. While the compensation committee considers the tax deductibility of compensation, it maintains the flexibility to approve compensation, including base salaries, cash bonuses and RSU settlements, that may exceed this limit when it believes such payments are necessary to attract and retain executive talent.</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Stock-Based Compensation: We account for our time-based RSUs in accordance with ASC Topic 718. The accounting expense for these awards is based on the fair value of our common stock on the date of grant and is recognized as a compensation expense over the applicable vesting period (typically four or five years).</w:t>
      </w:r>
    </w:p>
    <w:p>
      <w:pPr>
        <w:spacing w:after="0" w:line="81" w:lineRule="exact"/>
        <w:rPr>
          <w:rFonts w:ascii="Times New Roman" w:cs="Times New Roman" w:eastAsia="Times New Roman" w:hAnsi="Times New Roman"/>
          <w:sz w:val="18"/>
          <w:szCs w:val="18"/>
          <w:color w:val="auto"/>
        </w:rPr>
      </w:pPr>
    </w:p>
    <w:p>
      <w:pPr>
        <w:jc w:val="both"/>
        <w:ind w:left="1080" w:right="5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(Section 409A): Our EIC Plan and RSU award agreements are designed to be exempt from or comply with Section 409A to ensure that our executives are not subject to unintended additional taxes or penalties on their earned compensation.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NEOs for the fiscal years ended December 31, 2025,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continue"/>
          </w:tcPr>
          <w:p>
            <w:pPr>
              <w:spacing w:after="0"/>
              <w:rPr>
                <w:sz w:val="12"/>
                <w:szCs w:val="12"/>
                <w:color w:val="auto"/>
              </w:rPr>
            </w:pPr>
          </w:p>
        </w:tc>
        <w:tc>
          <w:tcPr>
            <w:tcW w:w="1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40" w:type="dxa"/>
            <w:vAlign w:val="bottom"/>
            <w:gridSpan w:val="2"/>
            <w:vMerge w:val="continue"/>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0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70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8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80" w:type="dxa"/>
            <w:vAlign w:val="bottom"/>
          </w:tcPr>
          <w:p>
            <w:pPr>
              <w:spacing w:after="0"/>
              <w:rPr>
                <w:sz w:val="13"/>
                <w:szCs w:val="13"/>
                <w:color w:val="auto"/>
              </w:rPr>
            </w:pPr>
          </w:p>
        </w:tc>
        <w:tc>
          <w:tcPr>
            <w:tcW w:w="920" w:type="dxa"/>
            <w:vAlign w:val="bottom"/>
          </w:tcPr>
          <w:p>
            <w:pPr>
              <w:jc w:val="right"/>
              <w:ind w:right="29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gridSpan w:val="2"/>
            <w:shd w:val="clear" w:color="auto" w:fill="CDE8F5"/>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DE8F5"/>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80" w:type="dxa"/>
            <w:vAlign w:val="bottom"/>
            <w:shd w:val="clear" w:color="auto" w:fill="CDE8F5"/>
          </w:tcPr>
          <w:p>
            <w:pPr>
              <w:spacing w:after="0"/>
              <w:rPr>
                <w:sz w:val="21"/>
                <w:szCs w:val="21"/>
                <w:color w:val="auto"/>
              </w:rPr>
            </w:pPr>
          </w:p>
        </w:tc>
        <w:tc>
          <w:tcPr>
            <w:tcW w:w="560" w:type="dxa"/>
            <w:vAlign w:val="bottom"/>
            <w:gridSpan w:val="2"/>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371,315</w:t>
            </w:r>
          </w:p>
        </w:tc>
        <w:tc>
          <w:tcPr>
            <w:tcW w:w="78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169,354</w:t>
            </w:r>
          </w:p>
        </w:tc>
        <w:tc>
          <w:tcPr>
            <w:tcW w:w="100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34,232,000</w:t>
            </w:r>
          </w:p>
        </w:tc>
        <w:tc>
          <w:tcPr>
            <w:tcW w:w="1540" w:type="dxa"/>
            <w:vAlign w:val="bottom"/>
            <w:shd w:val="clear" w:color="auto" w:fill="CDE8F5"/>
          </w:tcPr>
          <w:p>
            <w:pPr>
              <w:jc w:val="right"/>
              <w:ind w:right="356"/>
              <w:spacing w:after="0"/>
              <w:rPr>
                <w:sz w:val="20"/>
                <w:szCs w:val="20"/>
                <w:color w:val="auto"/>
              </w:rPr>
            </w:pPr>
            <w:r>
              <w:rPr>
                <w:rFonts w:ascii="Times New Roman" w:cs="Times New Roman" w:eastAsia="Times New Roman" w:hAnsi="Times New Roman"/>
                <w:sz w:val="18"/>
                <w:szCs w:val="18"/>
                <w:color w:val="auto"/>
              </w:rPr>
              <w:t>846,768</w:t>
            </w:r>
          </w:p>
        </w:tc>
        <w:tc>
          <w:tcPr>
            <w:tcW w:w="80" w:type="dxa"/>
            <w:vAlign w:val="bottom"/>
            <w:shd w:val="clear" w:color="auto" w:fill="CDE8F5"/>
          </w:tcPr>
          <w:p>
            <w:pPr>
              <w:spacing w:after="0"/>
              <w:rPr>
                <w:sz w:val="21"/>
                <w:szCs w:val="21"/>
                <w:color w:val="auto"/>
              </w:rPr>
            </w:pPr>
          </w:p>
        </w:tc>
        <w:tc>
          <w:tcPr>
            <w:tcW w:w="1460" w:type="dxa"/>
            <w:vAlign w:val="bottom"/>
            <w:shd w:val="clear" w:color="auto" w:fill="CDE8F5"/>
          </w:tcPr>
          <w:p>
            <w:pPr>
              <w:jc w:val="right"/>
              <w:ind w:right="376"/>
              <w:spacing w:after="0"/>
              <w:rPr>
                <w:sz w:val="20"/>
                <w:szCs w:val="20"/>
                <w:color w:val="auto"/>
              </w:rPr>
            </w:pPr>
            <w:r>
              <w:rPr>
                <w:rFonts w:ascii="Times New Roman" w:cs="Times New Roman" w:eastAsia="Times New Roman" w:hAnsi="Times New Roman"/>
                <w:sz w:val="18"/>
                <w:szCs w:val="18"/>
                <w:color w:val="auto"/>
              </w:rPr>
              <w:t>10,369</w:t>
            </w:r>
          </w:p>
        </w:tc>
        <w:tc>
          <w:tcPr>
            <w:tcW w:w="80" w:type="dxa"/>
            <w:vAlign w:val="bottom"/>
            <w:shd w:val="clear" w:color="auto" w:fill="CDE8F5"/>
          </w:tcPr>
          <w:p>
            <w:pPr>
              <w:spacing w:after="0"/>
              <w:rPr>
                <w:sz w:val="21"/>
                <w:szCs w:val="21"/>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35,629,806</w:t>
            </w:r>
          </w:p>
        </w:tc>
        <w:tc>
          <w:tcPr>
            <w:tcW w:w="0" w:type="dxa"/>
            <w:vAlign w:val="bottom"/>
          </w:tcPr>
          <w:p>
            <w:pPr>
              <w:spacing w:after="0"/>
              <w:rPr>
                <w:sz w:val="1"/>
                <w:szCs w:val="1"/>
                <w:color w:val="auto"/>
              </w:rPr>
            </w:pPr>
          </w:p>
        </w:tc>
      </w:tr>
      <w:tr>
        <w:trPr>
          <w:trHeight w:val="250"/>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358,551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834,485</w:t>
            </w:r>
          </w:p>
        </w:tc>
        <w:tc>
          <w:tcPr>
            <w:tcW w:w="80" w:type="dxa"/>
            <w:vAlign w:val="bottom"/>
          </w:tcPr>
          <w:p>
            <w:pPr>
              <w:spacing w:after="0"/>
              <w:rPr>
                <w:sz w:val="21"/>
                <w:szCs w:val="21"/>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16,174</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1,209,210</w:t>
            </w:r>
          </w:p>
        </w:tc>
        <w:tc>
          <w:tcPr>
            <w:tcW w:w="0" w:type="dxa"/>
            <w:vAlign w:val="bottom"/>
          </w:tcPr>
          <w:p>
            <w:pPr>
              <w:spacing w:after="0"/>
              <w:rPr>
                <w:sz w:val="1"/>
                <w:szCs w:val="1"/>
                <w:color w:val="auto"/>
              </w:rPr>
            </w:pPr>
          </w:p>
        </w:tc>
      </w:tr>
      <w:tr>
        <w:trPr>
          <w:trHeight w:val="243"/>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757,350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13,838</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1,121,188</w:t>
            </w:r>
          </w:p>
        </w:tc>
        <w:tc>
          <w:tcPr>
            <w:tcW w:w="0" w:type="dxa"/>
            <w:vAlign w:val="bottom"/>
          </w:tcPr>
          <w:p>
            <w:pPr>
              <w:spacing w:after="0"/>
              <w:rPr>
                <w:sz w:val="1"/>
                <w:szCs w:val="1"/>
                <w:color w:val="auto"/>
              </w:rPr>
            </w:pPr>
          </w:p>
        </w:tc>
      </w:tr>
      <w:tr>
        <w:trPr>
          <w:trHeight w:val="61"/>
        </w:trPr>
        <w:tc>
          <w:tcPr>
            <w:tcW w:w="3740" w:type="dxa"/>
            <w:vAlign w:val="bottom"/>
            <w:gridSpan w:val="2"/>
            <w:vMerge w:val="restart"/>
            <w:shd w:val="clear" w:color="auto" w:fill="CDE8F5"/>
          </w:tcPr>
          <w:p>
            <w:pPr>
              <w:spacing w:after="0" w:line="277" w:lineRule="exact"/>
              <w:rPr>
                <w:sz w:val="20"/>
                <w:szCs w:val="20"/>
                <w:color w:val="auto"/>
              </w:rPr>
            </w:pPr>
            <w:r>
              <w:rPr>
                <w:rFonts w:ascii="Times New Roman" w:cs="Times New Roman" w:eastAsia="Times New Roman" w:hAnsi="Times New Roman"/>
                <w:sz w:val="18"/>
                <w:szCs w:val="18"/>
                <w:color w:val="auto"/>
              </w:rPr>
              <w:t>Sanjay Kalra</w:t>
            </w:r>
            <w:r>
              <w:rPr>
                <w:rFonts w:ascii="Times New Roman" w:cs="Times New Roman" w:eastAsia="Times New Roman" w:hAnsi="Times New Roman"/>
                <w:sz w:val="26"/>
                <w:szCs w:val="26"/>
                <w:color w:val="auto"/>
                <w:vertAlign w:val="superscript"/>
              </w:rPr>
              <w:t>(5)</w:t>
            </w:r>
          </w:p>
        </w:tc>
        <w:tc>
          <w:tcPr>
            <w:tcW w:w="640" w:type="dxa"/>
            <w:vAlign w:val="bottom"/>
            <w:gridSpan w:val="3"/>
            <w:vMerge w:val="restart"/>
            <w:shd w:val="clear" w:color="auto" w:fill="CDE8F5"/>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530,450</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125,419</w:t>
            </w:r>
          </w:p>
        </w:tc>
        <w:tc>
          <w:tcPr>
            <w:tcW w:w="100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2,000,021</w:t>
            </w:r>
          </w:p>
        </w:tc>
        <w:tc>
          <w:tcPr>
            <w:tcW w:w="1540" w:type="dxa"/>
            <w:vAlign w:val="bottom"/>
            <w:vMerge w:val="restart"/>
            <w:shd w:val="clear" w:color="auto" w:fill="CDE8F5"/>
          </w:tcPr>
          <w:p>
            <w:pPr>
              <w:jc w:val="right"/>
              <w:ind w:right="356"/>
              <w:spacing w:after="0"/>
              <w:rPr>
                <w:sz w:val="20"/>
                <w:szCs w:val="20"/>
                <w:color w:val="auto"/>
              </w:rPr>
            </w:pPr>
            <w:r>
              <w:rPr>
                <w:rFonts w:ascii="Times New Roman" w:cs="Times New Roman" w:eastAsia="Times New Roman" w:hAnsi="Times New Roman"/>
                <w:sz w:val="18"/>
                <w:szCs w:val="18"/>
                <w:color w:val="auto"/>
              </w:rPr>
              <w:t>627,096</w:t>
            </w:r>
          </w:p>
        </w:tc>
        <w:tc>
          <w:tcPr>
            <w:tcW w:w="80" w:type="dxa"/>
            <w:vAlign w:val="bottom"/>
            <w:shd w:val="clear" w:color="auto" w:fill="CDE8F5"/>
          </w:tcPr>
          <w:p>
            <w:pPr>
              <w:spacing w:after="0"/>
              <w:rPr>
                <w:sz w:val="5"/>
                <w:szCs w:val="5"/>
                <w:color w:val="auto"/>
              </w:rPr>
            </w:pPr>
          </w:p>
        </w:tc>
        <w:tc>
          <w:tcPr>
            <w:tcW w:w="1460" w:type="dxa"/>
            <w:vAlign w:val="bottom"/>
            <w:vMerge w:val="restart"/>
            <w:shd w:val="clear" w:color="auto" w:fill="CDE8F5"/>
          </w:tcPr>
          <w:p>
            <w:pPr>
              <w:jc w:val="right"/>
              <w:ind w:right="376"/>
              <w:spacing w:after="0"/>
              <w:rPr>
                <w:sz w:val="20"/>
                <w:szCs w:val="20"/>
                <w:color w:val="auto"/>
              </w:rPr>
            </w:pPr>
            <w:r>
              <w:rPr>
                <w:rFonts w:ascii="Times New Roman" w:cs="Times New Roman" w:eastAsia="Times New Roman" w:hAnsi="Times New Roman"/>
                <w:sz w:val="18"/>
                <w:szCs w:val="18"/>
                <w:color w:val="auto"/>
              </w:rPr>
              <w:t>13,399</w:t>
            </w:r>
          </w:p>
        </w:tc>
        <w:tc>
          <w:tcPr>
            <w:tcW w:w="80" w:type="dxa"/>
            <w:vAlign w:val="bottom"/>
            <w:shd w:val="clear" w:color="auto" w:fill="CDE8F5"/>
          </w:tcPr>
          <w:p>
            <w:pPr>
              <w:spacing w:after="0"/>
              <w:rPr>
                <w:sz w:val="5"/>
                <w:szCs w:val="5"/>
                <w:color w:val="auto"/>
              </w:rPr>
            </w:pPr>
          </w:p>
        </w:tc>
        <w:tc>
          <w:tcPr>
            <w:tcW w:w="920" w:type="dxa"/>
            <w:vAlign w:val="bottom"/>
            <w:shd w:val="clear" w:color="auto" w:fill="CDE8F5"/>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shd w:val="clear" w:color="auto" w:fill="CDE8F5"/>
          </w:tcPr>
          <w:p>
            <w:pPr>
              <w:spacing w:after="0"/>
              <w:rPr>
                <w:sz w:val="18"/>
                <w:szCs w:val="18"/>
                <w:color w:val="auto"/>
              </w:rPr>
            </w:pPr>
          </w:p>
        </w:tc>
        <w:tc>
          <w:tcPr>
            <w:tcW w:w="640" w:type="dxa"/>
            <w:vAlign w:val="bottom"/>
            <w:gridSpan w:val="3"/>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1000" w:type="dxa"/>
            <w:vAlign w:val="bottom"/>
            <w:gridSpan w:val="2"/>
            <w:vMerge w:val="continue"/>
            <w:shd w:val="clear" w:color="auto" w:fill="CDE8F5"/>
          </w:tcPr>
          <w:p>
            <w:pPr>
              <w:spacing w:after="0"/>
              <w:rPr>
                <w:sz w:val="18"/>
                <w:szCs w:val="18"/>
                <w:color w:val="auto"/>
              </w:rPr>
            </w:pPr>
          </w:p>
        </w:tc>
        <w:tc>
          <w:tcPr>
            <w:tcW w:w="154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146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3,296,385</w:t>
            </w:r>
          </w:p>
        </w:tc>
        <w:tc>
          <w:tcPr>
            <w:tcW w:w="0" w:type="dxa"/>
            <w:vAlign w:val="bottom"/>
          </w:tcPr>
          <w:p>
            <w:pPr>
              <w:spacing w:after="0"/>
              <w:rPr>
                <w:sz w:val="1"/>
                <w:szCs w:val="1"/>
                <w:color w:val="auto"/>
              </w:rPr>
            </w:pPr>
          </w:p>
        </w:tc>
      </w:tr>
      <w:tr>
        <w:trPr>
          <w:trHeight w:val="250"/>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512,216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2,000,011</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618,000</w:t>
            </w:r>
          </w:p>
        </w:tc>
        <w:tc>
          <w:tcPr>
            <w:tcW w:w="80" w:type="dxa"/>
            <w:vAlign w:val="bottom"/>
          </w:tcPr>
          <w:p>
            <w:pPr>
              <w:spacing w:after="0"/>
              <w:rPr>
                <w:sz w:val="21"/>
                <w:szCs w:val="21"/>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10,077</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3,140,304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399,446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4,000,005</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467,500</w:t>
            </w:r>
          </w:p>
        </w:tc>
        <w:tc>
          <w:tcPr>
            <w:tcW w:w="80" w:type="dxa"/>
            <w:vAlign w:val="bottom"/>
          </w:tcPr>
          <w:p>
            <w:pPr>
              <w:spacing w:after="0"/>
              <w:rPr>
                <w:sz w:val="21"/>
                <w:szCs w:val="21"/>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4,867,497</w:t>
            </w:r>
          </w:p>
        </w:tc>
        <w:tc>
          <w:tcPr>
            <w:tcW w:w="0" w:type="dxa"/>
            <w:vAlign w:val="bottom"/>
          </w:tcPr>
          <w:p>
            <w:pPr>
              <w:spacing w:after="0"/>
              <w:rPr>
                <w:sz w:val="1"/>
                <w:szCs w:val="1"/>
                <w:color w:val="auto"/>
              </w:rPr>
            </w:pPr>
          </w:p>
        </w:tc>
      </w:tr>
      <w:tr>
        <w:trPr>
          <w:trHeight w:val="61"/>
        </w:trPr>
        <w:tc>
          <w:tcPr>
            <w:tcW w:w="3740" w:type="dxa"/>
            <w:vAlign w:val="bottom"/>
            <w:gridSpan w:val="2"/>
            <w:vMerge w:val="restart"/>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640" w:type="dxa"/>
            <w:vAlign w:val="bottom"/>
            <w:gridSpan w:val="3"/>
            <w:vMerge w:val="restart"/>
            <w:shd w:val="clear" w:color="auto" w:fill="CDE8F5"/>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445,578</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105,352</w:t>
            </w:r>
          </w:p>
        </w:tc>
        <w:tc>
          <w:tcPr>
            <w:tcW w:w="100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2,000,021</w:t>
            </w:r>
          </w:p>
        </w:tc>
        <w:tc>
          <w:tcPr>
            <w:tcW w:w="1540" w:type="dxa"/>
            <w:vAlign w:val="bottom"/>
            <w:vMerge w:val="restart"/>
            <w:shd w:val="clear" w:color="auto" w:fill="CDE8F5"/>
          </w:tcPr>
          <w:p>
            <w:pPr>
              <w:jc w:val="right"/>
              <w:ind w:right="356"/>
              <w:spacing w:after="0"/>
              <w:rPr>
                <w:sz w:val="20"/>
                <w:szCs w:val="20"/>
                <w:color w:val="auto"/>
              </w:rPr>
            </w:pPr>
            <w:r>
              <w:rPr>
                <w:rFonts w:ascii="Times New Roman" w:cs="Times New Roman" w:eastAsia="Times New Roman" w:hAnsi="Times New Roman"/>
                <w:sz w:val="18"/>
                <w:szCs w:val="18"/>
                <w:color w:val="auto"/>
              </w:rPr>
              <w:t>526,760</w:t>
            </w:r>
          </w:p>
        </w:tc>
        <w:tc>
          <w:tcPr>
            <w:tcW w:w="80" w:type="dxa"/>
            <w:vAlign w:val="bottom"/>
            <w:shd w:val="clear" w:color="auto" w:fill="CDE8F5"/>
          </w:tcPr>
          <w:p>
            <w:pPr>
              <w:spacing w:after="0"/>
              <w:rPr>
                <w:sz w:val="5"/>
                <w:szCs w:val="5"/>
                <w:color w:val="auto"/>
              </w:rPr>
            </w:pPr>
          </w:p>
        </w:tc>
        <w:tc>
          <w:tcPr>
            <w:tcW w:w="1460" w:type="dxa"/>
            <w:vAlign w:val="bottom"/>
            <w:vMerge w:val="restart"/>
            <w:shd w:val="clear" w:color="auto" w:fill="CDE8F5"/>
          </w:tcPr>
          <w:p>
            <w:pPr>
              <w:jc w:val="right"/>
              <w:ind w:right="376"/>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DE8F5"/>
          </w:tcPr>
          <w:p>
            <w:pPr>
              <w:spacing w:after="0"/>
              <w:rPr>
                <w:sz w:val="5"/>
                <w:szCs w:val="5"/>
                <w:color w:val="auto"/>
              </w:rPr>
            </w:pPr>
          </w:p>
        </w:tc>
        <w:tc>
          <w:tcPr>
            <w:tcW w:w="920" w:type="dxa"/>
            <w:vAlign w:val="bottom"/>
            <w:shd w:val="clear" w:color="auto" w:fill="CDE8F5"/>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shd w:val="clear" w:color="auto" w:fill="CDE8F5"/>
          </w:tcPr>
          <w:p>
            <w:pPr>
              <w:spacing w:after="0"/>
              <w:rPr>
                <w:sz w:val="18"/>
                <w:szCs w:val="18"/>
                <w:color w:val="auto"/>
              </w:rPr>
            </w:pPr>
          </w:p>
        </w:tc>
        <w:tc>
          <w:tcPr>
            <w:tcW w:w="640" w:type="dxa"/>
            <w:vAlign w:val="bottom"/>
            <w:gridSpan w:val="3"/>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1000" w:type="dxa"/>
            <w:vAlign w:val="bottom"/>
            <w:gridSpan w:val="2"/>
            <w:vMerge w:val="continue"/>
            <w:shd w:val="clear" w:color="auto" w:fill="CDE8F5"/>
          </w:tcPr>
          <w:p>
            <w:pPr>
              <w:spacing w:after="0"/>
              <w:rPr>
                <w:sz w:val="18"/>
                <w:szCs w:val="18"/>
                <w:color w:val="auto"/>
              </w:rPr>
            </w:pPr>
          </w:p>
        </w:tc>
        <w:tc>
          <w:tcPr>
            <w:tcW w:w="154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146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3,078,124</w:t>
            </w:r>
          </w:p>
        </w:tc>
        <w:tc>
          <w:tcPr>
            <w:tcW w:w="0" w:type="dxa"/>
            <w:vAlign w:val="bottom"/>
          </w:tcPr>
          <w:p>
            <w:pPr>
              <w:spacing w:after="0"/>
              <w:rPr>
                <w:sz w:val="1"/>
                <w:szCs w:val="1"/>
                <w:color w:val="auto"/>
              </w:rPr>
            </w:pPr>
          </w:p>
        </w:tc>
      </w:tr>
      <w:tr>
        <w:trPr>
          <w:trHeight w:val="252"/>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430,261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108,150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2,000,011</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324,450</w:t>
            </w:r>
          </w:p>
        </w:tc>
        <w:tc>
          <w:tcPr>
            <w:tcW w:w="80" w:type="dxa"/>
            <w:vAlign w:val="bottom"/>
          </w:tcPr>
          <w:p>
            <w:pPr>
              <w:spacing w:after="0"/>
              <w:rPr>
                <w:sz w:val="21"/>
                <w:szCs w:val="21"/>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2,864,852</w:t>
            </w:r>
          </w:p>
        </w:tc>
        <w:tc>
          <w:tcPr>
            <w:tcW w:w="0" w:type="dxa"/>
            <w:vAlign w:val="bottom"/>
          </w:tcPr>
          <w:p>
            <w:pPr>
              <w:spacing w:after="0"/>
              <w:rPr>
                <w:sz w:val="1"/>
                <w:szCs w:val="1"/>
                <w:color w:val="auto"/>
              </w:rPr>
            </w:pPr>
          </w:p>
        </w:tc>
      </w:tr>
      <w:tr>
        <w:trPr>
          <w:trHeight w:val="241"/>
        </w:trPr>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416,591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294,563</w:t>
            </w:r>
          </w:p>
        </w:tc>
        <w:tc>
          <w:tcPr>
            <w:tcW w:w="80" w:type="dxa"/>
            <w:vAlign w:val="bottom"/>
          </w:tcPr>
          <w:p>
            <w:pPr>
              <w:spacing w:after="0"/>
              <w:rPr>
                <w:sz w:val="20"/>
                <w:szCs w:val="20"/>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712,444</w:t>
            </w:r>
          </w:p>
        </w:tc>
        <w:tc>
          <w:tcPr>
            <w:tcW w:w="0" w:type="dxa"/>
            <w:vAlign w:val="bottom"/>
          </w:tcPr>
          <w:p>
            <w:pPr>
              <w:spacing w:after="0"/>
              <w:rPr>
                <w:sz w:val="1"/>
                <w:szCs w:val="1"/>
                <w:color w:val="auto"/>
              </w:rPr>
            </w:pPr>
          </w:p>
        </w:tc>
      </w:tr>
      <w:tr>
        <w:trPr>
          <w:trHeight w:val="61"/>
        </w:trPr>
        <w:tc>
          <w:tcPr>
            <w:tcW w:w="3740" w:type="dxa"/>
            <w:vAlign w:val="bottom"/>
            <w:gridSpan w:val="2"/>
            <w:vMerge w:val="restart"/>
            <w:shd w:val="clear" w:color="auto" w:fill="CDE8F5"/>
          </w:tcPr>
          <w:p>
            <w:pPr>
              <w:spacing w:after="0" w:line="277" w:lineRule="exact"/>
              <w:rPr>
                <w:sz w:val="20"/>
                <w:szCs w:val="20"/>
                <w:color w:val="auto"/>
              </w:rPr>
            </w:pPr>
            <w:r>
              <w:rPr>
                <w:rFonts w:ascii="Times New Roman" w:cs="Times New Roman" w:eastAsia="Times New Roman" w:hAnsi="Times New Roman"/>
                <w:sz w:val="18"/>
                <w:szCs w:val="18"/>
                <w:color w:val="auto"/>
              </w:rPr>
              <w:t>Andrew Gerber</w:t>
            </w:r>
            <w:r>
              <w:rPr>
                <w:rFonts w:ascii="Times New Roman" w:cs="Times New Roman" w:eastAsia="Times New Roman" w:hAnsi="Times New Roman"/>
                <w:sz w:val="26"/>
                <w:szCs w:val="26"/>
                <w:color w:val="auto"/>
                <w:vertAlign w:val="superscript"/>
              </w:rPr>
              <w:t>(6)</w:t>
            </w:r>
          </w:p>
        </w:tc>
        <w:tc>
          <w:tcPr>
            <w:tcW w:w="640" w:type="dxa"/>
            <w:vAlign w:val="bottom"/>
            <w:gridSpan w:val="3"/>
            <w:vMerge w:val="restart"/>
            <w:shd w:val="clear" w:color="auto" w:fill="CDE8F5"/>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362,033</w:t>
            </w:r>
          </w:p>
        </w:tc>
        <w:tc>
          <w:tcPr>
            <w:tcW w:w="78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52,643</w:t>
            </w:r>
          </w:p>
        </w:tc>
        <w:tc>
          <w:tcPr>
            <w:tcW w:w="1000" w:type="dxa"/>
            <w:vAlign w:val="bottom"/>
            <w:gridSpan w:val="2"/>
            <w:vMerge w:val="restart"/>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500,013</w:t>
            </w:r>
          </w:p>
        </w:tc>
        <w:tc>
          <w:tcPr>
            <w:tcW w:w="1540" w:type="dxa"/>
            <w:vAlign w:val="bottom"/>
            <w:vMerge w:val="restart"/>
            <w:shd w:val="clear" w:color="auto" w:fill="CDE8F5"/>
          </w:tcPr>
          <w:p>
            <w:pPr>
              <w:jc w:val="right"/>
              <w:ind w:right="356"/>
              <w:spacing w:after="0"/>
              <w:rPr>
                <w:sz w:val="20"/>
                <w:szCs w:val="20"/>
                <w:color w:val="auto"/>
              </w:rPr>
            </w:pPr>
            <w:r>
              <w:rPr>
                <w:rFonts w:ascii="Times New Roman" w:cs="Times New Roman" w:eastAsia="Times New Roman" w:hAnsi="Times New Roman"/>
                <w:sz w:val="18"/>
                <w:szCs w:val="18"/>
                <w:color w:val="auto"/>
              </w:rPr>
              <w:t>263,216</w:t>
            </w:r>
          </w:p>
        </w:tc>
        <w:tc>
          <w:tcPr>
            <w:tcW w:w="80" w:type="dxa"/>
            <w:vAlign w:val="bottom"/>
            <w:shd w:val="clear" w:color="auto" w:fill="CDE8F5"/>
          </w:tcPr>
          <w:p>
            <w:pPr>
              <w:spacing w:after="0"/>
              <w:rPr>
                <w:sz w:val="5"/>
                <w:szCs w:val="5"/>
                <w:color w:val="auto"/>
              </w:rPr>
            </w:pPr>
          </w:p>
        </w:tc>
        <w:tc>
          <w:tcPr>
            <w:tcW w:w="1460" w:type="dxa"/>
            <w:vAlign w:val="bottom"/>
            <w:vMerge w:val="restart"/>
            <w:shd w:val="clear" w:color="auto" w:fill="CDE8F5"/>
          </w:tcPr>
          <w:p>
            <w:pPr>
              <w:jc w:val="right"/>
              <w:ind w:right="376"/>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shd w:val="clear" w:color="auto" w:fill="CDE8F5"/>
          </w:tcPr>
          <w:p>
            <w:pPr>
              <w:spacing w:after="0"/>
              <w:rPr>
                <w:sz w:val="5"/>
                <w:szCs w:val="5"/>
                <w:color w:val="auto"/>
              </w:rPr>
            </w:pPr>
          </w:p>
        </w:tc>
        <w:tc>
          <w:tcPr>
            <w:tcW w:w="920" w:type="dxa"/>
            <w:vAlign w:val="bottom"/>
            <w:shd w:val="clear" w:color="auto" w:fill="CDE8F5"/>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shd w:val="clear" w:color="auto" w:fill="CDE8F5"/>
          </w:tcPr>
          <w:p>
            <w:pPr>
              <w:spacing w:after="0"/>
              <w:rPr>
                <w:sz w:val="18"/>
                <w:szCs w:val="18"/>
                <w:color w:val="auto"/>
              </w:rPr>
            </w:pPr>
          </w:p>
        </w:tc>
        <w:tc>
          <w:tcPr>
            <w:tcW w:w="640" w:type="dxa"/>
            <w:vAlign w:val="bottom"/>
            <w:gridSpan w:val="3"/>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780" w:type="dxa"/>
            <w:vAlign w:val="bottom"/>
            <w:gridSpan w:val="2"/>
            <w:vMerge w:val="continue"/>
            <w:shd w:val="clear" w:color="auto" w:fill="CDE8F5"/>
          </w:tcPr>
          <w:p>
            <w:pPr>
              <w:spacing w:after="0"/>
              <w:rPr>
                <w:sz w:val="18"/>
                <w:szCs w:val="18"/>
                <w:color w:val="auto"/>
              </w:rPr>
            </w:pPr>
          </w:p>
        </w:tc>
        <w:tc>
          <w:tcPr>
            <w:tcW w:w="1000" w:type="dxa"/>
            <w:vAlign w:val="bottom"/>
            <w:gridSpan w:val="2"/>
            <w:vMerge w:val="continue"/>
            <w:shd w:val="clear" w:color="auto" w:fill="CDE8F5"/>
          </w:tcPr>
          <w:p>
            <w:pPr>
              <w:spacing w:after="0"/>
              <w:rPr>
                <w:sz w:val="18"/>
                <w:szCs w:val="18"/>
                <w:color w:val="auto"/>
              </w:rPr>
            </w:pPr>
          </w:p>
        </w:tc>
        <w:tc>
          <w:tcPr>
            <w:tcW w:w="154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1460" w:type="dxa"/>
            <w:vAlign w:val="bottom"/>
            <w:vMerge w:val="continue"/>
            <w:shd w:val="clear" w:color="auto" w:fill="CDE8F5"/>
          </w:tcPr>
          <w:p>
            <w:pPr>
              <w:spacing w:after="0"/>
              <w:rPr>
                <w:sz w:val="18"/>
                <w:szCs w:val="18"/>
                <w:color w:val="auto"/>
              </w:rPr>
            </w:pPr>
          </w:p>
        </w:tc>
        <w:tc>
          <w:tcPr>
            <w:tcW w:w="80" w:type="dxa"/>
            <w:vAlign w:val="bottom"/>
            <w:shd w:val="clear" w:color="auto" w:fill="CDE8F5"/>
          </w:tcPr>
          <w:p>
            <w:pPr>
              <w:spacing w:after="0"/>
              <w:rPr>
                <w:sz w:val="18"/>
                <w:szCs w:val="18"/>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1,188,246</w:t>
            </w:r>
          </w:p>
        </w:tc>
        <w:tc>
          <w:tcPr>
            <w:tcW w:w="0" w:type="dxa"/>
            <w:vAlign w:val="bottom"/>
          </w:tcPr>
          <w:p>
            <w:pPr>
              <w:spacing w:after="0"/>
              <w:rPr>
                <w:sz w:val="1"/>
                <w:szCs w:val="1"/>
                <w:color w:val="auto"/>
              </w:rPr>
            </w:pPr>
          </w:p>
        </w:tc>
      </w:tr>
      <w:tr>
        <w:trPr>
          <w:trHeight w:val="252"/>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Former General Counsel and Secretary</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349,588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600,005</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259,398</w:t>
            </w:r>
          </w:p>
        </w:tc>
        <w:tc>
          <w:tcPr>
            <w:tcW w:w="80" w:type="dxa"/>
            <w:vAlign w:val="bottom"/>
          </w:tcPr>
          <w:p>
            <w:pPr>
              <w:spacing w:after="0"/>
              <w:rPr>
                <w:sz w:val="21"/>
                <w:szCs w:val="21"/>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10,030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1,219,021</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338,480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559,500</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235,651</w:t>
            </w:r>
          </w:p>
        </w:tc>
        <w:tc>
          <w:tcPr>
            <w:tcW w:w="80" w:type="dxa"/>
            <w:vAlign w:val="bottom"/>
          </w:tcPr>
          <w:p>
            <w:pPr>
              <w:spacing w:after="0"/>
              <w:rPr>
                <w:sz w:val="20"/>
                <w:szCs w:val="20"/>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9,752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earned in 2023 were paid in 2024, amounts earned in 2024 were paid in 2025 and amounts earned in 2025 were paid in 2026. For 2025 bonus payments, see the section titled “Executive Compensation—Compensation Discussion and Analysis—Elements of Executive Compensation —Annual Cash Incentives—2025 Discretionary Bonuses.”</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SEC rules, the amounts represent the aggregate grant date fair value of restricted stock units granted during 2023, 2024 and 2025 computed in accordance with ASC Topic 718, rather than the amounts paid or realized by the NEO. We provide information regarding the assumptions used to calculate the value of all restricted stock units granted to our NEOs in </w:t>
      </w:r>
      <w:r>
        <w:rPr>
          <w:rFonts w:ascii="Times New Roman" w:cs="Times New Roman" w:eastAsia="Times New Roman" w:hAnsi="Times New Roman"/>
          <w:sz w:val="18"/>
          <w:szCs w:val="18"/>
          <w:i w:val="1"/>
          <w:iCs w:val="1"/>
          <w:color w:val="auto"/>
        </w:rPr>
        <w:t>Note 11—Stock-Based Compensation</w:t>
      </w:r>
      <w:r>
        <w:rPr>
          <w:rFonts w:ascii="Times New Roman" w:cs="Times New Roman" w:eastAsia="Times New Roman" w:hAnsi="Times New Roman"/>
          <w:sz w:val="18"/>
          <w:szCs w:val="18"/>
          <w:color w:val="auto"/>
        </w:rPr>
        <w:t xml:space="preserve"> to our consolidated financial statements included in our Annual Report on Form 10-K for the year ended December 31, 2025 filed with the SEC on February 24, 2026.</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bonuses earned and payable pursuant to the 2025 Program upon the achievement of corporate objectives. Amounts earned in 2023 were paid in 2024, amounts earned in 2024 were paid in 2025 and amounts earned in 2025 were paid in 2026. See the section titled “Executive Compensation—Compensation Discussion and Analysis—Elements of Executive Compensation—Annual Cash Incentives—2025 Executive Incentive Compensation Plan.”</w:t>
      </w:r>
    </w:p>
    <w:p>
      <w:pPr>
        <w:spacing w:after="0" w:line="1"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2025 include the value of 401(k) matching contributions ($9,079, $12,709 and $9,051 for Messrs. Sharma, Kalra and Gerber, respectively) and group term life insurance premiums paid by us ($1,290, $690, $413 and $1,290 for Messrs. Sharma, Kalra, Portocalis and Gerber, respectively).</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Kalra joined us on March 6,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Gerber served as our General Counsel and Secretary until April 6, 2026.</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During 2025</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Possible Payouts Under Non-Equity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0"/>
                <w:szCs w:val="10"/>
                <w:b w:val="1"/>
                <w:bCs w:val="1"/>
                <w:color w:val="auto"/>
              </w:rPr>
              <w:t>(1)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Awards: 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17"/>
        </w:trPr>
        <w:tc>
          <w:tcPr>
            <w:tcW w:w="424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Threshold ($)</w:t>
            </w:r>
            <w:r>
              <w:rPr>
                <w:rFonts w:ascii="Times New Roman" w:cs="Times New Roman" w:eastAsia="Times New Roman" w:hAnsi="Times New Roman"/>
                <w:sz w:val="10"/>
                <w:szCs w:val="10"/>
                <w:b w:val="1"/>
                <w:bCs w:val="1"/>
                <w:color w:val="auto"/>
              </w:rPr>
              <w:t>(2)</w:t>
            </w: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0" w:type="dxa"/>
            <w:vAlign w:val="bottom"/>
          </w:tcPr>
          <w:p>
            <w:pPr>
              <w:spacing w:after="0"/>
              <w:rPr>
                <w:sz w:val="10"/>
                <w:szCs w:val="10"/>
                <w:color w:val="auto"/>
              </w:rPr>
            </w:pPr>
          </w:p>
        </w:tc>
        <w:tc>
          <w:tcPr>
            <w:tcW w:w="13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Shares of Stock or</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7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2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12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Unit (#) </w:t>
            </w:r>
            <w:r>
              <w:rPr>
                <w:rFonts w:ascii="Times New Roman" w:cs="Times New Roman" w:eastAsia="Times New Roman" w:hAnsi="Times New Roman"/>
                <w:sz w:val="10"/>
                <w:szCs w:val="10"/>
                <w:b w:val="1"/>
                <w:bCs w:val="1"/>
                <w:color w:val="auto"/>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250"/>
        </w:trPr>
        <w:tc>
          <w:tcPr>
            <w:tcW w:w="4240" w:type="dxa"/>
            <w:vAlign w:val="bottom"/>
            <w:tcBorders>
              <w:top w:val="single" w:sz="8" w:color="auto"/>
            </w:tcBorders>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120" w:type="dxa"/>
            <w:vAlign w:val="bottom"/>
            <w:tcBorders>
              <w:top w:val="single" w:sz="8" w:color="CDE8F5"/>
            </w:tcBorders>
            <w:shd w:val="clear" w:color="auto" w:fill="CDE8F5"/>
          </w:tcPr>
          <w:p>
            <w:pPr>
              <w:spacing w:after="0"/>
              <w:rPr>
                <w:sz w:val="21"/>
                <w:szCs w:val="21"/>
                <w:color w:val="auto"/>
              </w:rPr>
            </w:pPr>
          </w:p>
        </w:tc>
        <w:tc>
          <w:tcPr>
            <w:tcW w:w="84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158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70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70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124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1000" w:type="dxa"/>
            <w:vAlign w:val="bottom"/>
            <w:tcBorders>
              <w:top w:val="single" w:sz="8" w:color="auto"/>
            </w:tcBorders>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Incentive</w:t>
            </w:r>
          </w:p>
        </w:tc>
        <w:tc>
          <w:tcPr>
            <w:tcW w:w="1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286,507</w:t>
            </w:r>
          </w:p>
        </w:tc>
        <w:tc>
          <w:tcPr>
            <w:tcW w:w="1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716,267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859,520</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7/2/2025</w:t>
            </w: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34,232,000</w:t>
            </w:r>
          </w:p>
        </w:tc>
        <w:tc>
          <w:tcPr>
            <w:tcW w:w="0" w:type="dxa"/>
            <w:vAlign w:val="bottom"/>
          </w:tcPr>
          <w:p>
            <w:pPr>
              <w:spacing w:after="0"/>
              <w:rPr>
                <w:sz w:val="1"/>
                <w:szCs w:val="1"/>
                <w:color w:val="auto"/>
              </w:rPr>
            </w:pPr>
          </w:p>
        </w:tc>
      </w:tr>
      <w:tr>
        <w:trPr>
          <w:trHeight w:val="270"/>
        </w:trPr>
        <w:tc>
          <w:tcPr>
            <w:tcW w:w="424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20" w:type="dxa"/>
            <w:vAlign w:val="bottom"/>
            <w:shd w:val="clear" w:color="auto" w:fill="CDE8F5"/>
          </w:tcPr>
          <w:p>
            <w:pPr>
              <w:spacing w:after="0"/>
              <w:rPr>
                <w:sz w:val="23"/>
                <w:szCs w:val="23"/>
                <w:color w:val="auto"/>
              </w:rPr>
            </w:pPr>
          </w:p>
        </w:tc>
        <w:tc>
          <w:tcPr>
            <w:tcW w:w="8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58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2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0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Incentive</w:t>
            </w:r>
          </w:p>
        </w:tc>
        <w:tc>
          <w:tcPr>
            <w:tcW w:w="1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212,180</w:t>
            </w:r>
          </w:p>
        </w:tc>
        <w:tc>
          <w:tcPr>
            <w:tcW w:w="1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530,450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636,540</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3/13/2025</w:t>
            </w: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2,000,021</w:t>
            </w:r>
          </w:p>
        </w:tc>
        <w:tc>
          <w:tcPr>
            <w:tcW w:w="0" w:type="dxa"/>
            <w:vAlign w:val="bottom"/>
          </w:tcPr>
          <w:p>
            <w:pPr>
              <w:spacing w:after="0"/>
              <w:rPr>
                <w:sz w:val="1"/>
                <w:szCs w:val="1"/>
                <w:color w:val="auto"/>
              </w:rPr>
            </w:pPr>
          </w:p>
        </w:tc>
      </w:tr>
      <w:tr>
        <w:trPr>
          <w:trHeight w:val="270"/>
        </w:trPr>
        <w:tc>
          <w:tcPr>
            <w:tcW w:w="424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20" w:type="dxa"/>
            <w:vAlign w:val="bottom"/>
            <w:shd w:val="clear" w:color="auto" w:fill="CDE8F5"/>
          </w:tcPr>
          <w:p>
            <w:pPr>
              <w:spacing w:after="0"/>
              <w:rPr>
                <w:sz w:val="23"/>
                <w:szCs w:val="23"/>
                <w:color w:val="auto"/>
              </w:rPr>
            </w:pPr>
          </w:p>
        </w:tc>
        <w:tc>
          <w:tcPr>
            <w:tcW w:w="8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58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2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0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Incentive</w:t>
            </w:r>
          </w:p>
        </w:tc>
        <w:tc>
          <w:tcPr>
            <w:tcW w:w="1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178,231</w:t>
            </w:r>
          </w:p>
        </w:tc>
        <w:tc>
          <w:tcPr>
            <w:tcW w:w="1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445,578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534,694</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3/13/2025</w:t>
            </w: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2,000,021</w:t>
            </w:r>
          </w:p>
        </w:tc>
        <w:tc>
          <w:tcPr>
            <w:tcW w:w="0" w:type="dxa"/>
            <w:vAlign w:val="bottom"/>
          </w:tcPr>
          <w:p>
            <w:pPr>
              <w:spacing w:after="0"/>
              <w:rPr>
                <w:sz w:val="1"/>
                <w:szCs w:val="1"/>
                <w:color w:val="auto"/>
              </w:rPr>
            </w:pPr>
          </w:p>
        </w:tc>
      </w:tr>
      <w:tr>
        <w:trPr>
          <w:trHeight w:val="270"/>
        </w:trPr>
        <w:tc>
          <w:tcPr>
            <w:tcW w:w="424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20" w:type="dxa"/>
            <w:vAlign w:val="bottom"/>
            <w:shd w:val="clear" w:color="auto" w:fill="CDE8F5"/>
          </w:tcPr>
          <w:p>
            <w:pPr>
              <w:spacing w:after="0"/>
              <w:rPr>
                <w:sz w:val="23"/>
                <w:szCs w:val="23"/>
                <w:color w:val="auto"/>
              </w:rPr>
            </w:pPr>
          </w:p>
        </w:tc>
        <w:tc>
          <w:tcPr>
            <w:tcW w:w="8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58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70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2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0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Incentive</w:t>
            </w:r>
          </w:p>
        </w:tc>
        <w:tc>
          <w:tcPr>
            <w:tcW w:w="1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89,060</w:t>
            </w:r>
          </w:p>
        </w:tc>
        <w:tc>
          <w:tcPr>
            <w:tcW w:w="1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222,650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267,180</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3/13/2025</w:t>
            </w: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300" w:hanging="424"/>
        <w:spacing w:after="0" w:line="257"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“Estimated Future Payouts Under Non-Equity Incentive Plan Awards” columns related to cash incentive compensation opportunities under our 2025 Program, as described in the section titled “Executive Compensation—Compensation Discussion and Analysis— Elements of Executive Compensation—Annual Cash Incentives—2025 Executive Incentive Compensation Plan.”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amounts in this column assume (i) we reached threshold achievement (50%) on each of the financial components and (ii) individual performance received a payout of 0%.</w:t>
      </w:r>
    </w:p>
    <w:p>
      <w:pPr>
        <w:ind w:left="540" w:right="50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amounts in this column assume (i) we reached target achievement (100%) on each of the financial components and (ii) individual performance received a payout of 100%.</w:t>
      </w:r>
    </w:p>
    <w:p>
      <w:pPr>
        <w:ind w:left="540" w:right="2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amounts in this column assume (i) we reached maximum achievement (110%) plus 10% (totaling 120%) on each of the financial components and (ii) individual performance received a payout of 120%.</w:t>
      </w:r>
    </w:p>
    <w:p>
      <w:pPr>
        <w:ind w:left="540" w:right="100" w:hanging="424"/>
        <w:spacing w:after="0" w:line="265" w:lineRule="auto"/>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the “All Other Stock Awards: Number of Shares of Stock or Unit” column represent time-based restricted stock units. See the section titled “Executive Compensation—Compensation Discussion and Analysis—Elements of Executive Compensation—Long-Term Incentives.”</w:t>
      </w:r>
    </w:p>
    <w:p>
      <w:pPr>
        <w:ind w:left="540" w:right="220" w:hanging="424"/>
        <w:spacing w:after="0" w:line="26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aggregate grant date fair value of restricted stock units granted during 2025 computed in accordance with ASC Topic 718.</w:t>
      </w:r>
    </w:p>
    <w:p>
      <w:pPr>
        <w:spacing w:after="0" w:line="18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did not grant any performance-based equity awards or stock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6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9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4640" w:type="dxa"/>
            <w:vAlign w:val="bottom"/>
            <w:gridSpan w:val="2"/>
            <w:shd w:val="clear" w:color="auto" w:fill="CDE8F5"/>
          </w:tcPr>
          <w:p>
            <w:pPr>
              <w:spacing w:after="0" w:line="20" w:lineRule="exact"/>
              <w:rPr>
                <w:sz w:val="1"/>
                <w:szCs w:val="1"/>
                <w:color w:val="auto"/>
              </w:rPr>
            </w:pPr>
          </w:p>
        </w:tc>
        <w:tc>
          <w:tcPr>
            <w:tcW w:w="160" w:type="dxa"/>
            <w:vAlign w:val="bottom"/>
            <w:shd w:val="clear" w:color="auto" w:fill="CDE8F5"/>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DE8F5"/>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DE8F5"/>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DE8F5"/>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DE8F5"/>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160" w:type="dxa"/>
            <w:vAlign w:val="bottom"/>
            <w:shd w:val="clear" w:color="auto" w:fill="CDE8F5"/>
          </w:tcPr>
          <w:p>
            <w:pPr>
              <w:spacing w:after="0"/>
              <w:rPr>
                <w:sz w:val="21"/>
                <w:szCs w:val="21"/>
                <w:color w:val="auto"/>
              </w:rPr>
            </w:pPr>
          </w:p>
        </w:tc>
        <w:tc>
          <w:tcPr>
            <w:tcW w:w="1060" w:type="dxa"/>
            <w:vAlign w:val="bottom"/>
            <w:shd w:val="clear" w:color="auto" w:fill="CDE8F5"/>
          </w:tcPr>
          <w:p>
            <w:pPr>
              <w:jc w:val="right"/>
              <w:spacing w:after="0" w:line="243" w:lineRule="exact"/>
              <w:rPr>
                <w:sz w:val="20"/>
                <w:szCs w:val="20"/>
                <w:color w:val="auto"/>
              </w:rPr>
            </w:pPr>
            <w:r>
              <w:rPr>
                <w:rFonts w:ascii="Times New Roman" w:cs="Times New Roman" w:eastAsia="Times New Roman" w:hAnsi="Times New Roman"/>
                <w:sz w:val="18"/>
                <w:szCs w:val="18"/>
                <w:color w:val="auto"/>
              </w:rPr>
              <w:t>3,304,870</w:t>
            </w:r>
            <w:r>
              <w:rPr>
                <w:rFonts w:ascii="Times New Roman" w:cs="Times New Roman" w:eastAsia="Times New Roman" w:hAnsi="Times New Roman"/>
                <w:sz w:val="26"/>
                <w:szCs w:val="26"/>
                <w:color w:val="auto"/>
                <w:vertAlign w:val="superscript"/>
              </w:rPr>
              <w:t>(2)</w:t>
            </w:r>
          </w:p>
        </w:tc>
        <w:tc>
          <w:tcPr>
            <w:tcW w:w="120" w:type="dxa"/>
            <w:vAlign w:val="bottom"/>
            <w:shd w:val="clear" w:color="auto" w:fill="CDE8F5"/>
          </w:tcPr>
          <w:p>
            <w:pPr>
              <w:spacing w:after="0"/>
              <w:rPr>
                <w:sz w:val="21"/>
                <w:szCs w:val="21"/>
                <w:color w:val="auto"/>
              </w:rPr>
            </w:pPr>
          </w:p>
        </w:tc>
        <w:tc>
          <w:tcPr>
            <w:tcW w:w="1200" w:type="dxa"/>
            <w:vAlign w:val="bottom"/>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DE8F5"/>
          </w:tcPr>
          <w:p>
            <w:pPr>
              <w:spacing w:after="0"/>
              <w:rPr>
                <w:sz w:val="21"/>
                <w:szCs w:val="21"/>
                <w:color w:val="auto"/>
              </w:rPr>
            </w:pPr>
          </w:p>
        </w:tc>
        <w:tc>
          <w:tcPr>
            <w:tcW w:w="680" w:type="dxa"/>
            <w:vAlign w:val="bottom"/>
            <w:gridSpan w:val="2"/>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w w:val="95"/>
              </w:rPr>
              <w:t>8.66</w:t>
            </w:r>
          </w:p>
        </w:tc>
        <w:tc>
          <w:tcPr>
            <w:tcW w:w="102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4/8/2029</w:t>
            </w:r>
          </w:p>
        </w:tc>
        <w:tc>
          <w:tcPr>
            <w:tcW w:w="920" w:type="dxa"/>
            <w:vAlign w:val="bottom"/>
            <w:shd w:val="clear" w:color="auto" w:fill="CDE8F5"/>
          </w:tcPr>
          <w:p>
            <w:pPr>
              <w:jc w:val="right"/>
              <w:spacing w:after="0" w:line="243" w:lineRule="exact"/>
              <w:rPr>
                <w:sz w:val="20"/>
                <w:szCs w:val="20"/>
                <w:color w:val="auto"/>
              </w:rPr>
            </w:pPr>
            <w:r>
              <w:rPr>
                <w:rFonts w:ascii="Times New Roman" w:cs="Times New Roman" w:eastAsia="Times New Roman" w:hAnsi="Times New Roman"/>
                <w:sz w:val="18"/>
                <w:szCs w:val="18"/>
                <w:color w:val="auto"/>
              </w:rPr>
              <w:t>962,500</w:t>
            </w:r>
            <w:r>
              <w:rPr>
                <w:rFonts w:ascii="Times New Roman" w:cs="Times New Roman" w:eastAsia="Times New Roman" w:hAnsi="Times New Roman"/>
                <w:sz w:val="26"/>
                <w:szCs w:val="26"/>
                <w:color w:val="auto"/>
                <w:vertAlign w:val="superscript"/>
              </w:rPr>
              <w:t>(3)</w:t>
            </w:r>
          </w:p>
        </w:tc>
        <w:tc>
          <w:tcPr>
            <w:tcW w:w="140" w:type="dxa"/>
            <w:vAlign w:val="bottom"/>
            <w:shd w:val="clear" w:color="auto" w:fill="CDE8F5"/>
          </w:tcPr>
          <w:p>
            <w:pPr>
              <w:spacing w:after="0"/>
              <w:rPr>
                <w:sz w:val="21"/>
                <w:szCs w:val="21"/>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30,405,375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640" w:type="dxa"/>
            <w:vAlign w:val="bottom"/>
            <w:tcBorders>
              <w:bottom w:val="single" w:sz="8" w:color="CDE8F5"/>
            </w:tcBorders>
            <w:gridSpan w:val="2"/>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60" w:type="dxa"/>
            <w:vAlign w:val="bottom"/>
            <w:tcBorders>
              <w:bottom w:val="single" w:sz="8" w:color="CDE8F5"/>
            </w:tcBorders>
          </w:tcPr>
          <w:p>
            <w:pPr>
              <w:spacing w:after="0"/>
              <w:rPr>
                <w:sz w:val="24"/>
                <w:szCs w:val="24"/>
                <w:color w:val="auto"/>
              </w:rPr>
            </w:pPr>
          </w:p>
        </w:tc>
        <w:tc>
          <w:tcPr>
            <w:tcW w:w="1180" w:type="dxa"/>
            <w:vAlign w:val="bottom"/>
            <w:tcBorders>
              <w:bottom w:val="single" w:sz="8" w:color="CDE8F5"/>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DE8F5"/>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tcBorders>
              <w:bottom w:val="single" w:sz="8" w:color="CDE8F5"/>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20" w:type="dxa"/>
            <w:vAlign w:val="bottom"/>
            <w:tcBorders>
              <w:bottom w:val="single" w:sz="8" w:color="CDE8F5"/>
            </w:tcBorders>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DE8F5"/>
            </w:tcBorders>
          </w:tcPr>
          <w:p>
            <w:pPr>
              <w:jc w:val="right"/>
              <w:spacing w:after="0" w:line="270" w:lineRule="exact"/>
              <w:rPr>
                <w:sz w:val="20"/>
                <w:szCs w:val="20"/>
                <w:color w:val="auto"/>
              </w:rPr>
            </w:pPr>
            <w:r>
              <w:rPr>
                <w:rFonts w:ascii="Times New Roman" w:cs="Times New Roman" w:eastAsia="Times New Roman" w:hAnsi="Times New Roman"/>
                <w:sz w:val="18"/>
                <w:szCs w:val="18"/>
                <w:color w:val="auto"/>
              </w:rPr>
              <w:t>311,667</w:t>
            </w:r>
            <w:r>
              <w:rPr>
                <w:rFonts w:ascii="Times New Roman" w:cs="Times New Roman" w:eastAsia="Times New Roman" w:hAnsi="Times New Roman"/>
                <w:sz w:val="26"/>
                <w:szCs w:val="26"/>
                <w:color w:val="auto"/>
                <w:vertAlign w:val="superscript"/>
              </w:rPr>
              <w:t>(4)</w:t>
            </w:r>
          </w:p>
        </w:tc>
        <w:tc>
          <w:tcPr>
            <w:tcW w:w="140" w:type="dxa"/>
            <w:vAlign w:val="bottom"/>
            <w:tcBorders>
              <w:bottom w:val="single" w:sz="8" w:color="CDE8F5"/>
            </w:tcBorders>
          </w:tcPr>
          <w:p>
            <w:pPr>
              <w:spacing w:after="0"/>
              <w:rPr>
                <w:sz w:val="24"/>
                <w:szCs w:val="24"/>
                <w:color w:val="auto"/>
              </w:rPr>
            </w:pPr>
          </w:p>
        </w:tc>
        <w:tc>
          <w:tcPr>
            <w:tcW w:w="92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9,845,561</w:t>
            </w:r>
          </w:p>
        </w:tc>
        <w:tc>
          <w:tcPr>
            <w:tcW w:w="20" w:type="dxa"/>
            <w:vAlign w:val="bottom"/>
            <w:tcBorders>
              <w:bottom w:val="single" w:sz="8" w:color="CDE8F5"/>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220" w:type="dxa"/>
            <w:vAlign w:val="bottom"/>
            <w:gridSpan w:val="2"/>
            <w:shd w:val="clear" w:color="auto" w:fill="CDE8F5"/>
          </w:tcPr>
          <w:p>
            <w:pPr>
              <w:jc w:val="right"/>
              <w:spacing w:after="0" w:line="216" w:lineRule="exact"/>
              <w:rPr>
                <w:sz w:val="20"/>
                <w:szCs w:val="20"/>
                <w:color w:val="auto"/>
              </w:rPr>
            </w:pPr>
            <w:r>
              <w:rPr>
                <w:rFonts w:ascii="Times New Roman" w:cs="Times New Roman" w:eastAsia="Times New Roman" w:hAnsi="Times New Roman"/>
                <w:sz w:val="17"/>
                <w:szCs w:val="17"/>
                <w:color w:val="auto"/>
              </w:rPr>
              <w:t>8,333</w:t>
            </w:r>
            <w:r>
              <w:rPr>
                <w:rFonts w:ascii="Times New Roman" w:cs="Times New Roman" w:eastAsia="Times New Roman" w:hAnsi="Times New Roman"/>
                <w:sz w:val="25"/>
                <w:szCs w:val="25"/>
                <w:color w:val="auto"/>
                <w:vertAlign w:val="superscript"/>
              </w:rPr>
              <w:t>(2)</w:t>
            </w:r>
          </w:p>
        </w:tc>
        <w:tc>
          <w:tcPr>
            <w:tcW w:w="120" w:type="dxa"/>
            <w:vAlign w:val="bottom"/>
            <w:shd w:val="clear" w:color="auto" w:fill="CDE8F5"/>
          </w:tcPr>
          <w:p>
            <w:pPr>
              <w:spacing w:after="0"/>
              <w:rPr>
                <w:sz w:val="18"/>
                <w:szCs w:val="18"/>
                <w:color w:val="auto"/>
              </w:rPr>
            </w:pPr>
          </w:p>
        </w:tc>
        <w:tc>
          <w:tcPr>
            <w:tcW w:w="1360" w:type="dxa"/>
            <w:vAlign w:val="bottom"/>
            <w:gridSpan w:val="2"/>
            <w:shd w:val="clear" w:color="auto" w:fill="CDE8F5"/>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shd w:val="clear" w:color="auto" w:fill="CDE8F5"/>
          </w:tcPr>
          <w:p>
            <w:pPr>
              <w:jc w:val="center"/>
              <w:spacing w:after="0"/>
              <w:rPr>
                <w:sz w:val="20"/>
                <w:szCs w:val="20"/>
                <w:color w:val="auto"/>
              </w:rPr>
            </w:pPr>
            <w:r>
              <w:rPr>
                <w:rFonts w:ascii="Times New Roman" w:cs="Times New Roman" w:eastAsia="Times New Roman" w:hAnsi="Times New Roman"/>
                <w:sz w:val="18"/>
                <w:szCs w:val="18"/>
                <w:color w:val="auto"/>
                <w:w w:val="95"/>
              </w:rPr>
              <w:t>8.66</w:t>
            </w:r>
          </w:p>
        </w:tc>
        <w:tc>
          <w:tcPr>
            <w:tcW w:w="102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8/27/2029</w:t>
            </w:r>
          </w:p>
        </w:tc>
        <w:tc>
          <w:tcPr>
            <w:tcW w:w="920" w:type="dxa"/>
            <w:vAlign w:val="bottom"/>
            <w:shd w:val="clear" w:color="auto" w:fill="CDE8F5"/>
          </w:tcPr>
          <w:p>
            <w:pPr>
              <w:jc w:val="right"/>
              <w:spacing w:after="0" w:line="216" w:lineRule="exact"/>
              <w:rPr>
                <w:sz w:val="20"/>
                <w:szCs w:val="20"/>
                <w:color w:val="auto"/>
              </w:rPr>
            </w:pPr>
            <w:r>
              <w:rPr>
                <w:rFonts w:ascii="Times New Roman" w:cs="Times New Roman" w:eastAsia="Times New Roman" w:hAnsi="Times New Roman"/>
                <w:sz w:val="17"/>
                <w:szCs w:val="17"/>
                <w:color w:val="auto"/>
              </w:rPr>
              <w:t>159,184</w:t>
            </w:r>
            <w:r>
              <w:rPr>
                <w:rFonts w:ascii="Times New Roman" w:cs="Times New Roman" w:eastAsia="Times New Roman" w:hAnsi="Times New Roman"/>
                <w:sz w:val="25"/>
                <w:szCs w:val="25"/>
                <w:color w:val="auto"/>
                <w:vertAlign w:val="superscript"/>
              </w:rPr>
              <w:t>(5)</w:t>
            </w:r>
          </w:p>
        </w:tc>
        <w:tc>
          <w:tcPr>
            <w:tcW w:w="140" w:type="dxa"/>
            <w:vAlign w:val="bottom"/>
            <w:shd w:val="clear" w:color="auto" w:fill="CDE8F5"/>
          </w:tcPr>
          <w:p>
            <w:pPr>
              <w:spacing w:after="0"/>
              <w:rPr>
                <w:sz w:val="18"/>
                <w:szCs w:val="18"/>
                <w:color w:val="auto"/>
              </w:rPr>
            </w:pPr>
          </w:p>
        </w:tc>
        <w:tc>
          <w:tcPr>
            <w:tcW w:w="9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5,028,623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60" w:type="dxa"/>
            <w:vAlign w:val="bottom"/>
          </w:tcPr>
          <w:p>
            <w:pPr>
              <w:spacing w:after="0"/>
              <w:rPr>
                <w:sz w:val="24"/>
                <w:szCs w:val="24"/>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78,804</w:t>
            </w:r>
            <w:r>
              <w:rPr>
                <w:rFonts w:ascii="Times New Roman" w:cs="Times New Roman" w:eastAsia="Times New Roman" w:hAnsi="Times New Roman"/>
                <w:sz w:val="26"/>
                <w:szCs w:val="26"/>
                <w:color w:val="auto"/>
                <w:vertAlign w:val="superscript"/>
              </w:rPr>
              <w:t>(6)</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right="6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based on the closing price of our common stock on the NYSE on December 31, 2025, of $31.59, multiplied by the number of restricted stock units.</w:t>
      </w: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fully vested as of December 31, 2025.</w:t>
      </w:r>
    </w:p>
    <w:p>
      <w:pPr>
        <w:spacing w:after="0" w:line="9" w:lineRule="exact"/>
        <w:rPr>
          <w:rFonts w:ascii="Times New Roman" w:cs="Times New Roman" w:eastAsia="Times New Roman" w:hAnsi="Times New Roman"/>
          <w:sz w:val="18"/>
          <w:szCs w:val="18"/>
          <w:color w:val="auto"/>
        </w:rPr>
      </w:pPr>
    </w:p>
    <w:p>
      <w:pPr>
        <w:ind w:left="540" w:right="320" w:hanging="424"/>
        <w:spacing w:after="0" w:line="218"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Sharma’s award is scheduled to vest over four years, with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2025, subject to continued service through the applicable vesting date. Quarterly Vesting Dates with respect to any calendar year means February 15, May 15, August 15 and November 15.</w:t>
      </w:r>
    </w:p>
    <w:p>
      <w:pPr>
        <w:ind w:left="540" w:hanging="424"/>
        <w:spacing w:after="0" w:line="214"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Kalra has three awards of restricted stock units. The first award, with 178,149 units that have not yet vested, is scheduled to vest over four years, with 1/4th vesting on March 6, 2024 and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2024, subject to continued service through the applicable vesting date. The second award, with 65,071 units that have not yet vested, is scheduled to vest over four years, with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March 8, 2025 and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2025, subject to continued service through the applicable vesting date. The third award, with 68,447 units that have not yet vested, is scheduled to vest over five years, with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March 13, 2026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2026, subject to continued service through the applicable vesting date. Quarterly Vesting Dates with respect to any calendar year means February 15, May 15, August 15 and November 15.</w:t>
      </w:r>
    </w:p>
    <w:p>
      <w:pPr>
        <w:spacing w:after="0" w:line="5" w:lineRule="exact"/>
        <w:rPr>
          <w:rFonts w:ascii="Times New Roman" w:cs="Times New Roman" w:eastAsia="Times New Roman" w:hAnsi="Times New Roman"/>
          <w:sz w:val="18"/>
          <w:szCs w:val="18"/>
          <w:color w:val="auto"/>
        </w:rPr>
      </w:pPr>
    </w:p>
    <w:p>
      <w:pPr>
        <w:ind w:left="540" w:right="60" w:hanging="424"/>
        <w:spacing w:after="0" w:line="214"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Portocalis has three awards of restricted stock units. The first award, with 17,857 units that have not yet vested, is scheduled to vest over four years, with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June 23, 2023, and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thereafter on each Quarterly Vesting Date, beginning on November 15, 2023, subject to continued employment with us through the applicable vesting date. The second award, with 72,880 units that have not yet vested, is scheduled to vest over five years, with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March 8, 2025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2025, subject to continued employment with us through the applicable vesting date. The third award, with 68,447 units that have not yet vested, is scheduled to vest over five years, with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March 13, 2026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2026, subject to continued service through the applicable vesting date. Quarterly Vesting Dates with respect to any calendar year means February 15, May 15, August 15 and November 15.</w:t>
      </w:r>
    </w:p>
    <w:p>
      <w:pPr>
        <w:spacing w:after="0" w:line="5" w:lineRule="exact"/>
        <w:rPr>
          <w:rFonts w:ascii="Times New Roman" w:cs="Times New Roman" w:eastAsia="Times New Roman" w:hAnsi="Times New Roman"/>
          <w:sz w:val="18"/>
          <w:szCs w:val="18"/>
          <w:color w:val="auto"/>
        </w:rPr>
      </w:pPr>
    </w:p>
    <w:p>
      <w:pPr>
        <w:ind w:left="540" w:right="40" w:hanging="424"/>
        <w:spacing w:after="0" w:line="215"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Gerber had four awards of restricted stock units. The first award, with 17,953 units that have not vested, is scheduled to vest over five years, with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February 3, 2023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thereafter on each Quarterly Vesting Date beginning on May 15, 2023, subject to continued employment with us through the applicable vesting date. The second award, with 21,875 units that have not yet vested, is scheduled to vest over four years, with 1/4th vesting on June 20, 2024 and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November 15, 2024, subject to continued employment with us through the applicable vesting date. The third award, with 21,864 units that have not yet vested, is scheduled to vest over five years, with 1/5th vesting on March 8, 2025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2025, subject to continued employment with us through the applicable vesting date. The fourth award, with 17,112 units that have not yet vested, is scheduled to vest over five years, with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March 13, 2026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vesting on a quarterly basis on each Quarterly Vesting Date beginning on August 15, 2026, subject to continued service through the applicable vesting date. Quarterly Vesting Dates with respect to any calendar year means February 15, May 15, August 15 and November 15. Mr. Gerber forfeited all equity awards that remained unvested as of his departure on April 6, 2026.</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information concerning the vesting of shares for our NEOs in 2025. There were no options exercised by NEOs in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39433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43350" cy="171450"/>
                    </a:xfrm>
                    <a:prstGeom prst="rect">
                      <a:avLst/>
                    </a:prstGeom>
                    <a:noFill/>
                  </pic:spPr>
                </pic:pic>
              </a:graphicData>
            </a:graphic>
          </wp:anchor>
        </w:drawing>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Dushyant Sharma</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39433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4335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Gerasimos (Jerry) Portocalis</w:t>
      </w:r>
    </w:p>
    <w:p>
      <w:pPr>
        <w:spacing w:after="0" w:line="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Andrew Gerber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2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on Vesting</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320" w:type="dxa"/>
            <w:vAlign w:val="bottom"/>
            <w:tcBorders>
              <w:bottom w:val="single" w:sz="8" w:color="CDE8F5"/>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DE8F5"/>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340" w:type="dxa"/>
            <w:vAlign w:val="bottom"/>
            <w:gridSpan w:val="3"/>
            <w:shd w:val="clear" w:color="auto" w:fill="CDE8F5"/>
          </w:tcPr>
          <w:p>
            <w:pPr>
              <w:jc w:val="right"/>
              <w:ind w:right="320"/>
              <w:spacing w:after="0"/>
              <w:rPr>
                <w:sz w:val="20"/>
                <w:szCs w:val="20"/>
                <w:color w:val="auto"/>
              </w:rPr>
            </w:pPr>
            <w:r>
              <w:rPr>
                <w:rFonts w:ascii="Times New Roman" w:cs="Times New Roman" w:eastAsia="Times New Roman" w:hAnsi="Times New Roman"/>
                <w:sz w:val="18"/>
                <w:szCs w:val="18"/>
                <w:color w:val="auto"/>
                <w:shd w:val="clear" w:color="auto" w:fill="CDE8F5"/>
              </w:rPr>
              <w:t>137,500</w:t>
            </w: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5,166,563</w:t>
            </w:r>
          </w:p>
        </w:tc>
        <w:tc>
          <w:tcPr>
            <w:tcW w:w="0" w:type="dxa"/>
            <w:vAlign w:val="bottom"/>
          </w:tcPr>
          <w:p>
            <w:pPr>
              <w:spacing w:after="0"/>
              <w:rPr>
                <w:sz w:val="1"/>
                <w:szCs w:val="1"/>
                <w:color w:val="auto"/>
              </w:rPr>
            </w:pPr>
          </w:p>
        </w:tc>
      </w:tr>
      <w:tr>
        <w:trPr>
          <w:trHeight w:val="304"/>
        </w:trPr>
        <w:tc>
          <w:tcPr>
            <w:tcW w:w="1340" w:type="dxa"/>
            <w:vAlign w:val="bottom"/>
            <w:tcBorders>
              <w:bottom w:val="single" w:sz="8" w:color="CDE8F5"/>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157,806</w:t>
            </w:r>
          </w:p>
        </w:tc>
        <w:tc>
          <w:tcPr>
            <w:tcW w:w="82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5,478,513</w:t>
            </w:r>
          </w:p>
        </w:tc>
        <w:tc>
          <w:tcPr>
            <w:tcW w:w="0" w:type="dxa"/>
            <w:vAlign w:val="bottom"/>
          </w:tcPr>
          <w:p>
            <w:pPr>
              <w:spacing w:after="0"/>
              <w:rPr>
                <w:sz w:val="1"/>
                <w:szCs w:val="1"/>
                <w:color w:val="auto"/>
              </w:rPr>
            </w:pPr>
          </w:p>
        </w:tc>
      </w:tr>
      <w:tr>
        <w:trPr>
          <w:trHeight w:val="216"/>
        </w:trPr>
        <w:tc>
          <w:tcPr>
            <w:tcW w:w="1340" w:type="dxa"/>
            <w:vAlign w:val="bottom"/>
            <w:gridSpan w:val="3"/>
            <w:shd w:val="clear" w:color="auto" w:fill="CDE8F5"/>
          </w:tcPr>
          <w:p>
            <w:pPr>
              <w:jc w:val="right"/>
              <w:ind w:right="320"/>
              <w:spacing w:after="0"/>
              <w:rPr>
                <w:sz w:val="20"/>
                <w:szCs w:val="20"/>
                <w:color w:val="auto"/>
              </w:rPr>
            </w:pPr>
            <w:r>
              <w:rPr>
                <w:rFonts w:ascii="Times New Roman" w:cs="Times New Roman" w:eastAsia="Times New Roman" w:hAnsi="Times New Roman"/>
                <w:sz w:val="18"/>
                <w:szCs w:val="18"/>
                <w:color w:val="auto"/>
                <w:shd w:val="clear" w:color="auto" w:fill="CDE8F5"/>
              </w:rPr>
              <w:t>55,043</w:t>
            </w:r>
          </w:p>
        </w:tc>
        <w:tc>
          <w:tcPr>
            <w:tcW w:w="82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shd w:val="clear" w:color="auto" w:fill="CDE8F5"/>
              </w:rPr>
              <w:t>1,802,694</w:t>
            </w:r>
          </w:p>
        </w:tc>
        <w:tc>
          <w:tcPr>
            <w:tcW w:w="0" w:type="dxa"/>
            <w:vAlign w:val="bottom"/>
          </w:tcPr>
          <w:p>
            <w:pPr>
              <w:spacing w:after="0"/>
              <w:rPr>
                <w:sz w:val="1"/>
                <w:szCs w:val="1"/>
                <w:color w:val="auto"/>
              </w:rPr>
            </w:pPr>
          </w:p>
        </w:tc>
      </w:tr>
      <w:tr>
        <w:trPr>
          <w:trHeight w:val="270"/>
        </w:trPr>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36,233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500"/>
          </w:cols>
          <w:pgMar w:left="320" w:top="482" w:right="439" w:bottom="1440" w:gutter="0" w:footer="0" w:header="0"/>
          <w:type w:val="continuous"/>
        </w:sectPr>
      </w:pP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that would be provided in the circumstances described below, assuming that the triggering event took place on December 31, 2025, the last day of our fiscal year: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8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Name/Triggering Event</w:t>
            </w:r>
          </w:p>
        </w:tc>
        <w:tc>
          <w:tcPr>
            <w:tcW w:w="5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80"/>
        </w:trPr>
        <w:tc>
          <w:tcPr>
            <w:tcW w:w="146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1040" w:type="dxa"/>
            <w:vAlign w:val="bottom"/>
            <w:gridSpan w:val="2"/>
          </w:tcPr>
          <w:p>
            <w:pPr>
              <w:jc w:val="center"/>
              <w:ind w:left="32"/>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20" w:type="dxa"/>
            <w:vAlign w:val="bottom"/>
          </w:tcPr>
          <w:p>
            <w:pPr>
              <w:spacing w:after="0"/>
              <w:rPr>
                <w:sz w:val="15"/>
                <w:szCs w:val="15"/>
                <w:color w:val="auto"/>
              </w:rPr>
            </w:pPr>
          </w:p>
        </w:tc>
        <w:tc>
          <w:tcPr>
            <w:tcW w:w="12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0"/>
                <w:szCs w:val="10"/>
                <w:b w:val="1"/>
                <w:bCs w:val="1"/>
                <w:color w:val="auto"/>
              </w:rPr>
              <w:t>(2)</w:t>
            </w:r>
          </w:p>
        </w:tc>
        <w:tc>
          <w:tcPr>
            <w:tcW w:w="740" w:type="dxa"/>
            <w:vAlign w:val="bottom"/>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20" w:type="dxa"/>
            <w:vAlign w:val="bottom"/>
          </w:tcPr>
          <w:p>
            <w:pPr>
              <w:spacing w:after="0"/>
              <w:rPr>
                <w:sz w:val="15"/>
                <w:szCs w:val="15"/>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Benefits ($)</w:t>
            </w:r>
          </w:p>
        </w:tc>
        <w:tc>
          <w:tcPr>
            <w:tcW w:w="0" w:type="dxa"/>
            <w:vAlign w:val="bottom"/>
          </w:tcPr>
          <w:p>
            <w:pPr>
              <w:spacing w:after="0"/>
              <w:rPr>
                <w:sz w:val="1"/>
                <w:szCs w:val="1"/>
                <w:color w:val="auto"/>
              </w:rPr>
            </w:pPr>
          </w:p>
        </w:tc>
      </w:tr>
      <w:tr>
        <w:trPr>
          <w:trHeight w:val="243"/>
        </w:trPr>
        <w:tc>
          <w:tcPr>
            <w:tcW w:w="670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Dushyant Sharma</w:t>
            </w:r>
          </w:p>
        </w:tc>
        <w:tc>
          <w:tcPr>
            <w:tcW w:w="120" w:type="dxa"/>
            <w:vAlign w:val="bottom"/>
            <w:tcBorders>
              <w:top w:val="single" w:sz="8" w:color="CDE8F5"/>
            </w:tcBorders>
            <w:shd w:val="clear" w:color="auto" w:fill="CDE8F5"/>
          </w:tcPr>
          <w:p>
            <w:pPr>
              <w:spacing w:after="0"/>
              <w:rPr>
                <w:sz w:val="21"/>
                <w:szCs w:val="21"/>
                <w:color w:val="auto"/>
              </w:rPr>
            </w:pPr>
          </w:p>
        </w:tc>
        <w:tc>
          <w:tcPr>
            <w:tcW w:w="92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1120" w:type="dxa"/>
            <w:vAlign w:val="bottom"/>
            <w:tcBorders>
              <w:top w:val="single" w:sz="8" w:color="auto"/>
            </w:tcBorders>
            <w:shd w:val="clear" w:color="auto" w:fill="CDE8F5"/>
          </w:tcPr>
          <w:p>
            <w:pPr>
              <w:spacing w:after="0"/>
              <w:rPr>
                <w:sz w:val="21"/>
                <w:szCs w:val="21"/>
                <w:color w:val="auto"/>
              </w:rPr>
            </w:pPr>
          </w:p>
        </w:tc>
        <w:tc>
          <w:tcPr>
            <w:tcW w:w="100" w:type="dxa"/>
            <w:vAlign w:val="bottom"/>
            <w:tcBorders>
              <w:top w:val="single" w:sz="8" w:color="CDE8F5"/>
            </w:tcBorders>
            <w:shd w:val="clear" w:color="auto" w:fill="CDE8F5"/>
          </w:tcPr>
          <w:p>
            <w:pPr>
              <w:spacing w:after="0"/>
              <w:rPr>
                <w:sz w:val="21"/>
                <w:szCs w:val="21"/>
                <w:color w:val="auto"/>
              </w:rPr>
            </w:pPr>
          </w:p>
        </w:tc>
        <w:tc>
          <w:tcPr>
            <w:tcW w:w="740" w:type="dxa"/>
            <w:vAlign w:val="bottom"/>
            <w:tcBorders>
              <w:top w:val="single" w:sz="8" w:color="auto"/>
            </w:tcBorders>
            <w:shd w:val="clear" w:color="auto" w:fill="CDE8F5"/>
          </w:tcPr>
          <w:p>
            <w:pPr>
              <w:spacing w:after="0"/>
              <w:rPr>
                <w:sz w:val="21"/>
                <w:szCs w:val="21"/>
                <w:color w:val="auto"/>
              </w:rPr>
            </w:pPr>
          </w:p>
        </w:tc>
        <w:tc>
          <w:tcPr>
            <w:tcW w:w="120" w:type="dxa"/>
            <w:vAlign w:val="bottom"/>
            <w:tcBorders>
              <w:top w:val="single" w:sz="8" w:color="CDE8F5"/>
            </w:tcBorders>
            <w:shd w:val="clear" w:color="auto" w:fill="CDE8F5"/>
          </w:tcPr>
          <w:p>
            <w:pPr>
              <w:spacing w:after="0"/>
              <w:rPr>
                <w:sz w:val="21"/>
                <w:szCs w:val="21"/>
                <w:color w:val="auto"/>
              </w:rPr>
            </w:pPr>
          </w:p>
        </w:tc>
        <w:tc>
          <w:tcPr>
            <w:tcW w:w="1080" w:type="dxa"/>
            <w:vAlign w:val="bottom"/>
            <w:tcBorders>
              <w:top w:val="single" w:sz="8" w:color="auto"/>
            </w:tcBorders>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Termination Not Within the Change in Control Period</w:t>
            </w:r>
            <w:r>
              <w:rPr>
                <w:rFonts w:ascii="Times New Roman" w:cs="Times New Roman" w:eastAsia="Times New Roman" w:hAnsi="Times New Roman"/>
                <w:sz w:val="26"/>
                <w:szCs w:val="26"/>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1,087,582</w:t>
            </w:r>
          </w:p>
        </w:tc>
        <w:tc>
          <w:tcPr>
            <w:tcW w:w="12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1,121,336</w:t>
            </w:r>
          </w:p>
        </w:tc>
        <w:tc>
          <w:tcPr>
            <w:tcW w:w="0" w:type="dxa"/>
            <w:vAlign w:val="bottom"/>
          </w:tcPr>
          <w:p>
            <w:pPr>
              <w:spacing w:after="0"/>
              <w:rPr>
                <w:sz w:val="1"/>
                <w:szCs w:val="1"/>
                <w:color w:val="auto"/>
              </w:rPr>
            </w:pPr>
          </w:p>
        </w:tc>
      </w:tr>
      <w:tr>
        <w:trPr>
          <w:trHeight w:val="234"/>
        </w:trPr>
        <w:tc>
          <w:tcPr>
            <w:tcW w:w="6700" w:type="dxa"/>
            <w:vAlign w:val="bottom"/>
            <w:gridSpan w:val="2"/>
          </w:tcPr>
          <w:p>
            <w:pPr>
              <w:ind w:left="360"/>
              <w:spacing w:after="0" w:line="235" w:lineRule="exact"/>
              <w:rPr>
                <w:sz w:val="20"/>
                <w:szCs w:val="20"/>
                <w:color w:val="auto"/>
              </w:rPr>
            </w:pPr>
            <w:r>
              <w:rPr>
                <w:rFonts w:ascii="Times New Roman" w:cs="Times New Roman" w:eastAsia="Times New Roman" w:hAnsi="Times New Roman"/>
                <w:sz w:val="18"/>
                <w:szCs w:val="18"/>
                <w:color w:val="auto"/>
              </w:rPr>
              <w:t>Qualifying Termination in Connection with a Change in Control</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1,087,582</w:t>
            </w: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30,405,375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31,526,711</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Sanjay Kalra</w:t>
            </w:r>
          </w:p>
        </w:tc>
        <w:tc>
          <w:tcPr>
            <w:tcW w:w="120" w:type="dxa"/>
            <w:vAlign w:val="bottom"/>
            <w:shd w:val="clear" w:color="auto" w:fill="CDE8F5"/>
          </w:tcPr>
          <w:p>
            <w:pPr>
              <w:spacing w:after="0"/>
              <w:rPr>
                <w:sz w:val="23"/>
                <w:szCs w:val="23"/>
                <w:color w:val="auto"/>
              </w:rPr>
            </w:pPr>
          </w:p>
        </w:tc>
        <w:tc>
          <w:tcPr>
            <w:tcW w:w="92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120" w:type="dxa"/>
            <w:vAlign w:val="bottom"/>
            <w:shd w:val="clear" w:color="auto" w:fill="CDE8F5"/>
          </w:tcPr>
          <w:p>
            <w:pPr>
              <w:spacing w:after="0"/>
              <w:rPr>
                <w:sz w:val="23"/>
                <w:szCs w:val="23"/>
                <w:color w:val="auto"/>
              </w:rPr>
            </w:pPr>
          </w:p>
        </w:tc>
        <w:tc>
          <w:tcPr>
            <w:tcW w:w="100" w:type="dxa"/>
            <w:vAlign w:val="bottom"/>
            <w:shd w:val="clear" w:color="auto" w:fill="CDE8F5"/>
          </w:tcPr>
          <w:p>
            <w:pPr>
              <w:spacing w:after="0"/>
              <w:rPr>
                <w:sz w:val="23"/>
                <w:szCs w:val="23"/>
                <w:color w:val="auto"/>
              </w:rPr>
            </w:pPr>
          </w:p>
        </w:tc>
        <w:tc>
          <w:tcPr>
            <w:tcW w:w="7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8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Termination Not Within the Change in Control Period</w:t>
            </w:r>
            <w:r>
              <w:rPr>
                <w:rFonts w:ascii="Times New Roman" w:cs="Times New Roman" w:eastAsia="Times New Roman" w:hAnsi="Times New Roman"/>
                <w:sz w:val="26"/>
                <w:szCs w:val="26"/>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265,225</w:t>
            </w:r>
          </w:p>
        </w:tc>
        <w:tc>
          <w:tcPr>
            <w:tcW w:w="12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282,102</w:t>
            </w:r>
          </w:p>
        </w:tc>
        <w:tc>
          <w:tcPr>
            <w:tcW w:w="0" w:type="dxa"/>
            <w:vAlign w:val="bottom"/>
          </w:tcPr>
          <w:p>
            <w:pPr>
              <w:spacing w:after="0"/>
              <w:rPr>
                <w:sz w:val="1"/>
                <w:szCs w:val="1"/>
                <w:color w:val="auto"/>
              </w:rPr>
            </w:pPr>
          </w:p>
        </w:tc>
      </w:tr>
      <w:tr>
        <w:trPr>
          <w:trHeight w:val="234"/>
        </w:trPr>
        <w:tc>
          <w:tcPr>
            <w:tcW w:w="6700" w:type="dxa"/>
            <w:vAlign w:val="bottom"/>
            <w:gridSpan w:val="2"/>
          </w:tcPr>
          <w:p>
            <w:pPr>
              <w:ind w:left="360"/>
              <w:spacing w:after="0" w:line="235" w:lineRule="exact"/>
              <w:rPr>
                <w:sz w:val="20"/>
                <w:szCs w:val="20"/>
                <w:color w:val="auto"/>
              </w:rPr>
            </w:pPr>
            <w:r>
              <w:rPr>
                <w:rFonts w:ascii="Times New Roman" w:cs="Times New Roman" w:eastAsia="Times New Roman" w:hAnsi="Times New Roman"/>
                <w:sz w:val="18"/>
                <w:szCs w:val="18"/>
                <w:color w:val="auto"/>
              </w:rPr>
              <w:t>Qualifying Termination in Connection with a Change in Control</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928,288</w:t>
            </w: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9,845,561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10,799,165</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Gerasimos (Jerry) Portocalis</w:t>
            </w:r>
          </w:p>
        </w:tc>
        <w:tc>
          <w:tcPr>
            <w:tcW w:w="120" w:type="dxa"/>
            <w:vAlign w:val="bottom"/>
            <w:shd w:val="clear" w:color="auto" w:fill="CDE8F5"/>
          </w:tcPr>
          <w:p>
            <w:pPr>
              <w:spacing w:after="0"/>
              <w:rPr>
                <w:sz w:val="23"/>
                <w:szCs w:val="23"/>
                <w:color w:val="auto"/>
              </w:rPr>
            </w:pPr>
          </w:p>
        </w:tc>
        <w:tc>
          <w:tcPr>
            <w:tcW w:w="92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120" w:type="dxa"/>
            <w:vAlign w:val="bottom"/>
            <w:shd w:val="clear" w:color="auto" w:fill="CDE8F5"/>
          </w:tcPr>
          <w:p>
            <w:pPr>
              <w:spacing w:after="0"/>
              <w:rPr>
                <w:sz w:val="23"/>
                <w:szCs w:val="23"/>
                <w:color w:val="auto"/>
              </w:rPr>
            </w:pPr>
          </w:p>
        </w:tc>
        <w:tc>
          <w:tcPr>
            <w:tcW w:w="100" w:type="dxa"/>
            <w:vAlign w:val="bottom"/>
            <w:shd w:val="clear" w:color="auto" w:fill="CDE8F5"/>
          </w:tcPr>
          <w:p>
            <w:pPr>
              <w:spacing w:after="0"/>
              <w:rPr>
                <w:sz w:val="23"/>
                <w:szCs w:val="23"/>
                <w:color w:val="auto"/>
              </w:rPr>
            </w:pPr>
          </w:p>
        </w:tc>
        <w:tc>
          <w:tcPr>
            <w:tcW w:w="7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8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Termination Not Within the Change in Control Period</w:t>
            </w:r>
            <w:r>
              <w:rPr>
                <w:rFonts w:ascii="Times New Roman" w:cs="Times New Roman" w:eastAsia="Times New Roman" w:hAnsi="Times New Roman"/>
                <w:sz w:val="26"/>
                <w:szCs w:val="26"/>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222,789</w:t>
            </w:r>
          </w:p>
        </w:tc>
        <w:tc>
          <w:tcPr>
            <w:tcW w:w="12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239,377</w:t>
            </w:r>
          </w:p>
        </w:tc>
        <w:tc>
          <w:tcPr>
            <w:tcW w:w="0" w:type="dxa"/>
            <w:vAlign w:val="bottom"/>
          </w:tcPr>
          <w:p>
            <w:pPr>
              <w:spacing w:after="0"/>
              <w:rPr>
                <w:sz w:val="1"/>
                <w:szCs w:val="1"/>
                <w:color w:val="auto"/>
              </w:rPr>
            </w:pPr>
          </w:p>
        </w:tc>
      </w:tr>
      <w:tr>
        <w:trPr>
          <w:trHeight w:val="234"/>
        </w:trPr>
        <w:tc>
          <w:tcPr>
            <w:tcW w:w="6700" w:type="dxa"/>
            <w:vAlign w:val="bottom"/>
            <w:gridSpan w:val="2"/>
          </w:tcPr>
          <w:p>
            <w:pPr>
              <w:ind w:left="360"/>
              <w:spacing w:after="0" w:line="235" w:lineRule="exact"/>
              <w:rPr>
                <w:sz w:val="20"/>
                <w:szCs w:val="20"/>
                <w:color w:val="auto"/>
              </w:rPr>
            </w:pPr>
            <w:r>
              <w:rPr>
                <w:rFonts w:ascii="Times New Roman" w:cs="Times New Roman" w:eastAsia="Times New Roman" w:hAnsi="Times New Roman"/>
                <w:sz w:val="18"/>
                <w:szCs w:val="18"/>
                <w:color w:val="auto"/>
              </w:rPr>
              <w:t>Qualifying Termination in Connection with a Change in Control</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779,762</w:t>
            </w: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5,028,623</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5,833,267</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120" w:type="dxa"/>
            <w:vAlign w:val="bottom"/>
            <w:shd w:val="clear" w:color="auto" w:fill="CDE8F5"/>
          </w:tcPr>
          <w:p>
            <w:pPr>
              <w:spacing w:after="0"/>
              <w:rPr>
                <w:sz w:val="23"/>
                <w:szCs w:val="23"/>
                <w:color w:val="auto"/>
              </w:rPr>
            </w:pPr>
          </w:p>
        </w:tc>
        <w:tc>
          <w:tcPr>
            <w:tcW w:w="92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120" w:type="dxa"/>
            <w:vAlign w:val="bottom"/>
            <w:shd w:val="clear" w:color="auto" w:fill="CDE8F5"/>
          </w:tcPr>
          <w:p>
            <w:pPr>
              <w:spacing w:after="0"/>
              <w:rPr>
                <w:sz w:val="23"/>
                <w:szCs w:val="23"/>
                <w:color w:val="auto"/>
              </w:rPr>
            </w:pPr>
          </w:p>
        </w:tc>
        <w:tc>
          <w:tcPr>
            <w:tcW w:w="100" w:type="dxa"/>
            <w:vAlign w:val="bottom"/>
            <w:shd w:val="clear" w:color="auto" w:fill="CDE8F5"/>
          </w:tcPr>
          <w:p>
            <w:pPr>
              <w:spacing w:after="0"/>
              <w:rPr>
                <w:sz w:val="23"/>
                <w:szCs w:val="23"/>
                <w:color w:val="auto"/>
              </w:rPr>
            </w:pPr>
          </w:p>
        </w:tc>
        <w:tc>
          <w:tcPr>
            <w:tcW w:w="74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108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Termination Not Within the Change in Control Period</w:t>
            </w:r>
            <w:r>
              <w:rPr>
                <w:rFonts w:ascii="Times New Roman" w:cs="Times New Roman" w:eastAsia="Times New Roman" w:hAnsi="Times New Roman"/>
                <w:sz w:val="26"/>
                <w:szCs w:val="26"/>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181,017</w:t>
            </w:r>
          </w:p>
        </w:tc>
        <w:tc>
          <w:tcPr>
            <w:tcW w:w="12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197,894</w:t>
            </w:r>
          </w:p>
        </w:tc>
        <w:tc>
          <w:tcPr>
            <w:tcW w:w="0" w:type="dxa"/>
            <w:vAlign w:val="bottom"/>
          </w:tcPr>
          <w:p>
            <w:pPr>
              <w:spacing w:after="0"/>
              <w:rPr>
                <w:sz w:val="1"/>
                <w:szCs w:val="1"/>
                <w:color w:val="auto"/>
              </w:rPr>
            </w:pPr>
          </w:p>
        </w:tc>
      </w:tr>
      <w:tr>
        <w:trPr>
          <w:trHeight w:val="36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Qualifying Termination in Connection with a Change in Control</w:t>
            </w:r>
            <w:r>
              <w:rPr>
                <w:rFonts w:ascii="Times New Roman" w:cs="Times New Roman" w:eastAsia="Times New Roman" w:hAnsi="Times New Roman"/>
                <w:sz w:val="26"/>
                <w:szCs w:val="26"/>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494,175</w:t>
            </w:r>
          </w:p>
        </w:tc>
        <w:tc>
          <w:tcPr>
            <w:tcW w:w="12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2,489,418</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explanation below of cash severance payouts provided under our change in control and severance agreements.</w:t>
      </w:r>
    </w:p>
    <w:p>
      <w:pPr>
        <w:spacing w:after="0" w:line="27" w:lineRule="exact"/>
        <w:rPr>
          <w:rFonts w:ascii="Times New Roman" w:cs="Times New Roman" w:eastAsia="Times New Roman" w:hAnsi="Times New Roman"/>
          <w:sz w:val="18"/>
          <w:szCs w:val="18"/>
          <w:color w:val="auto"/>
        </w:rPr>
      </w:pPr>
    </w:p>
    <w:p>
      <w:pPr>
        <w:ind w:left="540" w:right="50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change in control and severance agreements, equity vesting acceleration only occurs in the event of a qualifying termination in connection with a change in control, as described below. The amounts shown in this column reflect the aggregate number of unvested RSUs multiplied by $31.59, the closing price of our common stock on December 31, 2025.</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explanation below of COBRA benefits provided under our change in control and severance agreements.</w:t>
      </w:r>
    </w:p>
    <w:p>
      <w:pPr>
        <w:spacing w:after="0" w:line="27"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termination is a termination by us without “cause” and other than due to his death or disability, or by the NEO for “good reason,” as further described below.</w:t>
      </w:r>
    </w:p>
    <w:p>
      <w:pPr>
        <w:ind w:left="540" w:right="20" w:hanging="424"/>
        <w:spacing w:after="0" w:line="255"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termination is considered “in connection with a change in control” if such termination occurs during the period beginning on the date that is three months prior to the date of a change in control and ending on (and inclusive of) the one-year anniversary date of such change in control, as further described below.</w:t>
      </w:r>
    </w:p>
    <w:p>
      <w:pPr>
        <w:spacing w:after="0" w:line="18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change in control and severance agreement, or severance agreement, with each of our NEOs, which provides for certain benefits in connection with certain qualifying involuntary terminations, including in connection with a change in control.</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NEO’s employment is terminated outside the period beginning on the date that is three months prior to the date of a change in control and ending on (and inclusive of) the one-year anniversary date of such change in control, or the change in control period, either (i) by us without “cause” and other than due to his death or disability, or (ii) by the NEO for “good reason” (as such terms are defined in the severance agreement), the NEO will receive the following benefits, provided he timely signs and does not revoke a separation agreement and release of claims in our favor:</w:t>
      </w:r>
    </w:p>
    <w:p>
      <w:pPr>
        <w:spacing w:after="0" w:line="85" w:lineRule="exact"/>
        <w:rPr>
          <w:sz w:val="20"/>
          <w:szCs w:val="20"/>
          <w:color w:val="auto"/>
        </w:rPr>
      </w:pPr>
    </w:p>
    <w:p>
      <w:pPr>
        <w:ind w:left="1080" w:right="1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NEO’s base salary for a period of six months (or, in the case of Mr. Sharma, 12 months) following the date of such termination;</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Sharma, a lump sum cash payment equal to Mr. Sharma’s annual target bonus, prorated for the period during which Mr. Sharma was employed by us in the calendar year such termination occurs;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NEO and his eligible dependents (if any) have qualifying health care at the time of such termination, then company-paid premiums for coverage under the Consolidated Omnibus Budget Reconciliation Act of 1985, as amended, or COBRA, for up to 12 months in the case of Mr. Sharma and his eligible dependents, if any, and up to six months for each other NEO and his eligible dependents, if any.</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during the change in control period, the employment of a NEO is terminated either (i) by us without cause and other than due to his death or disability, or (ii) by the NEO for good reason, the NEO will receive the following benefits, provided he timely signs and does not revoke a separation agreement and release of claims with us:</w:t>
      </w:r>
    </w:p>
    <w:p>
      <w:pPr>
        <w:spacing w:after="0" w:line="81" w:lineRule="exact"/>
        <w:rPr>
          <w:sz w:val="20"/>
          <w:szCs w:val="20"/>
          <w:color w:val="auto"/>
        </w:rPr>
      </w:pPr>
    </w:p>
    <w:p>
      <w:pPr>
        <w:ind w:left="1080" w:right="4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75% (or, in the case of Mr. Sharma, 100%) of the greater of the NEO’s annual base salary in effect immediately prior to his termination, or the NEO’s annual base salary in effect immediately prior to the change in control;</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NEO’s annual target bonus, prorated for the period during which the NEO was employed by us in the calendar year such termination occurs;</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NEO and his eligible dependents (if any) have qualifying health care at the time of such termination, then company-paid premiums for coverage under COBRA for up to 12 months in the case of Mr. Sharma and his eligible dependents, if any, and up to nine months for each other NEO and his eligible dependents, if any;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the NEO’s outstanding and unvested time-based equity awards.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the NEO would constitute “parachute payments” within the meaning of Section 280G of the Code, and could be subject to the related excise tax, the NEO would be entitled to receive either full payment of benefits or such lesser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which would result in no portion of the benefits being subject to the excise tax, whichever results in the greater amount of after-tax benefits to the NEO.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severance agreements do not provide for any Section 280G-related tax gross-up payments from us.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each severance agreement, “cause” generally means the applicable NEO’s:</w:t>
      </w:r>
    </w:p>
    <w:p>
      <w:pPr>
        <w:spacing w:after="0" w:line="131" w:lineRule="exact"/>
        <w:rPr>
          <w:sz w:val="20"/>
          <w:szCs w:val="20"/>
          <w:color w:val="auto"/>
        </w:rPr>
      </w:pPr>
    </w:p>
    <w:p>
      <w:pPr>
        <w:ind w:left="1080" w:right="16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 criminal offense involving moral turpitude or dishonesty, theft or fraud against us or any of our affiliates or any of our customers, suppliers, licensors, licensees, employees or other business relations, which has or reasonably could have a material negative effect on us or any of our affiliates;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 repeated failure to perform duties as reasonably directed;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with respect to us or any of our affiliates or any of our customers, suppliers, licensors, licensees, employees or other business relations;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fiduciary duty with respect to us or any of our affiliates, customers, suppliers, licensors, licensees, employees or other business relations, which has or reasonably could have a material negative effect on us or any of our affiliates;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conduct causing us or any of our affiliates substantial public disgrace or disrepute or substantial economic harm;</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aiding or abetting a competitor, supplier or customer of ours or any of our affiliates to the material disadvantage or detriment of us and our affiliates;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to observe our policies or standards regarding employment practices as in effect from time to time;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cooperate in good faith with a governmental or internal investigation of us or our directors, officers or employees if we or our board of directors has requested the NEO’s cooperation.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Under each severance agreement, “good reason” generally means that the NEO resigns his employment with us within 90 days following the end of our cure period discussed below as a result of any of the following that occurs without the NEO’s written consent:</w:t>
      </w:r>
    </w:p>
    <w:p>
      <w:pPr>
        <w:spacing w:after="0" w:line="67" w:lineRule="exact"/>
        <w:rPr>
          <w:sz w:val="20"/>
          <w:szCs w:val="20"/>
          <w:color w:val="auto"/>
        </w:rPr>
      </w:pPr>
    </w:p>
    <w:p>
      <w:pPr>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NEO’s base salary as in effect immediately prior to such reduction (in other words, a reduction of at least 10%), provided that an across-the-board reduction in the salary level of all other similarly situated employees by the same percentage amount as part of a general salary level reduction would not constitute such a reduction;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NEO’s principal work location to a principal work location more than 35 miles from the NEO’s then present location;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us to obtain assumption of the severance agreement by any successor of ours in accordance with the terms of the agreement;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us of the severance agreement or any other written agreement between the NEO and us, relating to any material terms of the NEO’s employment with us.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order to qualify as “good reason,” the NEO must provide us with written notice of the acts or omissions constituting the grounds for good reason within 90 days following the initial existence of the grounds for good reason, and we must have failed to cure such event within 30 days after receipt of such notice.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82"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56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2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5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11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40" w:type="dxa"/>
            <w:vAlign w:val="bottom"/>
            <w:gridSpan w:val="4"/>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8"/>
                <w:szCs w:val="8"/>
                <w:b w:val="1"/>
                <w:bCs w:val="1"/>
                <w:color w:val="auto"/>
              </w:rPr>
              <w:t>(1)</w:t>
            </w:r>
          </w:p>
        </w:tc>
        <w:tc>
          <w:tcPr>
            <w:tcW w:w="60" w:type="dxa"/>
            <w:vAlign w:val="bottom"/>
          </w:tcPr>
          <w:p>
            <w:pPr>
              <w:spacing w:after="0"/>
              <w:rPr>
                <w:sz w:val="15"/>
                <w:szCs w:val="15"/>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43"/>
        </w:trPr>
        <w:tc>
          <w:tcPr>
            <w:tcW w:w="6440" w:type="dxa"/>
            <w:vAlign w:val="bottom"/>
            <w:tcBorders>
              <w:top w:val="single" w:sz="8" w:color="CDE8F5"/>
            </w:tcBorders>
            <w:gridSpan w:val="3"/>
            <w:shd w:val="clear" w:color="auto" w:fill="CDE8F5"/>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0" w:type="dxa"/>
            <w:vAlign w:val="bottom"/>
            <w:tcBorders>
              <w:top w:val="single" w:sz="8" w:color="CDE8F5"/>
            </w:tcBorders>
            <w:shd w:val="clear" w:color="auto" w:fill="CDE8F5"/>
          </w:tcPr>
          <w:p>
            <w:pPr>
              <w:spacing w:after="0"/>
              <w:rPr>
                <w:sz w:val="21"/>
                <w:szCs w:val="21"/>
                <w:color w:val="auto"/>
              </w:rPr>
            </w:pPr>
          </w:p>
        </w:tc>
        <w:tc>
          <w:tcPr>
            <w:tcW w:w="680" w:type="dxa"/>
            <w:vAlign w:val="bottom"/>
            <w:tcBorders>
              <w:top w:val="single" w:sz="8" w:color="auto"/>
            </w:tcBorders>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w w:val="95"/>
              </w:rPr>
              <w:t>Class A</w:t>
            </w:r>
          </w:p>
        </w:tc>
        <w:tc>
          <w:tcPr>
            <w:tcW w:w="180" w:type="dxa"/>
            <w:vAlign w:val="bottom"/>
            <w:tcBorders>
              <w:top w:val="single" w:sz="8" w:color="CDE8F5"/>
            </w:tcBorders>
            <w:shd w:val="clear" w:color="auto" w:fill="CDE8F5"/>
          </w:tcPr>
          <w:p>
            <w:pPr>
              <w:spacing w:after="0"/>
              <w:rPr>
                <w:sz w:val="21"/>
                <w:szCs w:val="21"/>
                <w:color w:val="auto"/>
              </w:rPr>
            </w:pPr>
          </w:p>
        </w:tc>
        <w:tc>
          <w:tcPr>
            <w:tcW w:w="1020" w:type="dxa"/>
            <w:vAlign w:val="bottom"/>
            <w:tcBorders>
              <w:top w:val="single" w:sz="8" w:color="auto"/>
            </w:tcBorders>
            <w:gridSpan w:val="3"/>
            <w:shd w:val="clear" w:color="auto" w:fill="CDE8F5"/>
          </w:tcPr>
          <w:p>
            <w:pPr>
              <w:ind w:left="120"/>
              <w:spacing w:after="0" w:line="244" w:lineRule="exact"/>
              <w:rPr>
                <w:sz w:val="20"/>
                <w:szCs w:val="20"/>
                <w:color w:val="auto"/>
              </w:rPr>
            </w:pPr>
            <w:r>
              <w:rPr>
                <w:rFonts w:ascii="Times New Roman" w:cs="Times New Roman" w:eastAsia="Times New Roman" w:hAnsi="Times New Roman"/>
                <w:sz w:val="18"/>
                <w:szCs w:val="18"/>
                <w:color w:val="auto"/>
                <w:w w:val="98"/>
              </w:rPr>
              <w:t>2,766,276</w:t>
            </w:r>
            <w:r>
              <w:rPr>
                <w:rFonts w:ascii="Times New Roman" w:cs="Times New Roman" w:eastAsia="Times New Roman" w:hAnsi="Times New Roman"/>
                <w:sz w:val="22"/>
                <w:szCs w:val="22"/>
                <w:color w:val="auto"/>
                <w:w w:val="98"/>
                <w:vertAlign w:val="superscript"/>
              </w:rPr>
              <w:t>(2)</w:t>
            </w:r>
          </w:p>
        </w:tc>
        <w:tc>
          <w:tcPr>
            <w:tcW w:w="160" w:type="dxa"/>
            <w:vAlign w:val="bottom"/>
            <w:tcBorders>
              <w:top w:val="single" w:sz="8" w:color="CDE8F5"/>
            </w:tcBorders>
            <w:shd w:val="clear" w:color="auto" w:fill="CDE8F5"/>
          </w:tcPr>
          <w:p>
            <w:pPr>
              <w:spacing w:after="0"/>
              <w:rPr>
                <w:sz w:val="21"/>
                <w:szCs w:val="21"/>
                <w:color w:val="auto"/>
              </w:rPr>
            </w:pPr>
          </w:p>
        </w:tc>
        <w:tc>
          <w:tcPr>
            <w:tcW w:w="380" w:type="dxa"/>
            <w:vAlign w:val="bottom"/>
            <w:tcBorders>
              <w:top w:val="single" w:sz="8" w:color="auto"/>
            </w:tcBorders>
            <w:shd w:val="clear" w:color="auto" w:fill="CDE8F5"/>
          </w:tcPr>
          <w:p>
            <w:pPr>
              <w:spacing w:after="0"/>
              <w:rPr>
                <w:sz w:val="21"/>
                <w:szCs w:val="21"/>
                <w:color w:val="auto"/>
              </w:rPr>
            </w:pPr>
          </w:p>
        </w:tc>
        <w:tc>
          <w:tcPr>
            <w:tcW w:w="680" w:type="dxa"/>
            <w:vAlign w:val="bottom"/>
            <w:tcBorders>
              <w:top w:val="single" w:sz="8" w:color="auto"/>
            </w:tcBorders>
            <w:gridSpan w:val="2"/>
            <w:shd w:val="clear" w:color="auto" w:fill="CDE8F5"/>
          </w:tcPr>
          <w:p>
            <w:pPr>
              <w:jc w:val="center"/>
              <w:ind w:right="1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CDE8F5"/>
            </w:tcBorders>
            <w:shd w:val="clear" w:color="auto" w:fill="CDE8F5"/>
          </w:tcPr>
          <w:p>
            <w:pPr>
              <w:spacing w:after="0"/>
              <w:rPr>
                <w:sz w:val="21"/>
                <w:szCs w:val="21"/>
                <w:color w:val="auto"/>
              </w:rPr>
            </w:pPr>
          </w:p>
        </w:tc>
        <w:tc>
          <w:tcPr>
            <w:tcW w:w="1120" w:type="dxa"/>
            <w:vAlign w:val="bottom"/>
            <w:tcBorders>
              <w:top w:val="single" w:sz="8" w:color="auto"/>
            </w:tcBorders>
            <w:gridSpan w:val="3"/>
            <w:shd w:val="clear" w:color="auto" w:fill="CDE8F5"/>
          </w:tcPr>
          <w:p>
            <w:pPr>
              <w:ind w:left="120"/>
              <w:spacing w:after="0" w:line="244" w:lineRule="exact"/>
              <w:rPr>
                <w:sz w:val="20"/>
                <w:szCs w:val="20"/>
                <w:color w:val="auto"/>
              </w:rPr>
            </w:pPr>
            <w:r>
              <w:rPr>
                <w:rFonts w:ascii="Times New Roman" w:cs="Times New Roman" w:eastAsia="Times New Roman" w:hAnsi="Times New Roman"/>
                <w:sz w:val="18"/>
                <w:szCs w:val="18"/>
                <w:color w:val="auto"/>
                <w:w w:val="99"/>
              </w:rPr>
              <w:t>25,509,855</w:t>
            </w:r>
            <w:r>
              <w:rPr>
                <w:rFonts w:ascii="Times New Roman" w:cs="Times New Roman" w:eastAsia="Times New Roman" w:hAnsi="Times New Roman"/>
                <w:sz w:val="22"/>
                <w:szCs w:val="22"/>
                <w:color w:val="auto"/>
                <w:w w:val="99"/>
                <w:vertAlign w:val="superscript"/>
              </w:rPr>
              <w:t>(2)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3,443,585</w:t>
            </w:r>
            <w:r>
              <w:rPr>
                <w:rFonts w:ascii="Times New Roman" w:cs="Times New Roman" w:eastAsia="Times New Roman" w:hAnsi="Times New Roman"/>
                <w:sz w:val="22"/>
                <w:szCs w:val="22"/>
                <w:color w:val="auto"/>
                <w:w w:val="98"/>
                <w:vertAlign w:val="superscript"/>
              </w:rPr>
              <w:t>(3)</w:t>
            </w:r>
          </w:p>
        </w:tc>
        <w:tc>
          <w:tcPr>
            <w:tcW w:w="16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6440" w:type="dxa"/>
            <w:vAlign w:val="bottom"/>
            <w:gridSpan w:val="3"/>
            <w:shd w:val="clear" w:color="auto" w:fill="CDE8F5"/>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 w:type="dxa"/>
            <w:vAlign w:val="bottom"/>
            <w:shd w:val="clear" w:color="auto" w:fill="CDE8F5"/>
          </w:tcPr>
          <w:p>
            <w:pPr>
              <w:spacing w:after="0"/>
              <w:rPr>
                <w:sz w:val="23"/>
                <w:szCs w:val="23"/>
                <w:color w:val="auto"/>
              </w:rPr>
            </w:pPr>
          </w:p>
        </w:tc>
        <w:tc>
          <w:tcPr>
            <w:tcW w:w="860" w:type="dxa"/>
            <w:vAlign w:val="bottom"/>
            <w:gridSpan w:val="2"/>
            <w:shd w:val="clear" w:color="auto" w:fill="CDE8F5"/>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DE8F5"/>
          </w:tcPr>
          <w:p>
            <w:pPr>
              <w:spacing w:after="0"/>
              <w:rPr>
                <w:sz w:val="23"/>
                <w:szCs w:val="23"/>
                <w:color w:val="auto"/>
              </w:rPr>
            </w:pPr>
          </w:p>
        </w:tc>
        <w:tc>
          <w:tcPr>
            <w:tcW w:w="800" w:type="dxa"/>
            <w:vAlign w:val="bottom"/>
            <w:tcBorders>
              <w:bottom w:val="single" w:sz="8" w:color="auto"/>
            </w:tcBorders>
            <w:shd w:val="clear" w:color="auto" w:fill="CDE8F5"/>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DE8F5"/>
          </w:tcPr>
          <w:p>
            <w:pPr>
              <w:spacing w:after="0"/>
              <w:rPr>
                <w:sz w:val="23"/>
                <w:szCs w:val="23"/>
                <w:color w:val="auto"/>
              </w:rPr>
            </w:pPr>
          </w:p>
        </w:tc>
        <w:tc>
          <w:tcPr>
            <w:tcW w:w="380" w:type="dxa"/>
            <w:vAlign w:val="bottom"/>
            <w:shd w:val="clear" w:color="auto" w:fill="CDE8F5"/>
          </w:tcPr>
          <w:p>
            <w:pPr>
              <w:spacing w:after="0"/>
              <w:rPr>
                <w:sz w:val="23"/>
                <w:szCs w:val="23"/>
                <w:color w:val="auto"/>
              </w:rPr>
            </w:pPr>
          </w:p>
        </w:tc>
        <w:tc>
          <w:tcPr>
            <w:tcW w:w="420" w:type="dxa"/>
            <w:vAlign w:val="bottom"/>
            <w:tcBorders>
              <w:bottom w:val="single" w:sz="8" w:color="auto"/>
            </w:tcBorders>
            <w:shd w:val="clear" w:color="auto" w:fill="CDE8F5"/>
          </w:tcPr>
          <w:p>
            <w:pPr>
              <w:jc w:val="center"/>
              <w:ind w:left="1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gridSpan w:val="2"/>
            <w:shd w:val="clear" w:color="auto" w:fill="CDE8F5"/>
          </w:tcPr>
          <w:p>
            <w:pPr>
              <w:spacing w:after="0"/>
              <w:rPr>
                <w:sz w:val="23"/>
                <w:szCs w:val="23"/>
                <w:color w:val="auto"/>
              </w:rPr>
            </w:pPr>
          </w:p>
        </w:tc>
        <w:tc>
          <w:tcPr>
            <w:tcW w:w="60" w:type="dxa"/>
            <w:vAlign w:val="bottom"/>
            <w:shd w:val="clear" w:color="auto" w:fill="CDE8F5"/>
          </w:tcPr>
          <w:p>
            <w:pPr>
              <w:spacing w:after="0"/>
              <w:rPr>
                <w:sz w:val="23"/>
                <w:szCs w:val="23"/>
                <w:color w:val="auto"/>
              </w:rPr>
            </w:pPr>
          </w:p>
        </w:tc>
        <w:tc>
          <w:tcPr>
            <w:tcW w:w="860" w:type="dxa"/>
            <w:vAlign w:val="bottom"/>
            <w:tcBorders>
              <w:bottom w:val="single" w:sz="8" w:color="auto"/>
            </w:tcBorders>
            <w:shd w:val="clear" w:color="auto" w:fill="CDE8F5"/>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6,209,861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left="144"/>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25,509,855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5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It does not take into account the shares of our Class A common stock underlying restricted stock units, which have no exercise price. There were no outstanding options to purchase Class A common stock as of December 31, 2025.</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2021 Plan. Our 2021 Plan provides that on January 1 of each fiscal year commencing in 2022, the number of shares authorized for issuance under the 2021 Plan is automatically increased by a number equal to the least of (subject to adjustment upon changes in our capitalization as provided in the 2021 Plan) (i) 12,551,000 shares, (ii) 4% of the outstanding shares of all classes of our common stock as of the last day of the immediately preceding fiscal year and (iii) such number of shares as the administrator of the 2021 Plan may determine no later than the last day of our immediately preceding fiscal year. Pursuant to the terms of the 2021 Plan, this evergreen provision will operate until May 15, 2031, unless the 2021 Plan is terminated before that date. On January 1, 2026, the number of shares of Class A common stock available for issuance under the 2021 Plan increased by 5,023,249 shares pursuant to this provision. The increase is not reflected in the table above.</w:t>
      </w:r>
    </w:p>
    <w:p>
      <w:pPr>
        <w:spacing w:after="0" w:line="2" w:lineRule="exact"/>
        <w:rPr>
          <w:rFonts w:ascii="Times New Roman" w:cs="Times New Roman" w:eastAsia="Times New Roman" w:hAnsi="Times New Roman"/>
          <w:sz w:val="18"/>
          <w:szCs w:val="18"/>
          <w:color w:val="auto"/>
        </w:rPr>
      </w:pPr>
    </w:p>
    <w:p>
      <w:pPr>
        <w:jc w:val="both"/>
        <w:ind w:left="540" w:right="40" w:hanging="424"/>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2012 Equity Incentive Plan, or the 2012 Plan. The 2012 Plan was terminated as to the grant of future awards prior to the effectiveness of our registration statement in connection with our IPO, and since then we have not granted any additional awards under the 2012 Plan. However, the 2012 Plan continues to govern the terms and conditions of the outstanding awards previously granted under the 2012 Plan.</w:t>
      </w: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generally grant equity awards in the first quarter of our fiscal year; however, we only grant time-based RSUs and do not grant stock options or similar awards as part of our equity grants. In special circumstances, including the hiring or promotion of an individual or where the compensation committee determines it is in our best interest, the compensation committee may approve grants of RSUs at times other than the first quarter of the fiscal year. The compensation committee does not take into account material nonpublic information in determining the timing and terms of RSUs, and we have not timed the disclosure of material nonpublic information for the purposes of affecting the value of executive compensation.</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stock options were issued to executive officers in 2025 during any period beginning four business days before the filing of a periodic report or current report disclosing material non-public information and ending one business day after the filing or furnishing of such report with the SEC.</w:t>
      </w: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vs. Performance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section is the Pay versus Performance disclosure required by the SEC. The tabular disclosure below includes the SEC-defined “Compensation Actually Paid,” or CAP, for our principal executive officer, or PEO, and the average CAP for our other NEOs for each of the most recent three fiscal years. Because of the changes in value of unvested equity awards, the CAP does not represent amounts actually paid to or earned by those individuals. The disclosure also presents information regarding total shareholder return and financial performance metrics. Amounts referencing the Summary Compensation Table, or SCT, can be found on page 45.</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continue"/>
          </w:tcPr>
          <w:p>
            <w:pPr>
              <w:spacing w:after="0"/>
              <w:rPr>
                <w:sz w:val="12"/>
                <w:szCs w:val="12"/>
                <w:color w:val="auto"/>
              </w:rPr>
            </w:pP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SCT Total</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(SCT)</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9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 for PEO</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(CAP) to PEO</w:t>
            </w: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 in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260" w:type="dxa"/>
            <w:vAlign w:val="bottom"/>
            <w:gridSpan w:val="2"/>
          </w:tcPr>
          <w:p>
            <w:pPr>
              <w:jc w:val="center"/>
              <w:ind w:left="5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3"/>
                <w:szCs w:val="13"/>
                <w:color w:val="auto"/>
              </w:rPr>
            </w:pPr>
          </w:p>
        </w:tc>
        <w:tc>
          <w:tcPr>
            <w:tcW w:w="9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(1)</w:t>
            </w:r>
          </w:p>
        </w:tc>
        <w:tc>
          <w:tcPr>
            <w:tcW w:w="10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(3)</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(TSR)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(4)</w:t>
            </w:r>
          </w:p>
        </w:tc>
        <w:tc>
          <w:tcPr>
            <w:tcW w:w="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Return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(5)</w:t>
            </w:r>
          </w:p>
        </w:tc>
        <w:tc>
          <w:tcPr>
            <w:tcW w:w="7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8"/>
                <w:szCs w:val="8"/>
                <w:b w:val="1"/>
                <w:bCs w:val="1"/>
                <w:color w:val="auto"/>
              </w:rPr>
              <w:t>(6)</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shd w:val="clear" w:color="auto" w:fill="CDE8F5"/>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DE8F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40" w:type="dxa"/>
            <w:vAlign w:val="bottom"/>
            <w:gridSpan w:val="2"/>
            <w:vMerge w:val="continue"/>
            <w:shd w:val="clear" w:color="auto" w:fill="CDE8F5"/>
          </w:tcPr>
          <w:p>
            <w:pPr>
              <w:spacing w:after="0"/>
              <w:rPr>
                <w:sz w:val="21"/>
                <w:szCs w:val="21"/>
                <w:color w:val="auto"/>
              </w:rPr>
            </w:pPr>
          </w:p>
        </w:tc>
        <w:tc>
          <w:tcPr>
            <w:tcW w:w="140" w:type="dxa"/>
            <w:vAlign w:val="bottom"/>
            <w:shd w:val="clear" w:color="auto" w:fill="CDE8F5"/>
          </w:tcPr>
          <w:p>
            <w:pPr>
              <w:spacing w:after="0"/>
              <w:rPr>
                <w:sz w:val="21"/>
                <w:szCs w:val="21"/>
                <w:color w:val="auto"/>
              </w:rPr>
            </w:pPr>
          </w:p>
        </w:tc>
        <w:tc>
          <w:tcPr>
            <w:tcW w:w="1120" w:type="dxa"/>
            <w:vAlign w:val="bottom"/>
            <w:shd w:val="clear" w:color="auto" w:fill="CDE8F5"/>
          </w:tcPr>
          <w:p>
            <w:pPr>
              <w:jc w:val="right"/>
              <w:spacing w:after="0" w:line="244" w:lineRule="exact"/>
              <w:rPr>
                <w:sz w:val="20"/>
                <w:szCs w:val="20"/>
                <w:color w:val="auto"/>
              </w:rPr>
            </w:pPr>
            <w:r>
              <w:rPr>
                <w:rFonts w:ascii="Times New Roman" w:cs="Times New Roman" w:eastAsia="Times New Roman" w:hAnsi="Times New Roman"/>
                <w:sz w:val="18"/>
                <w:szCs w:val="18"/>
                <w:color w:val="auto"/>
              </w:rPr>
              <w:t>35,629,806</w:t>
            </w:r>
            <w:r>
              <w:rPr>
                <w:rFonts w:ascii="Times New Roman" w:cs="Times New Roman" w:eastAsia="Times New Roman" w:hAnsi="Times New Roman"/>
                <w:sz w:val="22"/>
                <w:szCs w:val="22"/>
                <w:color w:val="auto"/>
                <w:vertAlign w:val="superscript"/>
              </w:rPr>
              <w:t>(2)</w:t>
            </w:r>
          </w:p>
        </w:tc>
        <w:tc>
          <w:tcPr>
            <w:tcW w:w="120" w:type="dxa"/>
            <w:vAlign w:val="bottom"/>
            <w:shd w:val="clear" w:color="auto" w:fill="CDE8F5"/>
          </w:tcPr>
          <w:p>
            <w:pPr>
              <w:spacing w:after="0"/>
              <w:rPr>
                <w:sz w:val="21"/>
                <w:szCs w:val="21"/>
                <w:color w:val="auto"/>
              </w:rPr>
            </w:pPr>
          </w:p>
        </w:tc>
        <w:tc>
          <w:tcPr>
            <w:tcW w:w="1100" w:type="dxa"/>
            <w:vAlign w:val="bottom"/>
            <w:shd w:val="clear" w:color="auto" w:fill="CDE8F5"/>
          </w:tcPr>
          <w:p>
            <w:pPr>
              <w:jc w:val="right"/>
              <w:spacing w:after="0" w:line="244" w:lineRule="exact"/>
              <w:rPr>
                <w:sz w:val="20"/>
                <w:szCs w:val="20"/>
                <w:color w:val="auto"/>
              </w:rPr>
            </w:pPr>
            <w:r>
              <w:rPr>
                <w:rFonts w:ascii="Times New Roman" w:cs="Times New Roman" w:eastAsia="Times New Roman" w:hAnsi="Times New Roman"/>
                <w:sz w:val="18"/>
                <w:szCs w:val="18"/>
                <w:color w:val="auto"/>
              </w:rPr>
              <w:t>36,969,744</w:t>
            </w:r>
            <w:r>
              <w:rPr>
                <w:rFonts w:ascii="Times New Roman" w:cs="Times New Roman" w:eastAsia="Times New Roman" w:hAnsi="Times New Roman"/>
                <w:sz w:val="22"/>
                <w:szCs w:val="22"/>
                <w:color w:val="auto"/>
                <w:vertAlign w:val="superscript"/>
              </w:rPr>
              <w:t>(2)</w:t>
            </w:r>
          </w:p>
        </w:tc>
        <w:tc>
          <w:tcPr>
            <w:tcW w:w="120" w:type="dxa"/>
            <w:vAlign w:val="bottom"/>
            <w:shd w:val="clear" w:color="auto" w:fill="CDE8F5"/>
          </w:tcPr>
          <w:p>
            <w:pPr>
              <w:spacing w:after="0"/>
              <w:rPr>
                <w:sz w:val="21"/>
                <w:szCs w:val="21"/>
                <w:color w:val="auto"/>
              </w:rPr>
            </w:pPr>
          </w:p>
        </w:tc>
        <w:tc>
          <w:tcPr>
            <w:tcW w:w="840" w:type="dxa"/>
            <w:vAlign w:val="bottom"/>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w w:val="97"/>
              </w:rPr>
              <w:t>2,520,918</w:t>
            </w:r>
          </w:p>
        </w:tc>
        <w:tc>
          <w:tcPr>
            <w:tcW w:w="120" w:type="dxa"/>
            <w:vAlign w:val="bottom"/>
            <w:shd w:val="clear" w:color="auto" w:fill="CDE8F5"/>
          </w:tcPr>
          <w:p>
            <w:pPr>
              <w:spacing w:after="0"/>
              <w:rPr>
                <w:sz w:val="21"/>
                <w:szCs w:val="21"/>
                <w:color w:val="auto"/>
              </w:rPr>
            </w:pPr>
          </w:p>
        </w:tc>
        <w:tc>
          <w:tcPr>
            <w:tcW w:w="90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2,632,944</w:t>
            </w:r>
          </w:p>
        </w:tc>
        <w:tc>
          <w:tcPr>
            <w:tcW w:w="120" w:type="dxa"/>
            <w:vAlign w:val="bottom"/>
            <w:shd w:val="clear" w:color="auto" w:fill="CDE8F5"/>
          </w:tcPr>
          <w:p>
            <w:pPr>
              <w:spacing w:after="0"/>
              <w:rPr>
                <w:sz w:val="21"/>
                <w:szCs w:val="21"/>
                <w:color w:val="auto"/>
              </w:rPr>
            </w:pPr>
          </w:p>
        </w:tc>
        <w:tc>
          <w:tcPr>
            <w:tcW w:w="760" w:type="dxa"/>
            <w:vAlign w:val="bottom"/>
            <w:shd w:val="clear" w:color="auto" w:fill="CDE8F5"/>
          </w:tcPr>
          <w:p>
            <w:pPr>
              <w:jc w:val="right"/>
              <w:ind w:right="23"/>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DE8F5"/>
          </w:tcPr>
          <w:p>
            <w:pPr>
              <w:spacing w:after="0"/>
              <w:rPr>
                <w:sz w:val="21"/>
                <w:szCs w:val="21"/>
                <w:color w:val="auto"/>
              </w:rPr>
            </w:pPr>
          </w:p>
        </w:tc>
        <w:tc>
          <w:tcPr>
            <w:tcW w:w="780" w:type="dxa"/>
            <w:vAlign w:val="bottom"/>
            <w:shd w:val="clear" w:color="auto" w:fill="CDE8F5"/>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DE8F5"/>
          </w:tcPr>
          <w:p>
            <w:pPr>
              <w:spacing w:after="0"/>
              <w:rPr>
                <w:sz w:val="21"/>
                <w:szCs w:val="21"/>
                <w:color w:val="auto"/>
              </w:rPr>
            </w:pPr>
          </w:p>
        </w:tc>
        <w:tc>
          <w:tcPr>
            <w:tcW w:w="76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6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304"/>
        </w:trPr>
        <w:tc>
          <w:tcPr>
            <w:tcW w:w="3240" w:type="dxa"/>
            <w:vAlign w:val="bottom"/>
            <w:tcBorders>
              <w:bottom w:val="single" w:sz="8" w:color="CDE8F5"/>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CDE8F5"/>
            </w:tcBorders>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1,209,210</w:t>
            </w:r>
          </w:p>
        </w:tc>
        <w:tc>
          <w:tcPr>
            <w:tcW w:w="120" w:type="dxa"/>
            <w:vAlign w:val="bottom"/>
            <w:tcBorders>
              <w:bottom w:val="single" w:sz="8" w:color="CDE8F5"/>
            </w:tcBorders>
          </w:tcPr>
          <w:p>
            <w:pPr>
              <w:spacing w:after="0"/>
              <w:rPr>
                <w:sz w:val="24"/>
                <w:szCs w:val="24"/>
                <w:color w:val="auto"/>
              </w:rPr>
            </w:pPr>
          </w:p>
        </w:tc>
        <w:tc>
          <w:tcPr>
            <w:tcW w:w="1100" w:type="dxa"/>
            <w:vAlign w:val="bottom"/>
            <w:tcBorders>
              <w:bottom w:val="single" w:sz="8" w:color="CDE8F5"/>
            </w:tcBorders>
          </w:tcPr>
          <w:p>
            <w:pPr>
              <w:jc w:val="right"/>
              <w:ind w:right="100"/>
              <w:spacing w:after="0"/>
              <w:rPr>
                <w:sz w:val="20"/>
                <w:szCs w:val="20"/>
                <w:color w:val="auto"/>
              </w:rPr>
            </w:pPr>
            <w:r>
              <w:rPr>
                <w:rFonts w:ascii="Times New Roman" w:cs="Times New Roman" w:eastAsia="Times New Roman" w:hAnsi="Times New Roman"/>
                <w:sz w:val="18"/>
                <w:szCs w:val="18"/>
                <w:color w:val="auto"/>
              </w:rPr>
              <w:t>1,408,052</w:t>
            </w:r>
          </w:p>
        </w:tc>
        <w:tc>
          <w:tcPr>
            <w:tcW w:w="120" w:type="dxa"/>
            <w:vAlign w:val="bottom"/>
            <w:tcBorders>
              <w:bottom w:val="single" w:sz="8" w:color="CDE8F5"/>
            </w:tcBorders>
          </w:tcPr>
          <w:p>
            <w:pPr>
              <w:spacing w:after="0"/>
              <w:rPr>
                <w:sz w:val="24"/>
                <w:szCs w:val="24"/>
                <w:color w:val="auto"/>
              </w:rPr>
            </w:pPr>
          </w:p>
        </w:tc>
        <w:tc>
          <w:tcPr>
            <w:tcW w:w="960" w:type="dxa"/>
            <w:vAlign w:val="bottom"/>
            <w:tcBorders>
              <w:bottom w:val="single" w:sz="8" w:color="CDE8F5"/>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3,002,578</w:t>
            </w:r>
          </w:p>
        </w:tc>
        <w:tc>
          <w:tcPr>
            <w:tcW w:w="1020" w:type="dxa"/>
            <w:vAlign w:val="bottom"/>
            <w:tcBorders>
              <w:bottom w:val="single" w:sz="8" w:color="CDE8F5"/>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7,205,210</w:t>
            </w:r>
          </w:p>
        </w:tc>
        <w:tc>
          <w:tcPr>
            <w:tcW w:w="760" w:type="dxa"/>
            <w:vAlign w:val="bottom"/>
            <w:tcBorders>
              <w:bottom w:val="single" w:sz="8" w:color="CDE8F5"/>
            </w:tcBorders>
          </w:tcPr>
          <w:p>
            <w:pPr>
              <w:jc w:val="right"/>
              <w:ind w:right="23"/>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DE8F5"/>
            </w:tcBorders>
          </w:tcPr>
          <w:p>
            <w:pPr>
              <w:spacing w:after="0"/>
              <w:rPr>
                <w:sz w:val="24"/>
                <w:szCs w:val="24"/>
                <w:color w:val="auto"/>
              </w:rPr>
            </w:pPr>
          </w:p>
        </w:tc>
        <w:tc>
          <w:tcPr>
            <w:tcW w:w="780" w:type="dxa"/>
            <w:vAlign w:val="bottom"/>
            <w:tcBorders>
              <w:bottom w:val="single" w:sz="8" w:color="CDE8F5"/>
            </w:tcBorders>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DE8F5"/>
            </w:tcBorders>
          </w:tcPr>
          <w:p>
            <w:pPr>
              <w:spacing w:after="0"/>
              <w:rPr>
                <w:sz w:val="24"/>
                <w:szCs w:val="24"/>
                <w:color w:val="auto"/>
              </w:rPr>
            </w:pPr>
          </w:p>
        </w:tc>
        <w:tc>
          <w:tcPr>
            <w:tcW w:w="760" w:type="dxa"/>
            <w:vAlign w:val="bottom"/>
            <w:tcBorders>
              <w:bottom w:val="single" w:sz="8" w:color="CDE8F5"/>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660" w:type="dxa"/>
            <w:vAlign w:val="bottom"/>
            <w:tcBorders>
              <w:bottom w:val="single" w:sz="8" w:color="CDE8F5"/>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gridSpan w:val="2"/>
            <w:shd w:val="clear" w:color="auto" w:fill="CDE8F5"/>
          </w:tcPr>
          <w:p>
            <w:pPr>
              <w:jc w:val="right"/>
              <w:ind w:right="124"/>
              <w:spacing w:after="0"/>
              <w:rPr>
                <w:sz w:val="20"/>
                <w:szCs w:val="20"/>
                <w:color w:val="auto"/>
              </w:rPr>
            </w:pPr>
            <w:r>
              <w:rPr>
                <w:rFonts w:ascii="Times New Roman" w:cs="Times New Roman" w:eastAsia="Times New Roman" w:hAnsi="Times New Roman"/>
                <w:sz w:val="18"/>
                <w:szCs w:val="18"/>
                <w:color w:val="auto"/>
              </w:rPr>
              <w:t>1,121,188</w:t>
            </w:r>
          </w:p>
        </w:tc>
        <w:tc>
          <w:tcPr>
            <w:tcW w:w="120" w:type="dxa"/>
            <w:vAlign w:val="bottom"/>
            <w:shd w:val="clear" w:color="auto" w:fill="CDE8F5"/>
          </w:tcPr>
          <w:p>
            <w:pPr>
              <w:spacing w:after="0"/>
              <w:rPr>
                <w:sz w:val="18"/>
                <w:szCs w:val="18"/>
                <w:color w:val="auto"/>
              </w:rPr>
            </w:pPr>
          </w:p>
        </w:tc>
        <w:tc>
          <w:tcPr>
            <w:tcW w:w="1100" w:type="dxa"/>
            <w:vAlign w:val="bottom"/>
            <w:shd w:val="clear" w:color="auto" w:fill="CDE8F5"/>
          </w:tcPr>
          <w:p>
            <w:pPr>
              <w:jc w:val="right"/>
              <w:ind w:right="100"/>
              <w:spacing w:after="0"/>
              <w:rPr>
                <w:sz w:val="20"/>
                <w:szCs w:val="20"/>
                <w:color w:val="auto"/>
              </w:rPr>
            </w:pPr>
            <w:r>
              <w:rPr>
                <w:rFonts w:ascii="Times New Roman" w:cs="Times New Roman" w:eastAsia="Times New Roman" w:hAnsi="Times New Roman"/>
                <w:sz w:val="18"/>
                <w:szCs w:val="18"/>
                <w:color w:val="auto"/>
              </w:rPr>
              <w:t>1,722,672</w:t>
            </w:r>
          </w:p>
        </w:tc>
        <w:tc>
          <w:tcPr>
            <w:tcW w:w="120" w:type="dxa"/>
            <w:vAlign w:val="bottom"/>
            <w:shd w:val="clear" w:color="auto" w:fill="CDE8F5"/>
          </w:tcPr>
          <w:p>
            <w:pPr>
              <w:spacing w:after="0"/>
              <w:rPr>
                <w:sz w:val="18"/>
                <w:szCs w:val="18"/>
                <w:color w:val="auto"/>
              </w:rPr>
            </w:pPr>
          </w:p>
        </w:tc>
        <w:tc>
          <w:tcPr>
            <w:tcW w:w="960" w:type="dxa"/>
            <w:vAlign w:val="bottom"/>
            <w:gridSpan w:val="2"/>
            <w:shd w:val="clear" w:color="auto" w:fill="CDE8F5"/>
          </w:tcPr>
          <w:p>
            <w:pPr>
              <w:ind w:left="120"/>
              <w:spacing w:after="0"/>
              <w:rPr>
                <w:sz w:val="20"/>
                <w:szCs w:val="20"/>
                <w:color w:val="auto"/>
              </w:rPr>
            </w:pPr>
            <w:r>
              <w:rPr>
                <w:rFonts w:ascii="Times New Roman" w:cs="Times New Roman" w:eastAsia="Times New Roman" w:hAnsi="Times New Roman"/>
                <w:sz w:val="18"/>
                <w:szCs w:val="18"/>
                <w:color w:val="auto"/>
              </w:rPr>
              <w:t>3,005,440</w:t>
            </w:r>
          </w:p>
        </w:tc>
        <w:tc>
          <w:tcPr>
            <w:tcW w:w="102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5,684,945</w:t>
            </w:r>
          </w:p>
        </w:tc>
        <w:tc>
          <w:tcPr>
            <w:tcW w:w="760" w:type="dxa"/>
            <w:vAlign w:val="bottom"/>
            <w:shd w:val="clear" w:color="auto" w:fill="CDE8F5"/>
          </w:tcPr>
          <w:p>
            <w:pPr>
              <w:jc w:val="right"/>
              <w:ind w:right="23"/>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DE8F5"/>
          </w:tcPr>
          <w:p>
            <w:pPr>
              <w:spacing w:after="0"/>
              <w:rPr>
                <w:sz w:val="18"/>
                <w:szCs w:val="18"/>
                <w:color w:val="auto"/>
              </w:rPr>
            </w:pPr>
          </w:p>
        </w:tc>
        <w:tc>
          <w:tcPr>
            <w:tcW w:w="780" w:type="dxa"/>
            <w:vAlign w:val="bottom"/>
            <w:shd w:val="clear" w:color="auto" w:fill="CDE8F5"/>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DE8F5"/>
          </w:tcPr>
          <w:p>
            <w:pPr>
              <w:spacing w:after="0"/>
              <w:rPr>
                <w:sz w:val="18"/>
                <w:szCs w:val="18"/>
                <w:color w:val="auto"/>
              </w:rPr>
            </w:pPr>
          </w:p>
        </w:tc>
        <w:tc>
          <w:tcPr>
            <w:tcW w:w="76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540" w:right="74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Sharma, President and CEO, is the principal executive officer, or PEO, for each year represented. The other NEOs represented in the Non-PEO average amounts above are:</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Messrs. Kalra, Portocalis and Gerber</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Messrs. Kalra and Portocalis</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Messrs. Kalra and Gerber</w:t>
      </w:r>
    </w:p>
    <w:p>
      <w:pPr>
        <w:spacing w:after="0" w:line="130"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one-time RSU grant to Mr. Sharma, as described in the section titled “Executive Compensation—Compensation Discussion and Analysis—Elements of Executive Compensation—Long-Term Incentives—CEO Long-Term Incentive.”</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does not mean that our NEOs actually earned, realized or received those amounts in the listed year. To calculate CAP, the following amounts were deducted from and added to the SCT total compensation for the PEO and Non-PEO NEOs, respectively: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Reconciliation of SCT Total Compensation to CAP for PEO</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17"/>
        </w:trPr>
        <w:tc>
          <w:tcPr>
            <w:tcW w:w="74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328"/>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0"/>
                <w:szCs w:val="10"/>
                <w:color w:val="auto"/>
              </w:rPr>
            </w:pPr>
          </w:p>
        </w:tc>
      </w:tr>
      <w:tr>
        <w:trPr>
          <w:trHeight w:val="173"/>
        </w:trPr>
        <w:tc>
          <w:tcPr>
            <w:tcW w:w="7480" w:type="dxa"/>
            <w:vAlign w:val="bottom"/>
            <w:tcBorders>
              <w:bottom w:val="single" w:sz="8" w:color="CDE8F5"/>
            </w:tcBorders>
          </w:tcPr>
          <w:p>
            <w:pPr>
              <w:spacing w:after="0"/>
              <w:rPr>
                <w:sz w:val="15"/>
                <w:szCs w:val="15"/>
                <w:color w:val="auto"/>
              </w:rPr>
            </w:pPr>
          </w:p>
        </w:tc>
        <w:tc>
          <w:tcPr>
            <w:tcW w:w="100" w:type="dxa"/>
            <w:vAlign w:val="bottom"/>
            <w:tcBorders>
              <w:bottom w:val="single" w:sz="8" w:color="CDE8F5"/>
            </w:tcBorders>
          </w:tcPr>
          <w:p>
            <w:pPr>
              <w:spacing w:after="0"/>
              <w:rPr>
                <w:sz w:val="15"/>
                <w:szCs w:val="15"/>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DE8F5"/>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DE8F5"/>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DE8F5"/>
            </w:tcBorders>
          </w:tcPr>
          <w:p>
            <w:pPr>
              <w:spacing w:after="0"/>
              <w:rPr>
                <w:sz w:val="15"/>
                <w:szCs w:val="15"/>
                <w:color w:val="auto"/>
              </w:rPr>
            </w:pPr>
          </w:p>
        </w:tc>
      </w:tr>
      <w:tr>
        <w:trPr>
          <w:trHeight w:val="250"/>
        </w:trPr>
        <w:tc>
          <w:tcPr>
            <w:tcW w:w="748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420" w:type="dxa"/>
            <w:vAlign w:val="bottom"/>
            <w:gridSpan w:val="3"/>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35,629,806</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1,209,210</w:t>
            </w:r>
          </w:p>
        </w:tc>
        <w:tc>
          <w:tcPr>
            <w:tcW w:w="10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1,121,188</w:t>
            </w: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48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Grant Date Fair Value of Stock Awards Reported in SCT</w:t>
            </w:r>
          </w:p>
        </w:tc>
        <w:tc>
          <w:tcPr>
            <w:tcW w:w="1420" w:type="dxa"/>
            <w:vAlign w:val="bottom"/>
            <w:gridSpan w:val="3"/>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(34,232,000)</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48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Year-End Fair Value for Unvested Stock Awards Granted During the Year</w:t>
            </w:r>
          </w:p>
        </w:tc>
        <w:tc>
          <w:tcPr>
            <w:tcW w:w="1420" w:type="dxa"/>
            <w:vAlign w:val="bottom"/>
            <w:gridSpan w:val="3"/>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30,405,375</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Vesting Date for Stock Awards Granted and Vesting During the Year</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5,166,563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748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Increase (Decrease) in Fair Value During the Year for Unvested Option Awards Granted in Prior Years</w:t>
            </w:r>
          </w:p>
        </w:tc>
        <w:tc>
          <w:tcPr>
            <w:tcW w:w="1420" w:type="dxa"/>
            <w:vAlign w:val="bottom"/>
            <w:gridSpan w:val="3"/>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429,081</w:t>
            </w:r>
          </w:p>
        </w:tc>
      </w:tr>
      <w:tr>
        <w:trPr>
          <w:trHeight w:val="25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Fair Value from Prior Year Year-End to Vesting Date for Prior Years’ Option</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that Vested During Year</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198,842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172,403</w:t>
            </w:r>
          </w:p>
        </w:tc>
      </w:tr>
      <w:tr>
        <w:trPr>
          <w:trHeight w:val="270"/>
        </w:trPr>
        <w:tc>
          <w:tcPr>
            <w:tcW w:w="748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CAP</w:t>
            </w:r>
          </w:p>
        </w:tc>
        <w:tc>
          <w:tcPr>
            <w:tcW w:w="1420" w:type="dxa"/>
            <w:vAlign w:val="bottom"/>
            <w:gridSpan w:val="3"/>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36,969,744</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1,408,052</w:t>
            </w:r>
          </w:p>
        </w:tc>
        <w:tc>
          <w:tcPr>
            <w:tcW w:w="10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1,722,672</w:t>
            </w:r>
          </w:p>
        </w:tc>
      </w:tr>
      <w:tr>
        <w:trPr>
          <w:trHeight w:val="365"/>
        </w:trPr>
        <w:tc>
          <w:tcPr>
            <w:tcW w:w="748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Reconciliation of SCT Total Compensation to CAP for Average Non-PEO NEOs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17"/>
        </w:trPr>
        <w:tc>
          <w:tcPr>
            <w:tcW w:w="73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r>
      <w:tr>
        <w:trPr>
          <w:trHeight w:val="173"/>
        </w:trPr>
        <w:tc>
          <w:tcPr>
            <w:tcW w:w="7360" w:type="dxa"/>
            <w:vAlign w:val="bottom"/>
            <w:tcBorders>
              <w:bottom w:val="single" w:sz="8" w:color="CDE8F5"/>
            </w:tcBorders>
          </w:tcPr>
          <w:p>
            <w:pPr>
              <w:spacing w:after="0"/>
              <w:rPr>
                <w:sz w:val="15"/>
                <w:szCs w:val="15"/>
                <w:color w:val="auto"/>
              </w:rPr>
            </w:pPr>
          </w:p>
        </w:tc>
        <w:tc>
          <w:tcPr>
            <w:tcW w:w="120" w:type="dxa"/>
            <w:vAlign w:val="bottom"/>
            <w:tcBorders>
              <w:bottom w:val="single" w:sz="8" w:color="CDE8F5"/>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DE8F5"/>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DE8F5"/>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DE8F5"/>
            </w:tcBorders>
          </w:tcPr>
          <w:p>
            <w:pPr>
              <w:spacing w:after="0"/>
              <w:rPr>
                <w:sz w:val="15"/>
                <w:szCs w:val="15"/>
                <w:color w:val="auto"/>
              </w:rPr>
            </w:pPr>
          </w:p>
        </w:tc>
      </w:tr>
      <w:tr>
        <w:trPr>
          <w:trHeight w:val="250"/>
        </w:trPr>
        <w:tc>
          <w:tcPr>
            <w:tcW w:w="73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320" w:type="dxa"/>
            <w:vAlign w:val="bottom"/>
            <w:gridSpan w:val="3"/>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2,520,918</w:t>
            </w:r>
          </w:p>
        </w:tc>
        <w:tc>
          <w:tcPr>
            <w:tcW w:w="1200" w:type="dxa"/>
            <w:vAlign w:val="bottom"/>
            <w:gridSpan w:val="2"/>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3,002,578</w:t>
            </w:r>
          </w:p>
        </w:tc>
        <w:tc>
          <w:tcPr>
            <w:tcW w:w="1140" w:type="dxa"/>
            <w:vAlign w:val="bottom"/>
            <w:gridSpan w:val="2"/>
            <w:shd w:val="clear" w:color="auto" w:fill="CDE8F5"/>
          </w:tcPr>
          <w:p>
            <w:pPr>
              <w:jc w:val="right"/>
              <w:ind w:right="140"/>
              <w:spacing w:after="0"/>
              <w:rPr>
                <w:sz w:val="20"/>
                <w:szCs w:val="20"/>
                <w:color w:val="auto"/>
              </w:rPr>
            </w:pPr>
            <w:r>
              <w:rPr>
                <w:rFonts w:ascii="Times New Roman" w:cs="Times New Roman" w:eastAsia="Times New Roman" w:hAnsi="Times New Roman"/>
                <w:sz w:val="18"/>
                <w:szCs w:val="18"/>
                <w:color w:val="auto"/>
              </w:rPr>
              <w:t>3,005,440</w:t>
            </w: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70"/>
        </w:trPr>
        <w:tc>
          <w:tcPr>
            <w:tcW w:w="73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Grant Date Fair Value of Stock Awards Reported in SCT</w:t>
            </w:r>
          </w:p>
        </w:tc>
        <w:tc>
          <w:tcPr>
            <w:tcW w:w="132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(1,500,018)</w:t>
            </w:r>
          </w:p>
        </w:tc>
        <w:tc>
          <w:tcPr>
            <w:tcW w:w="1200" w:type="dxa"/>
            <w:vAlign w:val="bottom"/>
            <w:gridSpan w:val="2"/>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(2,000,011)</w:t>
            </w:r>
          </w:p>
        </w:tc>
        <w:tc>
          <w:tcPr>
            <w:tcW w:w="1140" w:type="dxa"/>
            <w:vAlign w:val="bottom"/>
            <w:gridSpan w:val="2"/>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(2,279,753)</w:t>
            </w: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70"/>
        </w:trPr>
        <w:tc>
          <w:tcPr>
            <w:tcW w:w="73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Year-End Fair Value for Unvested Stock Awards Granted During the Year</w:t>
            </w:r>
          </w:p>
        </w:tc>
        <w:tc>
          <w:tcPr>
            <w:tcW w:w="1320" w:type="dxa"/>
            <w:vAlign w:val="bottom"/>
            <w:gridSpan w:val="3"/>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1,621,683</w:t>
            </w:r>
          </w:p>
        </w:tc>
        <w:tc>
          <w:tcPr>
            <w:tcW w:w="1200" w:type="dxa"/>
            <w:vAlign w:val="bottom"/>
            <w:gridSpan w:val="2"/>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3,401,372</w:t>
            </w:r>
          </w:p>
        </w:tc>
        <w:tc>
          <w:tcPr>
            <w:tcW w:w="1140" w:type="dxa"/>
            <w:vAlign w:val="bottom"/>
            <w:gridSpan w:val="2"/>
            <w:shd w:val="clear" w:color="auto" w:fill="CDE8F5"/>
          </w:tcPr>
          <w:p>
            <w:pPr>
              <w:jc w:val="right"/>
              <w:ind w:right="140"/>
              <w:spacing w:after="0"/>
              <w:rPr>
                <w:sz w:val="20"/>
                <w:szCs w:val="20"/>
                <w:color w:val="auto"/>
              </w:rPr>
            </w:pPr>
            <w:r>
              <w:rPr>
                <w:rFonts w:ascii="Times New Roman" w:cs="Times New Roman" w:eastAsia="Times New Roman" w:hAnsi="Times New Roman"/>
                <w:sz w:val="18"/>
                <w:szCs w:val="18"/>
                <w:color w:val="auto"/>
              </w:rPr>
              <w:t>4,691,411</w:t>
            </w:r>
          </w:p>
        </w:tc>
      </w:tr>
      <w:tr>
        <w:trPr>
          <w:trHeight w:val="25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Fair Value During the Year for Unvested Option and Stock Awards Granted in</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(142,434)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2,505,492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230,127</w:t>
            </w:r>
          </w:p>
        </w:tc>
      </w:tr>
      <w:tr>
        <w:trPr>
          <w:trHeight w:val="252"/>
        </w:trPr>
        <w:tc>
          <w:tcPr>
            <w:tcW w:w="73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color w:val="auto"/>
              </w:rPr>
              <w:t>Increase (Decrease) in Fair Value from Prior Year Year-End to Vesting Date for Prior Years’ Option</w:t>
            </w:r>
          </w:p>
        </w:tc>
        <w:tc>
          <w:tcPr>
            <w:tcW w:w="120" w:type="dxa"/>
            <w:vAlign w:val="bottom"/>
            <w:shd w:val="clear" w:color="auto" w:fill="CDE8F5"/>
          </w:tcPr>
          <w:p>
            <w:pPr>
              <w:spacing w:after="0"/>
              <w:rPr>
                <w:sz w:val="21"/>
                <w:szCs w:val="21"/>
                <w:color w:val="auto"/>
              </w:rPr>
            </w:pPr>
          </w:p>
        </w:tc>
        <w:tc>
          <w:tcPr>
            <w:tcW w:w="960" w:type="dxa"/>
            <w:vAlign w:val="bottom"/>
            <w:shd w:val="clear" w:color="auto" w:fill="CDE8F5"/>
          </w:tcPr>
          <w:p>
            <w:pPr>
              <w:spacing w:after="0"/>
              <w:rPr>
                <w:sz w:val="21"/>
                <w:szCs w:val="21"/>
                <w:color w:val="auto"/>
              </w:rPr>
            </w:pPr>
          </w:p>
        </w:tc>
        <w:tc>
          <w:tcPr>
            <w:tcW w:w="240" w:type="dxa"/>
            <w:vAlign w:val="bottom"/>
            <w:shd w:val="clear" w:color="auto" w:fill="CDE8F5"/>
          </w:tcPr>
          <w:p>
            <w:pPr>
              <w:spacing w:after="0"/>
              <w:rPr>
                <w:sz w:val="21"/>
                <w:szCs w:val="21"/>
                <w:color w:val="auto"/>
              </w:rPr>
            </w:pPr>
          </w:p>
        </w:tc>
        <w:tc>
          <w:tcPr>
            <w:tcW w:w="960" w:type="dxa"/>
            <w:vAlign w:val="bottom"/>
            <w:shd w:val="clear" w:color="auto" w:fill="CDE8F5"/>
          </w:tcPr>
          <w:p>
            <w:pPr>
              <w:spacing w:after="0"/>
              <w:rPr>
                <w:sz w:val="21"/>
                <w:szCs w:val="21"/>
                <w:color w:val="auto"/>
              </w:rPr>
            </w:pPr>
          </w:p>
        </w:tc>
        <w:tc>
          <w:tcPr>
            <w:tcW w:w="240" w:type="dxa"/>
            <w:vAlign w:val="bottom"/>
            <w:shd w:val="clear" w:color="auto" w:fill="CDE8F5"/>
          </w:tcPr>
          <w:p>
            <w:pPr>
              <w:spacing w:after="0"/>
              <w:rPr>
                <w:sz w:val="21"/>
                <w:szCs w:val="21"/>
                <w:color w:val="auto"/>
              </w:rPr>
            </w:pPr>
          </w:p>
        </w:tc>
        <w:tc>
          <w:tcPr>
            <w:tcW w:w="1000" w:type="dxa"/>
            <w:vAlign w:val="bottom"/>
            <w:shd w:val="clear" w:color="auto" w:fill="CDE8F5"/>
          </w:tcPr>
          <w:p>
            <w:pPr>
              <w:spacing w:after="0"/>
              <w:rPr>
                <w:sz w:val="21"/>
                <w:szCs w:val="21"/>
                <w:color w:val="auto"/>
              </w:rPr>
            </w:pPr>
          </w:p>
        </w:tc>
        <w:tc>
          <w:tcPr>
            <w:tcW w:w="140" w:type="dxa"/>
            <w:vAlign w:val="bottom"/>
            <w:shd w:val="clear" w:color="auto" w:fill="CDE8F5"/>
          </w:tcPr>
          <w:p>
            <w:pPr>
              <w:spacing w:after="0"/>
              <w:rPr>
                <w:sz w:val="21"/>
                <w:szCs w:val="21"/>
                <w:color w:val="auto"/>
              </w:rPr>
            </w:pPr>
          </w:p>
        </w:tc>
      </w:tr>
      <w:tr>
        <w:trPr>
          <w:trHeight w:val="234"/>
        </w:trPr>
        <w:tc>
          <w:tcPr>
            <w:tcW w:w="7360" w:type="dxa"/>
            <w:vAlign w:val="bottom"/>
            <w:shd w:val="clear" w:color="auto" w:fill="CDE8F5"/>
          </w:tcPr>
          <w:p>
            <w:pPr>
              <w:ind w:left="180"/>
              <w:spacing w:after="0"/>
              <w:rPr>
                <w:sz w:val="20"/>
                <w:szCs w:val="20"/>
                <w:color w:val="auto"/>
              </w:rPr>
            </w:pPr>
            <w:r>
              <w:rPr>
                <w:rFonts w:ascii="Times New Roman" w:cs="Times New Roman" w:eastAsia="Times New Roman" w:hAnsi="Times New Roman"/>
                <w:sz w:val="18"/>
                <w:szCs w:val="18"/>
                <w:color w:val="auto"/>
              </w:rPr>
              <w:t>and Stock Awards that Vested During Year</w:t>
            </w:r>
          </w:p>
        </w:tc>
        <w:tc>
          <w:tcPr>
            <w:tcW w:w="1320" w:type="dxa"/>
            <w:vAlign w:val="bottom"/>
            <w:gridSpan w:val="3"/>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132,795</w:t>
            </w:r>
          </w:p>
        </w:tc>
        <w:tc>
          <w:tcPr>
            <w:tcW w:w="1200" w:type="dxa"/>
            <w:vAlign w:val="bottom"/>
            <w:gridSpan w:val="2"/>
            <w:shd w:val="clear" w:color="auto" w:fill="CDE8F5"/>
          </w:tcPr>
          <w:p>
            <w:pPr>
              <w:jc w:val="right"/>
              <w:ind w:right="240"/>
              <w:spacing w:after="0"/>
              <w:rPr>
                <w:sz w:val="20"/>
                <w:szCs w:val="20"/>
                <w:color w:val="auto"/>
              </w:rPr>
            </w:pPr>
            <w:r>
              <w:rPr>
                <w:rFonts w:ascii="Times New Roman" w:cs="Times New Roman" w:eastAsia="Times New Roman" w:hAnsi="Times New Roman"/>
                <w:sz w:val="18"/>
                <w:szCs w:val="18"/>
                <w:color w:val="auto"/>
              </w:rPr>
              <w:t>295,779</w:t>
            </w:r>
          </w:p>
        </w:tc>
        <w:tc>
          <w:tcPr>
            <w:tcW w:w="1140" w:type="dxa"/>
            <w:vAlign w:val="bottom"/>
            <w:gridSpan w:val="2"/>
            <w:shd w:val="clear" w:color="auto" w:fill="CDE8F5"/>
          </w:tcPr>
          <w:p>
            <w:pPr>
              <w:jc w:val="right"/>
              <w:ind w:right="140"/>
              <w:spacing w:after="0"/>
              <w:rPr>
                <w:sz w:val="20"/>
                <w:szCs w:val="20"/>
                <w:color w:val="auto"/>
              </w:rPr>
            </w:pPr>
            <w:r>
              <w:rPr>
                <w:rFonts w:ascii="Times New Roman" w:cs="Times New Roman" w:eastAsia="Times New Roman" w:hAnsi="Times New Roman"/>
                <w:sz w:val="18"/>
                <w:szCs w:val="18"/>
                <w:color w:val="auto"/>
              </w:rPr>
              <w:t>37,720</w:t>
            </w: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2,632,944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7,205,210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5,684,945</w:t>
            </w:r>
          </w:p>
        </w:tc>
      </w:tr>
    </w:tbl>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is calculated by assuming that a $100 investment was made on December 31, 2022.</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is the Standard and Poor’s 500 Information Technology Index, which is the peer group represented in Part II, Item 5 of our Annual Report on Form 10-K for each of the fiscal years shown in the table.</w:t>
      </w: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our GAAP net income as reflected in our audited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the Pay vs. Performance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items listed below represent the most important financial measures used to link executive compensation to our performance for 2025.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item is a separate metric within our 2025 Program, as further described beginning on page 38.</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Non-GAAP contribution profit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Adjusted EBITDA</w:t>
      </w:r>
    </w:p>
    <w:p>
      <w:pPr>
        <w:spacing w:after="0" w:line="22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graphs provide visual representations of the relationship between both the CAP of our PEO (CEO) and the average CAP of our non-PEO NEOs and our (i) TSR, (ii) Net Income and (iii) company-selected metric, Revenue, as well as depicting the relationship between our own TSR and a peer group TSR. The amounts shown for 2025 CEO CAP include the one-time RSU grant to Mr. Sharma described elsewhere in this proxy statement.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graph below illustrates the correlation between CAP and TSR of our common stock. The TSR amounts in the graph assume the investment of $100 on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131445</wp:posOffset>
            </wp:positionV>
            <wp:extent cx="5006340" cy="2802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0634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graph below compares the TSR for our common stock to the TSR of the Standard and Poor’s 500 Information Technology Index over a three-year period. The TSR amounts in the chart assume the investment of $100 on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68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9493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graph below compares our CAP to our Net Income. Net income is not a metric included, or otherwise a consideration, in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131445</wp:posOffset>
            </wp:positionV>
            <wp:extent cx="4749165" cy="3188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4916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80"/>
          </w:cols>
          <w:pgMar w:left="320" w:top="482"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graph below compares our CAP to our Revenue. Revenue is our company selected measure as required to be identified by the SEC and is one of the equally weighted measures in our annual cash incentive plan, the 2025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131445</wp:posOffset>
            </wp:positionV>
            <wp:extent cx="4749165" cy="3188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4916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capital stock as of April 9, 2026 by:</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any class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directors and nominees as a group.</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Sections 13(d) and 13(g) of the Exchange Act.</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62,936,502 shares of our Class A common stock and 62,852,835 shares of our Class B common stock outstanding as of April 9, 2026. We have deemed shares of our Class A common stock and Class B common stock subject to stock options that are currently exercisable or exercisable within 60 days of April 9, 2026 or issuable pursuant to RSUs which are subject to vesting and settlement conditions expected to occur within 60 days of April 9,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Paymentus Holdings, Inc., 11605 North Community House Road, Suite 300, Charlotte, North Carolina 28277.</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16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40" w:type="dxa"/>
            <w:vAlign w:val="bottom"/>
            <w:gridSpan w:val="3"/>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vMerge w:val="restart"/>
          </w:tcPr>
          <w:p>
            <w:pPr>
              <w:spacing w:after="0"/>
              <w:rPr>
                <w:sz w:val="6"/>
                <w:szCs w:val="6"/>
                <w:color w:val="auto"/>
              </w:rPr>
            </w:pPr>
          </w:p>
        </w:tc>
        <w:tc>
          <w:tcPr>
            <w:tcW w:w="2120" w:type="dxa"/>
            <w:vAlign w:val="bottom"/>
            <w:gridSpan w:val="3"/>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6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120" w:type="dxa"/>
            <w:vAlign w:val="bottom"/>
            <w:tcBorders>
              <w:bottom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7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43"/>
        </w:trPr>
        <w:tc>
          <w:tcPr>
            <w:tcW w:w="4340" w:type="dxa"/>
            <w:vAlign w:val="bottom"/>
            <w:tcBorders>
              <w:top w:val="single" w:sz="8" w:color="CDE8F5"/>
            </w:tcBorders>
            <w:gridSpan w:val="2"/>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240" w:type="dxa"/>
            <w:vAlign w:val="bottom"/>
            <w:tcBorders>
              <w:top w:val="single" w:sz="8" w:color="CDE8F5"/>
            </w:tcBorders>
            <w:shd w:val="clear" w:color="auto" w:fill="CDE8F5"/>
          </w:tcPr>
          <w:p>
            <w:pPr>
              <w:spacing w:after="0"/>
              <w:rPr>
                <w:sz w:val="21"/>
                <w:szCs w:val="21"/>
                <w:color w:val="auto"/>
              </w:rPr>
            </w:pPr>
          </w:p>
        </w:tc>
        <w:tc>
          <w:tcPr>
            <w:tcW w:w="840" w:type="dxa"/>
            <w:vAlign w:val="bottom"/>
            <w:tcBorders>
              <w:top w:val="single" w:sz="8" w:color="auto"/>
            </w:tcBorders>
            <w:shd w:val="clear" w:color="auto" w:fill="CDE8F5"/>
          </w:tcPr>
          <w:p>
            <w:pPr>
              <w:spacing w:after="0"/>
              <w:rPr>
                <w:sz w:val="21"/>
                <w:szCs w:val="21"/>
                <w:color w:val="auto"/>
              </w:rPr>
            </w:pPr>
          </w:p>
        </w:tc>
        <w:tc>
          <w:tcPr>
            <w:tcW w:w="180" w:type="dxa"/>
            <w:vAlign w:val="bottom"/>
            <w:tcBorders>
              <w:top w:val="single" w:sz="8" w:color="CDE8F5"/>
            </w:tcBorders>
            <w:shd w:val="clear" w:color="auto" w:fill="CDE8F5"/>
          </w:tcPr>
          <w:p>
            <w:pPr>
              <w:spacing w:after="0"/>
              <w:rPr>
                <w:sz w:val="21"/>
                <w:szCs w:val="21"/>
                <w:color w:val="auto"/>
              </w:rPr>
            </w:pPr>
          </w:p>
        </w:tc>
        <w:tc>
          <w:tcPr>
            <w:tcW w:w="1020" w:type="dxa"/>
            <w:vAlign w:val="bottom"/>
            <w:tcBorders>
              <w:top w:val="single" w:sz="8" w:color="auto"/>
            </w:tcBorders>
            <w:shd w:val="clear" w:color="auto" w:fill="CDE8F5"/>
          </w:tcPr>
          <w:p>
            <w:pPr>
              <w:spacing w:after="0"/>
              <w:rPr>
                <w:sz w:val="21"/>
                <w:szCs w:val="21"/>
                <w:color w:val="auto"/>
              </w:rPr>
            </w:pPr>
          </w:p>
        </w:tc>
        <w:tc>
          <w:tcPr>
            <w:tcW w:w="160" w:type="dxa"/>
            <w:vAlign w:val="bottom"/>
            <w:tcBorders>
              <w:top w:val="single" w:sz="8" w:color="CDE8F5"/>
            </w:tcBorders>
            <w:shd w:val="clear" w:color="auto" w:fill="CDE8F5"/>
          </w:tcPr>
          <w:p>
            <w:pPr>
              <w:spacing w:after="0"/>
              <w:rPr>
                <w:sz w:val="21"/>
                <w:szCs w:val="21"/>
                <w:color w:val="auto"/>
              </w:rPr>
            </w:pPr>
          </w:p>
        </w:tc>
        <w:tc>
          <w:tcPr>
            <w:tcW w:w="900" w:type="dxa"/>
            <w:vAlign w:val="bottom"/>
            <w:tcBorders>
              <w:top w:val="single" w:sz="8" w:color="auto"/>
            </w:tcBorders>
            <w:shd w:val="clear" w:color="auto" w:fill="CDE8F5"/>
          </w:tcPr>
          <w:p>
            <w:pPr>
              <w:spacing w:after="0"/>
              <w:rPr>
                <w:sz w:val="21"/>
                <w:szCs w:val="21"/>
                <w:color w:val="auto"/>
              </w:rPr>
            </w:pPr>
          </w:p>
        </w:tc>
        <w:tc>
          <w:tcPr>
            <w:tcW w:w="180" w:type="dxa"/>
            <w:vAlign w:val="bottom"/>
            <w:tcBorders>
              <w:top w:val="single" w:sz="8" w:color="CDE8F5"/>
            </w:tcBorders>
            <w:shd w:val="clear" w:color="auto" w:fill="CDE8F5"/>
          </w:tcPr>
          <w:p>
            <w:pPr>
              <w:spacing w:after="0"/>
              <w:rPr>
                <w:sz w:val="21"/>
                <w:szCs w:val="21"/>
                <w:color w:val="auto"/>
              </w:rPr>
            </w:pPr>
          </w:p>
        </w:tc>
        <w:tc>
          <w:tcPr>
            <w:tcW w:w="1040" w:type="dxa"/>
            <w:vAlign w:val="bottom"/>
            <w:tcBorders>
              <w:top w:val="single" w:sz="8" w:color="auto"/>
            </w:tcBorders>
            <w:shd w:val="clear" w:color="auto" w:fill="CDE8F5"/>
          </w:tcPr>
          <w:p>
            <w:pPr>
              <w:spacing w:after="0"/>
              <w:rPr>
                <w:sz w:val="21"/>
                <w:szCs w:val="21"/>
                <w:color w:val="auto"/>
              </w:rPr>
            </w:pPr>
          </w:p>
        </w:tc>
        <w:tc>
          <w:tcPr>
            <w:tcW w:w="140" w:type="dxa"/>
            <w:vAlign w:val="bottom"/>
            <w:tcBorders>
              <w:top w:val="single" w:sz="8" w:color="CDE8F5"/>
            </w:tcBorders>
            <w:shd w:val="clear" w:color="auto" w:fill="CDE8F5"/>
          </w:tcPr>
          <w:p>
            <w:pPr>
              <w:spacing w:after="0"/>
              <w:rPr>
                <w:sz w:val="21"/>
                <w:szCs w:val="21"/>
                <w:color w:val="auto"/>
              </w:rPr>
            </w:pPr>
          </w:p>
        </w:tc>
        <w:tc>
          <w:tcPr>
            <w:tcW w:w="980" w:type="dxa"/>
            <w:vAlign w:val="bottom"/>
            <w:tcBorders>
              <w:top w:val="single" w:sz="8" w:color="auto"/>
            </w:tcBorders>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AKKR Group</w:t>
            </w:r>
            <w:r>
              <w:rPr>
                <w:rFonts w:ascii="Times New Roman" w:cs="Times New Roman" w:eastAsia="Times New Roman" w:hAnsi="Times New Roman"/>
                <w:sz w:val="26"/>
                <w:szCs w:val="26"/>
                <w:color w:val="auto"/>
                <w:vertAlign w:val="superscript"/>
              </w:rPr>
              <w:t>(1)</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2,536,524</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40,013,248</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63.7%</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Capital International Investors</w:t>
            </w:r>
            <w:r>
              <w:rPr>
                <w:rFonts w:ascii="Times New Roman" w:cs="Times New Roman" w:eastAsia="Times New Roman" w:hAnsi="Times New Roman"/>
                <w:sz w:val="26"/>
                <w:szCs w:val="26"/>
                <w:color w:val="auto"/>
                <w:vertAlign w:val="superscript"/>
              </w:rPr>
              <w:t>(2)</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7,655,433</w:t>
            </w:r>
          </w:p>
        </w:tc>
        <w:tc>
          <w:tcPr>
            <w:tcW w:w="1020" w:type="dxa"/>
            <w:vAlign w:val="bottom"/>
            <w:shd w:val="clear" w:color="auto" w:fill="CDE8F5"/>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DE8F5"/>
          </w:tcPr>
          <w:p>
            <w:pPr>
              <w:spacing w:after="0"/>
              <w:rPr>
                <w:sz w:val="23"/>
                <w:szCs w:val="23"/>
                <w:color w:val="auto"/>
              </w:rPr>
            </w:pPr>
          </w:p>
        </w:tc>
        <w:tc>
          <w:tcPr>
            <w:tcW w:w="1080" w:type="dxa"/>
            <w:vAlign w:val="bottom"/>
            <w:gridSpan w:val="2"/>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DE8F5"/>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DE8F5"/>
          </w:tcPr>
          <w:p>
            <w:pPr>
              <w:jc w:val="right"/>
              <w:ind w:right="8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Wasatch Advisors LP</w:t>
            </w:r>
            <w:r>
              <w:rPr>
                <w:rFonts w:ascii="Times New Roman" w:cs="Times New Roman" w:eastAsia="Times New Roman" w:hAnsi="Times New Roman"/>
                <w:sz w:val="26"/>
                <w:szCs w:val="26"/>
                <w:color w:val="auto"/>
                <w:vertAlign w:val="superscript"/>
              </w:rPr>
              <w:t>(3)</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8,553,165</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43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40" w:type="dxa"/>
            <w:vAlign w:val="bottom"/>
            <w:shd w:val="clear" w:color="auto" w:fill="CDE8F5"/>
          </w:tcPr>
          <w:p>
            <w:pPr>
              <w:spacing w:after="0"/>
              <w:rPr>
                <w:sz w:val="24"/>
                <w:szCs w:val="24"/>
                <w:color w:val="auto"/>
              </w:rPr>
            </w:pPr>
          </w:p>
        </w:tc>
        <w:tc>
          <w:tcPr>
            <w:tcW w:w="840" w:type="dxa"/>
            <w:vAlign w:val="bottom"/>
            <w:shd w:val="clear" w:color="auto" w:fill="CDE8F5"/>
          </w:tcPr>
          <w:p>
            <w:pPr>
              <w:spacing w:after="0"/>
              <w:rPr>
                <w:sz w:val="24"/>
                <w:szCs w:val="24"/>
                <w:color w:val="auto"/>
              </w:rPr>
            </w:pPr>
          </w:p>
        </w:tc>
        <w:tc>
          <w:tcPr>
            <w:tcW w:w="180" w:type="dxa"/>
            <w:vAlign w:val="bottom"/>
            <w:shd w:val="clear" w:color="auto" w:fill="CDE8F5"/>
          </w:tcPr>
          <w:p>
            <w:pPr>
              <w:spacing w:after="0"/>
              <w:rPr>
                <w:sz w:val="24"/>
                <w:szCs w:val="24"/>
                <w:color w:val="auto"/>
              </w:rPr>
            </w:pPr>
          </w:p>
        </w:tc>
        <w:tc>
          <w:tcPr>
            <w:tcW w:w="1020" w:type="dxa"/>
            <w:vAlign w:val="bottom"/>
            <w:shd w:val="clear" w:color="auto" w:fill="CDE8F5"/>
          </w:tcPr>
          <w:p>
            <w:pPr>
              <w:spacing w:after="0"/>
              <w:rPr>
                <w:sz w:val="24"/>
                <w:szCs w:val="24"/>
                <w:color w:val="auto"/>
              </w:rPr>
            </w:pPr>
          </w:p>
        </w:tc>
        <w:tc>
          <w:tcPr>
            <w:tcW w:w="160" w:type="dxa"/>
            <w:vAlign w:val="bottom"/>
            <w:shd w:val="clear" w:color="auto" w:fill="CDE8F5"/>
          </w:tcPr>
          <w:p>
            <w:pPr>
              <w:spacing w:after="0"/>
              <w:rPr>
                <w:sz w:val="24"/>
                <w:szCs w:val="24"/>
                <w:color w:val="auto"/>
              </w:rPr>
            </w:pPr>
          </w:p>
        </w:tc>
        <w:tc>
          <w:tcPr>
            <w:tcW w:w="900" w:type="dxa"/>
            <w:vAlign w:val="bottom"/>
            <w:shd w:val="clear" w:color="auto" w:fill="CDE8F5"/>
          </w:tcPr>
          <w:p>
            <w:pPr>
              <w:spacing w:after="0"/>
              <w:rPr>
                <w:sz w:val="24"/>
                <w:szCs w:val="24"/>
                <w:color w:val="auto"/>
              </w:rPr>
            </w:pPr>
          </w:p>
        </w:tc>
        <w:tc>
          <w:tcPr>
            <w:tcW w:w="180" w:type="dxa"/>
            <w:vAlign w:val="bottom"/>
            <w:shd w:val="clear" w:color="auto" w:fill="CDE8F5"/>
          </w:tcPr>
          <w:p>
            <w:pPr>
              <w:spacing w:after="0"/>
              <w:rPr>
                <w:sz w:val="24"/>
                <w:szCs w:val="24"/>
                <w:color w:val="auto"/>
              </w:rPr>
            </w:pPr>
          </w:p>
        </w:tc>
        <w:tc>
          <w:tcPr>
            <w:tcW w:w="1040" w:type="dxa"/>
            <w:vAlign w:val="bottom"/>
            <w:shd w:val="clear" w:color="auto" w:fill="CDE8F5"/>
          </w:tcPr>
          <w:p>
            <w:pPr>
              <w:spacing w:after="0"/>
              <w:rPr>
                <w:sz w:val="24"/>
                <w:szCs w:val="24"/>
                <w:color w:val="auto"/>
              </w:rPr>
            </w:pPr>
          </w:p>
        </w:tc>
        <w:tc>
          <w:tcPr>
            <w:tcW w:w="140" w:type="dxa"/>
            <w:vAlign w:val="bottom"/>
            <w:shd w:val="clear" w:color="auto" w:fill="CDE8F5"/>
          </w:tcPr>
          <w:p>
            <w:pPr>
              <w:spacing w:after="0"/>
              <w:rPr>
                <w:sz w:val="24"/>
                <w:szCs w:val="24"/>
                <w:color w:val="auto"/>
              </w:rPr>
            </w:pPr>
          </w:p>
        </w:tc>
        <w:tc>
          <w:tcPr>
            <w:tcW w:w="980" w:type="dxa"/>
            <w:vAlign w:val="bottom"/>
            <w:shd w:val="clear" w:color="auto" w:fill="CDE8F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Dushyant Sharma</w:t>
            </w:r>
            <w:r>
              <w:rPr>
                <w:rFonts w:ascii="Times New Roman" w:cs="Times New Roman" w:eastAsia="Times New Roman" w:hAnsi="Times New Roman"/>
                <w:sz w:val="26"/>
                <w:szCs w:val="26"/>
                <w:color w:val="auto"/>
                <w:vertAlign w:val="superscript"/>
              </w:rPr>
              <w:t>(4)</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193,466</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22,635,893</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34.2%</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Sanjay Kalra</w:t>
            </w:r>
            <w:r>
              <w:rPr>
                <w:rFonts w:ascii="Times New Roman" w:cs="Times New Roman" w:eastAsia="Times New Roman" w:hAnsi="Times New Roman"/>
                <w:sz w:val="26"/>
                <w:szCs w:val="26"/>
                <w:color w:val="auto"/>
                <w:vertAlign w:val="superscript"/>
              </w:rPr>
              <w:t>(5)</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187,774</w:t>
            </w:r>
          </w:p>
        </w:tc>
        <w:tc>
          <w:tcPr>
            <w:tcW w:w="1020" w:type="dxa"/>
            <w:vAlign w:val="bottom"/>
            <w:shd w:val="clear" w:color="auto" w:fill="CDE8F5"/>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E8F5"/>
          </w:tcPr>
          <w:p>
            <w:pPr>
              <w:spacing w:after="0"/>
              <w:rPr>
                <w:sz w:val="23"/>
                <w:szCs w:val="23"/>
                <w:color w:val="auto"/>
              </w:rPr>
            </w:pPr>
          </w:p>
        </w:tc>
        <w:tc>
          <w:tcPr>
            <w:tcW w:w="1080" w:type="dxa"/>
            <w:vAlign w:val="bottom"/>
            <w:gridSpan w:val="2"/>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DE8F5"/>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DE8F5"/>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Gerasimos (Jerry) Portocalis</w:t>
            </w:r>
            <w:r>
              <w:rPr>
                <w:rFonts w:ascii="Times New Roman" w:cs="Times New Roman" w:eastAsia="Times New Roman" w:hAnsi="Times New Roman"/>
                <w:sz w:val="26"/>
                <w:szCs w:val="26"/>
                <w:color w:val="auto"/>
                <w:vertAlign w:val="superscript"/>
              </w:rPr>
              <w:t>(6)</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539,582</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818,898</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Andrew Gerber</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26,783</w:t>
            </w:r>
          </w:p>
        </w:tc>
        <w:tc>
          <w:tcPr>
            <w:tcW w:w="1020" w:type="dxa"/>
            <w:vAlign w:val="bottom"/>
            <w:shd w:val="clear" w:color="auto" w:fill="CDE8F5"/>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E8F5"/>
          </w:tcPr>
          <w:p>
            <w:pPr>
              <w:spacing w:after="0"/>
              <w:rPr>
                <w:sz w:val="23"/>
                <w:szCs w:val="23"/>
                <w:color w:val="auto"/>
              </w:rPr>
            </w:pPr>
          </w:p>
        </w:tc>
        <w:tc>
          <w:tcPr>
            <w:tcW w:w="1080" w:type="dxa"/>
            <w:vAlign w:val="bottom"/>
            <w:gridSpan w:val="2"/>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DE8F5"/>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DE8F5"/>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Jody Davids</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31,752</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William Ingram</w:t>
            </w:r>
            <w:r>
              <w:rPr>
                <w:rFonts w:ascii="Times New Roman" w:cs="Times New Roman" w:eastAsia="Times New Roman" w:hAnsi="Times New Roman"/>
                <w:sz w:val="26"/>
                <w:szCs w:val="26"/>
                <w:color w:val="auto"/>
                <w:vertAlign w:val="superscript"/>
              </w:rPr>
              <w:t>(7)</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73,963</w:t>
            </w:r>
          </w:p>
        </w:tc>
        <w:tc>
          <w:tcPr>
            <w:tcW w:w="1020" w:type="dxa"/>
            <w:vAlign w:val="bottom"/>
            <w:shd w:val="clear" w:color="auto" w:fill="CDE8F5"/>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E8F5"/>
          </w:tcPr>
          <w:p>
            <w:pPr>
              <w:spacing w:after="0"/>
              <w:rPr>
                <w:sz w:val="23"/>
                <w:szCs w:val="23"/>
                <w:color w:val="auto"/>
              </w:rPr>
            </w:pP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26,195</w:t>
            </w:r>
          </w:p>
        </w:tc>
        <w:tc>
          <w:tcPr>
            <w:tcW w:w="1040" w:type="dxa"/>
            <w:vAlign w:val="bottom"/>
            <w:shd w:val="clear" w:color="auto" w:fill="CDE8F5"/>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DE8F5"/>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Jason Klein</w:t>
            </w:r>
            <w:r>
              <w:rPr>
                <w:rFonts w:ascii="Times New Roman" w:cs="Times New Roman" w:eastAsia="Times New Roman" w:hAnsi="Times New Roman"/>
                <w:sz w:val="26"/>
                <w:szCs w:val="26"/>
                <w:color w:val="auto"/>
                <w:vertAlign w:val="superscript"/>
              </w:rPr>
              <w:t>(8)</w:t>
            </w:r>
          </w:p>
        </w:tc>
        <w:tc>
          <w:tcPr>
            <w:tcW w:w="1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2,171,003</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Adam Malinowski</w:t>
            </w:r>
          </w:p>
        </w:tc>
        <w:tc>
          <w:tcPr>
            <w:tcW w:w="1240" w:type="dxa"/>
            <w:vAlign w:val="bottom"/>
            <w:shd w:val="clear" w:color="auto" w:fill="CDE8F5"/>
          </w:tcPr>
          <w:p>
            <w:pPr>
              <w:spacing w:after="0"/>
              <w:rPr>
                <w:sz w:val="23"/>
                <w:szCs w:val="23"/>
                <w:color w:val="auto"/>
              </w:rPr>
            </w:pPr>
          </w:p>
        </w:tc>
        <w:tc>
          <w:tcPr>
            <w:tcW w:w="1020" w:type="dxa"/>
            <w:vAlign w:val="bottom"/>
            <w:gridSpan w:val="2"/>
            <w:shd w:val="clear" w:color="auto" w:fill="CDE8F5"/>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DE8F5"/>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201,547</w:t>
            </w:r>
          </w:p>
        </w:tc>
        <w:tc>
          <w:tcPr>
            <w:tcW w:w="1040" w:type="dxa"/>
            <w:vAlign w:val="bottom"/>
            <w:shd w:val="clear" w:color="auto" w:fill="CDE8F5"/>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DE8F5"/>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Oberoi</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28,907</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DE8F5"/>
          </w:tcPr>
          <w:p>
            <w:pPr>
              <w:spacing w:after="0" w:line="270" w:lineRule="exact"/>
              <w:rPr>
                <w:sz w:val="20"/>
                <w:szCs w:val="20"/>
                <w:color w:val="auto"/>
              </w:rPr>
            </w:pPr>
            <w:r>
              <w:rPr>
                <w:rFonts w:ascii="Times New Roman" w:cs="Times New Roman" w:eastAsia="Times New Roman" w:hAnsi="Times New Roman"/>
                <w:sz w:val="18"/>
                <w:szCs w:val="18"/>
                <w:color w:val="auto"/>
              </w:rPr>
              <w:t>Robert Palumbo</w:t>
            </w:r>
            <w:r>
              <w:rPr>
                <w:rFonts w:ascii="Times New Roman" w:cs="Times New Roman" w:eastAsia="Times New Roman" w:hAnsi="Times New Roman"/>
                <w:sz w:val="26"/>
                <w:szCs w:val="26"/>
                <w:color w:val="auto"/>
                <w:vertAlign w:val="superscript"/>
              </w:rPr>
              <w:t>(9)</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2,536,524</w:t>
            </w:r>
          </w:p>
        </w:tc>
        <w:tc>
          <w:tcPr>
            <w:tcW w:w="1020" w:type="dxa"/>
            <w:vAlign w:val="bottom"/>
            <w:shd w:val="clear" w:color="auto" w:fill="CDE8F5"/>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DE8F5"/>
          </w:tcPr>
          <w:p>
            <w:pPr>
              <w:spacing w:after="0"/>
              <w:rPr>
                <w:sz w:val="23"/>
                <w:szCs w:val="23"/>
                <w:color w:val="auto"/>
              </w:rPr>
            </w:pP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40,013,248</w:t>
            </w:r>
          </w:p>
        </w:tc>
        <w:tc>
          <w:tcPr>
            <w:tcW w:w="1040" w:type="dxa"/>
            <w:vAlign w:val="bottom"/>
            <w:shd w:val="clear" w:color="auto" w:fill="CDE8F5"/>
          </w:tcPr>
          <w:p>
            <w:pPr>
              <w:jc w:val="right"/>
              <w:ind w:right="91"/>
              <w:spacing w:after="0"/>
              <w:rPr>
                <w:sz w:val="20"/>
                <w:szCs w:val="20"/>
                <w:color w:val="auto"/>
              </w:rPr>
            </w:pPr>
            <w:r>
              <w:rPr>
                <w:rFonts w:ascii="Times New Roman" w:cs="Times New Roman" w:eastAsia="Times New Roman" w:hAnsi="Times New Roman"/>
                <w:sz w:val="18"/>
                <w:szCs w:val="18"/>
                <w:color w:val="auto"/>
              </w:rPr>
              <w:t>63.7%</w:t>
            </w:r>
          </w:p>
        </w:tc>
        <w:tc>
          <w:tcPr>
            <w:tcW w:w="1120" w:type="dxa"/>
            <w:vAlign w:val="bottom"/>
            <w:gridSpan w:val="2"/>
            <w:shd w:val="clear" w:color="auto" w:fill="CDE8F5"/>
          </w:tcPr>
          <w:p>
            <w:pPr>
              <w:jc w:val="right"/>
              <w:ind w:right="88"/>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0"/>
        </w:trPr>
        <w:tc>
          <w:tcPr>
            <w:tcW w:w="4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Gary Trainor</w:t>
            </w:r>
            <w:r>
              <w:rPr>
                <w:rFonts w:ascii="Times New Roman" w:cs="Times New Roman" w:eastAsia="Times New Roman" w:hAnsi="Times New Roman"/>
                <w:sz w:val="26"/>
                <w:szCs w:val="26"/>
                <w:color w:val="auto"/>
                <w:vertAlign w:val="superscript"/>
              </w:rPr>
              <w:t>(10)</w:t>
            </w:r>
          </w:p>
        </w:tc>
        <w:tc>
          <w:tcPr>
            <w:tcW w:w="2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669,888</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340" w:type="dxa"/>
            <w:vAlign w:val="bottom"/>
            <w:gridSpan w:val="2"/>
            <w:shd w:val="clear" w:color="auto" w:fill="CDE8F5"/>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240" w:type="dxa"/>
            <w:vAlign w:val="bottom"/>
            <w:shd w:val="clear" w:color="auto" w:fill="CDE8F5"/>
          </w:tcPr>
          <w:p>
            <w:pPr>
              <w:spacing w:after="0"/>
              <w:rPr>
                <w:sz w:val="21"/>
                <w:szCs w:val="21"/>
                <w:color w:val="auto"/>
              </w:rPr>
            </w:pPr>
          </w:p>
        </w:tc>
        <w:tc>
          <w:tcPr>
            <w:tcW w:w="840" w:type="dxa"/>
            <w:vAlign w:val="bottom"/>
            <w:shd w:val="clear" w:color="auto" w:fill="CDE8F5"/>
          </w:tcPr>
          <w:p>
            <w:pPr>
              <w:spacing w:after="0"/>
              <w:rPr>
                <w:sz w:val="21"/>
                <w:szCs w:val="21"/>
                <w:color w:val="auto"/>
              </w:rPr>
            </w:pPr>
          </w:p>
        </w:tc>
        <w:tc>
          <w:tcPr>
            <w:tcW w:w="180" w:type="dxa"/>
            <w:vAlign w:val="bottom"/>
            <w:shd w:val="clear" w:color="auto" w:fill="CDE8F5"/>
          </w:tcPr>
          <w:p>
            <w:pPr>
              <w:spacing w:after="0"/>
              <w:rPr>
                <w:sz w:val="21"/>
                <w:szCs w:val="21"/>
                <w:color w:val="auto"/>
              </w:rPr>
            </w:pPr>
          </w:p>
        </w:tc>
        <w:tc>
          <w:tcPr>
            <w:tcW w:w="1020" w:type="dxa"/>
            <w:vAlign w:val="bottom"/>
            <w:shd w:val="clear" w:color="auto" w:fill="CDE8F5"/>
          </w:tcPr>
          <w:p>
            <w:pPr>
              <w:spacing w:after="0"/>
              <w:rPr>
                <w:sz w:val="21"/>
                <w:szCs w:val="21"/>
                <w:color w:val="auto"/>
              </w:rPr>
            </w:pPr>
          </w:p>
        </w:tc>
        <w:tc>
          <w:tcPr>
            <w:tcW w:w="160" w:type="dxa"/>
            <w:vAlign w:val="bottom"/>
            <w:shd w:val="clear" w:color="auto" w:fill="CDE8F5"/>
          </w:tcPr>
          <w:p>
            <w:pPr>
              <w:spacing w:after="0"/>
              <w:rPr>
                <w:sz w:val="21"/>
                <w:szCs w:val="21"/>
                <w:color w:val="auto"/>
              </w:rPr>
            </w:pPr>
          </w:p>
        </w:tc>
        <w:tc>
          <w:tcPr>
            <w:tcW w:w="900" w:type="dxa"/>
            <w:vAlign w:val="bottom"/>
            <w:shd w:val="clear" w:color="auto" w:fill="CDE8F5"/>
          </w:tcPr>
          <w:p>
            <w:pPr>
              <w:spacing w:after="0"/>
              <w:rPr>
                <w:sz w:val="21"/>
                <w:szCs w:val="21"/>
                <w:color w:val="auto"/>
              </w:rPr>
            </w:pPr>
          </w:p>
        </w:tc>
        <w:tc>
          <w:tcPr>
            <w:tcW w:w="180" w:type="dxa"/>
            <w:vAlign w:val="bottom"/>
            <w:shd w:val="clear" w:color="auto" w:fill="CDE8F5"/>
          </w:tcPr>
          <w:p>
            <w:pPr>
              <w:spacing w:after="0"/>
              <w:rPr>
                <w:sz w:val="21"/>
                <w:szCs w:val="21"/>
                <w:color w:val="auto"/>
              </w:rPr>
            </w:pPr>
          </w:p>
        </w:tc>
        <w:tc>
          <w:tcPr>
            <w:tcW w:w="1040" w:type="dxa"/>
            <w:vAlign w:val="bottom"/>
            <w:shd w:val="clear" w:color="auto" w:fill="CDE8F5"/>
          </w:tcPr>
          <w:p>
            <w:pPr>
              <w:spacing w:after="0"/>
              <w:rPr>
                <w:sz w:val="21"/>
                <w:szCs w:val="21"/>
                <w:color w:val="auto"/>
              </w:rPr>
            </w:pPr>
          </w:p>
        </w:tc>
        <w:tc>
          <w:tcPr>
            <w:tcW w:w="140" w:type="dxa"/>
            <w:vAlign w:val="bottom"/>
            <w:shd w:val="clear" w:color="auto" w:fill="CDE8F5"/>
          </w:tcPr>
          <w:p>
            <w:pPr>
              <w:spacing w:after="0"/>
              <w:rPr>
                <w:sz w:val="21"/>
                <w:szCs w:val="21"/>
                <w:color w:val="auto"/>
              </w:rPr>
            </w:pPr>
          </w:p>
        </w:tc>
        <w:tc>
          <w:tcPr>
            <w:tcW w:w="980" w:type="dxa"/>
            <w:vAlign w:val="bottom"/>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gridSpan w:val="2"/>
            <w:shd w:val="clear" w:color="auto" w:fill="CDE8F5"/>
          </w:tcPr>
          <w:p>
            <w:pPr>
              <w:ind w:left="180"/>
              <w:spacing w:after="0" w:line="235" w:lineRule="exact"/>
              <w:rPr>
                <w:sz w:val="20"/>
                <w:szCs w:val="20"/>
                <w:color w:val="auto"/>
              </w:rPr>
            </w:pPr>
            <w:r>
              <w:rPr>
                <w:rFonts w:ascii="Times New Roman" w:cs="Times New Roman" w:eastAsia="Times New Roman" w:hAnsi="Times New Roman"/>
                <w:sz w:val="18"/>
                <w:szCs w:val="18"/>
                <w:color w:val="auto"/>
              </w:rPr>
              <w:t>(10 persons)</w:t>
            </w:r>
            <w:r>
              <w:rPr>
                <w:rFonts w:ascii="Times New Roman" w:cs="Times New Roman" w:eastAsia="Times New Roman" w:hAnsi="Times New Roman"/>
                <w:sz w:val="26"/>
                <w:szCs w:val="26"/>
                <w:color w:val="auto"/>
                <w:vertAlign w:val="superscript"/>
              </w:rPr>
              <w:t>(11)</w:t>
            </w:r>
          </w:p>
        </w:tc>
        <w:tc>
          <w:tcPr>
            <w:tcW w:w="2260" w:type="dxa"/>
            <w:vAlign w:val="bottom"/>
            <w:gridSpan w:val="3"/>
            <w:shd w:val="clear" w:color="auto" w:fill="CDE8F5"/>
          </w:tcPr>
          <w:p>
            <w:pPr>
              <w:jc w:val="right"/>
              <w:ind w:right="180"/>
              <w:spacing w:after="0"/>
              <w:rPr>
                <w:sz w:val="20"/>
                <w:szCs w:val="20"/>
                <w:color w:val="auto"/>
              </w:rPr>
            </w:pPr>
            <w:r>
              <w:rPr>
                <w:rFonts w:ascii="Times New Roman" w:cs="Times New Roman" w:eastAsia="Times New Roman" w:hAnsi="Times New Roman"/>
                <w:sz w:val="18"/>
                <w:szCs w:val="18"/>
                <w:color w:val="auto"/>
              </w:rPr>
              <w:t>4,261,856</w:t>
            </w:r>
          </w:p>
        </w:tc>
        <w:tc>
          <w:tcPr>
            <w:tcW w:w="1020" w:type="dxa"/>
            <w:vAlign w:val="bottom"/>
            <w:shd w:val="clear" w:color="auto" w:fill="CDE8F5"/>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DE8F5"/>
          </w:tcPr>
          <w:p>
            <w:pPr>
              <w:spacing w:after="0"/>
              <w:rPr>
                <w:sz w:val="20"/>
                <w:szCs w:val="20"/>
                <w:color w:val="auto"/>
              </w:rPr>
            </w:pPr>
          </w:p>
        </w:tc>
        <w:tc>
          <w:tcPr>
            <w:tcW w:w="1080" w:type="dxa"/>
            <w:vAlign w:val="bottom"/>
            <w:gridSpan w:val="2"/>
            <w:shd w:val="clear" w:color="auto" w:fill="CDE8F5"/>
          </w:tcPr>
          <w:p>
            <w:pPr>
              <w:jc w:val="right"/>
              <w:ind w:right="160"/>
              <w:spacing w:after="0"/>
              <w:rPr>
                <w:sz w:val="20"/>
                <w:szCs w:val="20"/>
                <w:color w:val="auto"/>
              </w:rPr>
            </w:pPr>
            <w:r>
              <w:rPr>
                <w:rFonts w:ascii="Times New Roman" w:cs="Times New Roman" w:eastAsia="Times New Roman" w:hAnsi="Times New Roman"/>
                <w:sz w:val="18"/>
                <w:szCs w:val="18"/>
                <w:color w:val="auto"/>
              </w:rPr>
              <w:t>65,866,784</w:t>
            </w:r>
          </w:p>
        </w:tc>
        <w:tc>
          <w:tcPr>
            <w:tcW w:w="1040" w:type="dxa"/>
            <w:vAlign w:val="bottom"/>
            <w:shd w:val="clear" w:color="auto" w:fill="CDE8F5"/>
          </w:tcPr>
          <w:p>
            <w:pPr>
              <w:jc w:val="right"/>
              <w:ind w:right="91"/>
              <w:spacing w:after="0"/>
              <w:rPr>
                <w:sz w:val="20"/>
                <w:szCs w:val="20"/>
                <w:color w:val="auto"/>
              </w:rPr>
            </w:pPr>
            <w:r>
              <w:rPr>
                <w:rFonts w:ascii="Times New Roman" w:cs="Times New Roman" w:eastAsia="Times New Roman" w:hAnsi="Times New Roman"/>
                <w:sz w:val="18"/>
                <w:szCs w:val="18"/>
                <w:color w:val="auto"/>
              </w:rPr>
              <w:t>99.5%</w:t>
            </w:r>
          </w:p>
        </w:tc>
        <w:tc>
          <w:tcPr>
            <w:tcW w:w="1120" w:type="dxa"/>
            <w:vAlign w:val="bottom"/>
            <w:gridSpan w:val="2"/>
            <w:shd w:val="clear" w:color="auto" w:fill="CDE8F5"/>
          </w:tcPr>
          <w:p>
            <w:pPr>
              <w:jc w:val="right"/>
              <w:ind w:right="88"/>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364"/>
        </w:trPr>
        <w:tc>
          <w:tcPr>
            <w:tcW w:w="1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common stock is convertible at any time by the holder into shares of Class A common stock on a one-for-one basis, such that each</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holder of Class B common stock beneficially owns an equivalent number of shares of Class A common stock.</w:t>
      </w:r>
    </w:p>
    <w:p>
      <w:pPr>
        <w:spacing w:after="0" w:line="9" w:lineRule="exact"/>
        <w:rPr>
          <w:sz w:val="20"/>
          <w:szCs w:val="20"/>
          <w:color w:val="auto"/>
        </w:rPr>
      </w:pPr>
    </w:p>
    <w:p>
      <w:pPr>
        <w:ind w:left="540" w:right="8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ten votes per share. The Class A common stock and Class B common stock vote together on all matters (including the election of directors) submitted to a vote of our stockholders, except under limited circumstances.</w:t>
      </w:r>
    </w:p>
    <w:p>
      <w:pPr>
        <w:spacing w:after="0" w:line="2" w:lineRule="exact"/>
        <w:rPr>
          <w:sz w:val="20"/>
          <w:szCs w:val="20"/>
          <w:color w:val="auto"/>
        </w:rPr>
      </w:pPr>
    </w:p>
    <w:p>
      <w:pPr>
        <w:ind w:left="5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on February 13, 2026 by the entities named in this footnote. According to this Schedule 13G/A, these shares consist of (a)(i) 2,245,886 shares of Class A common stock and (ii) 17,792,317 shares of Class B common stock held directly by Accel-KKR Capital Partners CV III, LP, or CV III; (b)(i) 94,546 shares of Class A common stock and (ii) 749,011 shares of Class B common stock held directly by Accel-KKR Growth Capital Partners III, LP, or GC III; (c)(i) 3,168 shares of Class A common stock and (ii) 25,100 shares of Class B common stock held directly by Accel-KKR Growth Capital Partners II Strategic Fund, LP, or GC II Strategic; (d)(i) 37,350 shares of Class A common stock and (ii) 295,905 shares of Class B common stock held directly by Accel-KKR Growth Capital Partners II, LP, or GC II; (e) 1,003,054 shares of Class B common stock held directly by Accel-KKR Members Fund, LLC, or Members Fund; (f) 3,668,256 shares of Class B common stock held directly by AKKR Strategic Capital LP, or SC; (g) 880,489 shares of Class B common stock held directly by AKKR SC GPI HoldCo LP, or SC GPI, and collectively with CV III, GC III, GC II Strategic, GC II, Members Fund and SC, the Accel-KKR Funds; (h) 155,574 shares of Class A common stock held directly by AKKR Fund II Management Company, LP, or Fund II GP; (i) 7,181,629 shares of Class B common stock held directly by Robert Palumbo, one of our directors; (j) 7,181,627 shares of Class B common stock held directly by Thomas Barnds; and (k) 1,235,860 shares of Class B common stock held directly by KKR-AKI Investors L.L.C., or KKR-AKI.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Accel-KKR Holdings GP, LLC, or Topco GP, is the sole managing member of UGP. Messrs. Barnds and Palumbo are the sole two directors and members of Topco GP. Fund II GP is the sole management company of each of the Accel-KKR Funds, and UGP is the general partner of Fund II GP. Consequently, Mr. Barnds, Mr. Palumbo, CV III GP, GC III GP, GC II GP, SC GP, UGP, Topco GP and Fund II GP may be deemed to have shared voting and dispositive power over the shares held by the Accel-KKR Funds. Pursuant to a Distribution and Voting Agreement, dated as of February 13, 2012, KKR-AKI is subject to a voting agreement with respect to the shares of Class B common stock that it holds and has granted UGP a proxy and attorney-in-fact, with full power of substitution, to vote all of its shares as required by such voting agreement if KKR-AKI does not comply with the terms thereof. The principal business address of entities and persons identified in this footnote is c/o Accel-KKR, 2180 Sand Hill Road, Suite 300, Menlo Park, CA 94025.</w:t>
      </w:r>
    </w:p>
    <w:p>
      <w:pPr>
        <w:spacing w:after="0" w:line="9"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on February 13, 2026, Capital International Investors, or CII, beneficially owns 7,655,433 shares of Class A common stock, with sole power to vote and dispose of all such shares. CII is a division of Capital Research and Management Company, or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The principal business address of CII is 333 South Hope Street, 55th Floor, Los Angeles, CA 90071.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24"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on February 11, 2026, Wasatch Advisors LP beneficially owns 8,553,165 shares of Class A common stock, with sole power to vote 5,884,179 and shares and dispose of all 8,553,165 shares. The principal address of Wasatch Advisors LP is 505 Wakara Way,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Salt Lake City, UT 84108.</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124,715 shares of Class A common stock held directly by Mr. Sharma; (b) 68,750 shares of Class A common stock underlying RSUs expected to vest within 60 days of April 9, 2026; (c) one share of Class A common stock held directly by Ashigrace; (d) 17,549,795 shares of Class B common stock held directly by Ashigrace; (e) 3,304,870 options to purchase shares of Class B common stock exercisable within 60 days of April 9, 2026 held directly by Ashigrace; (f) 1,152,560 shares of Class B common stock held by The Ruma Sharma Family Trust dated December 3, 2018, or the Ruma Sharma Trust; (g) 157,167 shares of Class B common stock held directly by The Sharma Family Trust A dated March 30, 2021, or Trust A; (h) 157,167 shares of Class B common stock held directly by The Sharma Family Trust B dated March 30, 2021, or Trust B; (i) 157,167 shares of Class B common stock held directly by The Sharma Family Trust C dated March 30, 2021, or Trust C; and (j) 157,167 shares of Class B common stock held directly by The Sharma Family Trust D dated March 30, 2021, or collectively with Trust A, Trust B and Trust C, the Sharma Family Trusts. Mr. Sharma is the sole manager of Ashigrace and has sole voting and dispositive power over the shares held by Ashigrace. Mr. Sharma serves as the trustee for the Ruma Sharma Trust, and Mr. Sharma’s spouse serves as the trustee for the Sharma Family Trusts. Mr. Sharma disclaims beneficial ownership of the shares held by the Sharma Family Trusts.</w:t>
      </w:r>
    </w:p>
    <w:p>
      <w:pPr>
        <w:spacing w:after="0" w:line="2"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151,576 shares of Class A common stock held directly by Mr. Kalra and (b) 36,198 shares of Class A common stock underlying RSUs expected to vest within 60 days of April 9, 2026.</w:t>
      </w:r>
    </w:p>
    <w:p>
      <w:pPr>
        <w:ind w:left="540" w:right="8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480,804 shares of Class A common stock held directly by Mr. Portocalis, (b) 11,159 shares of Class A common stock underlying RSUs expected to vest within 60 days of April 9, 2026, (c) 8,333 options to purchase shares of Class B common stock exercisable within 60 days of April 9, 2026, (d) 47,619 shares of Class A common stock held by Faliron Family Limited Partnership Ltd. and (e) 810,565 shares of Class B common stock held by Faliron Family Limited Partnership Ltd. Mr. Portocalis has sole voting and dispositive power over the shares held by Faliron Family Limited Partnership Ltd.</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73,963 shares of Class A common stock held directly by Mr. Ingram and (b) 26,195 options to purchase shares of Class B common stock exercisable within 60 days of April 9, 2026.</w:t>
      </w: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B common stock held by The Jason and Farah Klein Revocable Trust dated January 27, 2011.</w:t>
      </w:r>
    </w:p>
    <w:p>
      <w:pPr>
        <w:spacing w:after="0" w:line="9"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footnote (1) above. See footnote (1) regarding Mr. Palumbo’s relationship with the Accel-KKR Funds and KKR-AKI.</w:t>
      </w:r>
    </w:p>
    <w:p>
      <w:pPr>
        <w:ind w:left="540" w:right="34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669,888 shares of Class A common stock held directly by TF Investment Holdings LLC, or TF Investment. Mr. Trainor is the sole manager of TF Investment and has sole voting and dispositive power over the shares held by TF Investment.</w:t>
      </w:r>
    </w:p>
    <w:p>
      <w:pPr>
        <w:ind w:left="540" w:right="120" w:hanging="424"/>
        <w:spacing w:after="0" w:line="265" w:lineRule="auto"/>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current directors and executive officers, but excludes Mr. Gerber, who resigned effective April 6, 2026. Consists of (a) 4,145,749 shares of Class A common stock; (b) 116,107 shares of Class A common stock underlying RSUs expected to vest within 60 days of April 9, 2026;</w:t>
      </w:r>
    </w:p>
    <w:p>
      <w:pPr>
        <w:ind w:left="540" w:right="3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62,527,386 shares of Class B common stock; and (d) 3,339,398 options to purchase shares of Class B common stock exercisable within 60 days of April 9, 2026.</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certain of our officers and beneficial owners of more than 10% of our Class A common stock to file with the SEC reports of their initial ownership and changes in their ownership of our Class A common stock and other equity securities. Based solely on a review of copies of reports filed by the reporting persons furnished to us, and written representations from reporting persons, we believe that the reporting persons complied with all Section 16(a) filing requirements on a timely basis during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the beginning of our last fiscal year, and each currently proposed transaction, in which:</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our IPO in May 2021, we entered into a stockholders agreement with AKKR and Mr. Sharma, Ashigrace, which is an entity under the control of Mr. Sharma, and certain trusts affiliated with Mr. Sharma, which we collectively refer to as the Sharma parties. Among other things, the stockholders agreement provides that, for so long as AKKR or certain of its permitted transferees hold more of our outstanding common stock than the Sharma parties, AKKR will have the right to nominate (i) five directors to our board of directors for so long as AKKR beneficially owns at least</w:t>
      </w:r>
    </w:p>
    <w:p>
      <w:pPr>
        <w:spacing w:after="0" w:line="3"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10% of our outstanding common stock and (ii) two directors to our board of directors for so long as AKKR beneficially owns at least 5% but less than 10% of our outstanding common stock. Moreover, after such time as AKKR ceases to hold more of our outstanding common stock than the Sharma parties, AKKR will continue to have the right to nominate two directors to our board of directors until such time as AKKR ceases to beneficially own at least 5% of our outstanding common stock. In addition, for so long as the Sharma parties own at least 5% of our outstanding common stock or</w:t>
      </w:r>
    </w:p>
    <w:p>
      <w:pPr>
        <w:spacing w:after="0" w:line="2" w:lineRule="exact"/>
        <w:rPr>
          <w:sz w:val="20"/>
          <w:szCs w:val="20"/>
          <w:color w:val="auto"/>
        </w:rPr>
      </w:pPr>
    </w:p>
    <w:p>
      <w:pPr>
        <w:ind w:left="120" w:right="240"/>
        <w:spacing w:after="0" w:line="290" w:lineRule="auto"/>
        <w:rPr>
          <w:sz w:val="20"/>
          <w:szCs w:val="20"/>
          <w:color w:val="auto"/>
        </w:rPr>
      </w:pPr>
      <w:r>
        <w:rPr>
          <w:rFonts w:ascii="Times New Roman" w:cs="Times New Roman" w:eastAsia="Times New Roman" w:hAnsi="Times New Roman"/>
          <w:sz w:val="17"/>
          <w:szCs w:val="17"/>
          <w:color w:val="auto"/>
        </w:rPr>
        <w:t>Mr. Sharma serves as our chief executive officer, the Sharma parties will have the right to nominate Mr. Sharma to our board of directors. The stockholders agreement further provides that any directors other than those nominated by AKKR or the Sharma parties will be independent directors.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IPO in May 2021, we entered into a registration rights agreement with AKKR and the Sharma parties as well as Mr. Portocalis and our former chief financial officer. Under the terms of the registration rights agreement, the parties thereto and certain permitted transferees are entitled to require us to file registration statements for the public resale of the shares of Class A common stock, including shares issuable upon conversion of their shares of Class B common stock, or to include such shares in registration statements that we may file, subject to certain conditions.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Mr. Sharma’s spouse serves as a vice president of our company. Ms. Sharma received aggregate compensation, inclusive of her base salary and bonus, of approximately $0.3 million for her employment with us in 2025.</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son of Gary Trainor, one of our directors, serves as a vice president of our company and received aggregate compensation, inclusive of his base salary and bonus, of approximately $0.5 million for his employment with us in 2025. In addition, he received a grant of restricted stock units with an aggregate value of $0.4 million in March 2025 that vests over five years.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we shall indemnify each of our directors and officers to the fullest extent permitted by Delaware law. We have entered into indemnification agreements with each of our executive officers and directors that provide them with customary indemnification in connection with their service to us or on our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that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$60,000. Our policy also provides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has the primary responsibility for reviewing and approving or disapproving related person transactions, and our compensation committee is responsible for reviewing and approving or disapproving ordinary course compensation of any immediate family member of a related person that would constitute a related person transaction under our policy. In addition to our policy, our audit committee charter and compensation committee charter provide that these committees shall review and approve or disapprove of any related person transactions as specified in the related person transaction policy.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CORPORATE RESPONSIBILITY HIGHLIGHTS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conducting business in an ethical and transparent way, and to being accountable to our customers, our employees, our stockholders, the communities in which we operate and our other stakeholders for the manner in which we run our business. In addition, we believe that operating sustainably drives long-term stockholder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Community and Environmental Sustainability</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day one, Paymentus’ mission has been to make receiving and paying bills faster and easier. We seek to serve people across diverse socio-economic backgrounds to enable them to become more financially empowered and stronger stewards of their financial resources. As such, we continually work to enable new and innovative payment channels and payment methods to enhance the utility of our platform for all customers.</w:t>
      </w:r>
    </w:p>
    <w:p>
      <w:pPr>
        <w:spacing w:after="0" w:line="8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enable consumers to pay their bills through a wide variety of payment options day or night.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underbanked consumers access to cash-based bill payments through our relationship with Walmart Money Centers and the Green Dot retail location network.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hundreds of small businesses, enabling them to improve their customer engagement and accelerate cash collections.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we work to remove paper bills and payments from the ecosystem. In 2025, we processed 724.0 million transactions that otherwise may have been paid with paper checks or cash. Our customers also sent millions of electronic bills, e-mail messages and text messages as reminders of bills. These electronic methods reduce paper-based communications.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Talent Vision and Competitive Benefits</w:t>
      </w:r>
    </w:p>
    <w:p>
      <w:pPr>
        <w:spacing w:after="0" w:line="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proud of our community of passionate, talented employees committed to creating positive customer value. It is our goal to create the organizational conditions and culture for talented individuals to continue to develop. Our human capital objectives include identifying, recruiting, retaining, incentivizing and integrating our existing and new employees. In addition to competitive base salaries and cash bonuses, we also offer equity incentive plans to attract, retain and reward key personnel. We aim to advance our unique innovation, business success and stockholder value by motivating such individuals to perform to the best of their abilities, achieve our corporate objectives and drive profitable growth. Some highlights include:</w:t>
      </w:r>
    </w:p>
    <w:p>
      <w:pPr>
        <w:spacing w:after="0" w:line="93" w:lineRule="exact"/>
        <w:rPr>
          <w:sz w:val="20"/>
          <w:szCs w:val="20"/>
          <w:color w:val="auto"/>
        </w:rPr>
      </w:pPr>
    </w:p>
    <w:p>
      <w:pPr>
        <w:ind w:left="1080" w:right="3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401(k) company-sponsored retirement plan with an employer-matching component to better support employees’ long-term retirement goals.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up to four weeks of paid parental leave to employees following the birth of an employee’s child or the placement of a child with an employee in connection with adoption or foster care. The policy provides parents with time to care for and bond with the new addition to their family.</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two “Family Days” annually for all employees, each of which includes a paid day off and a cash stipend to spend on activities that strengthen family relationships.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 the health of our employees by offering wellness resources, including an annual cash stipend for gym expenses.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great leadership and learning and invest in employee development. Employees take advantage of online training, product training, sales training, technical training, team building events, seminars, conferences, lectures, peer-to-peer and manager-led training and other learning opportunities across our company.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8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workforce strategy, we strive to support our employees by:</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work-life balance by empowering our employees to adopt flexible working arrangements and providing tools for efficient remote collaboration.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provide opportunities for in-person collaboration, welcoming local and remote employees alike at our office locations.</w:t>
      </w:r>
    </w:p>
    <w:p>
      <w:pPr>
        <w:spacing w:after="0" w:line="3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actively seek opportunities for engagement and communication by our chief executive officer and other senior executive leaders with our broader employee population. For example, we host quarterly interactive town halls that provide an opportunity for our chief executive officer to be accessible to our global employees while discussing topics in a live Q&amp;A session such as recent financial results, innovative growth initiatives and success stories.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Equal Opportunity Policies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provide equal employment opportunities without regard to race, color, religion, sex, national origin, age, disability, marital status, veteran status, sexual orientation, genetic information or any other protected characteristic under applicable law. We are dedicated to ensuring the fulfillment of this policy with respect to hiring, placement, promotion, transfer, demotion, layoff, termination, recruitment advertising, pay and other forms of compensation, training, access to facilities and programs and general treatment during employment. 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Compliance and Ethics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culture of integrity starts with our Code of Ethics and our compliance program, which includes risk assessment, development of policies and procedures, training, auditing and monitoring, and investigations and remediation of potential compliance matters.</w:t>
      </w:r>
    </w:p>
    <w:p>
      <w:pPr>
        <w:spacing w:after="0" w:line="67" w:lineRule="exact"/>
        <w:rPr>
          <w:sz w:val="20"/>
          <w:szCs w:val="20"/>
          <w:color w:val="auto"/>
        </w:rPr>
      </w:pPr>
    </w:p>
    <w:p>
      <w:pPr>
        <w:jc w:val="both"/>
        <w:ind w:left="1080" w:right="16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Ethics applies to directors and all employees, including our executive officers. The Code of Ethics is reviewed on an annual basis for any changes to law or policy and updated as appropriate. Changes to the Code of Ethics are reviewed and approved by the audit committee.</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employees are required to complete training on the Code of Ethics, and all employees complete supplemental Code of Ethics training and a compliance certification each year.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regular online trainings address the compliance risks of specific roles and business functions, while various additional guidance helps ensure awareness of our policies and our expectations for ethical behavior and a safe work environment where we treat others with respect and do not tolerate harassment or discrimination.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is focused on fostering a culture of trust so that employees at every level feel comfortable speaking up about concerns. All complaints and concerns regarding possible violations of, or non-compliance with, our Code of Ethics, a corporate policy or a law or regulation, or retaliatory acts against anyone who makes such a complaint or assists in the investigation of such a complaint, may be reported by phone or web through our whistleblower program. Reports may be made anonymously.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Security and Compliance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focused on maintaining appropriate data governance and systems so we can sustain the trust of our customers and other stakeholders, which is fundamental to our business success.</w:t>
      </w:r>
    </w:p>
    <w:p>
      <w:pPr>
        <w:spacing w:after="0" w:line="67" w:lineRule="exact"/>
        <w:rPr>
          <w:sz w:val="20"/>
          <w:szCs w:val="20"/>
          <w:color w:val="auto"/>
        </w:rPr>
      </w:pPr>
    </w:p>
    <w:p>
      <w:pPr>
        <w:ind w:left="1080" w:right="2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dedicated chief information security officer within our information technology department who is responsible for overseeing our information security practices. Our information security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privacy teams continually refine our practices to address emerging security risks and changes in privacy regulations.</w:t>
      </w:r>
    </w:p>
    <w:p>
      <w:pPr>
        <w:spacing w:after="0" w:line="131" w:lineRule="exact"/>
        <w:rPr>
          <w:sz w:val="20"/>
          <w:szCs w:val="20"/>
          <w:color w:val="auto"/>
        </w:rPr>
      </w:pPr>
    </w:p>
    <w:p>
      <w:pPr>
        <w:ind w:left="1080" w:right="4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post our privacy policy on our website, which describes the data collection, use, sharing and retention practices and internal data protection principles we abide by globally to standardize our data collection practices.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annual data protection and security training to all employees, supplemented with periodic, targeted data protection and security training as needed.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contractual commitments that allow our customers to meet the privacy protections in the European Union’s General Data Protection Regulation (GDPR) and state privacy laws, including the California Consumer Privacy Act (CCPA).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payment industry standard certifications and are assessed annually by third party auditors to verify our compliance.</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data privacy, security and compliance related programs, see “Item 1C—Cybersecurity” of our Annual Report on Form 10-K for the year ended December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Alignment</w:t>
      </w:r>
    </w:p>
    <w:p>
      <w:pPr>
        <w:spacing w:after="0" w:line="135" w:lineRule="exact"/>
        <w:rPr>
          <w:sz w:val="20"/>
          <w:szCs w:val="20"/>
          <w:color w:val="auto"/>
        </w:rPr>
      </w:pPr>
    </w:p>
    <w:p>
      <w:pPr>
        <w:ind w:left="1080" w:hanging="424"/>
        <w:spacing w:after="0" w:line="312" w:lineRule="auto"/>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and executive officers as a group collectively own 6.8% of our outstanding Class A common stock and our Chief Executive Officer owns 34.2% of our outstanding Class B common stock, which we believe effectively aligns our interests with stockholder interests.</w:t>
      </w:r>
    </w:p>
    <w:p>
      <w:pPr>
        <w:spacing w:after="0" w:line="45" w:lineRule="exact"/>
        <w:rPr>
          <w:rFonts w:ascii="Times New Roman" w:cs="Times New Roman" w:eastAsia="Times New Roman" w:hAnsi="Times New Roman"/>
          <w:sz w:val="17"/>
          <w:szCs w:val="17"/>
          <w:color w:val="auto"/>
        </w:rPr>
      </w:pPr>
    </w:p>
    <w:p>
      <w:pPr>
        <w:ind w:left="1080" w:right="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executive compensation is tied to annual performance objectives approved by the compensation committee of our board of directors.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has engaged with an independent compensation consultant to help establish a compensation program designed to be fair and competitive, while balancing stockholder interests.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2027 Annual Meeting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2027 annual meeting pursuant to Rule 14a-8 of the Exchange Act, then the proposal must be received by our corporate secretary at our principal executive offices on or before December 23, 2026. In addition, stockholder proposals must comply with the requirements of Rule 14a-8 regarding the inclusion of stockholder proposals in our proxy materials. Proposals should be addressed to:</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Paymentus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11605 North Community House Road, Suite 300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Time, on February 5, 2027,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Time, on March 7, 2027.</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2027 annual meeting more than 25 days from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Time, on the 120th day prior to the day of our 2027 annual meeting,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24"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Time,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date of our 2027 annual meeting or, if the first public announcement of the date of the 2027 annual meeting is less than 100 days prior to the date of such meeting, on the 10th day following the day on which public announcement of the date of the 2027 annual meeting is first made by us.</w:t>
      </w:r>
    </w:p>
    <w:p>
      <w:pPr>
        <w:spacing w:after="0" w:line="19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that has notified us of his, her or its intention to present a proposal at an annual meeting of stockholders does not appear to present such proposal at the annual meeting, then we are not required to present the proposal for a vote at such annual meeting.</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comply with the additional requirements of Rule 14a-19 under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financial statements for our fiscal year ended December 31, 2025 are included in our annual report, which we will make available to stockholders at the same time as this proxy statement. Our proxy materials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our annual report are posted on our website at https://ir.paymentus.com/financials/sec-filings and are available from the SEC at its website at www.sec.gov. </w:t>
      </w:r>
      <w:r>
        <w:rPr>
          <w:rFonts w:ascii="Times New Roman" w:cs="Times New Roman" w:eastAsia="Times New Roman" w:hAnsi="Times New Roman"/>
          <w:sz w:val="18"/>
          <w:szCs w:val="18"/>
          <w:b w:val="1"/>
          <w:bCs w:val="1"/>
          <w:color w:val="auto"/>
        </w:rPr>
        <w:t>You may also obtain a copy of our annual report, free of charge, by sending a written request to Paymentus Holdings, Inc., 11605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North Community House Road, Suite 300, Charlotte, North Carolina 28277, Attention: Investor Relations.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April 22, 2026</w:t>
      </w: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320" w:top="482"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Financial Measures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DE8F5"/>
            </w:tcBorders>
          </w:tcPr>
          <w:p>
            <w:pPr>
              <w:spacing w:after="0"/>
              <w:rPr>
                <w:sz w:val="12"/>
                <w:szCs w:val="12"/>
                <w:color w:val="auto"/>
              </w:rPr>
            </w:pPr>
          </w:p>
        </w:tc>
        <w:tc>
          <w:tcPr>
            <w:tcW w:w="3080" w:type="dxa"/>
            <w:vAlign w:val="bottom"/>
            <w:tcBorders>
              <w:bottom w:val="single" w:sz="8" w:color="CDE8F5"/>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DE8F5"/>
            </w:tcBorders>
          </w:tcPr>
          <w:p>
            <w:pPr>
              <w:spacing w:after="0"/>
              <w:rPr>
                <w:sz w:val="12"/>
                <w:szCs w:val="12"/>
                <w:color w:val="auto"/>
              </w:rPr>
            </w:pPr>
          </w:p>
        </w:tc>
        <w:tc>
          <w:tcPr>
            <w:tcW w:w="120" w:type="dxa"/>
            <w:vAlign w:val="bottom"/>
            <w:tcBorders>
              <w:top w:val="single" w:sz="8" w:color="auto"/>
              <w:bottom w:val="single" w:sz="8" w:color="CDE8F5"/>
            </w:tcBorders>
          </w:tcPr>
          <w:p>
            <w:pPr>
              <w:spacing w:after="0"/>
              <w:rPr>
                <w:sz w:val="12"/>
                <w:szCs w:val="12"/>
                <w:color w:val="auto"/>
              </w:rPr>
            </w:pPr>
          </w:p>
        </w:tc>
        <w:tc>
          <w:tcPr>
            <w:tcW w:w="80" w:type="dxa"/>
            <w:vAlign w:val="bottom"/>
            <w:tcBorders>
              <w:top w:val="single" w:sz="8" w:color="auto"/>
              <w:bottom w:val="single" w:sz="8" w:color="CDE8F5"/>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DE8F5"/>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Contribution Profit:</w:t>
            </w:r>
          </w:p>
        </w:tc>
        <w:tc>
          <w:tcPr>
            <w:tcW w:w="3080" w:type="dxa"/>
            <w:vAlign w:val="bottom"/>
            <w:shd w:val="clear" w:color="auto" w:fill="CDE8F5"/>
          </w:tcPr>
          <w:p>
            <w:pPr>
              <w:spacing w:after="0"/>
              <w:rPr>
                <w:sz w:val="21"/>
                <w:szCs w:val="21"/>
                <w:color w:val="auto"/>
              </w:rPr>
            </w:pPr>
          </w:p>
        </w:tc>
        <w:tc>
          <w:tcPr>
            <w:tcW w:w="18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2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80" w:type="dxa"/>
            <w:vAlign w:val="bottom"/>
            <w:shd w:val="clear" w:color="auto" w:fill="CDE8F5"/>
          </w:tcPr>
          <w:p>
            <w:pPr>
              <w:spacing w:after="0"/>
              <w:rPr>
                <w:sz w:val="21"/>
                <w:szCs w:val="21"/>
                <w:color w:val="auto"/>
              </w:rPr>
            </w:pPr>
          </w:p>
        </w:tc>
        <w:tc>
          <w:tcPr>
            <w:tcW w:w="20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296,342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238,170</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Plus: other cost of revenue</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080" w:type="dxa"/>
            <w:vAlign w:val="bottom"/>
            <w:shd w:val="clear" w:color="auto" w:fill="CDE8F5"/>
          </w:tcPr>
          <w:p>
            <w:pPr>
              <w:jc w:val="right"/>
              <w:spacing w:after="0"/>
              <w:rPr>
                <w:sz w:val="20"/>
                <w:szCs w:val="20"/>
                <w:color w:val="auto"/>
              </w:rPr>
            </w:pPr>
            <w:r>
              <w:rPr>
                <w:rFonts w:ascii="Times New Roman" w:cs="Times New Roman" w:eastAsia="Times New Roman" w:hAnsi="Times New Roman"/>
                <w:sz w:val="18"/>
                <w:szCs w:val="18"/>
                <w:color w:val="auto"/>
              </w:rPr>
              <w:t>89,967</w:t>
            </w:r>
          </w:p>
        </w:tc>
        <w:tc>
          <w:tcPr>
            <w:tcW w:w="2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73,898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Contribution profit</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386,309</w:t>
            </w:r>
          </w:p>
        </w:tc>
        <w:tc>
          <w:tcPr>
            <w:tcW w:w="1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312,068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DE8F5"/>
            </w:tcBorders>
          </w:tcPr>
          <w:p>
            <w:pPr>
              <w:spacing w:after="0"/>
              <w:rPr>
                <w:sz w:val="12"/>
                <w:szCs w:val="12"/>
                <w:color w:val="auto"/>
              </w:rPr>
            </w:pPr>
          </w:p>
        </w:tc>
        <w:tc>
          <w:tcPr>
            <w:tcW w:w="3080" w:type="dxa"/>
            <w:vAlign w:val="bottom"/>
            <w:tcBorders>
              <w:bottom w:val="single" w:sz="8" w:color="CDE8F5"/>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DE8F5"/>
            </w:tcBorders>
          </w:tcPr>
          <w:p>
            <w:pPr>
              <w:spacing w:after="0"/>
              <w:rPr>
                <w:sz w:val="12"/>
                <w:szCs w:val="12"/>
                <w:color w:val="auto"/>
              </w:rPr>
            </w:pPr>
          </w:p>
        </w:tc>
        <w:tc>
          <w:tcPr>
            <w:tcW w:w="120" w:type="dxa"/>
            <w:vAlign w:val="bottom"/>
            <w:tcBorders>
              <w:top w:val="single" w:sz="8" w:color="auto"/>
              <w:bottom w:val="single" w:sz="8" w:color="CDE8F5"/>
            </w:tcBorders>
          </w:tcPr>
          <w:p>
            <w:pPr>
              <w:spacing w:after="0"/>
              <w:rPr>
                <w:sz w:val="12"/>
                <w:szCs w:val="12"/>
                <w:color w:val="auto"/>
              </w:rPr>
            </w:pPr>
          </w:p>
        </w:tc>
        <w:tc>
          <w:tcPr>
            <w:tcW w:w="80" w:type="dxa"/>
            <w:vAlign w:val="bottom"/>
            <w:tcBorders>
              <w:top w:val="single" w:sz="8" w:color="auto"/>
              <w:bottom w:val="single" w:sz="8" w:color="CDE8F5"/>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DE8F5"/>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80" w:type="dxa"/>
            <w:vAlign w:val="bottom"/>
            <w:shd w:val="clear" w:color="auto" w:fill="CDE8F5"/>
          </w:tcPr>
          <w:p>
            <w:pPr>
              <w:spacing w:after="0"/>
              <w:rPr>
                <w:sz w:val="21"/>
                <w:szCs w:val="21"/>
                <w:color w:val="auto"/>
              </w:rPr>
            </w:pPr>
          </w:p>
        </w:tc>
        <w:tc>
          <w:tcPr>
            <w:tcW w:w="18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2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80" w:type="dxa"/>
            <w:vAlign w:val="bottom"/>
            <w:shd w:val="clear" w:color="auto" w:fill="CDE8F5"/>
          </w:tcPr>
          <w:p>
            <w:pPr>
              <w:spacing w:after="0"/>
              <w:rPr>
                <w:sz w:val="21"/>
                <w:szCs w:val="21"/>
                <w:color w:val="auto"/>
              </w:rPr>
            </w:pPr>
          </w:p>
        </w:tc>
        <w:tc>
          <w:tcPr>
            <w:tcW w:w="20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66,937</w:t>
            </w:r>
          </w:p>
        </w:tc>
        <w:tc>
          <w:tcPr>
            <w:tcW w:w="120" w:type="dxa"/>
            <w:vAlign w:val="bottom"/>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44,169</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220" w:type="dxa"/>
            <w:vAlign w:val="bottom"/>
            <w:gridSpan w:val="3"/>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(9,506)</w:t>
            </w: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60"/>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70"/>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w:t>
            </w:r>
          </w:p>
        </w:tc>
        <w:tc>
          <w:tcPr>
            <w:tcW w:w="3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100" w:type="dxa"/>
            <w:vAlign w:val="bottom"/>
            <w:gridSpan w:val="2"/>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shd w:val="clear" w:color="auto" w:fill="CDE8F5"/>
          </w:tcPr>
          <w:p>
            <w:pPr>
              <w:spacing w:after="0"/>
              <w:rPr>
                <w:sz w:val="23"/>
                <w:szCs w:val="23"/>
                <w:color w:val="auto"/>
              </w:rPr>
            </w:pP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9,775</w:t>
            </w:r>
          </w:p>
        </w:tc>
        <w:tc>
          <w:tcPr>
            <w:tcW w:w="0" w:type="dxa"/>
            <w:vAlign w:val="bottom"/>
          </w:tcPr>
          <w:p>
            <w:pPr>
              <w:spacing w:after="0"/>
              <w:rPr>
                <w:sz w:val="1"/>
                <w:szCs w:val="1"/>
                <w:color w:val="auto"/>
              </w:rPr>
            </w:pPr>
          </w:p>
        </w:tc>
      </w:tr>
      <w:tr>
        <w:trPr>
          <w:trHeight w:val="270"/>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27,586</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100" w:type="dxa"/>
            <w:vAlign w:val="bottom"/>
            <w:gridSpan w:val="2"/>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shd w:val="clear" w:color="auto" w:fill="CDE8F5"/>
          </w:tcPr>
          <w:p>
            <w:pPr>
              <w:spacing w:after="0"/>
              <w:rPr>
                <w:sz w:val="23"/>
                <w:szCs w:val="23"/>
                <w:color w:val="auto"/>
              </w:rPr>
            </w:pP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70"/>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3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shd w:val="clear" w:color="auto" w:fill="CDE8F5"/>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60" w:type="dxa"/>
            <w:vAlign w:val="bottom"/>
            <w:gridSpan w:val="2"/>
            <w:shd w:val="clear" w:color="auto" w:fill="CDE8F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116,827</w:t>
            </w:r>
          </w:p>
        </w:tc>
        <w:tc>
          <w:tcPr>
            <w:tcW w:w="120" w:type="dxa"/>
            <w:vAlign w:val="bottom"/>
            <w:shd w:val="clear" w:color="auto" w:fill="CDE8F5"/>
          </w:tcPr>
          <w:p>
            <w:pPr>
              <w:spacing w:after="0"/>
              <w:rPr>
                <w:sz w:val="22"/>
                <w:szCs w:val="22"/>
                <w:color w:val="auto"/>
              </w:rPr>
            </w:pPr>
          </w:p>
        </w:tc>
        <w:tc>
          <w:tcPr>
            <w:tcW w:w="280" w:type="dxa"/>
            <w:vAlign w:val="bottom"/>
            <w:gridSpan w:val="2"/>
            <w:shd w:val="clear" w:color="auto" w:fill="CDE8F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81,473</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vMerge w:val="continue"/>
          </w:tcPr>
          <w:p>
            <w:pPr>
              <w:spacing w:after="0"/>
              <w:rPr>
                <w:sz w:val="22"/>
                <w:szCs w:val="22"/>
                <w:color w:val="auto"/>
              </w:rPr>
            </w:pPr>
          </w:p>
        </w:tc>
        <w:tc>
          <w:tcPr>
            <w:tcW w:w="3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Foreign exchange gain</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220" w:type="dxa"/>
            <w:vAlign w:val="bottom"/>
            <w:gridSpan w:val="3"/>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0"/>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20,821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12,855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shd w:val="clear" w:color="auto" w:fill="CDE8F5"/>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60" w:type="dxa"/>
            <w:vAlign w:val="bottom"/>
            <w:gridSpan w:val="2"/>
            <w:shd w:val="clear" w:color="auto" w:fill="CDE8F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DE8F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137,419</w:t>
            </w:r>
          </w:p>
        </w:tc>
        <w:tc>
          <w:tcPr>
            <w:tcW w:w="120" w:type="dxa"/>
            <w:vAlign w:val="bottom"/>
            <w:shd w:val="clear" w:color="auto" w:fill="CDE8F5"/>
          </w:tcPr>
          <w:p>
            <w:pPr>
              <w:spacing w:after="0"/>
              <w:rPr>
                <w:sz w:val="22"/>
                <w:szCs w:val="22"/>
                <w:color w:val="auto"/>
              </w:rPr>
            </w:pPr>
          </w:p>
        </w:tc>
        <w:tc>
          <w:tcPr>
            <w:tcW w:w="280" w:type="dxa"/>
            <w:vAlign w:val="bottom"/>
            <w:gridSpan w:val="2"/>
            <w:shd w:val="clear" w:color="auto" w:fill="CDE8F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DE8F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94,196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DE8F5"/>
            </w:tcBorders>
          </w:tcPr>
          <w:p>
            <w:pPr>
              <w:spacing w:after="0"/>
              <w:rPr>
                <w:sz w:val="12"/>
                <w:szCs w:val="12"/>
                <w:color w:val="auto"/>
              </w:rPr>
            </w:pPr>
          </w:p>
        </w:tc>
        <w:tc>
          <w:tcPr>
            <w:tcW w:w="3080" w:type="dxa"/>
            <w:vAlign w:val="bottom"/>
            <w:tcBorders>
              <w:bottom w:val="single" w:sz="8" w:color="CDE8F5"/>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DE8F5"/>
            </w:tcBorders>
          </w:tcPr>
          <w:p>
            <w:pPr>
              <w:spacing w:after="0"/>
              <w:rPr>
                <w:sz w:val="12"/>
                <w:szCs w:val="12"/>
                <w:color w:val="auto"/>
              </w:rPr>
            </w:pPr>
          </w:p>
        </w:tc>
        <w:tc>
          <w:tcPr>
            <w:tcW w:w="120" w:type="dxa"/>
            <w:vAlign w:val="bottom"/>
            <w:tcBorders>
              <w:top w:val="single" w:sz="8" w:color="auto"/>
              <w:bottom w:val="single" w:sz="8" w:color="CDE8F5"/>
            </w:tcBorders>
          </w:tcPr>
          <w:p>
            <w:pPr>
              <w:spacing w:after="0"/>
              <w:rPr>
                <w:sz w:val="12"/>
                <w:szCs w:val="12"/>
                <w:color w:val="auto"/>
              </w:rPr>
            </w:pPr>
          </w:p>
        </w:tc>
        <w:tc>
          <w:tcPr>
            <w:tcW w:w="80" w:type="dxa"/>
            <w:vAlign w:val="bottom"/>
            <w:tcBorders>
              <w:top w:val="single" w:sz="8" w:color="auto"/>
              <w:bottom w:val="single" w:sz="8" w:color="CDE8F5"/>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DE8F5"/>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DE8F5"/>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080" w:type="dxa"/>
            <w:vAlign w:val="bottom"/>
            <w:shd w:val="clear" w:color="auto" w:fill="CDE8F5"/>
          </w:tcPr>
          <w:p>
            <w:pPr>
              <w:spacing w:after="0"/>
              <w:rPr>
                <w:sz w:val="21"/>
                <w:szCs w:val="21"/>
                <w:color w:val="auto"/>
              </w:rPr>
            </w:pPr>
          </w:p>
        </w:tc>
        <w:tc>
          <w:tcPr>
            <w:tcW w:w="18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2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80" w:type="dxa"/>
            <w:vAlign w:val="bottom"/>
            <w:shd w:val="clear" w:color="auto" w:fill="CDE8F5"/>
          </w:tcPr>
          <w:p>
            <w:pPr>
              <w:spacing w:after="0"/>
              <w:rPr>
                <w:sz w:val="21"/>
                <w:szCs w:val="21"/>
                <w:color w:val="auto"/>
              </w:rPr>
            </w:pPr>
          </w:p>
        </w:tc>
        <w:tc>
          <w:tcPr>
            <w:tcW w:w="200" w:type="dxa"/>
            <w:vAlign w:val="bottom"/>
            <w:shd w:val="clear" w:color="auto" w:fill="CDE8F5"/>
          </w:tcPr>
          <w:p>
            <w:pPr>
              <w:spacing w:after="0"/>
              <w:rPr>
                <w:sz w:val="21"/>
                <w:szCs w:val="21"/>
                <w:color w:val="auto"/>
              </w:rPr>
            </w:pPr>
          </w:p>
        </w:tc>
        <w:tc>
          <w:tcPr>
            <w:tcW w:w="1080" w:type="dxa"/>
            <w:vAlign w:val="bottom"/>
            <w:shd w:val="clear" w:color="auto" w:fill="CDE8F5"/>
          </w:tcPr>
          <w:p>
            <w:pPr>
              <w:spacing w:after="0"/>
              <w:rPr>
                <w:sz w:val="21"/>
                <w:szCs w:val="21"/>
                <w:color w:val="auto"/>
              </w:rPr>
            </w:pPr>
          </w:p>
        </w:tc>
        <w:tc>
          <w:tcPr>
            <w:tcW w:w="120" w:type="dxa"/>
            <w:vAlign w:val="bottom"/>
            <w:shd w:val="clear" w:color="auto" w:fill="CDE8F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162,127</w:t>
            </w:r>
          </w:p>
        </w:tc>
        <w:tc>
          <w:tcPr>
            <w:tcW w:w="120" w:type="dxa"/>
            <w:vAlign w:val="bottom"/>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63,634</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080" w:type="dxa"/>
            <w:vAlign w:val="bottom"/>
            <w:shd w:val="clear" w:color="auto" w:fill="CDE8F5"/>
          </w:tcPr>
          <w:p>
            <w:pPr>
              <w:spacing w:after="0"/>
              <w:rPr>
                <w:sz w:val="23"/>
                <w:szCs w:val="23"/>
                <w:color w:val="auto"/>
              </w:rPr>
            </w:pPr>
          </w:p>
        </w:tc>
        <w:tc>
          <w:tcPr>
            <w:tcW w:w="2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080" w:type="dxa"/>
            <w:vAlign w:val="bottom"/>
            <w:shd w:val="clear" w:color="auto" w:fill="CDE8F5"/>
          </w:tcPr>
          <w:p>
            <w:pPr>
              <w:spacing w:after="0"/>
              <w:rPr>
                <w:sz w:val="23"/>
                <w:szCs w:val="23"/>
                <w:color w:val="auto"/>
              </w:rPr>
            </w:pPr>
          </w:p>
        </w:tc>
        <w:tc>
          <w:tcPr>
            <w:tcW w:w="120" w:type="dxa"/>
            <w:vAlign w:val="bottom"/>
            <w:shd w:val="clear" w:color="auto" w:fill="CDE8F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0"/>
        </w:trPr>
        <w:tc>
          <w:tcPr>
            <w:tcW w:w="5060" w:type="dxa"/>
            <w:vAlign w:val="bottom"/>
            <w:shd w:val="clear" w:color="auto" w:fill="CDE8F5"/>
          </w:tcPr>
          <w:p>
            <w:pPr>
              <w:ind w:left="720"/>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3080" w:type="dxa"/>
            <w:vAlign w:val="bottom"/>
            <w:shd w:val="clear" w:color="auto" w:fill="CDE8F5"/>
          </w:tcPr>
          <w:p>
            <w:pPr>
              <w:spacing w:after="0"/>
              <w:rPr>
                <w:sz w:val="23"/>
                <w:szCs w:val="23"/>
                <w:color w:val="auto"/>
              </w:rPr>
            </w:pPr>
          </w:p>
        </w:tc>
        <w:tc>
          <w:tcPr>
            <w:tcW w:w="180" w:type="dxa"/>
            <w:vAlign w:val="bottom"/>
            <w:shd w:val="clear" w:color="auto" w:fill="CDE8F5"/>
          </w:tcPr>
          <w:p>
            <w:pPr>
              <w:spacing w:after="0"/>
              <w:rPr>
                <w:sz w:val="23"/>
                <w:szCs w:val="23"/>
                <w:color w:val="auto"/>
              </w:rPr>
            </w:pPr>
          </w:p>
        </w:tc>
        <w:tc>
          <w:tcPr>
            <w:tcW w:w="1220" w:type="dxa"/>
            <w:vAlign w:val="bottom"/>
            <w:gridSpan w:val="3"/>
            <w:shd w:val="clear" w:color="auto" w:fill="CDE8F5"/>
          </w:tcPr>
          <w:p>
            <w:pPr>
              <w:jc w:val="right"/>
              <w:ind w:right="80"/>
              <w:spacing w:after="0"/>
              <w:rPr>
                <w:sz w:val="20"/>
                <w:szCs w:val="20"/>
                <w:color w:val="auto"/>
              </w:rPr>
            </w:pPr>
            <w:r>
              <w:rPr>
                <w:rFonts w:ascii="Times New Roman" w:cs="Times New Roman" w:eastAsia="Times New Roman" w:hAnsi="Times New Roman"/>
                <w:sz w:val="18"/>
                <w:szCs w:val="18"/>
                <w:color w:val="auto"/>
              </w:rPr>
              <w:t>(36,737)</w:t>
            </w:r>
          </w:p>
        </w:tc>
        <w:tc>
          <w:tcPr>
            <w:tcW w:w="80" w:type="dxa"/>
            <w:vAlign w:val="bottom"/>
            <w:shd w:val="clear" w:color="auto" w:fill="CDE8F5"/>
          </w:tcPr>
          <w:p>
            <w:pPr>
              <w:spacing w:after="0"/>
              <w:rPr>
                <w:sz w:val="23"/>
                <w:szCs w:val="23"/>
                <w:color w:val="auto"/>
              </w:rPr>
            </w:pPr>
          </w:p>
        </w:tc>
        <w:tc>
          <w:tcPr>
            <w:tcW w:w="200" w:type="dxa"/>
            <w:vAlign w:val="bottom"/>
            <w:shd w:val="clear" w:color="auto" w:fill="CDE8F5"/>
          </w:tcPr>
          <w:p>
            <w:pPr>
              <w:spacing w:after="0"/>
              <w:rPr>
                <w:sz w:val="23"/>
                <w:szCs w:val="23"/>
                <w:color w:val="auto"/>
              </w:rPr>
            </w:pPr>
          </w:p>
        </w:tc>
        <w:tc>
          <w:tcPr>
            <w:tcW w:w="1200" w:type="dxa"/>
            <w:vAlign w:val="bottom"/>
            <w:gridSpan w:val="2"/>
            <w:shd w:val="clear" w:color="auto" w:fill="CDE8F5"/>
          </w:tcPr>
          <w:p>
            <w:pPr>
              <w:jc w:val="right"/>
              <w:ind w:right="60"/>
              <w:spacing w:after="0"/>
              <w:rPr>
                <w:sz w:val="20"/>
                <w:szCs w:val="20"/>
                <w:color w:val="auto"/>
              </w:rPr>
            </w:pPr>
            <w:r>
              <w:rPr>
                <w:rFonts w:ascii="Times New Roman" w:cs="Times New Roman" w:eastAsia="Times New Roman" w:hAnsi="Times New Roman"/>
                <w:sz w:val="18"/>
                <w:szCs w:val="18"/>
                <w:color w:val="auto"/>
              </w:rPr>
              <w:t>(36,119)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125,029</w:t>
            </w:r>
          </w:p>
        </w:tc>
        <w:tc>
          <w:tcPr>
            <w:tcW w:w="1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27,058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3260" w:type="dxa"/>
            <w:vAlign w:val="bottom"/>
            <w:gridSpan w:val="2"/>
          </w:tcPr>
          <w:p>
            <w:pPr>
              <w:jc w:val="right"/>
              <w:ind w:right="2680"/>
              <w:spacing w:after="0"/>
              <w:rPr>
                <w:sz w:val="20"/>
                <w:szCs w:val="20"/>
                <w:color w:val="auto"/>
              </w:rPr>
            </w:pPr>
            <w:r>
              <w:rPr>
                <w:rFonts w:ascii="Times New Roman" w:cs="Times New Roman" w:eastAsia="Times New Roman" w:hAnsi="Times New Roman"/>
                <w:sz w:val="18"/>
                <w:szCs w:val="18"/>
                <w:color w:val="auto"/>
              </w:rPr>
              <w:t>A-1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3378835</wp:posOffset>
            </wp:positionV>
            <wp:extent cx="5194935" cy="1217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94935" cy="121729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405765</wp:posOffset>
            </wp:positionV>
            <wp:extent cx="88265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26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9"/>
          <w:szCs w:val="9"/>
          <w:color w:val="auto"/>
        </w:rPr>
        <w:t> PAYMENTUS HOLDINGS, INC.</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8"/>
          <w:szCs w:val="8"/>
          <w:color w:val="auto"/>
        </w:rPr>
        <w:t> 11605 N. COMMUNITY HOUSE RD</w:t>
      </w:r>
    </w:p>
    <w:p>
      <w:pPr>
        <w:spacing w:after="0" w:line="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9"/>
          <w:szCs w:val="9"/>
          <w:color w:val="auto"/>
        </w:rPr>
        <w:t> SUITE 300</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9"/>
          <w:szCs w:val="9"/>
          <w:color w:val="auto"/>
        </w:rPr>
        <w:t> CHARLOTTE, NC 28277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WE ENCOURAGE YOU TO TAKE ADVANTAGE OF INTERNET OR TELEPHONE VOTING. BOTH ARE AVAILABLE 24 HOURS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-1259205</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-504825</wp:posOffset>
            </wp:positionV>
            <wp:extent cx="1928495" cy="4546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28495" cy="45466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9"/>
          <w:szCs w:val="9"/>
          <w:b w:val="1"/>
          <w:bCs w:val="1"/>
          <w:color w:val="auto"/>
        </w:rPr>
        <w:t>DAY, 7 DAYS A WEEK.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VOTE BY INTERNET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Before The Meeting - Go to </w:t>
      </w:r>
      <w:r>
        <w:rPr>
          <w:rFonts w:ascii="Times New Roman" w:cs="Times New Roman" w:eastAsia="Times New Roman" w:hAnsi="Times New Roman"/>
          <w:sz w:val="9"/>
          <w:szCs w:val="9"/>
          <w:b w:val="1"/>
          <w:bCs w:val="1"/>
          <w:u w:val="single" w:color="auto"/>
          <w:color w:val="auto"/>
        </w:rPr>
        <w:t>www.proxyvote.com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or scan the QR Barcode above</w:t>
      </w:r>
    </w:p>
    <w:p>
      <w:pPr>
        <w:spacing w:after="0" w:line="87"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9"/>
          <w:szCs w:val="9"/>
          <w:color w:val="auto"/>
        </w:rPr>
        <w:t xml:space="preserve">Use the Internet to transmit your voting instructions and for electronic delivery of information up until </w:t>
      </w:r>
      <w:r>
        <w:rPr>
          <w:rFonts w:ascii="Times New Roman" w:cs="Times New Roman" w:eastAsia="Times New Roman" w:hAnsi="Times New Roman"/>
          <w:sz w:val="9"/>
          <w:szCs w:val="9"/>
          <w:b w:val="1"/>
          <w:bCs w:val="1"/>
          <w:color w:val="auto"/>
        </w:rPr>
        <w:t>11:59 P.M. Eastern Time on June 4, 2026.</w:t>
      </w:r>
      <w:r>
        <w:rPr>
          <w:rFonts w:ascii="Times New Roman" w:cs="Times New Roman" w:eastAsia="Times New Roman" w:hAnsi="Times New Roman"/>
          <w:sz w:val="9"/>
          <w:szCs w:val="9"/>
          <w:color w:val="auto"/>
        </w:rPr>
        <w:t xml:space="preserve"> Have your proxy card in hand when you access the web site and follow the instructions to obtain your records and to create an electronic voting instruction form.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During The Meeting - Go to </w:t>
      </w:r>
      <w:r>
        <w:rPr>
          <w:rFonts w:ascii="Times New Roman" w:cs="Times New Roman" w:eastAsia="Times New Roman" w:hAnsi="Times New Roman"/>
          <w:sz w:val="9"/>
          <w:szCs w:val="9"/>
          <w:b w:val="1"/>
          <w:bCs w:val="1"/>
          <w:u w:val="single" w:color="auto"/>
          <w:color w:val="auto"/>
        </w:rPr>
        <w:t>www.virtualshareholdermeeting.com/PAY2026</w:t>
      </w:r>
    </w:p>
    <w:p>
      <w:pPr>
        <w:spacing w:after="0" w:line="101"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9"/>
          <w:szCs w:val="9"/>
          <w:color w:val="auto"/>
        </w:rPr>
        <w:t>You may attend the meeting via the Internet and vote during the meeting. Have the information that is printed in the box marked by the arrow available and follow the instructions.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VOTE BY PHONE - 1-800-690-6903</w:t>
      </w:r>
    </w:p>
    <w:p>
      <w:pPr>
        <w:spacing w:after="0" w:line="3"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9"/>
          <w:szCs w:val="9"/>
          <w:color w:val="auto"/>
        </w:rPr>
        <w:t xml:space="preserve">Use any touch-tone telephone to transmit your voting instructions up until </w:t>
      </w:r>
      <w:r>
        <w:rPr>
          <w:rFonts w:ascii="Times New Roman" w:cs="Times New Roman" w:eastAsia="Times New Roman" w:hAnsi="Times New Roman"/>
          <w:sz w:val="9"/>
          <w:szCs w:val="9"/>
          <w:b w:val="1"/>
          <w:bCs w:val="1"/>
          <w:color w:val="auto"/>
        </w:rPr>
        <w:t>11:59 P.M. Eastern Time on June 4, 2026.</w:t>
      </w:r>
      <w:r>
        <w:rPr>
          <w:rFonts w:ascii="Times New Roman" w:cs="Times New Roman" w:eastAsia="Times New Roman" w:hAnsi="Times New Roman"/>
          <w:sz w:val="9"/>
          <w:szCs w:val="9"/>
          <w:color w:val="auto"/>
        </w:rPr>
        <w:t xml:space="preserve"> Have your proxy card in hand when you call and then follow the instructions.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VOTE BY MAIL</w:t>
      </w:r>
    </w:p>
    <w:p>
      <w:pPr>
        <w:spacing w:after="0" w:line="3"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9"/>
          <w:szCs w:val="9"/>
          <w:color w:val="auto"/>
        </w:rPr>
        <w:t xml:space="preserve">Mark, sign and date your proxy card and return it in the postage-paid envelope we have provided or return it to Vote Processing, c/o Broadridge, 51 Mercedes Way, Edgewood, NY 11717. Proxy cards must be received by </w:t>
      </w:r>
      <w:r>
        <w:rPr>
          <w:rFonts w:ascii="Times New Roman" w:cs="Times New Roman" w:eastAsia="Times New Roman" w:hAnsi="Times New Roman"/>
          <w:sz w:val="9"/>
          <w:szCs w:val="9"/>
          <w:b w:val="1"/>
          <w:bCs w:val="1"/>
          <w:color w:val="auto"/>
        </w:rPr>
        <w:t>11:59 P.M. Eastern Time on June 4, 2026.</w:t>
      </w:r>
    </w:p>
    <w:p>
      <w:pPr>
        <w:spacing w:after="0" w:line="8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9"/>
          <w:szCs w:val="9"/>
          <w:color w:val="auto"/>
        </w:rPr>
        <w:t>Your Internet or telephone vote authorizes the named proxies to vote the shares in the same manner as if you marked, signed and returned your proxy card.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If you vote your proxy by Internet or telephone, you do NOT need to mail back your proxy card.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ELECTRONIC DELIVERY OF FUTURE PROXY MATERIALS</w:t>
      </w:r>
    </w:p>
    <w:p>
      <w:pPr>
        <w:spacing w:after="0" w:line="3"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9"/>
          <w:szCs w:val="9"/>
          <w:b w:val="1"/>
          <w:bCs w:val="1"/>
          <w:color w:val="auto"/>
        </w:rPr>
        <w:t xml:space="preserve">If you would like to reduce the costs incurred by our company in mailing proxy materials, you can consent to receiving all future proxy statements, proxy cards and annual reports electronically via e-mail or the Internet. </w:t>
      </w:r>
      <w:r>
        <w:rPr>
          <w:rFonts w:ascii="Times New Roman" w:cs="Times New Roman" w:eastAsia="Times New Roman" w:hAnsi="Times New Roman"/>
          <w:sz w:val="9"/>
          <w:szCs w:val="9"/>
          <w:color w:val="auto"/>
        </w:rPr>
        <w:t>To sign up for electronic delivery, please follow the</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9"/>
          <w:szCs w:val="9"/>
          <w:color w:val="auto"/>
        </w:rPr>
        <w:t>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ectPr>
          <w:pgSz w:w="11900" w:h="16838" w:orient="portrait"/>
          <w:cols w:equalWidth="0" w:num="2">
            <w:col w:w="5020" w:space="720"/>
            <w:col w:w="540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p>
      <w:pPr>
        <w:ind w:left="7040"/>
        <w:spacing w:after="0"/>
        <w:rPr>
          <w:sz w:val="20"/>
          <w:szCs w:val="20"/>
          <w:color w:val="auto"/>
        </w:rPr>
      </w:pPr>
      <w:r>
        <w:rPr>
          <w:rFonts w:ascii="Times New Roman" w:cs="Times New Roman" w:eastAsia="Times New Roman" w:hAnsi="Times New Roman"/>
          <w:sz w:val="12"/>
          <w:szCs w:val="12"/>
          <w:color w:val="auto"/>
        </w:rPr>
        <w:t>V91484-P49780                   KEEP THIS PORTION FOR YOUR RECORDS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 — — — — — — — — — — — — — — — — — — — — — — — — — — — — — — — — — — — — — — — — — — — — — — — — —</w:t>
      </w:r>
    </w:p>
    <w:p>
      <w:pPr>
        <w:spacing w:after="0" w:line="3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2"/>
          <w:szCs w:val="12"/>
          <w:color w:val="auto"/>
        </w:rPr>
        <w:t>DETACH AND RETURN THIS PORTION ONLY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4525" cy="4251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4525" cy="42513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PAYMENTUS HOLDINGS, INC.</w:t>
      </w:r>
    </w:p>
    <w:p>
      <w:pPr>
        <w:spacing w:after="0" w:line="229" w:lineRule="exact"/>
        <w:rPr>
          <w:sz w:val="20"/>
          <w:szCs w:val="20"/>
          <w:color w:val="auto"/>
        </w:rPr>
      </w:pPr>
    </w:p>
    <w:p>
      <w:pPr>
        <w:ind w:left="500"/>
        <w:spacing w:after="0" w:line="243" w:lineRule="auto"/>
        <w:rPr>
          <w:sz w:val="20"/>
          <w:szCs w:val="20"/>
          <w:color w:val="auto"/>
        </w:rPr>
      </w:pPr>
      <w:r>
        <w:rPr>
          <w:rFonts w:ascii="Times New Roman" w:cs="Times New Roman" w:eastAsia="Times New Roman" w:hAnsi="Times New Roman"/>
          <w:sz w:val="13"/>
          <w:szCs w:val="13"/>
          <w:b w:val="1"/>
          <w:bCs w:val="1"/>
          <w:color w:val="auto"/>
        </w:rPr>
        <w:t>The Board of Directors recommends a vote “FOR ALL” of the following Director nominees.</w:t>
      </w:r>
    </w:p>
    <w:p>
      <w:pPr>
        <w:spacing w:after="0" w:line="32" w:lineRule="exact"/>
        <w:rPr>
          <w:sz w:val="20"/>
          <w:szCs w:val="20"/>
          <w:color w:val="auto"/>
        </w:rPr>
      </w:pPr>
    </w:p>
    <w:p>
      <w:pPr>
        <w:ind w:left="420" w:hanging="145"/>
        <w:spacing w:after="0"/>
        <w:tabs>
          <w:tab w:leader="none" w:pos="4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1.   </w:t>
      </w:r>
      <w:r>
        <w:rPr>
          <w:rFonts w:ascii="Times New Roman" w:cs="Times New Roman" w:eastAsia="Times New Roman" w:hAnsi="Times New Roman"/>
          <w:sz w:val="12"/>
          <w:szCs w:val="12"/>
          <w:color w:val="auto"/>
        </w:rPr>
        <w:t>Election of Directors</w:t>
      </w:r>
    </w:p>
    <w:p>
      <w:pPr>
        <w:spacing w:after="0" w:line="98" w:lineRule="exact"/>
        <w:rPr>
          <w:rFonts w:ascii="Times New Roman" w:cs="Times New Roman" w:eastAsia="Times New Roman" w:hAnsi="Times New Roman"/>
          <w:sz w:val="14"/>
          <w:szCs w:val="14"/>
          <w:color w:val="auto"/>
        </w:rPr>
      </w:pPr>
    </w:p>
    <w:p>
      <w:pPr>
        <w:ind w:left="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b w:val="1"/>
          <w:bCs w:val="1"/>
          <w:color w:val="auto"/>
        </w:rPr>
        <w:t>Nominees:</w:t>
      </w:r>
    </w:p>
    <w:p>
      <w:pPr>
        <w:spacing w:after="0" w:line="136" w:lineRule="exact"/>
        <w:rPr>
          <w:sz w:val="20"/>
          <w:szCs w:val="20"/>
          <w:color w:val="auto"/>
        </w:rPr>
      </w:pPr>
    </w:p>
    <w:p>
      <w:pPr>
        <w:ind w:left="780"/>
        <w:spacing w:after="0"/>
        <w:tabs>
          <w:tab w:leader="none" w:pos="1060" w:val="left"/>
        </w:tabs>
        <w:rPr>
          <w:sz w:val="20"/>
          <w:szCs w:val="20"/>
          <w:color w:val="auto"/>
        </w:rPr>
      </w:pPr>
      <w:r>
        <w:rPr>
          <w:rFonts w:ascii="Times New Roman" w:cs="Times New Roman" w:eastAsia="Times New Roman" w:hAnsi="Times New Roman"/>
          <w:sz w:val="13"/>
          <w:szCs w:val="13"/>
          <w:color w:val="auto"/>
        </w:rPr>
        <w:t xml:space="preserve">01) </w:t>
      </w:r>
      <w:r>
        <w:rPr>
          <w:sz w:val="20"/>
          <w:szCs w:val="20"/>
          <w:color w:val="auto"/>
        </w:rPr>
        <w:tab/>
      </w:r>
      <w:r>
        <w:rPr>
          <w:rFonts w:ascii="Times New Roman" w:cs="Times New Roman" w:eastAsia="Times New Roman" w:hAnsi="Times New Roman"/>
          <w:sz w:val="12"/>
          <w:szCs w:val="12"/>
          <w:color w:val="auto"/>
        </w:rPr>
        <w:t>Jody Davids</w:t>
      </w:r>
    </w:p>
    <w:p>
      <w:pPr>
        <w:spacing w:after="0" w:line="80" w:lineRule="exact"/>
        <w:rPr>
          <w:sz w:val="20"/>
          <w:szCs w:val="20"/>
          <w:color w:val="auto"/>
        </w:rPr>
      </w:pPr>
    </w:p>
    <w:p>
      <w:pPr>
        <w:ind w:left="1080" w:hanging="305"/>
        <w:spacing w:after="0"/>
        <w:tabs>
          <w:tab w:leader="none" w:pos="10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Adam Malinowski</w:t>
      </w:r>
    </w:p>
    <w:p>
      <w:pPr>
        <w:spacing w:after="0" w:line="80" w:lineRule="exact"/>
        <w:rPr>
          <w:sz w:val="20"/>
          <w:szCs w:val="20"/>
          <w:color w:val="auto"/>
        </w:rPr>
      </w:pPr>
    </w:p>
    <w:p>
      <w:pPr>
        <w:ind w:left="1080" w:hanging="305"/>
        <w:spacing w:after="0"/>
        <w:tabs>
          <w:tab w:leader="none" w:pos="10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Gary Trainor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Withhold</w:t>
            </w:r>
          </w:p>
        </w:tc>
        <w:tc>
          <w:tcPr>
            <w:tcW w:w="820" w:type="dxa"/>
            <w:vAlign w:val="bottom"/>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w w:val="94"/>
              </w:rPr>
              <w:t>For All</w:t>
            </w: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w w:val="96"/>
              </w:rPr>
              <w:t>To withhold authority to vote for any individual nominee(s),</w:t>
            </w:r>
          </w:p>
        </w:tc>
        <w:tc>
          <w:tcPr>
            <w:tcW w:w="0" w:type="dxa"/>
            <w:vAlign w:val="bottom"/>
          </w:tcPr>
          <w:p>
            <w:pPr>
              <w:spacing w:after="0"/>
              <w:rPr>
                <w:sz w:val="1"/>
                <w:szCs w:val="1"/>
                <w:color w:val="auto"/>
              </w:rPr>
            </w:pPr>
          </w:p>
        </w:tc>
      </w:tr>
      <w:tr>
        <w:trPr>
          <w:trHeight w:val="137"/>
        </w:trPr>
        <w:tc>
          <w:tcPr>
            <w:tcW w:w="2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b w:val="1"/>
                <w:bCs w:val="1"/>
                <w:color w:val="auto"/>
              </w:rPr>
              <w:t>All</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6"/>
              </w:rPr>
              <w:t>All</w:t>
            </w:r>
          </w:p>
        </w:tc>
        <w:tc>
          <w:tcPr>
            <w:tcW w:w="820" w:type="dxa"/>
            <w:vAlign w:val="bottom"/>
          </w:tcPr>
          <w:p>
            <w:pPr>
              <w:jc w:val="center"/>
              <w:ind w:right="185"/>
              <w:spacing w:after="0" w:line="137" w:lineRule="exact"/>
              <w:rPr>
                <w:sz w:val="20"/>
                <w:szCs w:val="20"/>
                <w:color w:val="auto"/>
              </w:rPr>
            </w:pPr>
            <w:r>
              <w:rPr>
                <w:rFonts w:ascii="Times New Roman" w:cs="Times New Roman" w:eastAsia="Times New Roman" w:hAnsi="Times New Roman"/>
                <w:sz w:val="13"/>
                <w:szCs w:val="13"/>
                <w:b w:val="1"/>
                <w:bCs w:val="1"/>
                <w:color w:val="auto"/>
                <w:w w:val="93"/>
              </w:rPr>
              <w:t>Except</w:t>
            </w:r>
          </w:p>
        </w:tc>
        <w:tc>
          <w:tcPr>
            <w:tcW w:w="30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mark “For All Except” and write the number(s) of the</w:t>
            </w:r>
          </w:p>
        </w:tc>
        <w:tc>
          <w:tcPr>
            <w:tcW w:w="0" w:type="dxa"/>
            <w:vAlign w:val="bottom"/>
          </w:tcPr>
          <w:p>
            <w:pPr>
              <w:spacing w:after="0"/>
              <w:rPr>
                <w:sz w:val="1"/>
                <w:szCs w:val="1"/>
                <w:color w:val="auto"/>
              </w:rPr>
            </w:pPr>
          </w:p>
        </w:tc>
      </w:tr>
      <w:tr>
        <w:trPr>
          <w:trHeight w:val="164"/>
        </w:trPr>
        <w:tc>
          <w:tcPr>
            <w:tcW w:w="280" w:type="dxa"/>
            <w:vAlign w:val="bottom"/>
            <w:vMerge w:val="restart"/>
          </w:tcPr>
          <w:p>
            <w:pPr>
              <w:spacing w:after="0" w:line="201" w:lineRule="exact"/>
              <w:rPr>
                <w:sz w:val="20"/>
                <w:szCs w:val="20"/>
                <w:color w:val="auto"/>
              </w:rPr>
            </w:pPr>
            <w:r>
              <w:rPr>
                <w:rFonts w:ascii="MS PGothic" w:cs="MS PGothic" w:eastAsia="MS PGothic" w:hAnsi="MS PGothic"/>
                <w:sz w:val="20"/>
                <w:szCs w:val="20"/>
                <w:color w:val="auto"/>
              </w:rPr>
              <w:t>☐</w:t>
            </w:r>
          </w:p>
        </w:tc>
        <w:tc>
          <w:tcPr>
            <w:tcW w:w="66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0" w:type="dxa"/>
            <w:vAlign w:val="bottom"/>
            <w:vMerge w:val="restart"/>
          </w:tcPr>
          <w:p>
            <w:pPr>
              <w:jc w:val="center"/>
              <w:ind w:right="165"/>
              <w:spacing w:after="0" w:line="201" w:lineRule="exact"/>
              <w:rPr>
                <w:sz w:val="20"/>
                <w:szCs w:val="20"/>
                <w:color w:val="auto"/>
              </w:rPr>
            </w:pPr>
            <w:r>
              <w:rPr>
                <w:rFonts w:ascii="MS PGothic" w:cs="MS PGothic" w:eastAsia="MS PGothic" w:hAnsi="MS PGothic"/>
                <w:sz w:val="20"/>
                <w:szCs w:val="20"/>
                <w:color w:val="auto"/>
                <w:w w:val="89"/>
              </w:rPr>
              <w:t>☐</w:t>
            </w: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nominee(s) on the line below.</w:t>
            </w:r>
          </w:p>
        </w:tc>
        <w:tc>
          <w:tcPr>
            <w:tcW w:w="0" w:type="dxa"/>
            <w:vAlign w:val="bottom"/>
          </w:tcPr>
          <w:p>
            <w:pPr>
              <w:spacing w:after="0"/>
              <w:rPr>
                <w:sz w:val="1"/>
                <w:szCs w:val="1"/>
                <w:color w:val="auto"/>
              </w:rPr>
            </w:pPr>
          </w:p>
        </w:tc>
      </w:tr>
      <w:tr>
        <w:trPr>
          <w:trHeight w:val="268"/>
        </w:trPr>
        <w:tc>
          <w:tcPr>
            <w:tcW w:w="280" w:type="dxa"/>
            <w:vAlign w:val="bottom"/>
            <w:vMerge w:val="continue"/>
          </w:tcPr>
          <w:p>
            <w:pPr>
              <w:spacing w:after="0"/>
              <w:rPr>
                <w:sz w:val="23"/>
                <w:szCs w:val="23"/>
                <w:color w:val="auto"/>
              </w:rPr>
            </w:pPr>
          </w:p>
        </w:tc>
        <w:tc>
          <w:tcPr>
            <w:tcW w:w="66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67" w:hanging="67"/>
        <w:spacing w:after="0"/>
        <w:tabs>
          <w:tab w:leader="none" w:pos="67" w:val="left"/>
        </w:tabs>
        <w:numPr>
          <w:ilvl w:val="0"/>
          <w:numId w:val="77"/>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w:t>
      </w:r>
    </w:p>
    <w:p>
      <w:pPr>
        <w:spacing w:after="0" w:line="200" w:lineRule="exact"/>
        <w:rPr>
          <w:rFonts w:ascii="Times New Roman" w:cs="Times New Roman" w:eastAsia="Times New Roman" w:hAnsi="Times New Roman"/>
          <w:sz w:val="4"/>
          <w:szCs w:val="4"/>
          <w:color w:val="auto"/>
        </w:rPr>
      </w:pPr>
    </w:p>
    <w:p>
      <w:pPr>
        <w:spacing w:after="0" w:line="200" w:lineRule="exact"/>
        <w:rPr>
          <w:rFonts w:ascii="Times New Roman" w:cs="Times New Roman" w:eastAsia="Times New Roman" w:hAnsi="Times New Roman"/>
          <w:sz w:val="4"/>
          <w:szCs w:val="4"/>
          <w:color w:val="auto"/>
        </w:rPr>
      </w:pPr>
    </w:p>
    <w:p>
      <w:pPr>
        <w:spacing w:after="0" w:line="283" w:lineRule="exact"/>
        <w:rPr>
          <w:rFonts w:ascii="Times New Roman" w:cs="Times New Roman" w:eastAsia="Times New Roman" w:hAnsi="Times New Roman"/>
          <w:sz w:val="4"/>
          <w:szCs w:val="4"/>
          <w:color w:val="auto"/>
        </w:rPr>
      </w:pPr>
    </w:p>
    <w:p>
      <w:pPr>
        <w:ind w:left="7"/>
        <w:spacing w:after="0"/>
        <w:rPr>
          <w:rFonts w:ascii="Times New Roman" w:cs="Times New Roman" w:eastAsia="Times New Roman" w:hAnsi="Times New Roman"/>
          <w:sz w:val="4"/>
          <w:szCs w:val="4"/>
          <w:color w:val="auto"/>
        </w:rPr>
      </w:pPr>
      <w:r>
        <w:rPr>
          <w:rFonts w:ascii="Times New Roman" w:cs="Times New Roman" w:eastAsia="Times New Roman" w:hAnsi="Times New Roman"/>
          <w:sz w:val="10"/>
          <w:szCs w:val="10"/>
          <w:color w:val="auto"/>
        </w:rPr>
        <w:t> </w:t>
      </w:r>
    </w:p>
    <w:p>
      <w:pPr>
        <w:spacing w:after="0" w:line="1206" w:lineRule="exact"/>
        <w:rPr>
          <w:sz w:val="20"/>
          <w:szCs w:val="20"/>
          <w:color w:val="auto"/>
        </w:rPr>
      </w:pPr>
    </w:p>
    <w:p>
      <w:pPr>
        <w:sectPr>
          <w:pgSz w:w="11900" w:h="16838" w:orient="portrait"/>
          <w:cols w:equalWidth="0" w:num="3">
            <w:col w:w="3860" w:space="120"/>
            <w:col w:w="5893" w:space="720"/>
            <w:col w:w="547"/>
          </w:cols>
          <w:pgMar w:left="320" w:top="482" w:right="439" w:bottom="1440" w:gutter="0" w:footer="0" w:header="0"/>
          <w:type w:val="continuous"/>
        </w:sectPr>
      </w:pP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The Board of Directors recommends a vote “FOR” Proposals 2 and 3:</w:t>
      </w:r>
    </w:p>
    <w:p>
      <w:pPr>
        <w:spacing w:after="0" w:line="64" w:lineRule="exact"/>
        <w:rPr>
          <w:sz w:val="20"/>
          <w:szCs w:val="20"/>
          <w:color w:val="auto"/>
        </w:rPr>
      </w:pPr>
    </w:p>
    <w:p>
      <w:pPr>
        <w:ind w:left="740" w:right="20" w:hanging="358"/>
        <w:spacing w:after="0"/>
        <w:tabs>
          <w:tab w:leader="none" w:pos="519"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2. </w:t>
      </w:r>
      <w:r>
        <w:rPr>
          <w:rFonts w:ascii="Times New Roman" w:cs="Times New Roman" w:eastAsia="Times New Roman" w:hAnsi="Times New Roman"/>
          <w:sz w:val="11"/>
          <w:szCs w:val="11"/>
          <w:color w:val="auto"/>
        </w:rPr>
        <w:t>Ratification of the appointment of PricewaterhouseCoopers LLP as our independent registered public accounting firm for our fiscal year ending December 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color w:val="auto"/>
        </w:rPr>
        <w:t>2026.</w:t>
      </w:r>
    </w:p>
    <w:p>
      <w:pPr>
        <w:spacing w:after="0" w:line="188" w:lineRule="exact"/>
        <w:rPr>
          <w:rFonts w:ascii="Times New Roman" w:cs="Times New Roman" w:eastAsia="Times New Roman" w:hAnsi="Times New Roman"/>
          <w:sz w:val="13"/>
          <w:szCs w:val="13"/>
          <w:color w:val="auto"/>
        </w:rPr>
      </w:pPr>
    </w:p>
    <w:p>
      <w:pPr>
        <w:ind w:left="740" w:right="380" w:hanging="358"/>
        <w:spacing w:after="0" w:line="292" w:lineRule="auto"/>
        <w:tabs>
          <w:tab w:leader="none" w:pos="519"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3. </w:t>
      </w:r>
      <w:r>
        <w:rPr>
          <w:rFonts w:ascii="Times New Roman" w:cs="Times New Roman" w:eastAsia="Times New Roman" w:hAnsi="Times New Roman"/>
          <w:sz w:val="11"/>
          <w:szCs w:val="11"/>
          <w:color w:val="auto"/>
        </w:rPr>
        <w:t>Approval, on an advisory basis, of the compensation of our named executive officers, as disclosed in the proxy statement pursuant to the compensation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color w:val="auto"/>
        </w:rPr>
        <w:t>disclosure rules of the Securities and Exchange Commission.</w:t>
      </w:r>
    </w:p>
    <w:p>
      <w:pPr>
        <w:spacing w:after="0" w:line="20" w:lineRule="exact"/>
        <w:rPr>
          <w:sz w:val="20"/>
          <w:szCs w:val="20"/>
          <w:color w:val="auto"/>
        </w:rPr>
      </w:pPr>
      <w:r>
        <w:rPr>
          <w:sz w:val="20"/>
          <w:szCs w:val="20"/>
          <w:color w:val="auto"/>
        </w:rPr>
        <w:br w:type="column"/>
      </w:r>
    </w:p>
    <w:p>
      <w:pPr>
        <w:spacing w:after="0"/>
        <w:tabs>
          <w:tab w:leader="none" w:pos="400" w:val="left"/>
          <w:tab w:leader="none" w:pos="1020" w:val="left"/>
        </w:tabs>
        <w:rPr>
          <w:sz w:val="20"/>
          <w:szCs w:val="20"/>
          <w:color w:val="auto"/>
        </w:rPr>
      </w:pPr>
      <w:r>
        <w:rPr>
          <w:rFonts w:ascii="Times New Roman" w:cs="Times New Roman" w:eastAsia="Times New Roman" w:hAnsi="Times New Roman"/>
          <w:sz w:val="13"/>
          <w:szCs w:val="13"/>
          <w:b w:val="1"/>
          <w:bCs w:val="1"/>
          <w:color w:val="auto"/>
        </w:rPr>
        <w:t>For</w:t>
      </w:r>
      <w:r>
        <w:rPr>
          <w:sz w:val="20"/>
          <w:szCs w:val="20"/>
          <w:color w:val="auto"/>
        </w:rPr>
        <w:tab/>
      </w:r>
      <w:r>
        <w:rPr>
          <w:rFonts w:ascii="Times New Roman" w:cs="Times New Roman" w:eastAsia="Times New Roman" w:hAnsi="Times New Roman"/>
          <w:sz w:val="13"/>
          <w:szCs w:val="13"/>
          <w:b w:val="1"/>
          <w:bCs w:val="1"/>
          <w:color w:val="auto"/>
        </w:rPr>
        <w:t>Against</w:t>
      </w:r>
      <w:r>
        <w:rPr>
          <w:sz w:val="20"/>
          <w:szCs w:val="20"/>
          <w:color w:val="auto"/>
        </w:rPr>
        <w:tab/>
      </w:r>
      <w:r>
        <w:rPr>
          <w:rFonts w:ascii="Times New Roman" w:cs="Times New Roman" w:eastAsia="Times New Roman" w:hAnsi="Times New Roman"/>
          <w:sz w:val="14"/>
          <w:szCs w:val="14"/>
          <w:b w:val="1"/>
          <w:bCs w:val="1"/>
          <w:color w:val="auto"/>
        </w:rPr>
        <w:t>Abstain</w:t>
      </w:r>
    </w:p>
    <w:p>
      <w:pPr>
        <w:spacing w:after="0" w:line="29" w:lineRule="exact"/>
        <w:rPr>
          <w:sz w:val="20"/>
          <w:szCs w:val="20"/>
          <w:color w:val="auto"/>
        </w:rPr>
      </w:pPr>
    </w:p>
    <w:p>
      <w:pPr>
        <w:spacing w:after="0" w:line="230" w:lineRule="exact"/>
        <w:tabs>
          <w:tab w:leader="none" w:pos="560" w:val="left"/>
          <w:tab w:leader="none" w:pos="116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p>
    <w:p>
      <w:pPr>
        <w:spacing w:after="0" w:line="103" w:lineRule="exact"/>
        <w:rPr>
          <w:sz w:val="20"/>
          <w:szCs w:val="20"/>
          <w:color w:val="auto"/>
        </w:rPr>
      </w:pPr>
    </w:p>
    <w:p>
      <w:pPr>
        <w:spacing w:after="0" w:line="230" w:lineRule="exact"/>
        <w:tabs>
          <w:tab w:leader="none" w:pos="560" w:val="left"/>
          <w:tab w:leader="none" w:pos="116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p>
    <w:p>
      <w:pPr>
        <w:spacing w:after="0" w:line="177" w:lineRule="exact"/>
        <w:rPr>
          <w:sz w:val="20"/>
          <w:szCs w:val="20"/>
          <w:color w:val="auto"/>
        </w:rPr>
      </w:pPr>
    </w:p>
    <w:p>
      <w:pPr>
        <w:sectPr>
          <w:pgSz w:w="11900" w:h="16838" w:orient="portrait"/>
          <w:cols w:equalWidth="0" w:num="2">
            <w:col w:w="8740" w:space="720"/>
            <w:col w:w="1680"/>
          </w:cols>
          <w:pgMar w:left="320" w:top="482" w:right="439" w:bottom="1440"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The Board of Directors recommends a vote for “1 YEAR” on Proposal 4:</w:t>
      </w:r>
    </w:p>
    <w:p>
      <w:pPr>
        <w:spacing w:after="0" w:line="159" w:lineRule="exact"/>
        <w:rPr>
          <w:sz w:val="20"/>
          <w:szCs w:val="20"/>
          <w:color w:val="auto"/>
        </w:rPr>
      </w:pPr>
    </w:p>
    <w:p>
      <w:pPr>
        <w:ind w:left="520" w:hanging="138"/>
        <w:spacing w:after="0"/>
        <w:tabs>
          <w:tab w:leader="none" w:pos="5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1"/>
          <w:szCs w:val="11"/>
          <w:color w:val="auto"/>
        </w:rPr>
        <w:t>A vote, on an advisory basis, as to whether the above “say-on-pay” vote should occur every one, two or three years.</w:t>
      </w:r>
    </w:p>
    <w:p>
      <w:pPr>
        <w:spacing w:after="0" w:line="217" w:lineRule="exact"/>
        <w:rPr>
          <w:rFonts w:ascii="Times New Roman" w:cs="Times New Roman" w:eastAsia="Times New Roman" w:hAnsi="Times New Roman"/>
          <w:sz w:val="13"/>
          <w:szCs w:val="13"/>
          <w:color w:val="auto"/>
        </w:rPr>
      </w:pPr>
    </w:p>
    <w:p>
      <w:pPr>
        <w:ind w:left="500"/>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The shares represented by this proxy, when properly executed, will be voted in the manner directed herein by the undersigned stockholder(s).</w:t>
      </w:r>
      <w:r>
        <w:rPr>
          <w:rFonts w:ascii="Times New Roman" w:cs="Times New Roman" w:eastAsia="Times New Roman" w:hAnsi="Times New Roman"/>
          <w:sz w:val="13"/>
          <w:szCs w:val="13"/>
          <w:b w:val="1"/>
          <w:bCs w:val="1"/>
          <w:color w:val="auto"/>
        </w:rPr>
        <w:t xml:space="preserve"> If no direction is made, this proxy will be voted “FOR ALL” of the Director nominees listed in Item 1, “FOR” Proposals 2 and 3, and “FOR” the option of “1 YEAR” in Proposal 4. </w:t>
      </w:r>
      <w:r>
        <w:rPr>
          <w:rFonts w:ascii="Times New Roman" w:cs="Times New Roman" w:eastAsia="Times New Roman" w:hAnsi="Times New Roman"/>
          <w:sz w:val="13"/>
          <w:szCs w:val="13"/>
          <w:color w:val="auto"/>
        </w:rPr>
        <w:t>If any other matters properly come before the Annual Meeting, the persons named in this proxy will vote in their discretion.</w:t>
      </w:r>
    </w:p>
    <w:p>
      <w:pPr>
        <w:spacing w:after="0" w:line="187" w:lineRule="exact"/>
        <w:rPr>
          <w:rFonts w:ascii="Times New Roman" w:cs="Times New Roman" w:eastAsia="Times New Roman" w:hAnsi="Times New Roman"/>
          <w:sz w:val="13"/>
          <w:szCs w:val="13"/>
          <w:color w:val="auto"/>
        </w:rPr>
      </w:pPr>
    </w:p>
    <w:p>
      <w:pPr>
        <w:ind w:left="500" w:right="420"/>
        <w:spacing w:after="0" w:line="2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THE UNDERSIGNED STOCKHOLDER(S) HEREBY ACKNOWLEDGE(S) RECEIPT OF THE NOTICE OF THE ANNUAL MEETING, THE ACCOMPANYING PROXY STATEMENT AND THE ANNUAL REPORT TO STOCKHOLDERS FOR THE YEAR ENDED DECEMBER 31, 2025.</w:t>
      </w:r>
    </w:p>
    <w:p>
      <w:pPr>
        <w:spacing w:after="0" w:line="20" w:lineRule="exact"/>
        <w:rPr>
          <w:sz w:val="20"/>
          <w:szCs w:val="20"/>
          <w:color w:val="auto"/>
        </w:rPr>
      </w:pPr>
      <w:r>
        <w:rPr>
          <w:sz w:val="20"/>
          <w:szCs w:val="20"/>
          <w:color w:val="auto"/>
        </w:rPr>
        <w:br w:type="column"/>
      </w:r>
    </w:p>
    <w:p>
      <w:pPr>
        <w:spacing w:after="0"/>
        <w:tabs>
          <w:tab w:leader="none" w:pos="1060" w:val="left"/>
          <w:tab w:leader="none" w:pos="1640" w:val="left"/>
        </w:tabs>
        <w:rPr>
          <w:sz w:val="20"/>
          <w:szCs w:val="20"/>
          <w:color w:val="auto"/>
        </w:rPr>
      </w:pPr>
      <w:r>
        <w:rPr>
          <w:rFonts w:ascii="Times New Roman" w:cs="Times New Roman" w:eastAsia="Times New Roman" w:hAnsi="Times New Roman"/>
          <w:sz w:val="14"/>
          <w:szCs w:val="14"/>
          <w:b w:val="1"/>
          <w:bCs w:val="1"/>
          <w:color w:val="auto"/>
        </w:rPr>
        <w:t>1 Year  2 Years</w:t>
        <w:tab/>
        <w:t>3 Years</w:t>
        <w:tab/>
        <w:t>Abstain</w:t>
      </w:r>
    </w:p>
    <w:p>
      <w:pPr>
        <w:spacing w:after="0" w:line="29" w:lineRule="exact"/>
        <w:rPr>
          <w:sz w:val="20"/>
          <w:szCs w:val="20"/>
          <w:color w:val="auto"/>
        </w:rPr>
      </w:pPr>
    </w:p>
    <w:p>
      <w:pPr>
        <w:ind w:left="100"/>
        <w:spacing w:after="0" w:line="230" w:lineRule="exact"/>
        <w:tabs>
          <w:tab w:leader="none" w:pos="600" w:val="left"/>
          <w:tab w:leader="none" w:pos="1180" w:val="left"/>
          <w:tab w:leader="none" w:pos="178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p>
    <w:p>
      <w:pPr>
        <w:spacing w:after="0" w:line="1404" w:lineRule="exact"/>
        <w:rPr>
          <w:sz w:val="20"/>
          <w:szCs w:val="20"/>
          <w:color w:val="auto"/>
        </w:rPr>
      </w:pPr>
    </w:p>
    <w:p>
      <w:pPr>
        <w:sectPr>
          <w:pgSz w:w="11900" w:h="16838" w:orient="portrait"/>
          <w:cols w:equalWidth="0" w:num="2">
            <w:col w:w="8640" w:space="200"/>
            <w:col w:w="23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right="2540"/>
        <w:spacing w:after="0" w:line="280" w:lineRule="auto"/>
        <w:rPr>
          <w:sz w:val="20"/>
          <w:szCs w:val="20"/>
          <w:color w:val="auto"/>
        </w:rPr>
      </w:pPr>
      <w:r>
        <w:rPr>
          <w:rFonts w:ascii="Times New Roman" w:cs="Times New Roman" w:eastAsia="Times New Roman" w:hAnsi="Times New Roman"/>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73" w:lineRule="exact"/>
        <w:rPr>
          <w:sz w:val="20"/>
          <w:szCs w:val="20"/>
          <w:color w:val="auto"/>
        </w:rPr>
      </w:pPr>
    </w:p>
    <w:tbl>
      <w:tblPr>
        <w:tblLayout w:type="fixed"/>
        <w:tblInd w:w="320" w:type="dxa"/>
        <w:tblCellMar>
          <w:top w:w="0" w:type="dxa"/>
          <w:left w:w="0" w:type="dxa"/>
          <w:bottom w:w="0" w:type="dxa"/>
          <w:right w:w="0" w:type="dxa"/>
        </w:tblCellMar>
      </w:tblPr>
      <w:tr>
        <w:trPr>
          <w:trHeight w:val="405"/>
        </w:trPr>
        <w:tc>
          <w:tcPr>
            <w:tcW w:w="2600" w:type="dxa"/>
            <w:vAlign w:val="bottom"/>
          </w:tcPr>
          <w:p>
            <w:pPr>
              <w:ind w:left="320"/>
              <w:spacing w:after="0"/>
              <w:rPr>
                <w:sz w:val="20"/>
                <w:szCs w:val="20"/>
                <w:color w:val="auto"/>
              </w:rPr>
            </w:pPr>
            <w:r>
              <w:rPr>
                <w:rFonts w:ascii="Times New Roman" w:cs="Times New Roman" w:eastAsia="Times New Roman" w:hAnsi="Times New Roman"/>
                <w:sz w:val="31"/>
                <w:szCs w:val="31"/>
                <w:color w:val="auto"/>
              </w:rPr>
              <w:t> </w:t>
            </w:r>
          </w:p>
        </w:tc>
        <w:tc>
          <w:tcPr>
            <w:tcW w:w="1840" w:type="dxa"/>
            <w:vAlign w:val="bottom"/>
          </w:tcPr>
          <w:p>
            <w:pPr>
              <w:ind w:left="440"/>
              <w:spacing w:after="0"/>
              <w:rPr>
                <w:sz w:val="20"/>
                <w:szCs w:val="20"/>
                <w:color w:val="auto"/>
              </w:rPr>
            </w:pPr>
            <w:r>
              <w:rPr>
                <w:rFonts w:ascii="Times New Roman" w:cs="Times New Roman" w:eastAsia="Times New Roman" w:hAnsi="Times New Roman"/>
                <w:sz w:val="31"/>
                <w:szCs w:val="31"/>
                <w:color w:val="auto"/>
              </w:rPr>
              <w:t xml:space="preserve">     </w:t>
            </w:r>
          </w:p>
        </w:tc>
        <w:tc>
          <w:tcPr>
            <w:tcW w:w="3040" w:type="dxa"/>
            <w:vAlign w:val="bottom"/>
          </w:tcPr>
          <w:p>
            <w:pPr>
              <w:ind w:left="920"/>
              <w:spacing w:after="0"/>
              <w:rPr>
                <w:sz w:val="20"/>
                <w:szCs w:val="20"/>
                <w:color w:val="auto"/>
              </w:rPr>
            </w:pPr>
            <w:r>
              <w:rPr>
                <w:rFonts w:ascii="Times New Roman" w:cs="Times New Roman" w:eastAsia="Times New Roman" w:hAnsi="Times New Roman"/>
                <w:sz w:val="31"/>
                <w:szCs w:val="31"/>
                <w:color w:val="auto"/>
              </w:rPr>
              <w:t>   </w:t>
            </w:r>
          </w:p>
        </w:tc>
        <w:tc>
          <w:tcPr>
            <w:tcW w:w="1480" w:type="dxa"/>
            <w:vAlign w:val="bottom"/>
          </w:tcPr>
          <w:p>
            <w:pPr>
              <w:ind w:left="900"/>
              <w:spacing w:after="0"/>
              <w:rPr>
                <w:sz w:val="20"/>
                <w:szCs w:val="20"/>
                <w:color w:val="auto"/>
              </w:rPr>
            </w:pPr>
            <w:r>
              <w:rPr>
                <w:rFonts w:ascii="Times New Roman" w:cs="Times New Roman" w:eastAsia="Times New Roman" w:hAnsi="Times New Roman"/>
                <w:sz w:val="31"/>
                <w:szCs w:val="31"/>
                <w:color w:val="auto"/>
              </w:rPr>
              <w:t xml:space="preserve">     </w:t>
            </w:r>
          </w:p>
        </w:tc>
        <w:tc>
          <w:tcPr>
            <w:tcW w:w="1420" w:type="dxa"/>
            <w:vAlign w:val="bottom"/>
          </w:tcPr>
          <w:p>
            <w:pPr>
              <w:ind w:left="120"/>
              <w:spacing w:after="0"/>
              <w:rPr>
                <w:sz w:val="20"/>
                <w:szCs w:val="20"/>
                <w:color w:val="auto"/>
              </w:rPr>
            </w:pPr>
            <w:r>
              <w:rPr>
                <w:rFonts w:ascii="Times New Roman" w:cs="Times New Roman" w:eastAsia="Times New Roman" w:hAnsi="Times New Roman"/>
                <w:sz w:val="31"/>
                <w:szCs w:val="31"/>
                <w:color w:val="auto"/>
              </w:rPr>
              <w:t xml:space="preserve">             </w:t>
            </w:r>
          </w:p>
        </w:tc>
      </w:tr>
      <w:tr>
        <w:trPr>
          <w:trHeight w:val="188"/>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Signature [PLEASE SIGN WITHIN BOX]</w:t>
            </w:r>
          </w:p>
        </w:tc>
        <w:tc>
          <w:tcPr>
            <w:tcW w:w="1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Date</w:t>
            </w:r>
          </w:p>
        </w:tc>
        <w:tc>
          <w:tcPr>
            <w:tcW w:w="30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Signature (Joint Owners)</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Date</w:t>
            </w:r>
          </w:p>
        </w:tc>
        <w:tc>
          <w:tcPr>
            <w:tcW w:w="1420" w:type="dxa"/>
            <w:vAlign w:val="bottom"/>
          </w:tcPr>
          <w:p>
            <w:pPr>
              <w:spacing w:after="0"/>
              <w:rPr>
                <w:sz w:val="16"/>
                <w:szCs w:val="16"/>
                <w:color w:val="auto"/>
              </w:rPr>
            </w:pPr>
          </w:p>
        </w:tc>
      </w:tr>
    </w:tbl>
    <w:p>
      <w:pPr>
        <w:sectPr>
          <w:pgSz w:w="11900" w:h="16838" w:orient="portrait"/>
          <w:cols w:equalWidth="0" w:num="1">
            <w:col w:w="11140"/>
          </w:cols>
          <w:pgMar w:left="320" w:top="482" w:right="4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20" w:right="1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 xml:space="preserve">The Notice of Annual Meeting &amp; Proxy Statement and Annual Report on Form 10-K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 — — — — — — — — — — — — — — — — — — — — — — — — — — — — — — — — — — — — — — — — — — — — — — —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V91485-P49780 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4525" cy="3926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452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jc w:val="center"/>
        <w:ind w:right="-219"/>
        <w:spacing w:after="0" w:line="230" w:lineRule="auto"/>
        <w:rPr>
          <w:sz w:val="20"/>
          <w:szCs w:val="20"/>
          <w:color w:val="auto"/>
        </w:rPr>
      </w:pPr>
      <w:r>
        <w:rPr>
          <w:rFonts w:ascii="Times New Roman" w:cs="Times New Roman" w:eastAsia="Times New Roman" w:hAnsi="Times New Roman"/>
          <w:sz w:val="22"/>
          <w:szCs w:val="22"/>
          <w:b w:val="1"/>
          <w:bCs w:val="1"/>
          <w:color w:val="auto"/>
        </w:rPr>
        <w:t>FRIDAY, JUNE 5, 2026 1:00 PM EDT</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w:t>
      </w:r>
    </w:p>
    <w:p>
      <w:pPr>
        <w:spacing w:after="0" w:line="191" w:lineRule="exact"/>
        <w:rPr>
          <w:sz w:val="20"/>
          <w:szCs w:val="20"/>
          <w:color w:val="auto"/>
        </w:rPr>
      </w:pPr>
    </w:p>
    <w:p>
      <w:pPr>
        <w:ind w:left="480" w:right="300"/>
        <w:spacing w:after="0" w:line="256" w:lineRule="auto"/>
        <w:rPr>
          <w:sz w:val="20"/>
          <w:szCs w:val="20"/>
          <w:color w:val="auto"/>
        </w:rPr>
      </w:pPr>
      <w:r>
        <w:rPr>
          <w:rFonts w:ascii="Times New Roman" w:cs="Times New Roman" w:eastAsia="Times New Roman" w:hAnsi="Times New Roman"/>
          <w:sz w:val="18"/>
          <w:szCs w:val="18"/>
          <w:color w:val="auto"/>
        </w:rPr>
        <w:t>The undersigned hereby appoints Dushyant Sharma and Sanjay Kalra, and each of them, as attorney, agent and proxy of the undersigned, each with the full power to appoint his substitute, and hereby authorizes them to represent and to vote, as designated on the reverse side of this ballot, all of the shares of Class A and Class B common stock of PAYMENTUS HOLDINGS, INC. that the undersigned is entitled to vote at the Annual Meeting of Stockholders to be held at 1:00 PM EDT on Friday, June 5, 2026, virtually at www.virtualshareholdermeeting.com/PAY2026, and any postponement or adjournment thereof, with all powers that the undersigned would have if personally present.</w:t>
      </w:r>
    </w:p>
    <w:p>
      <w:pPr>
        <w:spacing w:after="0" w:line="183" w:lineRule="exact"/>
        <w:rPr>
          <w:sz w:val="20"/>
          <w:szCs w:val="20"/>
          <w:color w:val="auto"/>
        </w:rPr>
      </w:pPr>
    </w:p>
    <w:p>
      <w:pPr>
        <w:ind w:left="480" w:right="180"/>
        <w:spacing w:after="0" w:line="282" w:lineRule="auto"/>
        <w:rPr>
          <w:sz w:val="20"/>
          <w:szCs w:val="20"/>
          <w:color w:val="auto"/>
        </w:rPr>
      </w:pPr>
      <w:r>
        <w:rPr>
          <w:rFonts w:ascii="Times New Roman" w:cs="Times New Roman" w:eastAsia="Times New Roman" w:hAnsi="Times New Roman"/>
          <w:sz w:val="17"/>
          <w:szCs w:val="17"/>
          <w:b w:val="1"/>
          <w:bCs w:val="1"/>
          <w:color w:val="auto"/>
        </w:rPr>
        <w:t>This proxy, when properly executed, will be voted as specified by the undersigned on the reverse side. If no choice is specified, the proxy will be voted as to all shares of the undersigned: FOR ALL of the nominees for director listed on the reverse side, FOR Proposals 2 and 3, and FOR the option of 1 YEAR in Proposal 4. The proxies are hereby authorized to vote all shares of the undersigned in their discretion upon such other matters as may properly come before the meeting or any postponement or adjournment thereof.</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Please date and sign on the reverse side exactly as your name appears on the form and mail the proxy promptly.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reverse side)</w:t>
      </w:r>
    </w:p>
    <w:p>
      <w:pPr>
        <w:sectPr>
          <w:pgSz w:w="11900" w:h="16838" w:orient="portrait"/>
          <w:cols w:equalWidth="0" w:num="1">
            <w:col w:w="11040"/>
          </w:cols>
          <w:pgMar w:left="320" w:top="482"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25"/>
          <w:szCs w:val="2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-167640</wp:posOffset>
            </wp:positionV>
            <wp:extent cx="1637030"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7030" cy="283210"/>
                    </a:xfrm>
                    <a:prstGeom prst="rect">
                      <a:avLst/>
                    </a:prstGeom>
                    <a:noFill/>
                  </pic:spPr>
                </pic:pic>
              </a:graphicData>
            </a:graphic>
          </wp:anchor>
        </w:drawing>
      </w:r>
    </w:p>
    <w:p>
      <w:pPr>
        <w:spacing w:after="0" w:line="2"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-635</wp:posOffset>
            </wp:positionV>
            <wp:extent cx="386080" cy="1517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6080" cy="1517015"/>
                    </a:xfrm>
                    <a:prstGeom prst="rect">
                      <a:avLst/>
                    </a:prstGeom>
                    <a:noFill/>
                  </pic:spPr>
                </pic:pic>
              </a:graphicData>
            </a:graphic>
          </wp:anchor>
        </w:drawing>
      </w:r>
    </w:p>
    <w:p>
      <w:pPr>
        <w:jc w:val="right"/>
        <w:ind w:right="140"/>
        <w:spacing w:after="0" w:line="194" w:lineRule="auto"/>
        <w:rPr>
          <w:sz w:val="20"/>
          <w:szCs w:val="20"/>
          <w:color w:val="auto"/>
        </w:rPr>
      </w:pPr>
      <w:r>
        <w:rPr>
          <w:rFonts w:ascii="Times New Roman" w:cs="Times New Roman" w:eastAsia="Times New Roman" w:hAnsi="Times New Roman"/>
          <w:sz w:val="13"/>
          <w:szCs w:val="13"/>
          <w:color w:val="auto"/>
        </w:rPr>
        <w:t xml:space="preserve">   </w:t>
      </w:r>
    </w:p>
    <w:p>
      <w:pPr>
        <w:ind w:left="6620"/>
        <w:spacing w:after="0"/>
        <w:rPr>
          <w:sz w:val="20"/>
          <w:szCs w:val="20"/>
          <w:color w:val="auto"/>
        </w:rPr>
      </w:pPr>
      <w:r>
        <w:rPr>
          <w:rFonts w:ascii="Times New Roman" w:cs="Times New Roman" w:eastAsia="Times New Roman" w:hAnsi="Times New Roman"/>
          <w:sz w:val="47"/>
          <w:szCs w:val="47"/>
          <w:color w:val="004878"/>
        </w:rPr>
        <w:t xml:space="preserve">Your </w:t>
      </w:r>
      <w:r>
        <w:rPr>
          <w:rFonts w:ascii="Times New Roman" w:cs="Times New Roman" w:eastAsia="Times New Roman" w:hAnsi="Times New Roman"/>
          <w:sz w:val="47"/>
          <w:szCs w:val="47"/>
          <w:b w:val="1"/>
          <w:bCs w:val="1"/>
          <w:color w:val="004878"/>
        </w:rPr>
        <w:t>Vote</w:t>
      </w:r>
      <w:r>
        <w:rPr>
          <w:rFonts w:ascii="Times New Roman" w:cs="Times New Roman" w:eastAsia="Times New Roman" w:hAnsi="Times New Roman"/>
          <w:sz w:val="47"/>
          <w:szCs w:val="47"/>
          <w:color w:val="004878"/>
        </w:rPr>
        <w:t xml:space="preserve"> Counts!</w:t>
      </w:r>
    </w:p>
    <w:tbl>
      <w:tblPr>
        <w:tblLayout w:type="fixed"/>
        <w:tblInd w:w="9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340" w:type="dxa"/>
            <w:vAlign w:val="bottom"/>
            <w:vMerge w:val="restart"/>
          </w:tcPr>
          <w:p>
            <w:pPr>
              <w:jc w:val="center"/>
              <w:ind w:left="2401"/>
              <w:spacing w:after="0"/>
              <w:rPr>
                <w:sz w:val="20"/>
                <w:szCs w:val="20"/>
                <w:color w:val="auto"/>
              </w:rPr>
            </w:pPr>
            <w:r>
              <w:rPr>
                <w:rFonts w:ascii="Times New Roman" w:cs="Times New Roman" w:eastAsia="Times New Roman" w:hAnsi="Times New Roman"/>
                <w:sz w:val="20"/>
                <w:szCs w:val="20"/>
                <w:b w:val="1"/>
                <w:bCs w:val="1"/>
                <w:color w:val="004878"/>
                <w:w w:val="97"/>
              </w:rPr>
              <w:t>PAYMENTUS HOLDINGS, INC.</w:t>
            </w:r>
          </w:p>
        </w:tc>
        <w:tc>
          <w:tcPr>
            <w:tcW w:w="560" w:type="dxa"/>
            <w:vAlign w:val="bottom"/>
          </w:tcPr>
          <w:p>
            <w:pPr>
              <w:ind w:left="500"/>
              <w:spacing w:after="0"/>
              <w:rPr>
                <w:sz w:val="20"/>
                <w:szCs w:val="20"/>
                <w:color w:val="auto"/>
              </w:rPr>
            </w:pPr>
            <w:r>
              <w:rPr>
                <w:rFonts w:ascii="Times New Roman" w:cs="Times New Roman" w:eastAsia="Times New Roman" w:hAnsi="Times New Roman"/>
                <w:sz w:val="4"/>
                <w:szCs w:val="4"/>
                <w:color w:val="auto"/>
                <w:w w:val="98"/>
              </w:rPr>
              <w:t> </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63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6340" w:type="dxa"/>
            <w:vAlign w:val="bottom"/>
          </w:tcPr>
          <w:p>
            <w:pPr>
              <w:jc w:val="center"/>
              <w:ind w:left="2421"/>
              <w:spacing w:after="0"/>
              <w:rPr>
                <w:sz w:val="20"/>
                <w:szCs w:val="20"/>
                <w:color w:val="auto"/>
              </w:rPr>
            </w:pPr>
            <w:r>
              <w:rPr>
                <w:rFonts w:ascii="Times New Roman" w:cs="Times New Roman" w:eastAsia="Times New Roman" w:hAnsi="Times New Roman"/>
                <w:sz w:val="20"/>
                <w:szCs w:val="20"/>
                <w:color w:val="004878"/>
                <w:w w:val="99"/>
              </w:rPr>
              <w:t>2026 Annual Meeting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-351155</wp:posOffset>
            </wp:positionV>
            <wp:extent cx="105410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tbl>
      <w:tblPr>
        <w:tblLayout w:type="fixed"/>
        <w:tblInd w:w="120" w:type="dxa"/>
        <w:tblCellMar>
          <w:top w:w="0" w:type="dxa"/>
          <w:left w:w="0" w:type="dxa"/>
          <w:bottom w:w="0" w:type="dxa"/>
          <w:right w:w="0" w:type="dxa"/>
        </w:tblCellMar>
      </w:tblPr>
      <w:tr>
        <w:trPr>
          <w:trHeight w:val="98"/>
        </w:trPr>
        <w:tc>
          <w:tcPr>
            <w:tcW w:w="60" w:type="dxa"/>
            <w:vAlign w:val="bottom"/>
          </w:tcPr>
          <w:p>
            <w:pPr>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420" w:type="dxa"/>
            <w:vAlign w:val="bottom"/>
          </w:tcPr>
          <w:p>
            <w:pPr>
              <w:ind w:left="40"/>
              <w:spacing w:after="0" w:line="98" w:lineRule="exact"/>
              <w:rPr>
                <w:sz w:val="20"/>
                <w:szCs w:val="20"/>
                <w:color w:val="auto"/>
              </w:rPr>
            </w:pPr>
            <w:r>
              <w:rPr>
                <w:rFonts w:ascii="Times New Roman" w:cs="Times New Roman" w:eastAsia="Times New Roman" w:hAnsi="Times New Roman"/>
                <w:sz w:val="9"/>
                <w:szCs w:val="9"/>
                <w:color w:val="004878"/>
              </w:rPr>
              <w:t>PAYMENTUS HOLDINGS, INC.</w:t>
            </w:r>
          </w:p>
        </w:tc>
      </w:tr>
      <w:tr>
        <w:trPr>
          <w:trHeight w:val="108"/>
        </w:trPr>
        <w:tc>
          <w:tcPr>
            <w:tcW w:w="60" w:type="dxa"/>
            <w:vAlign w:val="bottom"/>
          </w:tcPr>
          <w:p>
            <w:pPr>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4878"/>
                <w:w w:val="95"/>
              </w:rPr>
              <w:t>   11605 N. COMMUNITY HOUSE RD</w:t>
            </w:r>
          </w:p>
        </w:tc>
      </w:tr>
      <w:tr>
        <w:trPr>
          <w:trHeight w:val="94"/>
        </w:trPr>
        <w:tc>
          <w:tcPr>
            <w:tcW w:w="60" w:type="dxa"/>
            <w:vAlign w:val="bottom"/>
          </w:tcPr>
          <w:p>
            <w:pPr>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42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004878"/>
              </w:rPr>
              <w:t>SUITE 300</w:t>
            </w:r>
          </w:p>
        </w:tc>
      </w:tr>
      <w:tr>
        <w:trPr>
          <w:trHeight w:val="116"/>
        </w:trPr>
        <w:tc>
          <w:tcPr>
            <w:tcW w:w="60" w:type="dxa"/>
            <w:vAlign w:val="bottom"/>
          </w:tcPr>
          <w:p>
            <w:pPr>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004878"/>
                <w:w w:val="98"/>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4878"/>
                <w:w w:val="98"/>
              </w:rPr>
              <w:t> </w:t>
            </w:r>
          </w:p>
        </w:tc>
        <w:tc>
          <w:tcPr>
            <w:tcW w:w="1420" w:type="dxa"/>
            <w:vAlign w:val="bottom"/>
          </w:tcPr>
          <w:p>
            <w:pPr>
              <w:ind w:left="40"/>
              <w:spacing w:after="0"/>
              <w:rPr>
                <w:sz w:val="20"/>
                <w:szCs w:val="20"/>
                <w:color w:val="auto"/>
              </w:rPr>
            </w:pPr>
            <w:r>
              <w:rPr>
                <w:rFonts w:ascii="Times New Roman" w:cs="Times New Roman" w:eastAsia="Times New Roman" w:hAnsi="Times New Roman"/>
                <w:sz w:val="9"/>
                <w:szCs w:val="9"/>
                <w:color w:val="004878"/>
              </w:rPr>
              <w:t>CHARLOTTE, NC 28277</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5"/>
          <w:szCs w:val="15"/>
          <w:color w:val="004878"/>
        </w:rPr>
        <w:t>Vote by June 4, 2026</w:t>
      </w:r>
    </w:p>
    <w:p>
      <w:pPr>
        <w:spacing w:after="0" w:line="71"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004878"/>
        </w:rPr>
        <w:t>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166370</wp:posOffset>
            </wp:positionV>
            <wp:extent cx="2331720" cy="1765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31720" cy="1765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380"/>
          </w:cols>
          <w:pgMar w:left="320" w:top="482" w:right="499" w:bottom="1440" w:gutter="0" w:footer="0" w:header="0"/>
          <w:type w:val="continuous"/>
        </w:sectPr>
      </w:pPr>
    </w:p>
    <w:p>
      <w:pPr>
        <w:spacing w:after="0" w:line="260" w:lineRule="exact"/>
        <w:rPr>
          <w:sz w:val="20"/>
          <w:szCs w:val="20"/>
          <w:color w:val="auto"/>
        </w:rPr>
      </w:pPr>
    </w:p>
    <w:p>
      <w:pPr>
        <w:ind w:left="10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10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9" w:lineRule="exact"/>
        <w:rPr>
          <w:sz w:val="20"/>
          <w:szCs w:val="20"/>
          <w:color w:val="auto"/>
        </w:rPr>
      </w:pPr>
    </w:p>
    <w:p>
      <w:pPr>
        <w:ind w:left="10960"/>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-78105</wp:posOffset>
            </wp:positionV>
            <wp:extent cx="386080" cy="1705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60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7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                  V91488-P49780</w:t>
            </w: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6380" w:type="dxa"/>
            <w:vAlign w:val="bottom"/>
            <w:vMerge w:val="restart"/>
          </w:tcPr>
          <w:p>
            <w:pPr>
              <w:ind w:left="4060"/>
              <w:spacing w:after="0"/>
              <w:rPr>
                <w:sz w:val="20"/>
                <w:szCs w:val="20"/>
                <w:color w:val="auto"/>
              </w:rPr>
            </w:pPr>
            <w:r>
              <w:rPr>
                <w:rFonts w:ascii="Times New Roman" w:cs="Times New Roman" w:eastAsia="Times New Roman" w:hAnsi="Times New Roman"/>
                <w:sz w:val="25"/>
                <w:szCs w:val="25"/>
                <w:color w:val="auto"/>
              </w:rPr>
              <w:t xml:space="preserve">                     </w:t>
            </w:r>
          </w:p>
        </w:tc>
        <w:tc>
          <w:tcPr>
            <w:tcW w:w="100" w:type="dxa"/>
            <w:vAlign w:val="bottom"/>
            <w:shd w:val="clear" w:color="auto" w:fill="004878"/>
          </w:tcPr>
          <w:p>
            <w:pPr>
              <w:spacing w:after="0"/>
              <w:rPr>
                <w:sz w:val="12"/>
                <w:szCs w:val="12"/>
                <w:color w:val="auto"/>
              </w:rPr>
            </w:pPr>
          </w:p>
        </w:tc>
        <w:tc>
          <w:tcPr>
            <w:tcW w:w="1860" w:type="dxa"/>
            <w:vAlign w:val="bottom"/>
            <w:vMerge w:val="restart"/>
            <w:shd w:val="clear" w:color="auto" w:fill="004878"/>
          </w:tcPr>
          <w:p>
            <w:pPr>
              <w:spacing w:after="0"/>
              <w:rPr>
                <w:sz w:val="20"/>
                <w:szCs w:val="20"/>
                <w:color w:val="auto"/>
              </w:rPr>
            </w:pPr>
            <w:r>
              <w:rPr>
                <w:rFonts w:ascii="Times New Roman" w:cs="Times New Roman" w:eastAsia="Times New Roman" w:hAnsi="Times New Roman"/>
                <w:sz w:val="25"/>
                <w:szCs w:val="25"/>
                <w:color w:val="auto"/>
              </w:rPr>
              <w:t> </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380" w:type="dxa"/>
            <w:vAlign w:val="bottom"/>
            <w:vMerge w:val="continue"/>
          </w:tcPr>
          <w:p>
            <w:pPr>
              <w:spacing w:after="0"/>
              <w:rPr>
                <w:sz w:val="13"/>
                <w:szCs w:val="13"/>
                <w:color w:val="auto"/>
              </w:rPr>
            </w:pPr>
          </w:p>
        </w:tc>
        <w:tc>
          <w:tcPr>
            <w:tcW w:w="100" w:type="dxa"/>
            <w:vAlign w:val="bottom"/>
            <w:shd w:val="clear" w:color="auto" w:fill="004878"/>
          </w:tcPr>
          <w:p>
            <w:pPr>
              <w:spacing w:after="0"/>
              <w:rPr>
                <w:sz w:val="13"/>
                <w:szCs w:val="13"/>
                <w:color w:val="auto"/>
              </w:rPr>
            </w:pPr>
          </w:p>
        </w:tc>
        <w:tc>
          <w:tcPr>
            <w:tcW w:w="1860" w:type="dxa"/>
            <w:vAlign w:val="bottom"/>
            <w:vMerge w:val="continue"/>
            <w:shd w:val="clear" w:color="auto" w:fill="00487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007BB6"/>
          </w:tcPr>
          <w:p>
            <w:pP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007BB6"/>
          </w:tcPr>
          <w:p>
            <w:pPr>
              <w:spacing w:after="0"/>
              <w:rPr>
                <w:sz w:val="12"/>
                <w:szCs w:val="12"/>
                <w:color w:val="auto"/>
              </w:rPr>
            </w:pPr>
          </w:p>
        </w:tc>
        <w:tc>
          <w:tcPr>
            <w:tcW w:w="1740" w:type="dxa"/>
            <w:vAlign w:val="bottom"/>
            <w:shd w:val="clear" w:color="auto" w:fill="007BB6"/>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shd w:val="clear" w:color="auto" w:fill="004878"/>
          </w:tcPr>
          <w:p>
            <w:pPr>
              <w:spacing w:after="0"/>
              <w:rPr>
                <w:sz w:val="12"/>
                <w:szCs w:val="12"/>
                <w:color w:val="auto"/>
              </w:rPr>
            </w:pPr>
          </w:p>
        </w:tc>
        <w:tc>
          <w:tcPr>
            <w:tcW w:w="1860" w:type="dxa"/>
            <w:vAlign w:val="bottom"/>
            <w:shd w:val="clear" w:color="auto" w:fill="004878"/>
          </w:tcPr>
          <w:p>
            <w:pPr>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7"/>
          <w:szCs w:val="27"/>
          <w:color w:val="004878"/>
        </w:rPr>
        <w:t>You invested in PAYMENTUS HOLDINGS, INC. and it’s time to vote!</w:t>
      </w:r>
    </w:p>
    <w:p>
      <w:pPr>
        <w:spacing w:after="0" w:line="29" w:lineRule="exact"/>
        <w:rPr>
          <w:sz w:val="20"/>
          <w:szCs w:val="20"/>
          <w:color w:val="auto"/>
        </w:rPr>
      </w:pPr>
    </w:p>
    <w:p>
      <w:pPr>
        <w:ind w:left="340" w:right="240"/>
        <w:spacing w:after="0" w:line="258" w:lineRule="auto"/>
        <w:rPr>
          <w:sz w:val="20"/>
          <w:szCs w:val="20"/>
          <w:color w:val="auto"/>
        </w:rPr>
      </w:pPr>
      <w:r>
        <w:rPr>
          <w:rFonts w:ascii="Times New Roman" w:cs="Times New Roman" w:eastAsia="Times New Roman" w:hAnsi="Times New Roman"/>
          <w:sz w:val="18"/>
          <w:szCs w:val="18"/>
          <w:color w:val="004878"/>
        </w:rPr>
        <w:t xml:space="preserve">You have the right to vote on proposals being presented at the Annual Meeting. </w:t>
      </w:r>
      <w:r>
        <w:rPr>
          <w:rFonts w:ascii="Times New Roman" w:cs="Times New Roman" w:eastAsia="Times New Roman" w:hAnsi="Times New Roman"/>
          <w:sz w:val="18"/>
          <w:szCs w:val="18"/>
          <w:b w:val="1"/>
          <w:bCs w:val="1"/>
          <w:color w:val="004878"/>
        </w:rPr>
        <w:t>This is an important notice regarding the availability of proxy</w:t>
      </w:r>
      <w:r>
        <w:rPr>
          <w:rFonts w:ascii="Times New Roman" w:cs="Times New Roman" w:eastAsia="Times New Roman" w:hAnsi="Times New Roman"/>
          <w:sz w:val="18"/>
          <w:szCs w:val="18"/>
          <w:color w:val="004878"/>
        </w:rPr>
        <w:t xml:space="preserve"> </w:t>
      </w:r>
      <w:r>
        <w:rPr>
          <w:rFonts w:ascii="Times New Roman" w:cs="Times New Roman" w:eastAsia="Times New Roman" w:hAnsi="Times New Roman"/>
          <w:sz w:val="18"/>
          <w:szCs w:val="18"/>
          <w:b w:val="1"/>
          <w:bCs w:val="1"/>
          <w:color w:val="004878"/>
        </w:rPr>
        <w:t>materials for the stockholder meeting to be held on June 5, 2026.</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7"/>
          <w:szCs w:val="27"/>
          <w:color w:val="004878"/>
        </w:rPr>
        <w:t>Get informed before you vote</w:t>
      </w:r>
    </w:p>
    <w:p>
      <w:pPr>
        <w:spacing w:after="0" w:line="29"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7"/>
          <w:szCs w:val="17"/>
          <w:color w:val="004878"/>
        </w:rPr>
        <w:t>View the Notice of Annual Meeting &amp; Proxy Statement and Annual Report on Form 10-K online OR you can receive a free paper or email copy of the material(s) by requesting prior to May 22,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2383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238315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004878"/>
        </w:rPr>
        <w:t>*Please check the meeting materials for any special requirements for meeting attendance.</w:t>
      </w:r>
    </w:p>
    <w:p>
      <w:pPr>
        <w:sectPr>
          <w:pgSz w:w="11900" w:h="16838" w:orient="portrait"/>
          <w:cols w:equalWidth="0" w:num="1">
            <w:col w:w="11080"/>
          </w:cols>
          <w:pgMar w:left="320" w:top="482" w:right="4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31"/>
          <w:szCs w:val="31"/>
          <w:b w:val="1"/>
          <w:bCs w:val="1"/>
          <w:color w:val="007BB6"/>
        </w:rPr>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9"/>
          <w:szCs w:val="29"/>
          <w:b w:val="1"/>
          <w:bCs w:val="1"/>
          <w:color w:val="004878"/>
        </w:rPr>
        <w:t>THIS IS NOT A VOTABLE BALLOT</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004878"/>
        </w:rPr>
        <w:t>This is an overview of the proposals being presented at the</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004878"/>
        </w:rPr>
        <w:t>upcoming stockholder meeting and the more complete proxy</w:t>
      </w:r>
    </w:p>
    <w:p>
      <w:pPr>
        <w:ind w:left="340"/>
        <w:spacing w:after="0"/>
        <w:rPr>
          <w:sz w:val="20"/>
          <w:szCs w:val="20"/>
          <w:color w:val="auto"/>
        </w:rPr>
      </w:pPr>
      <w:r>
        <w:rPr>
          <w:rFonts w:ascii="Times New Roman" w:cs="Times New Roman" w:eastAsia="Times New Roman" w:hAnsi="Times New Roman"/>
          <w:sz w:val="20"/>
          <w:szCs w:val="20"/>
          <w:color w:val="004878"/>
        </w:rPr>
        <w:t>materials that are available to you on the Internet. You may</w:t>
      </w:r>
    </w:p>
    <w:p>
      <w:pPr>
        <w:ind w:left="340"/>
        <w:spacing w:after="0"/>
        <w:rPr>
          <w:sz w:val="20"/>
          <w:szCs w:val="20"/>
          <w:color w:val="auto"/>
        </w:rPr>
      </w:pPr>
      <w:r>
        <w:rPr>
          <w:rFonts w:ascii="Times New Roman" w:cs="Times New Roman" w:eastAsia="Times New Roman" w:hAnsi="Times New Roman"/>
          <w:sz w:val="20"/>
          <w:szCs w:val="20"/>
          <w:color w:val="004878"/>
        </w:rPr>
        <w:t>view the proxy materials online at www.ProxyVote.com or</w:t>
      </w:r>
    </w:p>
    <w:p>
      <w:pPr>
        <w:ind w:left="340"/>
        <w:spacing w:after="0"/>
        <w:rPr>
          <w:sz w:val="20"/>
          <w:szCs w:val="20"/>
          <w:color w:val="auto"/>
        </w:rPr>
      </w:pPr>
      <w:r>
        <w:rPr>
          <w:rFonts w:ascii="Times New Roman" w:cs="Times New Roman" w:eastAsia="Times New Roman" w:hAnsi="Times New Roman"/>
          <w:sz w:val="20"/>
          <w:szCs w:val="20"/>
          <w:color w:val="004878"/>
        </w:rPr>
        <w:t>easily request a paper or email copy (see reverse side). We</w:t>
      </w:r>
    </w:p>
    <w:p>
      <w:pPr>
        <w:ind w:left="340"/>
        <w:spacing w:after="0"/>
        <w:rPr>
          <w:sz w:val="20"/>
          <w:szCs w:val="20"/>
          <w:color w:val="auto"/>
        </w:rPr>
      </w:pPr>
      <w:r>
        <w:rPr>
          <w:rFonts w:ascii="Times New Roman" w:cs="Times New Roman" w:eastAsia="Times New Roman" w:hAnsi="Times New Roman"/>
          <w:sz w:val="20"/>
          <w:szCs w:val="20"/>
          <w:color w:val="004878"/>
        </w:rPr>
        <w:t>encourage you to access and review all of the important</w:t>
      </w:r>
    </w:p>
    <w:p>
      <w:pPr>
        <w:ind w:left="340"/>
        <w:spacing w:after="0"/>
        <w:rPr>
          <w:sz w:val="20"/>
          <w:szCs w:val="20"/>
          <w:color w:val="auto"/>
        </w:rPr>
      </w:pPr>
      <w:r>
        <w:rPr>
          <w:rFonts w:ascii="Times New Roman" w:cs="Times New Roman" w:eastAsia="Times New Roman" w:hAnsi="Times New Roman"/>
          <w:sz w:val="20"/>
          <w:szCs w:val="20"/>
          <w:color w:val="004878"/>
        </w:rPr>
        <w:t>information contained in the proxy materials before voting.</w:t>
      </w:r>
    </w:p>
    <w:p>
      <w:pPr>
        <w:ind w:left="340"/>
        <w:spacing w:after="0"/>
        <w:rPr>
          <w:sz w:val="20"/>
          <w:szCs w:val="20"/>
          <w:color w:val="auto"/>
        </w:rPr>
      </w:pPr>
      <w:r>
        <w:rPr>
          <w:rFonts w:ascii="Times New Roman" w:cs="Times New Roman" w:eastAsia="Times New Roman" w:hAnsi="Times New Roman"/>
          <w:sz w:val="20"/>
          <w:szCs w:val="20"/>
          <w:color w:val="004878"/>
        </w:rPr>
        <w:t>Please follow the instructions on the reverse side to vote these</w:t>
      </w:r>
    </w:p>
    <w:p>
      <w:pPr>
        <w:ind w:left="340"/>
        <w:spacing w:after="0"/>
        <w:rPr>
          <w:sz w:val="20"/>
          <w:szCs w:val="20"/>
          <w:color w:val="auto"/>
        </w:rPr>
      </w:pPr>
      <w:r>
        <w:rPr>
          <w:rFonts w:ascii="Times New Roman" w:cs="Times New Roman" w:eastAsia="Times New Roman" w:hAnsi="Times New Roman"/>
          <w:sz w:val="20"/>
          <w:szCs w:val="20"/>
          <w:color w:val="004878"/>
        </w:rPr>
        <w:t>important matters.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97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4878"/>
                <w:w w:val="98"/>
              </w:rPr>
              <w:t>Board</w:t>
            </w:r>
          </w:p>
        </w:tc>
        <w:tc>
          <w:tcPr>
            <w:tcW w:w="0" w:type="dxa"/>
            <w:vAlign w:val="bottom"/>
          </w:tcPr>
          <w:p>
            <w:pPr>
              <w:spacing w:after="0"/>
              <w:rPr>
                <w:sz w:val="1"/>
                <w:szCs w:val="1"/>
                <w:color w:val="auto"/>
              </w:rPr>
            </w:pPr>
          </w:p>
        </w:tc>
      </w:tr>
      <w:tr>
        <w:trPr>
          <w:trHeight w:val="215"/>
        </w:trPr>
        <w:tc>
          <w:tcPr>
            <w:tcW w:w="10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4878"/>
              </w:rPr>
              <w:t>   Voting Items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4878"/>
              </w:rPr>
              <w:t>Recommends</w:t>
            </w:r>
          </w:p>
        </w:tc>
        <w:tc>
          <w:tcPr>
            <w:tcW w:w="0" w:type="dxa"/>
            <w:vAlign w:val="bottom"/>
          </w:tcPr>
          <w:p>
            <w:pPr>
              <w:spacing w:after="0"/>
              <w:rPr>
                <w:sz w:val="1"/>
                <w:szCs w:val="1"/>
                <w:color w:val="auto"/>
              </w:rPr>
            </w:pPr>
          </w:p>
        </w:tc>
      </w:tr>
      <w:tr>
        <w:trPr>
          <w:trHeight w:val="237"/>
        </w:trPr>
        <w:tc>
          <w:tcPr>
            <w:tcW w:w="300" w:type="dxa"/>
            <w:vAlign w:val="bottom"/>
            <w:shd w:val="clear" w:color="auto" w:fill="F0EFF7"/>
          </w:tcPr>
          <w:p>
            <w:pPr>
              <w:spacing w:after="0"/>
              <w:rPr>
                <w:sz w:val="20"/>
                <w:szCs w:val="20"/>
                <w:color w:val="auto"/>
              </w:rPr>
            </w:pPr>
            <w:r>
              <w:rPr>
                <w:rFonts w:ascii="Times New Roman" w:cs="Times New Roman" w:eastAsia="Times New Roman" w:hAnsi="Times New Roman"/>
                <w:sz w:val="18"/>
                <w:szCs w:val="18"/>
                <w:color w:val="004878"/>
                <w:w w:val="88"/>
              </w:rPr>
              <w:t>   1.</w:t>
            </w:r>
          </w:p>
        </w:tc>
        <w:tc>
          <w:tcPr>
            <w:tcW w:w="9700" w:type="dxa"/>
            <w:vAlign w:val="bottom"/>
            <w:tcBorders>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Election of Directors</w:t>
            </w:r>
          </w:p>
        </w:tc>
        <w:tc>
          <w:tcPr>
            <w:tcW w:w="1020" w:type="dxa"/>
            <w:vAlign w:val="bottom"/>
            <w:shd w:val="clear" w:color="auto" w:fill="F0EFF7"/>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00" w:type="dxa"/>
            <w:vAlign w:val="bottom"/>
            <w:shd w:val="clear" w:color="auto" w:fill="F0EFF7"/>
          </w:tcPr>
          <w:p>
            <w:pPr>
              <w:spacing w:after="0"/>
              <w:rPr>
                <w:sz w:val="24"/>
                <w:szCs w:val="24"/>
                <w:color w:val="auto"/>
              </w:rPr>
            </w:pPr>
          </w:p>
        </w:tc>
        <w:tc>
          <w:tcPr>
            <w:tcW w:w="9700" w:type="dxa"/>
            <w:vAlign w:val="bottom"/>
            <w:tcBorders>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b w:val="1"/>
                <w:bCs w:val="1"/>
                <w:color w:val="004878"/>
              </w:rPr>
              <w:t>Nominees:</w:t>
            </w:r>
          </w:p>
        </w:tc>
        <w:tc>
          <w:tcPr>
            <w:tcW w:w="1020" w:type="dxa"/>
            <w:vAlign w:val="bottom"/>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For</w:t>
            </w:r>
          </w:p>
        </w:tc>
        <w:tc>
          <w:tcPr>
            <w:tcW w:w="0" w:type="dxa"/>
            <w:vAlign w:val="bottom"/>
          </w:tcPr>
          <w:p>
            <w:pPr>
              <w:spacing w:after="0"/>
              <w:rPr>
                <w:sz w:val="1"/>
                <w:szCs w:val="1"/>
                <w:color w:val="auto"/>
              </w:rPr>
            </w:pPr>
          </w:p>
        </w:tc>
      </w:tr>
      <w:tr>
        <w:trPr>
          <w:trHeight w:val="324"/>
        </w:trPr>
        <w:tc>
          <w:tcPr>
            <w:tcW w:w="300" w:type="dxa"/>
            <w:vAlign w:val="bottom"/>
            <w:shd w:val="clear" w:color="auto" w:fill="F0EFF7"/>
          </w:tcPr>
          <w:p>
            <w:pPr>
              <w:spacing w:after="0"/>
              <w:rPr>
                <w:sz w:val="24"/>
                <w:szCs w:val="24"/>
                <w:color w:val="auto"/>
              </w:rPr>
            </w:pPr>
          </w:p>
        </w:tc>
        <w:tc>
          <w:tcPr>
            <w:tcW w:w="9700" w:type="dxa"/>
            <w:vAlign w:val="bottom"/>
            <w:tcBorders>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01)  Jody Davids</w:t>
            </w:r>
          </w:p>
        </w:tc>
        <w:tc>
          <w:tcPr>
            <w:tcW w:w="102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F0EFF7"/>
          </w:tcPr>
          <w:p>
            <w:pPr>
              <w:spacing w:after="0"/>
              <w:rPr>
                <w:sz w:val="18"/>
                <w:szCs w:val="18"/>
                <w:color w:val="auto"/>
              </w:rPr>
            </w:pPr>
          </w:p>
        </w:tc>
        <w:tc>
          <w:tcPr>
            <w:tcW w:w="9700" w:type="dxa"/>
            <w:vAlign w:val="bottom"/>
            <w:tcBorders>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02)  Adam Malinowski</w:t>
            </w:r>
          </w:p>
        </w:tc>
        <w:tc>
          <w:tcPr>
            <w:tcW w:w="102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004878"/>
            </w:tcBorders>
            <w:shd w:val="clear" w:color="auto" w:fill="F0EFF7"/>
          </w:tcPr>
          <w:p>
            <w:pPr>
              <w:spacing w:after="0"/>
              <w:rPr>
                <w:sz w:val="18"/>
                <w:szCs w:val="18"/>
                <w:color w:val="auto"/>
              </w:rPr>
            </w:pPr>
          </w:p>
        </w:tc>
        <w:tc>
          <w:tcPr>
            <w:tcW w:w="9700" w:type="dxa"/>
            <w:vAlign w:val="bottom"/>
            <w:tcBorders>
              <w:bottom w:val="single" w:sz="8" w:color="004878"/>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03)  Gary Trainor</w:t>
            </w:r>
          </w:p>
        </w:tc>
        <w:tc>
          <w:tcPr>
            <w:tcW w:w="1020" w:type="dxa"/>
            <w:vAlign w:val="bottom"/>
            <w:tcBorders>
              <w:bottom w:val="single" w:sz="8" w:color="004878"/>
            </w:tcBorders>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shd w:val="clear" w:color="auto" w:fill="F0EFF7"/>
          </w:tcPr>
          <w:p>
            <w:pPr>
              <w:spacing w:after="0" w:line="205" w:lineRule="exact"/>
              <w:rPr>
                <w:sz w:val="20"/>
                <w:szCs w:val="20"/>
                <w:color w:val="auto"/>
              </w:rPr>
            </w:pPr>
            <w:r>
              <w:rPr>
                <w:rFonts w:ascii="Times New Roman" w:cs="Times New Roman" w:eastAsia="Times New Roman" w:hAnsi="Times New Roman"/>
                <w:sz w:val="18"/>
                <w:szCs w:val="18"/>
                <w:color w:val="004878"/>
                <w:w w:val="88"/>
              </w:rPr>
              <w:t>   2.</w:t>
            </w:r>
          </w:p>
        </w:tc>
        <w:tc>
          <w:tcPr>
            <w:tcW w:w="9700" w:type="dxa"/>
            <w:vAlign w:val="bottom"/>
            <w:tcBorders>
              <w:right w:val="single" w:sz="8" w:color="004878"/>
            </w:tcBorders>
            <w:shd w:val="clear" w:color="auto" w:fill="F0EFF7"/>
          </w:tcPr>
          <w:p>
            <w:pPr>
              <w:ind w:left="220"/>
              <w:spacing w:after="0" w:line="205" w:lineRule="exact"/>
              <w:rPr>
                <w:sz w:val="20"/>
                <w:szCs w:val="20"/>
                <w:color w:val="auto"/>
              </w:rPr>
            </w:pPr>
            <w:r>
              <w:rPr>
                <w:rFonts w:ascii="Times New Roman" w:cs="Times New Roman" w:eastAsia="Times New Roman" w:hAnsi="Times New Roman"/>
                <w:sz w:val="18"/>
                <w:szCs w:val="18"/>
                <w:color w:val="004878"/>
              </w:rPr>
              <w:t>Ratification of the appointment of PricewaterhouseCoopers LLP as our independent registered public accounting firm for our</w:t>
            </w:r>
          </w:p>
        </w:tc>
        <w:tc>
          <w:tcPr>
            <w:tcW w:w="1020" w:type="dxa"/>
            <w:vAlign w:val="bottom"/>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For</w:t>
            </w:r>
          </w:p>
        </w:tc>
        <w:tc>
          <w:tcPr>
            <w:tcW w:w="0" w:type="dxa"/>
            <w:vAlign w:val="bottom"/>
          </w:tcPr>
          <w:p>
            <w:pPr>
              <w:spacing w:after="0"/>
              <w:rPr>
                <w:sz w:val="1"/>
                <w:szCs w:val="1"/>
                <w:color w:val="auto"/>
              </w:rPr>
            </w:pPr>
          </w:p>
        </w:tc>
      </w:tr>
      <w:tr>
        <w:trPr>
          <w:trHeight w:val="288"/>
        </w:trPr>
        <w:tc>
          <w:tcPr>
            <w:tcW w:w="300" w:type="dxa"/>
            <w:vAlign w:val="bottom"/>
            <w:tcBorders>
              <w:bottom w:val="single" w:sz="8" w:color="F0EFF7"/>
            </w:tcBorders>
            <w:shd w:val="clear" w:color="auto" w:fill="F0EFF7"/>
          </w:tcPr>
          <w:p>
            <w:pPr>
              <w:spacing w:after="0"/>
              <w:rPr>
                <w:sz w:val="24"/>
                <w:szCs w:val="24"/>
                <w:color w:val="auto"/>
              </w:rPr>
            </w:pPr>
          </w:p>
        </w:tc>
        <w:tc>
          <w:tcPr>
            <w:tcW w:w="9700" w:type="dxa"/>
            <w:vAlign w:val="bottom"/>
            <w:tcBorders>
              <w:bottom w:val="single" w:sz="8" w:color="F0EFF7"/>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fiscal year ending December 31, 2026.</w:t>
            </w:r>
          </w:p>
        </w:tc>
        <w:tc>
          <w:tcPr>
            <w:tcW w:w="1020" w:type="dxa"/>
            <w:vAlign w:val="bottom"/>
            <w:tcBorders>
              <w:bottom w:val="single" w:sz="8" w:color="F0EFF7"/>
            </w:tcBorders>
            <w:vMerge w:val="continue"/>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Borders>
              <w:top w:val="single" w:sz="8" w:color="004878"/>
            </w:tcBorders>
            <w:shd w:val="clear" w:color="auto" w:fill="F0EFF7"/>
          </w:tcPr>
          <w:p>
            <w:pPr>
              <w:spacing w:after="0" w:line="205" w:lineRule="exact"/>
              <w:rPr>
                <w:sz w:val="20"/>
                <w:szCs w:val="20"/>
                <w:color w:val="auto"/>
              </w:rPr>
            </w:pPr>
            <w:r>
              <w:rPr>
                <w:rFonts w:ascii="Times New Roman" w:cs="Times New Roman" w:eastAsia="Times New Roman" w:hAnsi="Times New Roman"/>
                <w:sz w:val="18"/>
                <w:szCs w:val="18"/>
                <w:color w:val="004878"/>
                <w:w w:val="88"/>
              </w:rPr>
              <w:t>   3.</w:t>
            </w:r>
          </w:p>
        </w:tc>
        <w:tc>
          <w:tcPr>
            <w:tcW w:w="9700" w:type="dxa"/>
            <w:vAlign w:val="bottom"/>
            <w:tcBorders>
              <w:top w:val="single" w:sz="8" w:color="004878"/>
              <w:right w:val="single" w:sz="8" w:color="004878"/>
            </w:tcBorders>
            <w:shd w:val="clear" w:color="auto" w:fill="F0EFF7"/>
          </w:tcPr>
          <w:p>
            <w:pPr>
              <w:ind w:left="220"/>
              <w:spacing w:after="0" w:line="205" w:lineRule="exact"/>
              <w:rPr>
                <w:sz w:val="20"/>
                <w:szCs w:val="20"/>
                <w:color w:val="auto"/>
              </w:rPr>
            </w:pPr>
            <w:r>
              <w:rPr>
                <w:rFonts w:ascii="Times New Roman" w:cs="Times New Roman" w:eastAsia="Times New Roman" w:hAnsi="Times New Roman"/>
                <w:sz w:val="18"/>
                <w:szCs w:val="18"/>
                <w:color w:val="004878"/>
              </w:rPr>
              <w:t>Approval, on an advisory basis, of the compensation of our named executive officers, as disclosed in the proxy statement pursuant</w:t>
            </w:r>
          </w:p>
        </w:tc>
        <w:tc>
          <w:tcPr>
            <w:tcW w:w="1020" w:type="dxa"/>
            <w:vAlign w:val="bottom"/>
            <w:tcBorders>
              <w:top w:val="single" w:sz="8" w:color="004878"/>
            </w:tcBorders>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For</w:t>
            </w:r>
          </w:p>
        </w:tc>
        <w:tc>
          <w:tcPr>
            <w:tcW w:w="0" w:type="dxa"/>
            <w:vAlign w:val="bottom"/>
          </w:tcPr>
          <w:p>
            <w:pPr>
              <w:spacing w:after="0"/>
              <w:rPr>
                <w:sz w:val="1"/>
                <w:szCs w:val="1"/>
                <w:color w:val="auto"/>
              </w:rPr>
            </w:pPr>
          </w:p>
        </w:tc>
      </w:tr>
      <w:tr>
        <w:trPr>
          <w:trHeight w:val="288"/>
        </w:trPr>
        <w:tc>
          <w:tcPr>
            <w:tcW w:w="300" w:type="dxa"/>
            <w:vAlign w:val="bottom"/>
            <w:tcBorders>
              <w:bottom w:val="single" w:sz="8" w:color="F0EFF7"/>
            </w:tcBorders>
            <w:shd w:val="clear" w:color="auto" w:fill="F0EFF7"/>
          </w:tcPr>
          <w:p>
            <w:pPr>
              <w:spacing w:after="0"/>
              <w:rPr>
                <w:sz w:val="24"/>
                <w:szCs w:val="24"/>
                <w:color w:val="auto"/>
              </w:rPr>
            </w:pPr>
          </w:p>
        </w:tc>
        <w:tc>
          <w:tcPr>
            <w:tcW w:w="9700" w:type="dxa"/>
            <w:vAlign w:val="bottom"/>
            <w:tcBorders>
              <w:bottom w:val="single" w:sz="8" w:color="F0EFF7"/>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to the compensation disclosure rules of the Securities and Exchange Commission.</w:t>
            </w:r>
          </w:p>
        </w:tc>
        <w:tc>
          <w:tcPr>
            <w:tcW w:w="1020" w:type="dxa"/>
            <w:vAlign w:val="bottom"/>
            <w:tcBorders>
              <w:bottom w:val="single" w:sz="8" w:color="F0EFF7"/>
            </w:tcBorders>
            <w:vMerge w:val="continue"/>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004878"/>
            </w:tcBorders>
            <w:shd w:val="clear" w:color="auto" w:fill="F0EFF7"/>
          </w:tcPr>
          <w:p>
            <w:pPr>
              <w:spacing w:after="0"/>
              <w:rPr>
                <w:sz w:val="20"/>
                <w:szCs w:val="20"/>
                <w:color w:val="auto"/>
              </w:rPr>
            </w:pPr>
            <w:r>
              <w:rPr>
                <w:rFonts w:ascii="Times New Roman" w:cs="Times New Roman" w:eastAsia="Times New Roman" w:hAnsi="Times New Roman"/>
                <w:sz w:val="18"/>
                <w:szCs w:val="18"/>
                <w:color w:val="004878"/>
                <w:w w:val="88"/>
              </w:rPr>
              <w:t>   4.</w:t>
            </w:r>
          </w:p>
        </w:tc>
        <w:tc>
          <w:tcPr>
            <w:tcW w:w="9700" w:type="dxa"/>
            <w:vAlign w:val="bottom"/>
            <w:tcBorders>
              <w:top w:val="single" w:sz="8" w:color="004878"/>
              <w:right w:val="single" w:sz="8" w:color="004878"/>
            </w:tcBorders>
            <w:shd w:val="clear" w:color="auto" w:fill="F0EFF7"/>
          </w:tcPr>
          <w:p>
            <w:pPr>
              <w:ind w:left="220"/>
              <w:spacing w:after="0"/>
              <w:rPr>
                <w:sz w:val="20"/>
                <w:szCs w:val="20"/>
                <w:color w:val="auto"/>
              </w:rPr>
            </w:pPr>
            <w:r>
              <w:rPr>
                <w:rFonts w:ascii="Times New Roman" w:cs="Times New Roman" w:eastAsia="Times New Roman" w:hAnsi="Times New Roman"/>
                <w:sz w:val="18"/>
                <w:szCs w:val="18"/>
                <w:color w:val="004878"/>
              </w:rPr>
              <w:t>A vote, on an advisory basis, as to whether the above “say-on-pay” vote should occur every one, two or three years.</w:t>
            </w:r>
          </w:p>
        </w:tc>
        <w:tc>
          <w:tcPr>
            <w:tcW w:w="1020" w:type="dxa"/>
            <w:vAlign w:val="bottom"/>
            <w:tcBorders>
              <w:top w:val="single" w:sz="8" w:color="004878"/>
            </w:tcBorders>
            <w:vMerge w:val="restart"/>
            <w:shd w:val="clear" w:color="auto" w:fill="F0EFF7"/>
          </w:tcPr>
          <w:p>
            <w:pPr>
              <w:ind w:left="440"/>
              <w:spacing w:after="0"/>
              <w:rPr>
                <w:sz w:val="20"/>
                <w:szCs w:val="20"/>
                <w:color w:val="auto"/>
              </w:rPr>
            </w:pPr>
            <w:r>
              <w:rPr>
                <w:rFonts w:ascii="Times New Roman" w:cs="Times New Roman" w:eastAsia="Times New Roman" w:hAnsi="Times New Roman"/>
                <w:sz w:val="18"/>
                <w:szCs w:val="18"/>
                <w:b w:val="1"/>
                <w:bCs w:val="1"/>
                <w:color w:val="004878"/>
              </w:rPr>
              <w:t>Year</w:t>
            </w:r>
          </w:p>
        </w:tc>
        <w:tc>
          <w:tcPr>
            <w:tcW w:w="0" w:type="dxa"/>
            <w:vAlign w:val="bottom"/>
          </w:tcPr>
          <w:p>
            <w:pPr>
              <w:spacing w:after="0"/>
              <w:rPr>
                <w:sz w:val="1"/>
                <w:szCs w:val="1"/>
                <w:color w:val="auto"/>
              </w:rPr>
            </w:pPr>
          </w:p>
        </w:tc>
      </w:tr>
      <w:tr>
        <w:trPr>
          <w:trHeight w:val="144"/>
        </w:trPr>
        <w:tc>
          <w:tcPr>
            <w:tcW w:w="300" w:type="dxa"/>
            <w:vAlign w:val="bottom"/>
            <w:shd w:val="clear" w:color="auto" w:fill="F0EFF7"/>
          </w:tcPr>
          <w:p>
            <w:pPr>
              <w:spacing w:after="0"/>
              <w:rPr>
                <w:sz w:val="12"/>
                <w:szCs w:val="12"/>
                <w:color w:val="auto"/>
              </w:rPr>
            </w:pPr>
          </w:p>
        </w:tc>
        <w:tc>
          <w:tcPr>
            <w:tcW w:w="9700" w:type="dxa"/>
            <w:vAlign w:val="bottom"/>
            <w:tcBorders>
              <w:right w:val="single" w:sz="8" w:color="004878"/>
            </w:tcBorders>
            <w:shd w:val="clear" w:color="auto" w:fill="F0EFF7"/>
          </w:tcPr>
          <w:p>
            <w:pPr>
              <w:spacing w:after="0"/>
              <w:rPr>
                <w:sz w:val="12"/>
                <w:szCs w:val="12"/>
                <w:color w:val="auto"/>
              </w:rPr>
            </w:pPr>
          </w:p>
        </w:tc>
        <w:tc>
          <w:tcPr>
            <w:tcW w:w="1020" w:type="dxa"/>
            <w:vAlign w:val="bottom"/>
            <w:vMerge w:val="continue"/>
            <w:shd w:val="clear" w:color="auto" w:fill="F0EFF7"/>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004878"/>
            </w:tcBorders>
            <w:shd w:val="clear" w:color="auto" w:fill="F0EFF7"/>
          </w:tcPr>
          <w:p>
            <w:pPr>
              <w:spacing w:after="0"/>
              <w:rPr>
                <w:sz w:val="9"/>
                <w:szCs w:val="9"/>
                <w:color w:val="auto"/>
              </w:rPr>
            </w:pPr>
          </w:p>
        </w:tc>
        <w:tc>
          <w:tcPr>
            <w:tcW w:w="9700" w:type="dxa"/>
            <w:vAlign w:val="bottom"/>
            <w:tcBorders>
              <w:bottom w:val="single" w:sz="8" w:color="004878"/>
              <w:right w:val="single" w:sz="8" w:color="004878"/>
            </w:tcBorders>
            <w:shd w:val="clear" w:color="auto" w:fill="F0EFF7"/>
          </w:tcPr>
          <w:p>
            <w:pPr>
              <w:spacing w:after="0"/>
              <w:rPr>
                <w:sz w:val="9"/>
                <w:szCs w:val="9"/>
                <w:color w:val="auto"/>
              </w:rPr>
            </w:pPr>
          </w:p>
        </w:tc>
        <w:tc>
          <w:tcPr>
            <w:tcW w:w="1020" w:type="dxa"/>
            <w:vAlign w:val="bottom"/>
            <w:tcBorders>
              <w:bottom w:val="single" w:sz="8" w:color="004878"/>
            </w:tcBorders>
            <w:shd w:val="clear" w:color="auto" w:fill="F0EFF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-1619250</wp:posOffset>
            </wp:positionV>
            <wp:extent cx="6995160" cy="47663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4766310"/>
                    </a:xfrm>
                    <a:prstGeom prst="rect">
                      <a:avLst/>
                    </a:prstGeom>
                    <a:noFill/>
                  </pic:spPr>
                </pic:pic>
              </a:graphicData>
            </a:graphic>
          </wp:anchor>
        </w:drawing>
      </w:r>
    </w:p>
    <w:p>
      <w:pPr>
        <w:ind w:left="300" w:right="560"/>
        <w:spacing w:after="0" w:line="276" w:lineRule="auto"/>
        <w:rPr>
          <w:sz w:val="20"/>
          <w:szCs w:val="20"/>
          <w:color w:val="auto"/>
        </w:rPr>
      </w:pPr>
      <w:r>
        <w:rPr>
          <w:rFonts w:ascii="Times New Roman" w:cs="Times New Roman" w:eastAsia="Times New Roman" w:hAnsi="Times New Roman"/>
          <w:sz w:val="18"/>
          <w:szCs w:val="18"/>
          <w:b w:val="1"/>
          <w:bCs w:val="1"/>
          <w:color w:val="004878"/>
        </w:rPr>
        <w:t xml:space="preserve">NOTE: </w:t>
      </w:r>
      <w:r>
        <w:rPr>
          <w:rFonts w:ascii="Times New Roman" w:cs="Times New Roman" w:eastAsia="Times New Roman" w:hAnsi="Times New Roman"/>
          <w:sz w:val="18"/>
          <w:szCs w:val="18"/>
          <w:color w:val="004878"/>
        </w:rPr>
        <w:t>In their discretion, the proxies are authorized to vote upon such other matters as may properly come before the Annual Meeting or any</w:t>
      </w:r>
      <w:r>
        <w:rPr>
          <w:rFonts w:ascii="Times New Roman" w:cs="Times New Roman" w:eastAsia="Times New Roman" w:hAnsi="Times New Roman"/>
          <w:sz w:val="18"/>
          <w:szCs w:val="18"/>
          <w:b w:val="1"/>
          <w:bCs w:val="1"/>
          <w:color w:val="004878"/>
        </w:rPr>
        <w:t xml:space="preserve"> </w:t>
      </w:r>
      <w:r>
        <w:rPr>
          <w:rFonts w:ascii="Times New Roman" w:cs="Times New Roman" w:eastAsia="Times New Roman" w:hAnsi="Times New Roman"/>
          <w:sz w:val="18"/>
          <w:szCs w:val="18"/>
          <w:color w:val="004878"/>
        </w:rPr>
        <w:t>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FFFFFF"/>
        </w:rPr>
        <w:t>Prefer to receive an email instead? While voting on www.ProxyVote.com, be sure to click “Delivery Settings”.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 xml:space="preserve">V91489-P49780                             </w:t>
      </w:r>
    </w:p>
    <w:sectPr>
      <w:pgSz w:w="11900" w:h="16838" w:orient="portrait"/>
      <w:cols w:equalWidth="0" w:num="1">
        <w:col w:w="11140"/>
      </w:cols>
      <w:pgMar w:left="320" w:top="48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lowerRoman"/>
      <w:start w:val="3"/>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ü"/>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lowerRoman"/>
      <w:start w:val="3"/>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Roman"/>
      <w:start w:val="5"/>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lvl w:ilvl="1">
      <w:lvlJc w:val="left"/>
      <w:lvlText w:val="•"/>
      <w:numFmt w:val="bullet"/>
      <w:start w:val="1"/>
    </w:lvl>
  </w:abstractNum>
  <w:abstractNum w:abstractNumId="55">
    <w:nsid w:val="1381823A"/>
    <w:multiLevelType w:val="hybridMultilevel"/>
    <w:lvl w:ilvl="0">
      <w:lvlJc w:val="left"/>
      <w:lvlText w:val="(%1)"/>
      <w:numFmt w:val="decimal"/>
      <w:start w:val="4"/>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lvl w:ilvl="1">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
      <w:numFmt w:val="bullet"/>
      <w:start w:val="1"/>
    </w:lvl>
  </w:abstractNum>
  <w:abstractNum w:abstractNumId="73">
    <w:nsid w:val="BF72B14"/>
    <w:multiLevelType w:val="hybridMultilevel"/>
    <w:lvl w:ilvl="0">
      <w:lvlJc w:val="left"/>
      <w:lvlText w:val=" "/>
      <w:numFmt w:val="bullet"/>
      <w:start w:val="1"/>
    </w:lvl>
  </w:abstractNum>
  <w:abstractNum w:abstractNumId="74">
    <w:nsid w:val="11447B73"/>
    <w:multiLevelType w:val="hybridMultilevel"/>
    <w:lvl w:ilvl="0">
      <w:lvlJc w:val="left"/>
      <w:lvlText w:val="%1)"/>
      <w:numFmt w:val="decimal"/>
      <w:start w:val="2"/>
    </w:lvl>
  </w:abstractNum>
  <w:abstractNum w:abstractNumId="75">
    <w:nsid w:val="42963E5A"/>
    <w:multiLevelType w:val="hybridMultilevel"/>
    <w:lvl w:ilvl="0">
      <w:lvlJc w:val="left"/>
      <w:lvlText w:val="%1)"/>
      <w:numFmt w:val="decimal"/>
      <w:start w:val="3"/>
    </w:lvl>
  </w:abstractNum>
  <w:abstractNum w:abstractNumId="76">
    <w:nsid w:val="A0382C5"/>
    <w:multiLevelType w:val="hybridMultilevel"/>
    <w:lvl w:ilvl="0">
      <w:lvlJc w:val="left"/>
      <w:lvlText w:val=" "/>
      <w:numFmt w:val="bullet"/>
      <w:start w:val="1"/>
    </w:lvl>
  </w:abstractNum>
  <w:abstractNum w:abstractNumId="77">
    <w:nsid w:val="8F2B15E"/>
    <w:multiLevelType w:val="hybridMultilevel"/>
    <w:lvl w:ilvl="0">
      <w:lvlJc w:val="left"/>
      <w:lvlText w:val=" "/>
      <w:numFmt w:val="bullet"/>
      <w:start w:val="1"/>
    </w:lvl>
  </w:abstractNum>
  <w:abstractNum w:abstractNumId="78">
    <w:nsid w:val="1A32234B"/>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2026-04-22T15:39:12Z</dcterms:created>
  <dcterms:modified xsi:type="dcterms:W3CDTF">2026-04-22T15:39:12Z</dcterms:modified>
</cp:coreProperties>
</file>