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4351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351020"/>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Klein Jason</w:t>
              </w:r>
            </w:hyperlink>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Paymentus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PAY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Borders>
              <w:bottom w:val="single" w:sz="8" w:color="0000EE"/>
            </w:tcBorders>
          </w:tcPr>
          <w:p>
            <w:pPr>
              <w:spacing w:after="0"/>
              <w:rPr>
                <w:sz w:val="6"/>
                <w:szCs w:val="6"/>
                <w:color w:val="auto"/>
              </w:rPr>
            </w:pPr>
          </w:p>
        </w:tc>
        <w:tc>
          <w:tcPr>
            <w:tcW w:w="16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960" w:type="dxa"/>
            <w:vAlign w:val="bottom"/>
            <w:tcBorders>
              <w:bottom w:val="single" w:sz="8" w:color="0000EE"/>
            </w:tcBorders>
            <w:vMerge w:val="continue"/>
          </w:tcPr>
          <w:p>
            <w:pPr>
              <w:spacing w:after="0"/>
              <w:rPr>
                <w:sz w:val="5"/>
                <w:szCs w:val="5"/>
                <w:color w:val="auto"/>
              </w:rPr>
            </w:pPr>
          </w:p>
        </w:tc>
        <w:tc>
          <w:tcPr>
            <w:tcW w:w="120" w:type="dxa"/>
            <w:vAlign w:val="bottom"/>
            <w:vMerge w:val="restart"/>
          </w:tcPr>
          <w:p>
            <w:pPr>
              <w:spacing w:after="0"/>
              <w:rPr>
                <w:sz w:val="5"/>
                <w:szCs w:val="5"/>
                <w:color w:val="auto"/>
              </w:rPr>
            </w:pPr>
          </w:p>
        </w:tc>
        <w:tc>
          <w:tcPr>
            <w:tcW w:w="13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3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11/17/2025</w:t>
            </w:r>
          </w:p>
        </w:tc>
        <w:tc>
          <w:tcPr>
            <w:tcW w:w="16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ACCEL-KKR</w:t>
            </w:r>
          </w:p>
        </w:tc>
        <w:tc>
          <w:tcPr>
            <w:tcW w:w="1220" w:type="dxa"/>
            <w:vAlign w:val="bottom"/>
          </w:tcPr>
          <w:p>
            <w:pPr>
              <w:spacing w:after="0"/>
              <w:rPr>
                <w:sz w:val="10"/>
                <w:szCs w:val="10"/>
                <w:color w:val="auto"/>
              </w:rPr>
            </w:pPr>
          </w:p>
        </w:tc>
        <w:tc>
          <w:tcPr>
            <w:tcW w:w="2260" w:type="dxa"/>
            <w:vAlign w:val="bottom"/>
            <w:gridSpan w:val="3"/>
            <w:vMerge w:val="continue"/>
          </w:tcPr>
          <w:p>
            <w:pPr>
              <w:spacing w:after="0"/>
              <w:rPr>
                <w:sz w:val="10"/>
                <w:szCs w:val="10"/>
                <w:color w:val="auto"/>
              </w:rPr>
            </w:pPr>
          </w:p>
        </w:tc>
        <w:tc>
          <w:tcPr>
            <w:tcW w:w="16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2180 SAND HILL ROAD, SUITE 300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MENLO PARK</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94025</w:t>
            </w:r>
          </w:p>
        </w:tc>
      </w:tr>
      <w:tr>
        <w:trPr>
          <w:trHeight w:val="146"/>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(2)</w:t>
            </w: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145,709</w:t>
            </w:r>
          </w:p>
        </w:tc>
        <w:tc>
          <w:tcPr>
            <w:tcW w:w="680" w:type="dxa"/>
            <w:vAlign w:val="bottom"/>
            <w:vMerge w:val="restart"/>
          </w:tcPr>
          <w:p>
            <w:pPr>
              <w:ind w:left="20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(2)</w:t>
            </w: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680" w:type="dxa"/>
            <w:vAlign w:val="bottom"/>
            <w:vMerge w:val="restart"/>
          </w:tcPr>
          <w:p>
            <w:pPr>
              <w:ind w:left="60"/>
              <w:spacing w:after="0" w:line="128"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4"/>
                <w:szCs w:val="4"/>
                <w:color w:val="auto"/>
              </w:rPr>
            </w:pPr>
          </w:p>
        </w:tc>
        <w:tc>
          <w:tcPr>
            <w:tcW w:w="1080" w:type="dxa"/>
            <w:vAlign w:val="bottom"/>
            <w:vMerge w:val="restart"/>
          </w:tcPr>
          <w:p>
            <w:pPr>
              <w:jc w:val="right"/>
              <w:ind w:right="201"/>
              <w:spacing w:after="0" w:line="128" w:lineRule="exact"/>
              <w:rPr>
                <w:sz w:val="20"/>
                <w:szCs w:val="20"/>
                <w:color w:val="auto"/>
              </w:rPr>
            </w:pPr>
            <w:r>
              <w:rPr>
                <w:rFonts w:ascii="Times New Roman" w:cs="Times New Roman" w:eastAsia="Times New Roman" w:hAnsi="Times New Roman"/>
                <w:sz w:val="13"/>
                <w:szCs w:val="13"/>
                <w:color w:val="0000FF"/>
              </w:rPr>
              <w:t>11/17/2025</w:t>
            </w:r>
          </w:p>
        </w:tc>
        <w:tc>
          <w:tcPr>
            <w:tcW w:w="106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380" w:type="dxa"/>
            <w:vAlign w:val="bottom"/>
            <w:vMerge w:val="restart"/>
          </w:tcPr>
          <w:p>
            <w:pPr>
              <w:ind w:left="160"/>
              <w:spacing w:after="0" w:line="128" w:lineRule="exact"/>
              <w:rPr>
                <w:sz w:val="20"/>
                <w:szCs w:val="20"/>
                <w:color w:val="auto"/>
              </w:rPr>
            </w:pPr>
            <w:r>
              <w:rPr>
                <w:rFonts w:ascii="Times New Roman" w:cs="Times New Roman" w:eastAsia="Times New Roman" w:hAnsi="Times New Roman"/>
                <w:sz w:val="13"/>
                <w:szCs w:val="13"/>
                <w:color w:val="0000FF"/>
              </w:rPr>
              <w:t>V</w:t>
            </w:r>
          </w:p>
        </w:tc>
        <w:tc>
          <w:tcPr>
            <w:tcW w:w="620" w:type="dxa"/>
            <w:vAlign w:val="bottom"/>
            <w:vMerge w:val="restart"/>
          </w:tcPr>
          <w:p>
            <w:pPr>
              <w:ind w:left="80"/>
              <w:spacing w:after="0" w:line="128" w:lineRule="exact"/>
              <w:rPr>
                <w:sz w:val="20"/>
                <w:szCs w:val="20"/>
                <w:color w:val="auto"/>
              </w:rPr>
            </w:pPr>
            <w:r>
              <w:rPr>
                <w:rFonts w:ascii="Times New Roman" w:cs="Times New Roman" w:eastAsia="Times New Roman" w:hAnsi="Times New Roman"/>
                <w:sz w:val="13"/>
                <w:szCs w:val="13"/>
                <w:color w:val="0000FF"/>
              </w:rPr>
              <w:t>145,709</w:t>
            </w:r>
          </w:p>
        </w:tc>
        <w:tc>
          <w:tcPr>
            <w:tcW w:w="2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80" w:type="dxa"/>
            <w:vAlign w:val="bottom"/>
            <w:vMerge w:val="restart"/>
          </w:tcPr>
          <w:p>
            <w:pPr>
              <w:ind w:left="80"/>
              <w:spacing w:after="0" w:line="128"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20" w:type="dxa"/>
            <w:vAlign w:val="bottom"/>
            <w:vMerge w:val="restart"/>
          </w:tcPr>
          <w:p>
            <w:pPr>
              <w:ind w:left="200"/>
              <w:spacing w:after="0" w:line="128" w:lineRule="exact"/>
              <w:rPr>
                <w:sz w:val="20"/>
                <w:szCs w:val="20"/>
                <w:color w:val="auto"/>
              </w:rPr>
            </w:pPr>
            <w:r>
              <w:rPr>
                <w:rFonts w:ascii="Times New Roman" w:cs="Times New Roman" w:eastAsia="Times New Roman" w:hAnsi="Times New Roman"/>
                <w:sz w:val="13"/>
                <w:szCs w:val="13"/>
                <w:color w:val="0000FF"/>
              </w:rPr>
              <w:t>2,025,407</w:t>
            </w:r>
          </w:p>
        </w:tc>
        <w:tc>
          <w:tcPr>
            <w:tcW w:w="720" w:type="dxa"/>
            <w:vAlign w:val="bottom"/>
            <w:vMerge w:val="restart"/>
          </w:tcPr>
          <w:p>
            <w:pPr>
              <w:ind w:left="340"/>
              <w:spacing w:after="0" w:line="128" w:lineRule="exact"/>
              <w:rPr>
                <w:sz w:val="20"/>
                <w:szCs w:val="20"/>
                <w:color w:val="auto"/>
              </w:rPr>
            </w:pPr>
            <w:r>
              <w:rPr>
                <w:rFonts w:ascii="Times New Roman" w:cs="Times New Roman" w:eastAsia="Times New Roman" w:hAnsi="Times New Roman"/>
                <w:sz w:val="13"/>
                <w:szCs w:val="13"/>
                <w:color w:val="0000FF"/>
              </w:rPr>
              <w:t>I</w:t>
            </w: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tcPr>
          <w:p>
            <w:pPr>
              <w:ind w:left="480"/>
              <w:spacing w:after="0" w:line="81" w:lineRule="exact"/>
              <w:rPr>
                <w:sz w:val="20"/>
                <w:szCs w:val="20"/>
                <w:color w:val="auto"/>
              </w:rPr>
            </w:pPr>
            <w:r>
              <w:rPr>
                <w:rFonts w:ascii="Times New Roman" w:cs="Times New Roman" w:eastAsia="Times New Roman" w:hAnsi="Times New Roman"/>
                <w:sz w:val="8"/>
                <w:szCs w:val="8"/>
                <w:color w:val="008000"/>
              </w:rPr>
              <w:t>(3)</w:t>
            </w: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1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Class B Common Stock is convertible at any time, at the holder's election and automatically in connection with certain transfers and upon certain other events, into an equal number of shares of Class A Common Stock and has no expiration date.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received in a pro rata distribution from funds affiliated with Accel-KKR. The acquisition of such shares was exempt pursuant to Rule 16a-9(a) under the Securities Exchange Act of 1934, as amended.</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Jason and Farah Klein Revocable Trust dtd 1/27/2011.</w:t>
      </w:r>
    </w:p>
    <w:p>
      <w:pPr>
        <w:spacing w:after="0" w:line="50"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Jason Klein</w:t>
            </w:r>
          </w:p>
        </w:tc>
        <w:tc>
          <w:tcPr>
            <w:tcW w:w="122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11/19/2025</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63374" TargetMode="External"/><Relationship Id="rId14" Type="http://schemas.openxmlformats.org/officeDocument/2006/relationships/hyperlink" Target="http://www.sec.gov/cgi-bin/browse-edgar?action=getcompany&amp;CIK=00018411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2025-11-19T17:42:35Z</dcterms:created>
  <dcterms:modified xsi:type="dcterms:W3CDTF">2025-11-19T17:42:35Z</dcterms:modified>
</cp:coreProperties>
</file>