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Gregory Hyde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ACCEL-KKR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SAND HILL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Paymentus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576"/>
        <w:gridCol w:w="376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33,145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165,826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a pro rata distribution from funds affiliated with Accel-KKR. The acquisition of such shares was exempt pursuant to Rule 16a-9(a) under the Securities Exchange Act of 1934,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C. Barnds, as Attorney-in-Fact for Gregory Hyde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338" TargetMode="External"/><Relationship Id="rId5" Type="http://schemas.openxmlformats.org/officeDocument/2006/relationships/hyperlink" Target="http://www.sec.gov/cgi-bin/browse-edgar?action=getcompany&amp;CIK=00018411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3288</Characters>
  <CharactersWithSpaces>3827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