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8836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836025"/>
                    </a:xfrm>
                    <a:prstGeom prst="rect">
                      <a:avLst/>
                    </a:prstGeom>
                    <a:noFill/>
                  </pic:spPr>
                </pic:pic>
              </a:graphicData>
            </a:graphic>
          </wp:anchor>
        </w:drawing>
      </w:r>
    </w:p>
    <w:p>
      <w:pPr>
        <w:spacing w:after="0" w:line="1013"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11"/>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80" w:type="dxa"/>
            <w:vAlign w:val="bottom"/>
            <w:gridSpan w:val="4"/>
            <w:vMerge w:val="restart"/>
          </w:tcPr>
          <w:p>
            <w:pPr>
              <w:spacing w:after="0" w:line="227"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Accel-KKR Holdings GP, LLC</w:t>
              </w:r>
            </w:hyperlink>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11"/>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Paymentus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60" w:type="dxa"/>
            <w:vAlign w:val="bottom"/>
            <w:tcBorders>
              <w:bottom w:val="single" w:sz="8" w:color="0000EE"/>
            </w:tcBorders>
          </w:tcPr>
          <w:p>
            <w:pPr>
              <w:spacing w:after="0"/>
              <w:rPr>
                <w:sz w:val="5"/>
                <w:szCs w:val="5"/>
                <w:color w:val="auto"/>
              </w:rPr>
            </w:pPr>
          </w:p>
        </w:tc>
        <w:tc>
          <w:tcPr>
            <w:tcW w:w="26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40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Borders>
              <w:bottom w:val="single" w:sz="8" w:color="0000EE"/>
            </w:tcBorders>
            <w:gridSpan w:val="4"/>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gridSpan w:val="4"/>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7"/>
                <w:szCs w:val="7"/>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060" w:type="dxa"/>
            <w:vAlign w:val="bottom"/>
            <w:gridSpan w:val="2"/>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11"/>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60" w:type="dxa"/>
            <w:vAlign w:val="bottom"/>
            <w:gridSpan w:val="11"/>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ACCEL-KKR</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gridSpan w:val="8"/>
          </w:tcPr>
          <w:p>
            <w:pPr>
              <w:ind w:left="400"/>
              <w:spacing w:after="0"/>
              <w:rPr>
                <w:sz w:val="20"/>
                <w:szCs w:val="20"/>
                <w:color w:val="auto"/>
              </w:rPr>
            </w:pPr>
            <w:r>
              <w:rPr>
                <w:rFonts w:ascii="Times New Roman" w:cs="Times New Roman" w:eastAsia="Times New Roman" w:hAnsi="Times New Roman"/>
                <w:sz w:val="16"/>
                <w:szCs w:val="16"/>
                <w:color w:val="0000FF"/>
              </w:rPr>
              <w:t>11/17/2025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40" w:type="dxa"/>
            <w:vAlign w:val="bottom"/>
            <w:gridSpan w:val="12"/>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gridSpan w:val="1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MENLO PARK   CA</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4"/>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gridSpan w:val="2"/>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176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320" w:type="dxa"/>
            <w:vAlign w:val="bottom"/>
            <w:tcBorders>
              <w:top w:val="single" w:sz="8" w:color="2C2C2C"/>
            </w:tcBorders>
            <w:gridSpan w:val="22"/>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40" w:type="dxa"/>
            <w:vAlign w:val="bottom"/>
          </w:tcPr>
          <w:p>
            <w:pPr>
              <w:spacing w:after="0"/>
              <w:rPr>
                <w:sz w:val="13"/>
                <w:szCs w:val="13"/>
                <w:color w:val="auto"/>
              </w:rPr>
            </w:pPr>
          </w:p>
        </w:tc>
        <w:tc>
          <w:tcPr>
            <w:tcW w:w="1740" w:type="dxa"/>
            <w:vAlign w:val="bottom"/>
            <w:gridSpan w:val="6"/>
          </w:tcPr>
          <w:p>
            <w:pPr>
              <w:ind w:left="82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6"/>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6"/>
          </w:tcPr>
          <w:p>
            <w:pPr>
              <w:ind w:left="8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2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4"/>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gridSpan w:val="3"/>
          </w:tcPr>
          <w:p>
            <w:pPr>
              <w:spacing w:after="0"/>
              <w:rPr>
                <w:sz w:val="6"/>
                <w:szCs w:val="6"/>
                <w:color w:val="auto"/>
              </w:rPr>
            </w:pPr>
          </w:p>
        </w:tc>
        <w:tc>
          <w:tcPr>
            <w:tcW w:w="2140" w:type="dxa"/>
            <w:vAlign w:val="bottom"/>
            <w:tcBorders>
              <w:bottom w:val="single" w:sz="8" w:color="2C2C2C"/>
            </w:tcBorders>
            <w:gridSpan w:val="6"/>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180" w:type="dxa"/>
            <w:vAlign w:val="bottom"/>
            <w:tcBorders>
              <w:top w:val="single" w:sz="8" w:color="2C2C2C"/>
            </w:tcBorders>
            <w:gridSpan w:val="21"/>
          </w:tcPr>
          <w:p>
            <w:pPr>
              <w:jc w:val="center"/>
              <w:ind w:right="204"/>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gridSpan w:val="20"/>
          </w:tcPr>
          <w:p>
            <w:pPr>
              <w:jc w:val="center"/>
              <w:ind w:left="315"/>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6"/>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jc w:val="center"/>
              <w:ind w:right="4"/>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6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jc w:val="center"/>
              <w:ind w:right="4"/>
              <w:spacing w:after="0" w:line="124"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00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0"/>
                <w:szCs w:val="10"/>
                <w:color w:val="auto"/>
              </w:rPr>
            </w:pPr>
          </w:p>
        </w:tc>
        <w:tc>
          <w:tcPr>
            <w:tcW w:w="146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line="124" w:lineRule="exact"/>
              <w:rPr>
                <w:sz w:val="20"/>
                <w:szCs w:val="20"/>
                <w:color w:val="auto"/>
              </w:rPr>
            </w:pPr>
            <w:r>
              <w:rPr>
                <w:rFonts w:ascii="Arial" w:cs="Arial" w:eastAsia="Arial" w:hAnsi="Arial"/>
                <w:sz w:val="11"/>
                <w:szCs w:val="11"/>
                <w:b w:val="1"/>
                <w:bCs w:val="1"/>
                <w:color w:val="auto"/>
              </w:rPr>
              <w:t>3 and 4)</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4"/>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47"/>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6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Accel-KKR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5"/>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center"/>
              <w:ind w:right="4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3,602,968</w:t>
            </w:r>
          </w:p>
        </w:tc>
        <w:tc>
          <w:tcPr>
            <w:tcW w:w="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(2)</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40"/>
              <w:spacing w:after="0" w:line="137"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840" w:type="dxa"/>
            <w:vAlign w:val="bottom"/>
            <w:gridSpan w:val="3"/>
          </w:tcPr>
          <w:p>
            <w:pPr>
              <w:jc w:val="center"/>
              <w:ind w:left="182"/>
              <w:spacing w:after="0"/>
              <w:rPr>
                <w:sz w:val="20"/>
                <w:szCs w:val="20"/>
                <w:color w:val="auto"/>
              </w:rPr>
            </w:pPr>
            <w:r>
              <w:rPr>
                <w:rFonts w:ascii="Times New Roman" w:cs="Times New Roman" w:eastAsia="Times New Roman" w:hAnsi="Times New Roman"/>
                <w:sz w:val="12"/>
                <w:szCs w:val="12"/>
                <w:color w:val="0000FF"/>
                <w:w w:val="99"/>
              </w:rPr>
              <w:t>3,602,968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center"/>
              <w:ind w:right="24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21,395,285</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ind w:right="4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Borders>
              <w:right w:val="single" w:sz="8" w:color="2C2C2C"/>
            </w:tcBorders>
            <w:gridSpan w:val="3"/>
          </w:tcPr>
          <w:p>
            <w:pPr>
              <w:ind w:left="140"/>
              <w:spacing w:after="0" w:line="124" w:lineRule="exact"/>
              <w:rPr>
                <w:sz w:val="20"/>
                <w:szCs w:val="20"/>
                <w:color w:val="auto"/>
              </w:rPr>
            </w:pPr>
            <w:r>
              <w:rPr>
                <w:rFonts w:ascii="Times New Roman" w:cs="Times New Roman" w:eastAsia="Times New Roman" w:hAnsi="Times New Roman"/>
                <w:sz w:val="12"/>
                <w:szCs w:val="12"/>
                <w:color w:val="0000FF"/>
              </w:rPr>
              <w:t>CV III,</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4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Accel-KKR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5"/>
            <w:vMerge w:val="restart"/>
          </w:tcPr>
          <w:p>
            <w:pPr>
              <w:ind w:left="120"/>
              <w:spacing w:after="0" w:line="224"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restart"/>
          </w:tcPr>
          <w:p>
            <w:pPr>
              <w:jc w:val="center"/>
              <w:ind w:right="98"/>
              <w:spacing w:after="0"/>
              <w:rPr>
                <w:sz w:val="20"/>
                <w:szCs w:val="20"/>
                <w:color w:val="auto"/>
              </w:rPr>
            </w:pPr>
            <w:r>
              <w:rPr>
                <w:rFonts w:ascii="Times New Roman" w:cs="Times New Roman" w:eastAsia="Times New Roman" w:hAnsi="Times New Roman"/>
                <w:sz w:val="16"/>
                <w:szCs w:val="16"/>
                <w:color w:val="0000FF"/>
                <w:w w:val="99"/>
              </w:rPr>
              <w:t>180,352</w:t>
            </w:r>
          </w:p>
        </w:tc>
        <w:tc>
          <w:tcPr>
            <w:tcW w:w="40" w:type="dxa"/>
            <w:vAlign w:val="bottom"/>
          </w:tcPr>
          <w:p>
            <w:pPr>
              <w:spacing w:after="0"/>
              <w:rPr>
                <w:sz w:val="6"/>
                <w:szCs w:val="6"/>
                <w:color w:val="auto"/>
              </w:rPr>
            </w:pPr>
          </w:p>
        </w:tc>
        <w:tc>
          <w:tcPr>
            <w:tcW w:w="640" w:type="dxa"/>
            <w:vAlign w:val="bottom"/>
            <w:vMerge w:val="restart"/>
          </w:tcPr>
          <w:p>
            <w:pPr>
              <w:jc w:val="center"/>
              <w:spacing w:after="0" w:line="224" w:lineRule="exact"/>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(2)</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Members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840" w:type="dxa"/>
            <w:vAlign w:val="bottom"/>
            <w:gridSpan w:val="3"/>
            <w:vMerge w:val="restart"/>
          </w:tcPr>
          <w:p>
            <w:pPr>
              <w:jc w:val="center"/>
              <w:ind w:left="182"/>
              <w:spacing w:after="0"/>
              <w:rPr>
                <w:sz w:val="20"/>
                <w:szCs w:val="20"/>
                <w:color w:val="auto"/>
              </w:rPr>
            </w:pPr>
            <w:r>
              <w:rPr>
                <w:rFonts w:ascii="Times New Roman" w:cs="Times New Roman" w:eastAsia="Times New Roman" w:hAnsi="Times New Roman"/>
                <w:sz w:val="12"/>
                <w:szCs w:val="12"/>
                <w:color w:val="0000FF"/>
              </w:rPr>
              <w:t>180,352</w:t>
            </w: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1,183,406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20" w:type="dxa"/>
            <w:vAlign w:val="bottom"/>
            <w:tcBorders>
              <w:right w:val="single" w:sz="8" w:color="2C2C2C"/>
            </w:tcBorders>
            <w:gridSpan w:val="3"/>
          </w:tcPr>
          <w:p>
            <w:pPr>
              <w:ind w:left="140"/>
              <w:spacing w:after="0" w:line="88" w:lineRule="exact"/>
              <w:rPr>
                <w:sz w:val="20"/>
                <w:szCs w:val="20"/>
                <w:color w:val="auto"/>
              </w:rPr>
            </w:pPr>
            <w:r>
              <w:rPr>
                <w:rFonts w:ascii="Times New Roman" w:cs="Times New Roman" w:eastAsia="Times New Roman" w:hAnsi="Times New Roman"/>
                <w:sz w:val="10"/>
                <w:szCs w:val="10"/>
                <w:color w:val="0000FF"/>
              </w:rPr>
              <w:t>Fund,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40"/>
              <w:spacing w:after="0" w:line="271" w:lineRule="exact"/>
              <w:rPr>
                <w:sz w:val="20"/>
                <w:szCs w:val="20"/>
                <w:color w:val="auto"/>
              </w:rPr>
            </w:pPr>
            <w:r>
              <w:rPr>
                <w:rFonts w:ascii="Times New Roman" w:cs="Times New Roman" w:eastAsia="Times New Roman" w:hAnsi="Times New Roman"/>
                <w:sz w:val="24"/>
                <w:szCs w:val="24"/>
                <w:color w:val="0000FF"/>
                <w:w w:val="98"/>
                <w:vertAlign w:val="subscript"/>
              </w:rPr>
              <w:t>LLC</w:t>
            </w:r>
            <w:r>
              <w:rPr>
                <w:rFonts w:ascii="Times New Roman" w:cs="Times New Roman" w:eastAsia="Times New Roman" w:hAnsi="Times New Roman"/>
                <w:sz w:val="10"/>
                <w:szCs w:val="10"/>
                <w:color w:val="008000"/>
                <w:w w:val="98"/>
              </w:rPr>
              <w:t>(3)(4)(5)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Accel-KKR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5"/>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center"/>
              <w:ind w:right="4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20" w:type="dxa"/>
            <w:vAlign w:val="bottom"/>
            <w:gridSpan w:val="2"/>
            <w:vMerge w:val="restart"/>
          </w:tcPr>
          <w:p>
            <w:pPr>
              <w:jc w:val="center"/>
              <w:ind w:right="98"/>
              <w:spacing w:after="0"/>
              <w:rPr>
                <w:sz w:val="20"/>
                <w:szCs w:val="20"/>
                <w:color w:val="auto"/>
              </w:rPr>
            </w:pPr>
            <w:r>
              <w:rPr>
                <w:rFonts w:ascii="Times New Roman" w:cs="Times New Roman" w:eastAsia="Times New Roman" w:hAnsi="Times New Roman"/>
                <w:sz w:val="16"/>
                <w:szCs w:val="16"/>
                <w:color w:val="0000FF"/>
                <w:w w:val="99"/>
              </w:rPr>
              <w:t>151,676</w:t>
            </w:r>
          </w:p>
        </w:tc>
        <w:tc>
          <w:tcPr>
            <w:tcW w:w="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(2)</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40"/>
              <w:spacing w:after="0" w:line="137"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840" w:type="dxa"/>
            <w:vAlign w:val="bottom"/>
            <w:gridSpan w:val="3"/>
          </w:tcPr>
          <w:p>
            <w:pPr>
              <w:jc w:val="center"/>
              <w:ind w:left="182"/>
              <w:spacing w:after="0"/>
              <w:rPr>
                <w:sz w:val="20"/>
                <w:szCs w:val="20"/>
                <w:color w:val="auto"/>
              </w:rPr>
            </w:pPr>
            <w:r>
              <w:rPr>
                <w:rFonts w:ascii="Times New Roman" w:cs="Times New Roman" w:eastAsia="Times New Roman" w:hAnsi="Times New Roman"/>
                <w:sz w:val="12"/>
                <w:szCs w:val="12"/>
                <w:color w:val="0000FF"/>
              </w:rPr>
              <w:t>151,676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center"/>
              <w:ind w:right="24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900,687</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ind w:right="4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Borders>
              <w:right w:val="single" w:sz="8" w:color="2C2C2C"/>
            </w:tcBorders>
            <w:gridSpan w:val="3"/>
          </w:tcPr>
          <w:p>
            <w:pPr>
              <w:ind w:left="140"/>
              <w:spacing w:after="0" w:line="124" w:lineRule="exact"/>
              <w:rPr>
                <w:sz w:val="20"/>
                <w:szCs w:val="20"/>
                <w:color w:val="auto"/>
              </w:rPr>
            </w:pPr>
            <w:r>
              <w:rPr>
                <w:rFonts w:ascii="Times New Roman" w:cs="Times New Roman" w:eastAsia="Times New Roman" w:hAnsi="Times New Roman"/>
                <w:sz w:val="12"/>
                <w:szCs w:val="12"/>
                <w:color w:val="0000FF"/>
              </w:rPr>
              <w:t>Partners III,</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4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Accel-KKR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40"/>
              <w:spacing w:after="0" w:line="136"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5"/>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center"/>
              <w:ind w:right="4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20" w:type="dxa"/>
            <w:vAlign w:val="bottom"/>
            <w:gridSpan w:val="2"/>
            <w:vMerge w:val="restart"/>
          </w:tcPr>
          <w:p>
            <w:pPr>
              <w:jc w:val="center"/>
              <w:ind w:right="98"/>
              <w:spacing w:after="0"/>
              <w:rPr>
                <w:sz w:val="20"/>
                <w:szCs w:val="20"/>
                <w:color w:val="auto"/>
              </w:rPr>
            </w:pPr>
            <w:r>
              <w:rPr>
                <w:rFonts w:ascii="Times New Roman" w:cs="Times New Roman" w:eastAsia="Times New Roman" w:hAnsi="Times New Roman"/>
                <w:sz w:val="16"/>
                <w:szCs w:val="16"/>
                <w:color w:val="0000FF"/>
                <w:w w:val="99"/>
              </w:rPr>
              <w:t>5,084</w:t>
            </w:r>
          </w:p>
        </w:tc>
        <w:tc>
          <w:tcPr>
            <w:tcW w:w="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(2)</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40"/>
              <w:spacing w:after="0" w:line="137"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840" w:type="dxa"/>
            <w:vAlign w:val="bottom"/>
            <w:gridSpan w:val="3"/>
          </w:tcPr>
          <w:p>
            <w:pPr>
              <w:jc w:val="center"/>
              <w:ind w:left="182"/>
              <w:spacing w:after="0"/>
              <w:rPr>
                <w:sz w:val="20"/>
                <w:szCs w:val="20"/>
                <w:color w:val="auto"/>
              </w:rPr>
            </w:pPr>
            <w:r>
              <w:rPr>
                <w:rFonts w:ascii="Times New Roman" w:cs="Times New Roman" w:eastAsia="Times New Roman" w:hAnsi="Times New Roman"/>
                <w:sz w:val="12"/>
                <w:szCs w:val="12"/>
                <w:color w:val="0000FF"/>
              </w:rPr>
              <w:t>5,084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center"/>
              <w:ind w:right="24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30,184</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Partners II</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ind w:right="4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Borders>
              <w:right w:val="single" w:sz="8" w:color="2C2C2C"/>
            </w:tcBorders>
            <w:gridSpan w:val="3"/>
          </w:tcPr>
          <w:p>
            <w:pPr>
              <w:ind w:left="140"/>
              <w:spacing w:after="0" w:line="124"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right w:val="single" w:sz="8" w:color="2C2C2C"/>
            </w:tcBorders>
            <w:gridSpan w:val="3"/>
          </w:tcPr>
          <w:p>
            <w:pPr>
              <w:ind w:left="140"/>
              <w:spacing w:after="0" w:line="157" w:lineRule="exact"/>
              <w:rPr>
                <w:sz w:val="20"/>
                <w:szCs w:val="20"/>
                <w:color w:val="auto"/>
              </w:rPr>
            </w:pPr>
            <w:r>
              <w:rPr>
                <w:rFonts w:ascii="Times New Roman" w:cs="Times New Roman" w:eastAsia="Times New Roman" w:hAnsi="Times New Roman"/>
                <w:sz w:val="11"/>
                <w:szCs w:val="11"/>
                <w:color w:val="0000FF"/>
              </w:rPr>
              <w:t>Fund, LP</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Accel-KKR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5"/>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center"/>
              <w:ind w:right="4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20" w:type="dxa"/>
            <w:vAlign w:val="bottom"/>
            <w:gridSpan w:val="2"/>
            <w:vMerge w:val="restart"/>
          </w:tcPr>
          <w:p>
            <w:pPr>
              <w:jc w:val="center"/>
              <w:ind w:right="98"/>
              <w:spacing w:after="0"/>
              <w:rPr>
                <w:sz w:val="20"/>
                <w:szCs w:val="20"/>
                <w:color w:val="auto"/>
              </w:rPr>
            </w:pPr>
            <w:r>
              <w:rPr>
                <w:rFonts w:ascii="Times New Roman" w:cs="Times New Roman" w:eastAsia="Times New Roman" w:hAnsi="Times New Roman"/>
                <w:sz w:val="16"/>
                <w:szCs w:val="16"/>
                <w:color w:val="0000FF"/>
                <w:w w:val="99"/>
              </w:rPr>
              <w:t>59,920</w:t>
            </w:r>
          </w:p>
        </w:tc>
        <w:tc>
          <w:tcPr>
            <w:tcW w:w="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(2)</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40"/>
              <w:spacing w:after="0" w:line="137"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840" w:type="dxa"/>
            <w:vAlign w:val="bottom"/>
            <w:gridSpan w:val="3"/>
          </w:tcPr>
          <w:p>
            <w:pPr>
              <w:jc w:val="center"/>
              <w:ind w:left="202"/>
              <w:spacing w:after="0"/>
              <w:rPr>
                <w:sz w:val="20"/>
                <w:szCs w:val="20"/>
                <w:color w:val="auto"/>
              </w:rPr>
            </w:pPr>
            <w:r>
              <w:rPr>
                <w:rFonts w:ascii="Times New Roman" w:cs="Times New Roman" w:eastAsia="Times New Roman" w:hAnsi="Times New Roman"/>
                <w:sz w:val="12"/>
                <w:szCs w:val="12"/>
                <w:color w:val="0000FF"/>
              </w:rPr>
              <w:t>59,920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center"/>
              <w:ind w:right="24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355,825</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ind w:right="4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Borders>
              <w:right w:val="single" w:sz="8" w:color="2C2C2C"/>
            </w:tcBorders>
            <w:gridSpan w:val="3"/>
          </w:tcPr>
          <w:p>
            <w:pPr>
              <w:ind w:left="140"/>
              <w:spacing w:after="0" w:line="124" w:lineRule="exact"/>
              <w:rPr>
                <w:sz w:val="20"/>
                <w:szCs w:val="20"/>
                <w:color w:val="auto"/>
              </w:rPr>
            </w:pPr>
            <w:r>
              <w:rPr>
                <w:rFonts w:ascii="Times New Roman" w:cs="Times New Roman" w:eastAsia="Times New Roman" w:hAnsi="Times New Roman"/>
                <w:sz w:val="12"/>
                <w:szCs w:val="12"/>
                <w:color w:val="0000FF"/>
              </w:rPr>
              <w:t>Partners II,</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4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AKKR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5,364,707</w:t>
            </w:r>
            <w:r>
              <w:rPr>
                <w:rFonts w:ascii="Times New Roman" w:cs="Times New Roman" w:eastAsia="Times New Roman" w:hAnsi="Times New Roman"/>
                <w:sz w:val="20"/>
                <w:szCs w:val="20"/>
                <w:color w:val="008000"/>
                <w:w w:val="95"/>
                <w:vertAlign w:val="superscript"/>
              </w:rPr>
              <w:t>(6)</w:t>
            </w: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5,364,707</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40"/>
              <w:spacing w:after="0" w:line="124"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40"/>
              <w:spacing w:after="0" w:line="234"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(3)(4)(5)</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AKKR SC</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820,762</w:t>
            </w:r>
            <w:r>
              <w:rPr>
                <w:rFonts w:ascii="Times New Roman" w:cs="Times New Roman" w:eastAsia="Times New Roman" w:hAnsi="Times New Roman"/>
                <w:sz w:val="20"/>
                <w:szCs w:val="20"/>
                <w:color w:val="008000"/>
                <w:w w:val="94"/>
                <w:vertAlign w:val="superscript"/>
              </w:rPr>
              <w:t>(7)</w:t>
            </w: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GPI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820,762</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40"/>
              <w:spacing w:after="0" w:line="124" w:lineRule="exact"/>
              <w:rPr>
                <w:sz w:val="20"/>
                <w:szCs w:val="20"/>
                <w:color w:val="auto"/>
              </w:rPr>
            </w:pPr>
            <w:r>
              <w:rPr>
                <w:rFonts w:ascii="Times New Roman" w:cs="Times New Roman" w:eastAsia="Times New Roman" w:hAnsi="Times New Roman"/>
                <w:sz w:val="12"/>
                <w:szCs w:val="12"/>
                <w:color w:val="0000FF"/>
              </w:rPr>
              <w:t>HoldCo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40"/>
              <w:spacing w:after="0" w:line="234"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(3)(4)(5)</w:t>
            </w:r>
          </w:p>
        </w:tc>
        <w:tc>
          <w:tcPr>
            <w:tcW w:w="0" w:type="dxa"/>
            <w:vAlign w:val="bottom"/>
          </w:tcPr>
          <w:p>
            <w:pPr>
              <w:spacing w:after="0"/>
              <w:rPr>
                <w:sz w:val="1"/>
                <w:szCs w:val="1"/>
                <w:color w:val="auto"/>
              </w:rPr>
            </w:pPr>
          </w:p>
        </w:tc>
      </w:tr>
      <w:tr>
        <w:trPr>
          <w:trHeight w:val="11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4"/>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5"/>
          </w:tcPr>
          <w:p>
            <w:pPr>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Accel-KKR Holdings GP, LLC</w:t>
              </w:r>
            </w:hyperlink>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(First)</w:t>
            </w:r>
          </w:p>
        </w:tc>
        <w:tc>
          <w:tcPr>
            <w:tcW w:w="14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-5466715</wp:posOffset>
            </wp:positionV>
            <wp:extent cx="28575" cy="4867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867910"/>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ACCEL-KKR</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2180 SAND HILL ROAD, SUITE 300</w:t>
      </w:r>
    </w:p>
    <w:p>
      <w:pPr>
        <w:spacing w:after="0" w:line="273"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3" w:right="359" w:bottom="0" w:gutter="0" w:footer="0" w:header="0"/>
          <w:type w:val="continuous"/>
        </w:sectPr>
      </w:pPr>
    </w:p>
    <w:p>
      <w:pPr>
        <w:spacing w:after="0" w:line="35" w:lineRule="exact"/>
        <w:rPr>
          <w:sz w:val="20"/>
          <w:szCs w:val="20"/>
          <w:color w:val="auto"/>
        </w:rPr>
      </w:pPr>
    </w:p>
    <w:p>
      <w:pPr>
        <w:ind w:left="100"/>
        <w:spacing w:after="0"/>
        <w:tabs>
          <w:tab w:leader="none" w:pos="1500" w:val="left"/>
          <w:tab w:leader="none" w:pos="2900" w:val="left"/>
        </w:tabs>
        <w:rPr>
          <w:sz w:val="20"/>
          <w:szCs w:val="20"/>
          <w:color w:val="auto"/>
        </w:rPr>
      </w:pPr>
      <w:r>
        <w:rPr>
          <w:rFonts w:ascii="Times New Roman" w:cs="Times New Roman" w:eastAsia="Times New Roman" w:hAnsi="Times New Roman"/>
          <w:sz w:val="16"/>
          <w:szCs w:val="16"/>
          <w:color w:val="0000FF"/>
        </w:rPr>
        <w:t>MENLO PARK</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94025</w:t>
      </w:r>
    </w:p>
    <w:p>
      <w:pPr>
        <w:sectPr>
          <w:pgSz w:w="11900" w:h="16838" w:orient="portrait"/>
          <w:cols w:equalWidth="0" w:num="1">
            <w:col w:w="11080"/>
          </w:cols>
          <w:pgMar w:left="460" w:top="213" w:right="359" w:bottom="0" w:gutter="0" w:footer="0" w:header="0"/>
          <w:type w:val="continuous"/>
        </w:sectPr>
      </w:pPr>
    </w:p>
    <w:bookmarkStart w:id="1" w:name="page2"/>
    <w:bookmarkEnd w:id="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4955" cy="1052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14955" cy="105238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940" w:type="dxa"/>
            <w:vAlign w:val="bottom"/>
          </w:tcPr>
          <w:p>
            <w:pPr>
              <w:ind w:left="80"/>
              <w:spacing w:after="0"/>
              <w:rPr>
                <w:sz w:val="20"/>
                <w:szCs w:val="20"/>
                <w:color w:val="auto"/>
              </w:rPr>
            </w:pPr>
            <w:r>
              <w:rPr>
                <w:rFonts w:ascii="Arial" w:cs="Arial" w:eastAsia="Arial" w:hAnsi="Arial"/>
                <w:sz w:val="12"/>
                <w:szCs w:val="12"/>
                <w:color w:val="auto"/>
              </w:rPr>
              <w:t>(City)</w:t>
            </w:r>
          </w:p>
        </w:tc>
        <w:tc>
          <w:tcPr>
            <w:tcW w:w="1720" w:type="dxa"/>
            <w:vAlign w:val="bottom"/>
          </w:tcPr>
          <w:p>
            <w:pPr>
              <w:ind w:left="560"/>
              <w:spacing w:after="0"/>
              <w:rPr>
                <w:sz w:val="20"/>
                <w:szCs w:val="20"/>
                <w:color w:val="auto"/>
              </w:rPr>
            </w:pPr>
            <w:r>
              <w:rPr>
                <w:rFonts w:ascii="Arial" w:cs="Arial" w:eastAsia="Arial" w:hAnsi="Arial"/>
                <w:sz w:val="12"/>
                <w:szCs w:val="12"/>
                <w:color w:val="auto"/>
              </w:rPr>
              <w:t>(State)</w:t>
            </w:r>
          </w:p>
        </w:tc>
        <w:tc>
          <w:tcPr>
            <w:tcW w:w="1700" w:type="dxa"/>
            <w:vAlign w:val="bottom"/>
          </w:tcPr>
          <w:p>
            <w:pPr>
              <w:ind w:left="240"/>
              <w:spacing w:after="0"/>
              <w:rPr>
                <w:sz w:val="20"/>
                <w:szCs w:val="20"/>
                <w:color w:val="auto"/>
              </w:rPr>
            </w:pPr>
            <w:r>
              <w:rPr>
                <w:rFonts w:ascii="Arial" w:cs="Arial" w:eastAsia="Arial" w:hAnsi="Arial"/>
                <w:sz w:val="12"/>
                <w:szCs w:val="12"/>
                <w:color w:val="auto"/>
              </w:rPr>
              <w:t>(Zip)</w:t>
            </w:r>
          </w:p>
        </w:tc>
      </w:tr>
      <w:tr>
        <w:trPr>
          <w:trHeight w:val="78"/>
        </w:trPr>
        <w:tc>
          <w:tcPr>
            <w:tcW w:w="2660" w:type="dxa"/>
            <w:vAlign w:val="bottom"/>
            <w:tcBorders>
              <w:bottom w:val="single" w:sz="8" w:color="2C2C2C"/>
            </w:tcBorders>
            <w:gridSpan w:val="2"/>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r>
      <w:tr>
        <w:trPr>
          <w:trHeight w:val="256"/>
        </w:trPr>
        <w:tc>
          <w:tcPr>
            <w:tcW w:w="2660" w:type="dxa"/>
            <w:vAlign w:val="bottom"/>
            <w:gridSpan w:val="2"/>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700" w:type="dxa"/>
            <w:vAlign w:val="bottom"/>
          </w:tcPr>
          <w:p>
            <w:pPr>
              <w:spacing w:after="0"/>
              <w:rPr>
                <w:sz w:val="22"/>
                <w:szCs w:val="22"/>
                <w:color w:val="auto"/>
              </w:rPr>
            </w:pPr>
          </w:p>
        </w:tc>
      </w:tr>
    </w:tbl>
    <w:p>
      <w:pPr>
        <w:ind w:left="10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ACCEL-KKR CAPITAL PARTNERS CV III, LP</w:t>
        </w:r>
      </w:hyperlink>
    </w:p>
    <w:p>
      <w:pPr>
        <w:spacing w:after="0" w:line="279"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ACCEL-KKR</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2180 SAND HILL ROAD, SUITE 300</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31" w:lineRule="auto"/>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ACCEL-KKR GROWTH CAPITAL PARTNERS</w:t>
        </w:r>
      </w:hyperlink>
    </w:p>
    <w:p>
      <w:pPr>
        <w:spacing w:after="0" w:line="1" w:lineRule="exact"/>
        <w:rPr>
          <w:sz w:val="20"/>
          <w:szCs w:val="20"/>
          <w:color w:val="auto"/>
        </w:rPr>
      </w:pP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III, LP</w:t>
        </w:r>
      </w:hyperlink>
    </w:p>
    <w:p>
      <w:pPr>
        <w:spacing w:after="0" w:line="279"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ACCEL-KKR</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2180 SAND HILL ROAD, SUITE 300</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31" w:lineRule="auto"/>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Accel-KKR Growth Capital Partners II Strategic</w:t>
        </w:r>
      </w:hyperlink>
    </w:p>
    <w:p>
      <w:pPr>
        <w:spacing w:after="0" w:line="1" w:lineRule="exact"/>
        <w:rPr>
          <w:sz w:val="20"/>
          <w:szCs w:val="20"/>
          <w:color w:val="auto"/>
        </w:rPr>
      </w:pP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Fund, LP</w:t>
        </w:r>
      </w:hyperlink>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360" w:type="dxa"/>
            <w:vAlign w:val="bottom"/>
          </w:tcPr>
          <w:p>
            <w:pPr>
              <w:ind w:left="10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C/O ACCEL-KKR</w:t>
            </w:r>
          </w:p>
        </w:tc>
        <w:tc>
          <w:tcPr>
            <w:tcW w:w="13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15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8"/>
        </w:trPr>
        <w:tc>
          <w:tcPr>
            <w:tcW w:w="13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360" w:type="dxa"/>
            <w:vAlign w:val="bottom"/>
          </w:tcPr>
          <w:p>
            <w:pPr>
              <w:ind w:left="10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Accel-KKR Growth Capital Partners II, LP</w:t>
        </w:r>
      </w:hyperlink>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C/O ACCEL-KKR</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4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8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740" w:type="dxa"/>
            <w:vAlign w:val="bottom"/>
            <w:gridSpan w:val="4"/>
          </w:tcPr>
          <w:p>
            <w:pPr>
              <w:spacing w:after="0" w:line="210"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Accel-KKR Members Fund, LLC</w:t>
              </w:r>
            </w:hyperlink>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C/O ACCEL-KKR</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4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8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740" w:type="dxa"/>
            <w:vAlign w:val="bottom"/>
            <w:gridSpan w:val="4"/>
          </w:tcPr>
          <w:p>
            <w:pPr>
              <w:spacing w:after="0" w:line="210"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AKKR SC GPI HoldCo LP</w:t>
              </w:r>
            </w:hyperlink>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C/O ACCEL-KKR</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4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bl>
    <w:p>
      <w:pPr>
        <w:spacing w:after="0" w:line="65" w:lineRule="exact"/>
        <w:rPr>
          <w:sz w:val="20"/>
          <w:szCs w:val="20"/>
          <w:color w:val="auto"/>
        </w:rPr>
      </w:pPr>
    </w:p>
    <w:p>
      <w:pPr>
        <w:spacing w:after="0"/>
        <w:rPr>
          <w:sz w:val="20"/>
          <w:szCs w:val="20"/>
          <w:color w:val="auto"/>
        </w:rPr>
      </w:pPr>
      <w:r>
        <w:rPr>
          <w:sz w:val="1"/>
          <w:szCs w:val="1"/>
          <w:color w:val="auto"/>
        </w:rPr>
        <w:drawing>
          <wp:inline distT="0" distB="0" distL="0" distR="0">
            <wp:extent cx="33020" cy="1612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3020" cy="161290"/>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55" w:orient="portrait"/>
          <w:cols w:equalWidth="0" w:num="1">
            <w:col w:w="9999"/>
          </w:cols>
          <w:pgMar w:left="460" w:top="164" w:right="1440" w:bottom="0" w:gutter="0" w:footer="0" w:header="0"/>
        </w:sectPr>
      </w:pPr>
    </w:p>
    <w:bookmarkStart w:id="2" w:name="page3"/>
    <w:bookmarkEnd w:id="2"/>
    <w:p>
      <w:pPr>
        <w:ind w:left="64"/>
        <w:spacing w:after="0"/>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drawing>
          <wp:anchor simplePos="0" relativeHeight="251657728" behindDoc="1" locked="0" layoutInCell="0" allowOverlap="1">
            <wp:simplePos x="0" y="0"/>
            <wp:positionH relativeFrom="page">
              <wp:posOffset>278765</wp:posOffset>
            </wp:positionH>
            <wp:positionV relativeFrom="page">
              <wp:posOffset>88900</wp:posOffset>
            </wp:positionV>
            <wp:extent cx="2814955" cy="1525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814955" cy="1525270"/>
                    </a:xfrm>
                    <a:prstGeom prst="rect">
                      <a:avLst/>
                    </a:prstGeom>
                    <a:noFill/>
                  </pic:spPr>
                </pic:pic>
              </a:graphicData>
            </a:graphic>
          </wp:anchor>
        </w:drawing>
      </w:r>
      <w:hyperlink r:id="rId25">
        <w:r>
          <w:rPr>
            <w:rFonts w:ascii="Times New Roman" w:cs="Times New Roman" w:eastAsia="Times New Roman" w:hAnsi="Times New Roman"/>
            <w:sz w:val="20"/>
            <w:szCs w:val="20"/>
            <w:u w:val="single" w:color="auto"/>
            <w:color w:val="0000EE"/>
          </w:rPr>
          <w:t>AKKR STRATEGIC CAPITAL LP</w:t>
        </w:r>
      </w:hyperlink>
    </w:p>
    <w:p>
      <w:pPr>
        <w:spacing w:after="0" w:line="301" w:lineRule="exact"/>
        <w:rPr>
          <w:sz w:val="20"/>
          <w:szCs w:val="20"/>
          <w:color w:val="auto"/>
        </w:rPr>
      </w:pPr>
    </w:p>
    <w:tbl>
      <w:tblPr>
        <w:tblLayout w:type="fixed"/>
        <w:tblInd w:w="4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360" w:type="dxa"/>
            <w:vAlign w:val="bottom"/>
          </w:tcPr>
          <w:p>
            <w:pPr>
              <w:ind w:left="10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C/O ACCEL-KKR</w:t>
            </w:r>
          </w:p>
        </w:tc>
        <w:tc>
          <w:tcPr>
            <w:tcW w:w="13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15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8"/>
        </w:trPr>
        <w:tc>
          <w:tcPr>
            <w:tcW w:w="13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360" w:type="dxa"/>
            <w:vAlign w:val="bottom"/>
          </w:tcPr>
          <w:p>
            <w:pPr>
              <w:ind w:left="10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 w:right="20" w:hanging="4"/>
        <w:spacing w:after="0" w:line="27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Class B Common Stock is convertible at any time, at the holder's election and automatically in connection with certain transfers and upon certain other events, into an equal number of shares of Class A Common Stock and has no expiration date.</w:t>
      </w:r>
    </w:p>
    <w:p>
      <w:pPr>
        <w:spacing w:after="0" w:line="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In-kind pro rata distribution from the Reporting Person to its partners, without consideration.</w:t>
      </w:r>
    </w:p>
    <w:p>
      <w:pPr>
        <w:spacing w:after="0" w:line="47" w:lineRule="exact"/>
        <w:rPr>
          <w:rFonts w:ascii="Times New Roman" w:cs="Times New Roman" w:eastAsia="Times New Roman" w:hAnsi="Times New Roman"/>
          <w:sz w:val="12"/>
          <w:szCs w:val="12"/>
          <w:color w:val="008000"/>
        </w:rPr>
      </w:pPr>
    </w:p>
    <w:p>
      <w:pPr>
        <w:jc w:val="both"/>
        <w:ind w:left="4" w:right="80" w:hanging="4"/>
        <w:spacing w:after="0" w:line="25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Accel-KKR Holdings GP, LLC ,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 Capital Partners II, LP, or GC II; (v) (v) Accel-KKR Members Fund, LLC, or Members Fund; (vi) AKKR Strategic Capital LP, or SC; and (vii) AKKR SC GPI HoldCo LP, or SC GPI.</w:t>
      </w:r>
    </w:p>
    <w:p>
      <w:pPr>
        <w:spacing w:after="0" w:line="16" w:lineRule="exact"/>
        <w:rPr>
          <w:rFonts w:ascii="Times New Roman" w:cs="Times New Roman" w:eastAsia="Times New Roman" w:hAnsi="Times New Roman"/>
          <w:sz w:val="12"/>
          <w:szCs w:val="12"/>
          <w:color w:val="008000"/>
        </w:rPr>
      </w:pPr>
    </w:p>
    <w:p>
      <w:pPr>
        <w:ind w:left="4" w:hanging="4"/>
        <w:spacing w:after="0" w:line="248"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AKKR Fund III Management Company CV, LP, or CV III GP, is the sole general partner of CV III. AKKR Growth Capital Management Company III, LP, or GC III GP, is the sole general partner of GC III.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w:t>
      </w:r>
    </w:p>
    <w:p>
      <w:pPr>
        <w:spacing w:after="0" w:line="21" w:lineRule="exact"/>
        <w:rPr>
          <w:rFonts w:ascii="Times New Roman" w:cs="Times New Roman" w:eastAsia="Times New Roman" w:hAnsi="Times New Roman"/>
          <w:sz w:val="12"/>
          <w:szCs w:val="12"/>
          <w:color w:val="008000"/>
        </w:rPr>
      </w:pPr>
    </w:p>
    <w:p>
      <w:pPr>
        <w:ind w:left="4" w:right="280" w:hanging="4"/>
        <w:spacing w:after="0" w:line="25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Mr. Palumbo and Mr. Barnds have separately filed Form 4s reporting their interests.</w:t>
      </w:r>
    </w:p>
    <w:p>
      <w:pPr>
        <w:spacing w:after="0" w:line="16" w:lineRule="exact"/>
        <w:rPr>
          <w:rFonts w:ascii="Times New Roman" w:cs="Times New Roman" w:eastAsia="Times New Roman" w:hAnsi="Times New Roman"/>
          <w:sz w:val="12"/>
          <w:szCs w:val="12"/>
          <w:color w:val="008000"/>
        </w:rPr>
      </w:pPr>
    </w:p>
    <w:p>
      <w:pPr>
        <w:ind w:left="4" w:right="300" w:hanging="4"/>
        <w:spacing w:after="0" w:line="27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303,450 shares received from certain of the other reporting persons in the distribution described in footnote 2. Such shares were previously reported as indirectly owned through the entities effecting such distributions.</w:t>
      </w:r>
    </w:p>
    <w:p>
      <w:pPr>
        <w:spacing w:after="0" w:line="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59,077 shares received from certain of the other reporting persons described in footnote 2. Such shares were previously reported as indirectly owned through the entities effecting such distributions.</w:t>
      </w:r>
    </w:p>
    <w:p>
      <w:pPr>
        <w:sectPr>
          <w:pgSz w:w="11900" w:h="16838" w:orient="portrait"/>
          <w:cols w:equalWidth="0" w:num="1">
            <w:col w:w="10884"/>
          </w:cols>
          <w:pgMar w:left="496" w:top="151" w:right="519" w:bottom="1440" w:gutter="0" w:footer="0" w:header="0"/>
        </w:sectPr>
      </w:pPr>
    </w:p>
    <w:p>
      <w:pPr>
        <w:spacing w:after="0" w:line="7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Accel-KKR Holdings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985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9857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 Thomas C. Barnds,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404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404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343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83439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Accel-KKR Capital Partners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22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III, LP, /s/ Thomas C. Barnds,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3296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56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5631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Accel-KKR Growth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1430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Partners III, LP, /s/ Thomas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388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Barnds, as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013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3790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79095"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Accel-KKR Growth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1430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5"/>
          <w:szCs w:val="15"/>
          <w:color w:val="0000FF"/>
        </w:rPr>
        <w:t>Partners II Strategic Fund,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550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Thomas C. Barnds,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185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0185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343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83439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Accel-KKR Growth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1430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Partners II, LP, /s/ Thomas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052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052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Barnds, as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013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3790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79095"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AKKR Members Fund,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985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9857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Thomas C. Barnds,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185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185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343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83439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AKKR Strategic Capital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6174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Thomas C. Barnds,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185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0185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343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83439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AKKR SC GPI HoldCo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420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Thomas C. Barnds,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185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0185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343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8343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8704" w:space="60"/>
            <w:col w:w="2120"/>
          </w:cols>
          <w:pgMar w:left="496" w:top="151" w:right="519" w:bottom="1440" w:gutter="0" w:footer="0" w:header="0"/>
          <w:type w:val="continuous"/>
        </w:sectPr>
      </w:pPr>
    </w:p>
    <w:p>
      <w:pPr>
        <w:ind w:left="6564"/>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760" w:hanging="4"/>
        <w:spacing w:after="0" w:line="32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4"/>
      </w:cols>
      <w:pgMar w:left="496" w:top="15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13" Type="http://schemas.openxmlformats.org/officeDocument/2006/relationships/hyperlink" Target="http://www.sec.gov/cgi-bin/browse-edgar?action=getcompany&amp;CIK=0001863465" TargetMode="External"/><Relationship Id="rId14" Type="http://schemas.openxmlformats.org/officeDocument/2006/relationships/hyperlink" Target="http://www.sec.gov/cgi-bin/browse-edgar?action=getcompany&amp;CIK=0001841156" TargetMode="External"/><Relationship Id="rId17" Type="http://schemas.openxmlformats.org/officeDocument/2006/relationships/hyperlink" Target="http://www.sec.gov/cgi-bin/browse-edgar?action=getcompany&amp;CIK=0001781975" TargetMode="External"/><Relationship Id="rId18" Type="http://schemas.openxmlformats.org/officeDocument/2006/relationships/hyperlink" Target="http://www.sec.gov/cgi-bin/browse-edgar?action=getcompany&amp;CIK=0001747133" TargetMode="External"/><Relationship Id="rId19" Type="http://schemas.openxmlformats.org/officeDocument/2006/relationships/hyperlink" Target="http://www.sec.gov/cgi-bin/browse-edgar?action=getcompany&amp;CIK=0001602533" TargetMode="External"/><Relationship Id="rId20" Type="http://schemas.openxmlformats.org/officeDocument/2006/relationships/hyperlink" Target="http://www.sec.gov/cgi-bin/browse-edgar?action=getcompany&amp;CIK=0001602532" TargetMode="External"/><Relationship Id="rId21" Type="http://schemas.openxmlformats.org/officeDocument/2006/relationships/hyperlink" Target="http://www.sec.gov/cgi-bin/browse-edgar?action=getcompany&amp;CIK=0001863461" TargetMode="External"/><Relationship Id="rId22" Type="http://schemas.openxmlformats.org/officeDocument/2006/relationships/hyperlink" Target="http://www.sec.gov/cgi-bin/browse-edgar?action=getcompany&amp;CIK=0002047091" TargetMode="External"/><Relationship Id="rId25" Type="http://schemas.openxmlformats.org/officeDocument/2006/relationships/hyperlink" Target="http://www.sec.gov/cgi-bin/browse-edgar?action=getcompany&amp;CIK=00020325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2025-11-19T17:42:26Z</dcterms:created>
  <dcterms:modified xsi:type="dcterms:W3CDTF">2025-11-19T17:42:26Z</dcterms:modified>
</cp:coreProperties>
</file>