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July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Paymentus Holdings, Inc.</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226060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3680" w:type="dxa"/>
            <w:vAlign w:val="bottom"/>
          </w:tcPr>
          <w:p>
            <w:pPr>
              <w:jc w:val="center"/>
              <w:ind w:right="322"/>
              <w:spacing w:after="0"/>
              <w:rPr>
                <w:sz w:val="20"/>
                <w:szCs w:val="20"/>
                <w:color w:val="auto"/>
              </w:rPr>
            </w:pPr>
            <w:r>
              <w:rPr>
                <w:rFonts w:ascii="Arial" w:cs="Arial" w:eastAsia="Arial" w:hAnsi="Arial"/>
                <w:sz w:val="18"/>
                <w:szCs w:val="18"/>
                <w:b w:val="1"/>
                <w:bCs w:val="1"/>
                <w:color w:val="auto"/>
              </w:rPr>
              <w:t>Delaware</w:t>
            </w:r>
          </w:p>
        </w:tc>
        <w:tc>
          <w:tcPr>
            <w:tcW w:w="3060" w:type="dxa"/>
            <w:vAlign w:val="bottom"/>
          </w:tcPr>
          <w:p>
            <w:pPr>
              <w:jc w:val="right"/>
              <w:ind w:right="1284"/>
              <w:spacing w:after="0"/>
              <w:rPr>
                <w:sz w:val="20"/>
                <w:szCs w:val="20"/>
                <w:color w:val="auto"/>
              </w:rPr>
            </w:pPr>
            <w:r>
              <w:rPr>
                <w:rFonts w:ascii="Arial" w:cs="Arial" w:eastAsia="Arial" w:hAnsi="Arial"/>
                <w:sz w:val="18"/>
                <w:szCs w:val="18"/>
                <w:b w:val="1"/>
                <w:bCs w:val="1"/>
                <w:color w:val="auto"/>
              </w:rPr>
              <w:t>001-40429</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45-3188251</w:t>
            </w:r>
          </w:p>
        </w:tc>
      </w:tr>
      <w:tr>
        <w:trPr>
          <w:trHeight w:val="135"/>
        </w:trPr>
        <w:tc>
          <w:tcPr>
            <w:tcW w:w="3680" w:type="dxa"/>
            <w:vAlign w:val="bottom"/>
          </w:tcPr>
          <w:p>
            <w:pPr>
              <w:jc w:val="center"/>
              <w:ind w:right="322"/>
              <w:spacing w:after="0" w:line="135" w:lineRule="exact"/>
              <w:rPr>
                <w:sz w:val="20"/>
                <w:szCs w:val="20"/>
                <w:color w:val="auto"/>
              </w:rPr>
            </w:pPr>
            <w:r>
              <w:rPr>
                <w:rFonts w:ascii="Arial" w:cs="Arial" w:eastAsia="Arial" w:hAnsi="Arial"/>
                <w:sz w:val="13"/>
                <w:szCs w:val="13"/>
                <w:b w:val="1"/>
                <w:bCs w:val="1"/>
                <w:color w:val="auto"/>
                <w:w w:val="97"/>
              </w:rPr>
              <w:t>(State or Other Jurisdiction</w:t>
            </w:r>
          </w:p>
        </w:tc>
        <w:tc>
          <w:tcPr>
            <w:tcW w:w="3060" w:type="dxa"/>
            <w:vAlign w:val="bottom"/>
          </w:tcPr>
          <w:p>
            <w:pPr>
              <w:jc w:val="center"/>
              <w:ind w:right="444"/>
              <w:spacing w:after="0" w:line="135" w:lineRule="exact"/>
              <w:rPr>
                <w:sz w:val="20"/>
                <w:szCs w:val="20"/>
                <w:color w:val="auto"/>
              </w:rPr>
            </w:pPr>
            <w:r>
              <w:rPr>
                <w:rFonts w:ascii="Arial" w:cs="Arial" w:eastAsia="Arial" w:hAnsi="Arial"/>
                <w:sz w:val="13"/>
                <w:szCs w:val="13"/>
                <w:b w:val="1"/>
                <w:bCs w:val="1"/>
                <w:color w:val="auto"/>
                <w:w w:val="97"/>
              </w:rPr>
              <w:t>(Commission File Number)</w:t>
            </w:r>
          </w:p>
        </w:tc>
        <w:tc>
          <w:tcPr>
            <w:tcW w:w="2060" w:type="dxa"/>
            <w:vAlign w:val="bottom"/>
          </w:tcPr>
          <w:p>
            <w:pPr>
              <w:jc w:val="center"/>
              <w:ind w:left="886"/>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3680" w:type="dxa"/>
            <w:vAlign w:val="bottom"/>
          </w:tcPr>
          <w:p>
            <w:pPr>
              <w:jc w:val="center"/>
              <w:ind w:right="322"/>
              <w:spacing w:after="0"/>
              <w:rPr>
                <w:sz w:val="20"/>
                <w:szCs w:val="20"/>
                <w:color w:val="auto"/>
              </w:rPr>
            </w:pPr>
            <w:r>
              <w:rPr>
                <w:rFonts w:ascii="Arial" w:cs="Arial" w:eastAsia="Arial" w:hAnsi="Arial"/>
                <w:sz w:val="13"/>
                <w:szCs w:val="13"/>
                <w:b w:val="1"/>
                <w:bCs w:val="1"/>
                <w:color w:val="auto"/>
                <w:w w:val="96"/>
              </w:rPr>
              <w:t>of Incorporation)</w:t>
            </w:r>
          </w:p>
        </w:tc>
        <w:tc>
          <w:tcPr>
            <w:tcW w:w="3060" w:type="dxa"/>
            <w:vAlign w:val="bottom"/>
          </w:tcPr>
          <w:p>
            <w:pPr>
              <w:spacing w:after="0"/>
              <w:rPr>
                <w:sz w:val="14"/>
                <w:szCs w:val="14"/>
                <w:color w:val="auto"/>
              </w:rPr>
            </w:pPr>
          </w:p>
        </w:tc>
        <w:tc>
          <w:tcPr>
            <w:tcW w:w="2060" w:type="dxa"/>
            <w:vAlign w:val="bottom"/>
          </w:tcPr>
          <w:p>
            <w:pPr>
              <w:jc w:val="center"/>
              <w:ind w:left="906"/>
              <w:spacing w:after="0"/>
              <w:rPr>
                <w:sz w:val="20"/>
                <w:szCs w:val="20"/>
                <w:color w:val="auto"/>
              </w:rPr>
            </w:pPr>
            <w:r>
              <w:rPr>
                <w:rFonts w:ascii="Arial" w:cs="Arial" w:eastAsia="Arial" w:hAnsi="Arial"/>
                <w:sz w:val="13"/>
                <w:szCs w:val="13"/>
                <w:b w:val="1"/>
                <w:bCs w:val="1"/>
                <w:color w:val="auto"/>
                <w:w w:val="98"/>
              </w:rPr>
              <w:t>Identification No.)</w:t>
            </w:r>
          </w:p>
        </w:tc>
      </w:tr>
      <w:tr>
        <w:trPr>
          <w:trHeight w:val="367"/>
        </w:trPr>
        <w:tc>
          <w:tcPr>
            <w:tcW w:w="3680" w:type="dxa"/>
            <w:vAlign w:val="bottom"/>
          </w:tcPr>
          <w:p>
            <w:pPr>
              <w:jc w:val="center"/>
              <w:ind w:right="382"/>
              <w:spacing w:after="0"/>
              <w:rPr>
                <w:sz w:val="20"/>
                <w:szCs w:val="20"/>
                <w:color w:val="auto"/>
              </w:rPr>
            </w:pPr>
            <w:r>
              <w:rPr>
                <w:rFonts w:ascii="Arial" w:cs="Arial" w:eastAsia="Arial" w:hAnsi="Arial"/>
                <w:sz w:val="18"/>
                <w:szCs w:val="18"/>
                <w:b w:val="1"/>
                <w:bCs w:val="1"/>
                <w:color w:val="auto"/>
                <w:w w:val="99"/>
              </w:rPr>
              <w:t>11605 North Community House Road,</w:t>
            </w:r>
          </w:p>
        </w:tc>
        <w:tc>
          <w:tcPr>
            <w:tcW w:w="30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3680" w:type="dxa"/>
            <w:vAlign w:val="bottom"/>
          </w:tcPr>
          <w:p>
            <w:pPr>
              <w:jc w:val="center"/>
              <w:ind w:right="322"/>
              <w:spacing w:after="0" w:line="202" w:lineRule="exact"/>
              <w:rPr>
                <w:sz w:val="20"/>
                <w:szCs w:val="20"/>
                <w:color w:val="auto"/>
              </w:rPr>
            </w:pPr>
            <w:r>
              <w:rPr>
                <w:rFonts w:ascii="Arial" w:cs="Arial" w:eastAsia="Arial" w:hAnsi="Arial"/>
                <w:sz w:val="18"/>
                <w:szCs w:val="18"/>
                <w:b w:val="1"/>
                <w:bCs w:val="1"/>
                <w:color w:val="auto"/>
              </w:rPr>
              <w:t>Suite 300</w:t>
            </w:r>
          </w:p>
        </w:tc>
        <w:tc>
          <w:tcPr>
            <w:tcW w:w="30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3680" w:type="dxa"/>
            <w:vAlign w:val="bottom"/>
          </w:tcPr>
          <w:p>
            <w:pPr>
              <w:jc w:val="center"/>
              <w:ind w:right="342"/>
              <w:spacing w:after="0" w:line="203" w:lineRule="exact"/>
              <w:rPr>
                <w:sz w:val="20"/>
                <w:szCs w:val="20"/>
                <w:color w:val="auto"/>
              </w:rPr>
            </w:pPr>
            <w:r>
              <w:rPr>
                <w:rFonts w:ascii="Arial" w:cs="Arial" w:eastAsia="Arial" w:hAnsi="Arial"/>
                <w:sz w:val="18"/>
                <w:szCs w:val="18"/>
                <w:b w:val="1"/>
                <w:bCs w:val="1"/>
                <w:color w:val="auto"/>
                <w:w w:val="99"/>
              </w:rPr>
              <w:t>Charlotte, North Carolina</w:t>
            </w:r>
          </w:p>
        </w:tc>
        <w:tc>
          <w:tcPr>
            <w:tcW w:w="3060" w:type="dxa"/>
            <w:vAlign w:val="bottom"/>
          </w:tcPr>
          <w:p>
            <w:pPr>
              <w:spacing w:after="0"/>
              <w:rPr>
                <w:sz w:val="17"/>
                <w:szCs w:val="17"/>
                <w:color w:val="auto"/>
              </w:rPr>
            </w:pPr>
          </w:p>
        </w:tc>
        <w:tc>
          <w:tcPr>
            <w:tcW w:w="2060" w:type="dxa"/>
            <w:vAlign w:val="bottom"/>
          </w:tcPr>
          <w:p>
            <w:pPr>
              <w:jc w:val="right"/>
              <w:ind w:right="226"/>
              <w:spacing w:after="0" w:line="203" w:lineRule="exact"/>
              <w:rPr>
                <w:sz w:val="20"/>
                <w:szCs w:val="20"/>
                <w:color w:val="auto"/>
              </w:rPr>
            </w:pPr>
            <w:r>
              <w:rPr>
                <w:rFonts w:ascii="Arial" w:cs="Arial" w:eastAsia="Arial" w:hAnsi="Arial"/>
                <w:sz w:val="18"/>
                <w:szCs w:val="18"/>
                <w:b w:val="1"/>
                <w:bCs w:val="1"/>
                <w:color w:val="auto"/>
              </w:rPr>
              <w:t>28277</w:t>
            </w:r>
          </w:p>
        </w:tc>
      </w:tr>
      <w:tr>
        <w:trPr>
          <w:trHeight w:val="172"/>
        </w:trPr>
        <w:tc>
          <w:tcPr>
            <w:tcW w:w="3680" w:type="dxa"/>
            <w:vAlign w:val="bottom"/>
          </w:tcPr>
          <w:p>
            <w:pPr>
              <w:jc w:val="center"/>
              <w:ind w:right="322"/>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3060" w:type="dxa"/>
            <w:vAlign w:val="bottom"/>
          </w:tcPr>
          <w:p>
            <w:pPr>
              <w:spacing w:after="0"/>
              <w:rPr>
                <w:sz w:val="14"/>
                <w:szCs w:val="14"/>
                <w:color w:val="auto"/>
              </w:rPr>
            </w:pPr>
          </w:p>
        </w:tc>
        <w:tc>
          <w:tcPr>
            <w:tcW w:w="2060" w:type="dxa"/>
            <w:vAlign w:val="bottom"/>
          </w:tcPr>
          <w:p>
            <w:pPr>
              <w:jc w:val="center"/>
              <w:ind w:left="886"/>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(888) 440-4826</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234315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900" w:hanging="359"/>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900" w:hanging="359"/>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900" w:hanging="359"/>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900" w:hanging="359"/>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Symbol(s)</w:t>
            </w:r>
          </w:p>
        </w:tc>
        <w:tc>
          <w:tcPr>
            <w:tcW w:w="120" w:type="dxa"/>
            <w:vAlign w:val="bottom"/>
          </w:tcPr>
          <w:p>
            <w:pPr>
              <w:spacing w:after="0"/>
              <w:rPr>
                <w:sz w:val="19"/>
                <w:szCs w:val="19"/>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184"/>
        </w:trPr>
        <w:tc>
          <w:tcPr>
            <w:tcW w:w="4280" w:type="dxa"/>
            <w:vAlign w:val="bottom"/>
          </w:tcPr>
          <w:p>
            <w:pPr>
              <w:jc w:val="center"/>
              <w:spacing w:after="0"/>
              <w:rPr>
                <w:sz w:val="20"/>
                <w:szCs w:val="20"/>
                <w:color w:val="auto"/>
              </w:rPr>
            </w:pPr>
            <w:r>
              <w:rPr>
                <w:rFonts w:ascii="Arial" w:cs="Arial" w:eastAsia="Arial" w:hAnsi="Arial"/>
                <w:sz w:val="14"/>
                <w:szCs w:val="14"/>
                <w:color w:val="auto"/>
              </w:rPr>
              <w:t>Class A Common Stock, par value $0.0001 per share</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PAY</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69" w:lineRule="exact"/>
        <w:rPr>
          <w:sz w:val="24"/>
          <w:szCs w:val="24"/>
          <w:color w:val="auto"/>
        </w:rPr>
      </w:pPr>
    </w:p>
    <w:p>
      <w:pPr>
        <w:ind w:right="8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8"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800"/>
        <w:spacing w:after="0" w:line="28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3" w:lineRule="exact"/>
        <w:rPr>
          <w:sz w:val="20"/>
          <w:szCs w:val="20"/>
          <w:color w:val="auto"/>
        </w:rPr>
      </w:pPr>
    </w:p>
    <w:p>
      <w:pPr>
        <w:ind w:right="40" w:firstLine="636"/>
        <w:spacing w:after="0" w:line="239" w:lineRule="auto"/>
        <w:rPr>
          <w:sz w:val="20"/>
          <w:szCs w:val="20"/>
          <w:color w:val="auto"/>
        </w:rPr>
      </w:pPr>
      <w:r>
        <w:rPr>
          <w:rFonts w:ascii="Arial" w:cs="Arial" w:eastAsia="Arial" w:hAnsi="Arial"/>
          <w:sz w:val="18"/>
          <w:szCs w:val="18"/>
          <w:color w:val="auto"/>
        </w:rPr>
        <w:t>On July 2, 2025, the Board of Directors (the “Board”) of Paymentus Holdings, Inc. (the “Company”), based upon the recommendation of the Compensation Committee of the Board (the “Committee”), approved the grant of time-based restricted stock units (“RSUs”) under the Company’s 2021 Equity Incentive Plan (the “Plan”) to Dushyant Sharma, the Company’s President and Chief Executive Officer. The Committee determined to grant the RSU award to Mr. Sharma after consultation with Compensia, the Committee’s independent compensation consultant, the Committee’s review of the market and CEO equity compensation at Company peers and discussions with Mr. Sharma. The Committee granted the award to Mr. Sharma in recognition of his significant past dedication to and achievements with the Company, in order to address the fact that Mr. Sharma currently has no RSUs, to provide additional retention incentives to Mr. Sharma, to better align Mr. Sharma’s equity compensation with peers and the market and to further align his financial interests with those of the Company’s stockholders. Mr. Sharma has never received an equity award under the Plan, which was adopted in connection with the Company’s 2021 initial public offering.</w:t>
      </w:r>
    </w:p>
    <w:p>
      <w:pPr>
        <w:spacing w:after="0" w:line="19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Mr. Sharma will receive 1,100,000 RSUs. Each RSU represents the right to receive one share of the Company’s Class A common stock upon vesting. The RSUs were granted on July 2, 2025. The RSU grant will vest over four years, with one sixteenth of the RSUs vesting on each quarterly vesting date beginning on August 15, 2025, subject to Mr. Sharma’s continuation as a service provider to the Company through the vesting date. Quarterly vesting dates with respect to any calendar year are February 15, May 15, August 15 and November 15. The unvested portion of Mr. Sharma’s RSU grant will vest immediately (i) in the event of Mr. Sharma’s death or disability, (ii) upon a termination of Mr. Sharma’s employment with the Company other than for cause, (iii) upon Mr. Sharma’s termination of employment with the Company for good reason, or (iv) at any time Mr. Sharma is no longer serving as an employee or consultant to the Company, in the event Mr. Sharma is asked to resign from the Board prior to the end of his then current term or is not nominated to serve as a director by the Board or the Nominating and Corporate Governance Committee of the Board at the expiration of his them current term, in either case other than for cause. Mr. Sharma’s RSU award was granted pursuant to, and in accordance with, the terms of the Plan and the form of Restricted Stock Unit Award Agreement adopted by the Compensation Committee (the “RSU Agreement”). This summary description does not purport to be complete and is qualified entirely by reference to the full text of the RSU Agreement, which is attached hereto as Exhibit 10.1 and is incorporated herein by reference.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10.1+</w:t>
            </w:r>
          </w:p>
        </w:tc>
        <w:tc>
          <w:tcPr>
            <w:tcW w:w="8020" w:type="dxa"/>
            <w:vAlign w:val="bottom"/>
          </w:tcPr>
          <w:p>
            <w:pPr>
              <w:spacing w:after="0"/>
              <w:rPr>
                <w:sz w:val="20"/>
                <w:szCs w:val="20"/>
                <w:color w:val="auto"/>
              </w:rPr>
            </w:pPr>
            <w:r>
              <w:rPr>
                <w:rFonts w:ascii="Arial" w:cs="Arial" w:eastAsia="Arial" w:hAnsi="Arial"/>
                <w:sz w:val="18"/>
                <w:szCs w:val="18"/>
                <w:color w:val="0000FF"/>
                <w:w w:val="99"/>
              </w:rPr>
              <w:t>Form of Restricted Stock Unit Agreement under the 2021 Equity Incentive Plan for Dushyant Sharma</w:t>
            </w:r>
          </w:p>
        </w:tc>
      </w:tr>
      <w:tr>
        <w:trPr>
          <w:trHeight w:val="20"/>
        </w:trPr>
        <w:tc>
          <w:tcPr>
            <w:tcW w:w="1760" w:type="dxa"/>
            <w:vAlign w:val="bottom"/>
            <w:tcBorders>
              <w:right w:val="single" w:sz="8" w:color="0000EE"/>
            </w:tcBorders>
          </w:tcPr>
          <w:p>
            <w:pPr>
              <w:spacing w:after="0" w:line="20" w:lineRule="exact"/>
              <w:rPr>
                <w:sz w:val="1"/>
                <w:szCs w:val="1"/>
                <w:color w:val="auto"/>
              </w:rPr>
            </w:pPr>
          </w:p>
        </w:tc>
        <w:tc>
          <w:tcPr>
            <w:tcW w:w="8020" w:type="dxa"/>
            <w:vAlign w:val="bottom"/>
            <w:shd w:val="clear" w:color="auto" w:fill="0000FF"/>
          </w:tcPr>
          <w:p>
            <w:pPr>
              <w:spacing w:after="0" w:line="20" w:lineRule="exact"/>
              <w:rPr>
                <w:sz w:val="1"/>
                <w:szCs w:val="1"/>
                <w:color w:val="auto"/>
              </w:rPr>
            </w:pPr>
          </w:p>
        </w:tc>
      </w:tr>
      <w:tr>
        <w:trPr>
          <w:trHeight w:val="443"/>
        </w:trPr>
        <w:tc>
          <w:tcPr>
            <w:tcW w:w="1760" w:type="dxa"/>
            <w:vAlign w:val="bottom"/>
          </w:tcPr>
          <w:p>
            <w:pPr>
              <w:spacing w:after="0"/>
              <w:rPr>
                <w:sz w:val="20"/>
                <w:szCs w:val="20"/>
                <w:color w:val="auto"/>
              </w:rPr>
            </w:pPr>
            <w:r>
              <w:rPr>
                <w:rFonts w:ascii="Arial" w:cs="Arial" w:eastAsia="Arial" w:hAnsi="Arial"/>
                <w:sz w:val="18"/>
                <w:szCs w:val="18"/>
                <w:color w:val="auto"/>
              </w:rPr>
              <w:t>104</w:t>
            </w:r>
          </w:p>
        </w:tc>
        <w:tc>
          <w:tcPr>
            <w:tcW w:w="802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16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98"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b w:val="1"/>
          <w:bCs w:val="1"/>
          <w:color w:val="auto"/>
        </w:rPr>
        <w:t>SIGNATURES</w:t>
      </w:r>
    </w:p>
    <w:p>
      <w:pPr>
        <w:spacing w:after="0" w:line="279" w:lineRule="exact"/>
        <w:rPr>
          <w:rFonts w:ascii="Arial" w:cs="Arial" w:eastAsia="Arial" w:hAnsi="Arial"/>
          <w:sz w:val="18"/>
          <w:szCs w:val="18"/>
          <w:color w:val="auto"/>
        </w:rPr>
      </w:pPr>
    </w:p>
    <w:p>
      <w:pPr>
        <w:ind w:left="6080"/>
        <w:spacing w:after="0"/>
        <w:rPr>
          <w:rFonts w:ascii="Arial" w:cs="Arial" w:eastAsia="Arial" w:hAnsi="Arial"/>
          <w:sz w:val="18"/>
          <w:szCs w:val="18"/>
          <w:color w:val="auto"/>
        </w:rPr>
      </w:pPr>
      <w:r>
        <w:rPr>
          <w:rFonts w:ascii="Arial" w:cs="Arial" w:eastAsia="Arial" w:hAnsi="Arial"/>
          <w:sz w:val="18"/>
          <w:szCs w:val="18"/>
          <w:b w:val="1"/>
          <w:bCs w:val="1"/>
          <w:color w:val="auto"/>
        </w:rPr>
        <w:t>PAYMENTUS HOLDINGS, INC.</w:t>
      </w:r>
    </w:p>
    <w:p>
      <w:pPr>
        <w:spacing w:after="0" w:line="347"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Arial" w:cs="Arial" w:eastAsia="Arial" w:hAnsi="Arial"/>
          <w:sz w:val="18"/>
          <w:szCs w:val="18"/>
          <w:color w:val="auto"/>
        </w:rPr>
        <w:t>Date:</w:t>
        <w:tab/>
        <w:t>July 2,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Sanjay Kalra</w:t>
      </w:r>
    </w:p>
    <w:p>
      <w:pPr>
        <w:spacing w:after="0" w:line="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1245235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 w:name="page3"/>
    <w:bookmarkEnd w:id="2"/>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PAYMENTUS HOLDINGS,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RESTRICTED STOCK UNIT GRANT</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Unless otherwise defined herein, the terms defined in the Paymentus Holdings, Inc. 2021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will have the same defined meanings in this Restricted Stock Unit Agreement, which includes the Notice of Restricted Stock Unit Grant (the “</w:t>
      </w:r>
      <w:r>
        <w:rPr>
          <w:rFonts w:ascii="Times New Roman" w:cs="Times New Roman" w:eastAsia="Times New Roman" w:hAnsi="Times New Roman"/>
          <w:sz w:val="22"/>
          <w:szCs w:val="22"/>
          <w:b w:val="1"/>
          <w:bCs w:val="1"/>
          <w:color w:val="auto"/>
        </w:rPr>
        <w:t>Notice of Grant</w:t>
      </w:r>
      <w:r>
        <w:rPr>
          <w:rFonts w:ascii="Times New Roman" w:cs="Times New Roman" w:eastAsia="Times New Roman" w:hAnsi="Times New Roman"/>
          <w:sz w:val="22"/>
          <w:szCs w:val="22"/>
          <w:color w:val="auto"/>
        </w:rPr>
        <w:t xml:space="preserve">”), the Terms and Conditions of Restricted Stock Unit Grant, attached hereto as </w:t>
      </w:r>
      <w:r>
        <w:rPr>
          <w:rFonts w:ascii="Times New Roman" w:cs="Times New Roman" w:eastAsia="Times New Roman" w:hAnsi="Times New Roman"/>
          <w:sz w:val="22"/>
          <w:szCs w:val="22"/>
          <w:b w:val="1"/>
          <w:bCs w:val="1"/>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and all other exhibits, appendices, and addenda attached hereto (including any additional terms and conditions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country set forth in Appendix 1 to the Terms and Conditions of Restricted Stock Unit Grant (the “</w:t>
      </w:r>
      <w:r>
        <w:rPr>
          <w:rFonts w:ascii="Times New Roman" w:cs="Times New Roman" w:eastAsia="Times New Roman" w:hAnsi="Times New Roman"/>
          <w:sz w:val="22"/>
          <w:szCs w:val="22"/>
          <w:b w:val="1"/>
          <w:bCs w:val="1"/>
          <w:color w:val="auto"/>
        </w:rPr>
        <w:t>Country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Addendum</w:t>
      </w:r>
      <w:r>
        <w:rPr>
          <w:rFonts w:ascii="Times New Roman" w:cs="Times New Roman" w:eastAsia="Times New Roman" w:hAnsi="Times New Roman"/>
          <w:sz w:val="22"/>
          <w:szCs w:val="22"/>
          <w:color w:val="auto"/>
        </w:rPr>
        <w:t>”) and restrictive covenants set forth in Appendix 2 to the Terms and Conditions of Restricted Stock Unit Grant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Restrictive Covenants Addendum</w:t>
      </w:r>
      <w:r>
        <w:rPr>
          <w:rFonts w:ascii="Times New Roman" w:cs="Times New Roman" w:eastAsia="Times New Roman" w:hAnsi="Times New Roman"/>
          <w:sz w:val="22"/>
          <w:szCs w:val="22"/>
          <w:color w:val="auto"/>
        </w:rPr>
        <w:t>”)) (together, the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undersigned Participant has been granted an Award of Restricted Stock Units, subject to the terms and conditions of the Plan and this Award Agreement, as follows:</w:t>
      </w:r>
    </w:p>
    <w:p>
      <w:pPr>
        <w:sectPr>
          <w:pgSz w:w="11900" w:h="16838" w:orient="portrait"/>
          <w:cols w:equalWidth="0" w:num="1">
            <w:col w:w="11240"/>
          </w:cols>
          <w:pgMar w:left="320" w:top="1440" w:right="339" w:bottom="1440" w:gutter="0" w:footer="0" w:header="0"/>
        </w:sectPr>
      </w:pP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Grant Number: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200" w:lineRule="exact"/>
        <w:rPr>
          <w:sz w:val="20"/>
          <w:szCs w:val="20"/>
          <w:color w:val="auto"/>
        </w:rPr>
      </w:pPr>
    </w:p>
    <w:p>
      <w:pPr>
        <w:sectPr>
          <w:pgSz w:w="11900" w:h="16838" w:orient="portrait"/>
          <w:cols w:equalWidth="0" w:num="2">
            <w:col w:w="3060" w:space="720"/>
            <w:col w:w="7460"/>
          </w:cols>
          <w:pgMar w:left="320" w:top="1440" w:right="339" w:bottom="1440" w:gutter="0" w:footer="0" w:header="0"/>
          <w:type w:val="continuous"/>
        </w:sectPr>
      </w:pP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200" w:lineRule="exact"/>
        <w:rPr>
          <w:sz w:val="20"/>
          <w:szCs w:val="20"/>
          <w:color w:val="auto"/>
        </w:rPr>
      </w:pPr>
    </w:p>
    <w:p>
      <w:pPr>
        <w:sectPr>
          <w:pgSz w:w="11900" w:h="16838" w:orient="portrait"/>
          <w:cols w:equalWidth="0" w:num="2">
            <w:col w:w="3060" w:space="720"/>
            <w:col w:w="7460"/>
          </w:cols>
          <w:pgMar w:left="320" w:top="1440" w:right="339" w:bottom="1440" w:gutter="0" w:footer="0" w:header="0"/>
          <w:type w:val="continuous"/>
        </w:sectPr>
      </w:pP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Total 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200" w:lineRule="exact"/>
        <w:rPr>
          <w:sz w:val="20"/>
          <w:szCs w:val="20"/>
          <w:color w:val="auto"/>
        </w:rPr>
      </w:pPr>
    </w:p>
    <w:p>
      <w:pPr>
        <w:sectPr>
          <w:pgSz w:w="11900" w:h="16838" w:orient="portrait"/>
          <w:cols w:equalWidth="0" w:num="2">
            <w:col w:w="4260" w:space="380"/>
            <w:col w:w="6600"/>
          </w:cols>
          <w:pgMar w:left="320" w:top="1440" w:right="3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For purposes of this Award Agreement, “</w:t>
      </w:r>
      <w:r>
        <w:rPr>
          <w:rFonts w:ascii="Times New Roman" w:cs="Times New Roman" w:eastAsia="Times New Roman" w:hAnsi="Times New Roman"/>
          <w:sz w:val="22"/>
          <w:szCs w:val="22"/>
          <w:b w:val="1"/>
          <w:bCs w:val="1"/>
          <w:color w:val="auto"/>
        </w:rPr>
        <w:t>Quarterly Vesting Dates</w:t>
      </w:r>
      <w:r>
        <w:rPr>
          <w:rFonts w:ascii="Times New Roman" w:cs="Times New Roman" w:eastAsia="Times New Roman" w:hAnsi="Times New Roman"/>
          <w:sz w:val="22"/>
          <w:szCs w:val="22"/>
          <w:color w:val="auto"/>
        </w:rPr>
        <w:t>” with respect to any calendar year means February 15, May 15, August 15, and November 15.</w:t>
      </w:r>
    </w:p>
    <w:p>
      <w:pPr>
        <w:spacing w:after="0" w:line="15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this Award Agreement or any other written agreement authorized by the Administrator between Participant and the Company (or any Parent or Subsidiary of the Company, as applicable) governing the terms of this Award, The Restricted Stock Units will be scheduled to vest according to the following vesting schedule:</w:t>
      </w:r>
    </w:p>
    <w:p>
      <w:pPr>
        <w:spacing w:after="0" w:line="38"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color w:val="auto"/>
        </w:rPr>
        <w:t>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sixteenth (1/16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of the Total Number of Restricted Stock Units subject to this Award Agreement will vest on each of the sixteen (16) Quarterly Vesting Dates that occurs after the Grant Date, subject to Participant continuing to be a Service Provider through the applicable vesting date.</w:t>
      </w:r>
    </w:p>
    <w:p>
      <w:pPr>
        <w:spacing w:after="0" w:line="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By Participant’s signature or by Participant’s acceptance of the Award Agreement via the Company’s designated electronic acceptance procedures and the signature of the representative of the Company below, Participant and the Company agree that this Award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is granted under and governed by the terms and conditions of the Plan and this Award Agreement, including the Terms and Conditions of Restricted Stock Unit Grant, attached hereto as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 and all other exhibits, appendices and addenda attached hereto (including any Country Addendum and Restrictive Covenants Addendum),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PAYMENTUS HOLDINGS, INC.</w:t>
      </w:r>
    </w:p>
    <w:p>
      <w:pPr>
        <w:spacing w:after="0" w:line="200" w:lineRule="exact"/>
        <w:rPr>
          <w:sz w:val="20"/>
          <w:szCs w:val="20"/>
          <w:color w:val="auto"/>
        </w:rPr>
      </w:pPr>
    </w:p>
    <w:p>
      <w:pPr>
        <w:sectPr>
          <w:pgSz w:w="11900" w:h="16838" w:orient="portrait"/>
          <w:cols w:equalWidth="0" w:num="2">
            <w:col w:w="2740" w:space="720"/>
            <w:col w:w="7780"/>
          </w:cols>
          <w:pgMar w:left="320" w:top="1440"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w:t>
      </w:r>
    </w:p>
    <w:p>
      <w:pPr>
        <w:spacing w:after="0" w:line="42" w:lineRule="exact"/>
        <w:rPr>
          <w:sz w:val="20"/>
          <w:szCs w:val="20"/>
          <w:color w:val="auto"/>
        </w:rPr>
      </w:pPr>
    </w:p>
    <w:p>
      <w:pPr>
        <w:sectPr>
          <w:pgSz w:w="11900" w:h="16838" w:orient="portrait"/>
          <w:cols w:equalWidth="0" w:num="2">
            <w:col w:w="3900" w:space="420"/>
            <w:col w:w="692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ectPr>
          <w:pgSz w:w="11900" w:h="16838" w:orient="portrait"/>
          <w:cols w:equalWidth="0" w:num="2">
            <w:col w:w="1800" w:space="720"/>
            <w:col w:w="8720"/>
          </w:cols>
          <w:pgMar w:left="320" w:top="1440"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w:t>
      </w:r>
    </w:p>
    <w:p>
      <w:pPr>
        <w:spacing w:after="0" w:line="42" w:lineRule="exact"/>
        <w:rPr>
          <w:sz w:val="20"/>
          <w:szCs w:val="20"/>
          <w:color w:val="auto"/>
        </w:rPr>
      </w:pPr>
    </w:p>
    <w:p>
      <w:pPr>
        <w:sectPr>
          <w:pgSz w:w="11900" w:h="16838" w:orient="portrait"/>
          <w:cols w:equalWidth="0" w:num="2">
            <w:col w:w="3900" w:space="420"/>
            <w:col w:w="692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ectPr>
          <w:pgSz w:w="11900" w:h="16838" w:orient="portrait"/>
          <w:cols w:equalWidth="0" w:num="2">
            <w:col w:w="2160" w:space="720"/>
            <w:col w:w="8360"/>
          </w:cols>
          <w:pgMar w:left="320" w:top="1440" w:right="339" w:bottom="1440" w:gutter="0" w:footer="0" w:header="0"/>
          <w:type w:val="continuous"/>
        </w:sectPr>
      </w:pPr>
    </w:p>
    <w:p>
      <w:pPr>
        <w:spacing w:after="0" w:line="1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w:t>
      </w:r>
    </w:p>
    <w:p>
      <w:pPr>
        <w:spacing w:after="0" w:line="3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Residence Address: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PAYMENTUS HOLDINGS,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RESTRICTED STOCK UNIT GRANT</w:t>
      </w:r>
    </w:p>
    <w:p>
      <w:pPr>
        <w:spacing w:after="0" w:line="206" w:lineRule="exact"/>
        <w:rPr>
          <w:sz w:val="20"/>
          <w:szCs w:val="20"/>
          <w:color w:val="auto"/>
        </w:rPr>
      </w:pPr>
    </w:p>
    <w:p>
      <w:pPr>
        <w:jc w:val="both"/>
        <w:ind w:firstLine="757"/>
        <w:spacing w:after="0" w:line="237" w:lineRule="auto"/>
        <w:tabs>
          <w:tab w:leader="none" w:pos="10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 of Restricted Stock Units</w:t>
      </w:r>
      <w:r>
        <w:rPr>
          <w:rFonts w:ascii="Times New Roman" w:cs="Times New Roman" w:eastAsia="Times New Roman" w:hAnsi="Times New Roman"/>
          <w:sz w:val="22"/>
          <w:szCs w:val="22"/>
          <w:color w:val="auto"/>
        </w:rPr>
        <w:t>. Paymentus Holdings,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grants to the individual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named in the Notice of Restricted Stock Unit Grant of this Award Agreement (the “</w:t>
      </w:r>
      <w:r>
        <w:rPr>
          <w:rFonts w:ascii="Times New Roman" w:cs="Times New Roman" w:eastAsia="Times New Roman" w:hAnsi="Times New Roman"/>
          <w:sz w:val="22"/>
          <w:szCs w:val="22"/>
          <w:b w:val="1"/>
          <w:bCs w:val="1"/>
          <w:color w:val="auto"/>
        </w:rPr>
        <w:t>Notice of Grant</w:t>
      </w:r>
      <w:r>
        <w:rPr>
          <w:rFonts w:ascii="Times New Roman" w:cs="Times New Roman" w:eastAsia="Times New Roman" w:hAnsi="Times New Roman"/>
          <w:sz w:val="22"/>
          <w:szCs w:val="22"/>
          <w:color w:val="auto"/>
        </w:rPr>
        <w:t>”) under the Plan, on behalf of the Company and any Parent or Subsidiary by which Participant is employed, an Award of Restricted Stock Units,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spacing w:after="0" w:line="175"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Obligation to Pay</w:t>
      </w:r>
      <w:r>
        <w:rPr>
          <w:rFonts w:ascii="Times New Roman" w:cs="Times New Roman" w:eastAsia="Times New Roman" w:hAnsi="Times New Roman"/>
          <w:sz w:val="22"/>
          <w:szCs w:val="22"/>
          <w:color w:val="auto"/>
        </w:rPr>
        <w:t>. Each Restricted Stock Unit represents the right to receive a share of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Class A common stock (a “</w:t>
      </w:r>
      <w:r>
        <w:rPr>
          <w:rFonts w:ascii="Times New Roman" w:cs="Times New Roman" w:eastAsia="Times New Roman" w:hAnsi="Times New Roman"/>
          <w:sz w:val="22"/>
          <w:szCs w:val="22"/>
          <w:b w:val="1"/>
          <w:bCs w:val="1"/>
          <w:color w:val="auto"/>
        </w:rPr>
        <w:t>Share</w:t>
      </w:r>
      <w:r>
        <w:rPr>
          <w:rFonts w:ascii="Times New Roman" w:cs="Times New Roman" w:eastAsia="Times New Roman" w:hAnsi="Times New Roman"/>
          <w:sz w:val="22"/>
          <w:szCs w:val="22"/>
          <w:color w:val="auto"/>
        </w:rPr>
        <w:t>”)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6"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 Except as provided in Section 4, and subject to Section 5, the Restricted Stock Units awarded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75"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 after 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52" w:lineRule="auto"/>
        <w:tabs>
          <w:tab w:leader="none" w:pos="2036"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General Rule</w:t>
      </w:r>
      <w:r>
        <w:rPr>
          <w:rFonts w:ascii="Times New Roman" w:cs="Times New Roman" w:eastAsia="Times New Roman" w:hAnsi="Times New Roman"/>
          <w:sz w:val="21"/>
          <w:szCs w:val="21"/>
          <w:color w:val="auto"/>
        </w:rPr>
        <w:t>. Subject to Section 7, any Restricted Stock Units that vest will be paid to Participant (or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event of Participant’s death, to his or her properly and validly designated beneficiary or estate) in whole Shares. Subject to the provisions of Section 4(f),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63" w:lineRule="exact"/>
        <w:rPr>
          <w:rFonts w:ascii="Times New Roman" w:cs="Times New Roman" w:eastAsia="Times New Roman" w:hAnsi="Times New Roman"/>
          <w:sz w:val="21"/>
          <w:szCs w:val="21"/>
          <w:color w:val="auto"/>
        </w:rPr>
      </w:pPr>
    </w:p>
    <w:p>
      <w:pPr>
        <w:ind w:firstLine="1505"/>
        <w:spacing w:after="0" w:line="262" w:lineRule="auto"/>
        <w:tabs>
          <w:tab w:leader="none" w:pos="203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Discretionary Acceleration</w:t>
      </w:r>
      <w:r>
        <w:rPr>
          <w:rFonts w:ascii="Times New Roman" w:cs="Times New Roman" w:eastAsia="Times New Roman" w:hAnsi="Times New Roman"/>
          <w:sz w:val="22"/>
          <w:szCs w:val="22"/>
          <w:color w:val="auto"/>
        </w:rPr>
        <w:t>. The Administrator, in its discretion, may accelerate the vesting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balance, or some lesser portion of the balance, of the unvested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Stock Units at any time, subject to the terms of the Plan. If so accelerated, such Restricted Stock Units will be considered as having vested as of the date specified by the Administrator.</w:t>
      </w:r>
    </w:p>
    <w:p>
      <w:pPr>
        <w:spacing w:after="0" w:line="154" w:lineRule="exact"/>
        <w:rPr>
          <w:sz w:val="20"/>
          <w:szCs w:val="20"/>
          <w:color w:val="auto"/>
        </w:rPr>
      </w:pPr>
    </w:p>
    <w:p>
      <w:pPr>
        <w:jc w:val="both"/>
        <w:ind w:firstLine="1505"/>
        <w:spacing w:after="0" w:line="246" w:lineRule="auto"/>
        <w:tabs>
          <w:tab w:leader="none" w:pos="203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Acceleration Upon Death or Disability</w:t>
      </w:r>
      <w:r>
        <w:rPr>
          <w:rFonts w:ascii="Times New Roman" w:cs="Times New Roman" w:eastAsia="Times New Roman" w:hAnsi="Times New Roman"/>
          <w:sz w:val="22"/>
          <w:szCs w:val="22"/>
          <w:color w:val="auto"/>
        </w:rPr>
        <w:t>. If the Participant ceases to be a Service Provider by reason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Participant’s death or disability, the then-unvested Restricted Stock Units shall become immediately vested. The term “disability” shall mean total and permanent disability as defined in Section 22(e)(3) of the Internal Revenue Code.</w:t>
      </w:r>
    </w:p>
    <w:p>
      <w:pPr>
        <w:spacing w:after="0" w:line="167" w:lineRule="exact"/>
        <w:rPr>
          <w:rFonts w:ascii="Times New Roman" w:cs="Times New Roman" w:eastAsia="Times New Roman" w:hAnsi="Times New Roman"/>
          <w:sz w:val="22"/>
          <w:szCs w:val="22"/>
          <w:color w:val="auto"/>
        </w:rPr>
      </w:pPr>
    </w:p>
    <w:p>
      <w:pPr>
        <w:jc w:val="both"/>
        <w:ind w:firstLine="1505"/>
        <w:spacing w:after="0" w:line="242" w:lineRule="auto"/>
        <w:tabs>
          <w:tab w:leader="none" w:pos="2036"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Acceleration Upon Termination</w:t>
      </w:r>
      <w:r>
        <w:rPr>
          <w:rFonts w:ascii="Times New Roman" w:cs="Times New Roman" w:eastAsia="Times New Roman" w:hAnsi="Times New Roman"/>
          <w:sz w:val="21"/>
          <w:szCs w:val="21"/>
          <w:color w:val="auto"/>
        </w:rPr>
        <w:t>. If Participant’s status as a Service Provider is terminated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without Cause or by Participant for Good Reason, the then-unvested Restricted Stock Units shall become immediately vested.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mean the occurrence of one or more of the following: (i) the commission by Participant of a criminal offence (A) involving moral turpitude or (B) involving dishonesty, theft or fraud with respect to the Company or any of its affiliates or any of their customers, suppliers, licensors, licensees, employees or other business relation, which has had or the Company’s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reasonably believes could have a material negative effect upon the Company or any of its affiliates, (ii) substantial and repeated failure to perform duties as reasonably directed by the Board, (iii) gross negligence or willful misconduct with respect to the Company or any of its affiliates or any of their customers, suppliers, licensors, licensees, employees or other business relation, (iv) breach of fiduciary duty with respect to the Company or any of its affiliates or any of their customers, suppliers, licensors, licensees, employees or other business relation, which has had or the Board reasonably believes could have a material negative effect upon the Company or any of its affiliates, (v) repeated conduct causing the Company or any of its affiliates substantial public disgrace or disrepute or substantial economic harm, (vi) any act or omission aiding or abetting a competitor, supplier or customer of the Company or any of its affiliates to the material disadvantage or detriment of the Company and its affiliates, (vii) a material failure to observe the Company’s policies or standards regarding employment practices (including, without limitation, nondiscrimination and sexual harassment policies) as in effect from time to time, and/or (viii) a failure by Participant to cooperate in good faith with a governmental or internal investigation of the Company or its directors, officers or employees if the Company or Board has requested Participant’s cooperation, provided that Participant’s failure to waive attorney-client privilege relating to communications with Participant’s own attorney in connection with an investigation will not constitute “Cause”; provided, however, that the events described in the foregoing clauses (ii), (vi) and (vii) shall not constitute Cause unless the Company shall have notified Participant in writing describing, in reasonable detail, the events which constitute Cause and, to the extent practicable, the conduct required to cure such Cause (if such Cause if capable of being cured) and then only if Participant shall have failed to cure such events within 30 days after Participant’s receipt of such written notice.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shall mean means Participant’s termination of Participant’s employment with the Company within ninety (90) days following the expiration of the Company’s Cure Period (as defined below) following the occurrence of any of the following without Participant’s written consent: (i) a material reduction in Participant’s base salary as in effect immediately prior to such reduction (in other words, a reduction of at least ten percent (10%)), provided that an across-the-board reduction in the salary level of all other similarly situated employees by the same percentage amount as part of a general salary level reduction will not constitute such a reduction under this clause; (ii) a relocation by the Company (or subsidiary, parent, affiliate or successor thereto, as applicable) of Participant’s principal work location to a principal work location more than thirty-five (35) miles from Participant’s then present location; (iii) the failure of the Company to obtain assumption of this Agreement by any successor of the Company in a Change in Control (as defined in Section 2.6 of the Plan); or (iv) a</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material breach by the Company of this Agreement or any other written agreement between Participant and the Company, relating to any material terms of Participant’s employment with the Company. In order for an event to qualify as Good Reason, Participant must not terminate employment with the Company without first providing the Company with written notice of the acts or omissions constituting the grounds for “Good Reason” within ninety (90) days following the initial existence of the grounds for “Good Reason” and a cure period of thirty (30) days following the date of such notice (the “</w:t>
      </w:r>
      <w:r>
        <w:rPr>
          <w:rFonts w:ascii="Times New Roman" w:cs="Times New Roman" w:eastAsia="Times New Roman" w:hAnsi="Times New Roman"/>
          <w:sz w:val="22"/>
          <w:szCs w:val="22"/>
          <w:b w:val="1"/>
          <w:bCs w:val="1"/>
          <w:color w:val="auto"/>
        </w:rPr>
        <w:t>Cure Period</w:t>
      </w:r>
      <w:r>
        <w:rPr>
          <w:rFonts w:ascii="Times New Roman" w:cs="Times New Roman" w:eastAsia="Times New Roman" w:hAnsi="Times New Roman"/>
          <w:sz w:val="22"/>
          <w:szCs w:val="22"/>
          <w:color w:val="auto"/>
        </w:rPr>
        <w:t>”). To the extent Participant’s principal work location is not the Company’s corporate offices or facilities due to a shelter-in-place order, quarantine order, or similar work-from-home requirement that applies to Participant, Participant’s principal work location, from which a change in location under the foregoing clause (ii) will be measured, will be considered the Company’s office or facility location where Participant’s employment with the Company primarily was based immediately prior to the commencement of such shelter-in-place order, quarantine order, or similar work-from-home requirement. For the avoidance of doubt, in the event of a Change in Control, the term “Company” shall include any successor entity to the Company or its affiliates (including Paymentus Holdings, Inc.).</w:t>
      </w:r>
    </w:p>
    <w:p>
      <w:pPr>
        <w:spacing w:after="0" w:line="181" w:lineRule="exact"/>
        <w:rPr>
          <w:sz w:val="20"/>
          <w:szCs w:val="20"/>
          <w:color w:val="auto"/>
        </w:rPr>
      </w:pPr>
    </w:p>
    <w:p>
      <w:pPr>
        <w:jc w:val="both"/>
        <w:ind w:firstLine="1505"/>
        <w:spacing w:after="0" w:line="237" w:lineRule="auto"/>
        <w:tabs>
          <w:tab w:leader="none" w:pos="203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Termination of Service Provider as a Director. </w:t>
      </w:r>
      <w:r>
        <w:rPr>
          <w:rFonts w:ascii="Times New Roman" w:cs="Times New Roman" w:eastAsia="Times New Roman" w:hAnsi="Times New Roman"/>
          <w:sz w:val="22"/>
          <w:szCs w:val="22"/>
          <w:color w:val="auto"/>
        </w:rPr>
        <w:t>At any time that the Participant is not serving 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or consultant to the Company, if (i) the Board asks the Participant to resign from the Board prior to the end of his then current term or (ii) the Nominating and Corporate Governance Committee of the Board (the “NCGC”) elects not to nominate the Participant for reelection to the Board at the end of his then current term, the then-unvested Restricted Stock Units shall become immediately vested; provided that this acceleration provision shall not apply in the event that the Board or NCGC bases its decision on an action or inaction that would qualify as a termination for Cause under Section 4(d).</w:t>
      </w:r>
    </w:p>
    <w:p>
      <w:pPr>
        <w:spacing w:after="0" w:line="17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is a U.S. taxpayer, the payment of Shares vesting pursuant to this Award Agreement (including any acceleration under Section 4)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80" w:lineRule="exact"/>
        <w:rPr>
          <w:rFonts w:ascii="Times New Roman" w:cs="Times New Roman" w:eastAsia="Times New Roman" w:hAnsi="Times New Roman"/>
          <w:sz w:val="22"/>
          <w:szCs w:val="22"/>
          <w:color w:val="auto"/>
        </w:rPr>
      </w:pPr>
    </w:p>
    <w:p>
      <w:pPr>
        <w:jc w:val="both"/>
        <w:ind w:firstLine="2254"/>
        <w:spacing w:after="0" w:line="246" w:lineRule="auto"/>
        <w:tabs>
          <w:tab w:leader="none" w:pos="2546"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to the extent necessary to comply with Section 409A,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Provider, in which case, the Restricted Stock Units will be paid in Shares to Participant’s estate as soon as practicable following his or her death.</w:t>
      </w:r>
    </w:p>
    <w:p>
      <w:pPr>
        <w:spacing w:after="0" w:line="158"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(iii)It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75" w:lineRule="exact"/>
        <w:rPr>
          <w:sz w:val="20"/>
          <w:szCs w:val="20"/>
          <w:color w:val="auto"/>
        </w:rPr>
      </w:pPr>
    </w:p>
    <w:p>
      <w:pPr>
        <w:jc w:val="both"/>
        <w:ind w:firstLine="757"/>
        <w:spacing w:after="0" w:line="238" w:lineRule="auto"/>
        <w:tabs>
          <w:tab w:leader="none" w:pos="1018"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Forfeiture Upon Termination as a Service Provider</w:t>
      </w:r>
      <w:r>
        <w:rPr>
          <w:rFonts w:ascii="Times New Roman" w:cs="Times New Roman" w:eastAsia="Times New Roman" w:hAnsi="Times New Roman"/>
          <w:sz w:val="22"/>
          <w:szCs w:val="22"/>
          <w:color w:val="auto"/>
        </w:rPr>
        <w:t>. Unless specifically provided otherwise in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other written agreement authorized by the Administrator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is then deceased, will be made to Participant’s designated beneficiary: provided, however, that the Administrator has permitted the designation and such designation is valid under Applicable Laws. If no beneficiary survives Participant, or if the designation was not permitted by the Administrator or not valid under Applicable Laws, distribution or delivery shall be made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5"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Obligations</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2"/>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Responsibility for Taxes</w:t>
      </w:r>
      <w:r>
        <w:rPr>
          <w:rFonts w:ascii="Times New Roman" w:cs="Times New Roman" w:eastAsia="Times New Roman" w:hAnsi="Times New Roman"/>
          <w:sz w:val="21"/>
          <w:szCs w:val="21"/>
          <w:color w:val="auto"/>
        </w:rPr>
        <w:t>. Participant acknowledges that, regardless of any action taken by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if different, Participant’s employer or any Parent or Subsidiary of the Company to which Participant is providing services (together, the “</w:t>
      </w:r>
      <w:r>
        <w:rPr>
          <w:rFonts w:ascii="Times New Roman" w:cs="Times New Roman" w:eastAsia="Times New Roman" w:hAnsi="Times New Roman"/>
          <w:sz w:val="21"/>
          <w:szCs w:val="21"/>
          <w:b w:val="1"/>
          <w:bCs w:val="1"/>
          <w:color w:val="auto"/>
        </w:rPr>
        <w:t>Service Recipients</w:t>
      </w:r>
      <w:r>
        <w:rPr>
          <w:rFonts w:ascii="Times New Roman" w:cs="Times New Roman" w:eastAsia="Times New Roman" w:hAnsi="Times New Roman"/>
          <w:sz w:val="21"/>
          <w:szCs w:val="21"/>
          <w:color w:val="auto"/>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tax-related items related to Participant’s participation in the Plan and legally applicable or deemed legally applicable to Participant, (ii) Participant’s and, to the extent required by any Service Recipient, the Service Recipient’s fringe benefit tax liability, if any, associated with the grant, vesting, or settlement of the Restricted Stock Units or sale of Shares, and</w:t>
      </w:r>
    </w:p>
    <w:p>
      <w:pPr>
        <w:spacing w:after="0" w:line="7"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Service Recipient taxes the responsibility for which Participant has, or has agreed to bear, with respect to the Restricted Stock Units (or settlement thereof or issuance of Shares thereunder) (collectively, the “</w:t>
      </w:r>
      <w:r>
        <w:rPr>
          <w:rFonts w:ascii="Times New Roman" w:cs="Times New Roman" w:eastAsia="Times New Roman" w:hAnsi="Times New Roman"/>
          <w:sz w:val="22"/>
          <w:szCs w:val="22"/>
          <w:b w:val="1"/>
          <w:bCs w:val="1"/>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Participant acknowledges that the applicable Service Recipient(s) (or former service recipient(s), as applicable) may be required to withhold or account for Withholding Obligations (as defined below) in more than one jurisdiction.</w:t>
      </w:r>
    </w:p>
    <w:p>
      <w:pPr>
        <w:spacing w:after="0" w:line="183" w:lineRule="exact"/>
        <w:rPr>
          <w:sz w:val="20"/>
          <w:szCs w:val="20"/>
          <w:color w:val="auto"/>
        </w:rPr>
      </w:pPr>
    </w:p>
    <w:p>
      <w:pPr>
        <w:jc w:val="both"/>
        <w:ind w:firstLine="1505"/>
        <w:spacing w:after="0" w:line="232" w:lineRule="auto"/>
        <w:tabs>
          <w:tab w:leader="none" w:pos="203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 Pursuant to such procedures as the Administrator may specify from time to time,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Service Recipient(s) will withhold the amount required to be withheld for the payment of Tax Obligations (the “</w:t>
      </w:r>
      <w:r>
        <w:rPr>
          <w:rFonts w:ascii="Times New Roman" w:cs="Times New Roman" w:eastAsia="Times New Roman" w:hAnsi="Times New Roman"/>
          <w:sz w:val="22"/>
          <w:szCs w:val="22"/>
          <w:b w:val="1"/>
          <w:bCs w:val="1"/>
          <w:color w:val="auto"/>
        </w:rPr>
        <w:t>Withholding Obligations</w:t>
      </w:r>
      <w:r>
        <w:rPr>
          <w:rFonts w:ascii="Times New Roman" w:cs="Times New Roman" w:eastAsia="Times New Roman" w:hAnsi="Times New Roman"/>
          <w:sz w:val="22"/>
          <w:szCs w:val="22"/>
          <w:color w:val="auto"/>
        </w:rPr>
        <w:t>”). The Administrator, in its sole discretion and pursuant to such procedures as it may specify from time to time, may permit Participant to satisfy such Withholding Obligations, in whole or in part (without limitation), if permissible by Applicable Laws, by: (i) 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2"/>
          <w:szCs w:val="22"/>
          <w:b w:val="1"/>
          <w:bCs w:val="1"/>
          <w:color w:val="auto"/>
        </w:rPr>
        <w:t>Net Share Withholding</w:t>
      </w:r>
      <w:r>
        <w:rPr>
          <w:rFonts w:ascii="Times New Roman" w:cs="Times New Roman" w:eastAsia="Times New Roman" w:hAnsi="Times New Roman"/>
          <w:sz w:val="22"/>
          <w:szCs w:val="22"/>
          <w:color w:val="auto"/>
        </w:rPr>
        <w:t>”), (iii) withholding the amount of such Withholding Obligations from Participant’s wages or other cash compensation payable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2"/>
          <w:szCs w:val="22"/>
          <w:b w:val="1"/>
          <w:bCs w:val="1"/>
          <w:color w:val="auto"/>
        </w:rPr>
        <w:t>Sell to Cover</w:t>
      </w:r>
      <w:r>
        <w:rPr>
          <w:rFonts w:ascii="Times New Roman" w:cs="Times New Roman" w:eastAsia="Times New Roman" w:hAnsi="Times New Roman"/>
          <w:sz w:val="22"/>
          <w:szCs w:val="22"/>
          <w:color w:val="auto"/>
        </w:rPr>
        <w:t>”), or (vi) such other means as the Administrator deems appropriate. If the Withholding Obligations are satisfied by Net Share Withholding, for tax purposes, Participant is deemed to have been issued the full number of Shares subject to the vested Restricted Stock Units,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p>
    <w:p>
      <w:pPr>
        <w:spacing w:after="0" w:line="169" w:lineRule="exact"/>
        <w:rPr>
          <w:sz w:val="20"/>
          <w:szCs w:val="20"/>
          <w:color w:val="auto"/>
        </w:rPr>
      </w:pPr>
    </w:p>
    <w:p>
      <w:pPr>
        <w:jc w:val="both"/>
        <w:ind w:firstLine="1505"/>
        <w:spacing w:after="0" w:line="237" w:lineRule="auto"/>
        <w:tabs>
          <w:tab w:leader="none" w:pos="2036"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Consequences</w:t>
      </w:r>
      <w:r>
        <w:rPr>
          <w:rFonts w:ascii="Times New Roman" w:cs="Times New Roman" w:eastAsia="Times New Roman" w:hAnsi="Times New Roman"/>
          <w:sz w:val="22"/>
          <w:szCs w:val="22"/>
          <w:color w:val="auto"/>
        </w:rPr>
        <w:t>. Participant has reviewed with his or her own tax advisers the U.S. federal,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75"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Obligation to Deliver Shares</w:t>
      </w:r>
      <w:r>
        <w:rPr>
          <w:rFonts w:ascii="Times New Roman" w:cs="Times New Roman" w:eastAsia="Times New Roman" w:hAnsi="Times New Roman"/>
          <w:sz w:val="22"/>
          <w:szCs w:val="22"/>
          <w:color w:val="auto"/>
        </w:rPr>
        <w:t>. For clarification purposes, in no event will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Restricted Stock Units otherwise are scheduled to vest pursuant to Sections 3 or 4 or Participant’s Withholding Obligations otherwise become due, Participant permanently will forfeit such Restricted Stock Units to which Participant’s Withholding Obligation relates and any right to receive Shares thereunder and such Restricted Stock Units will be returned to the Company at no cost to the Company. Participant acknowledges and agrees that the Company may permanently refuse to issue or deliver the Shares if such Withholding Obligations are not satisfied at the time they are due.</w:t>
      </w:r>
    </w:p>
    <w:p>
      <w:pPr>
        <w:spacing w:after="0" w:line="173" w:lineRule="exact"/>
        <w:rPr>
          <w:rFonts w:ascii="Times New Roman" w:cs="Times New Roman" w:eastAsia="Times New Roman" w:hAnsi="Times New Roman"/>
          <w:sz w:val="22"/>
          <w:szCs w:val="22"/>
          <w:color w:val="auto"/>
        </w:rPr>
      </w:pPr>
    </w:p>
    <w:p>
      <w:pPr>
        <w:jc w:val="both"/>
        <w:ind w:firstLine="757"/>
        <w:spacing w:after="0" w:line="237" w:lineRule="auto"/>
        <w:tabs>
          <w:tab w:leader="none" w:pos="10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75" w:lineRule="exact"/>
        <w:rPr>
          <w:rFonts w:ascii="Times New Roman" w:cs="Times New Roman" w:eastAsia="Times New Roman" w:hAnsi="Times New Roman"/>
          <w:sz w:val="22"/>
          <w:szCs w:val="22"/>
          <w:color w:val="auto"/>
        </w:rPr>
      </w:pPr>
    </w:p>
    <w:p>
      <w:pPr>
        <w:jc w:val="both"/>
        <w:ind w:firstLine="757"/>
        <w:spacing w:after="0" w:line="245" w:lineRule="auto"/>
        <w:tabs>
          <w:tab w:leader="none" w:pos="101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Guarantee of Continued Service</w:t>
      </w:r>
      <w:r>
        <w:rPr>
          <w:rFonts w:ascii="Times New Roman" w:cs="Times New Roman" w:eastAsia="Times New Roman" w:hAnsi="Times New Roman"/>
          <w:sz w:val="21"/>
          <w:szCs w:val="21"/>
          <w:color w:val="auto"/>
        </w:rPr>
        <w:t>. PARTICIPANT ACKNOWLEDGES AND AGREES THAT THE VESTING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SHALL NOT BE INTERPRETED AS FORMING OR AMENDING AN EMPLOYMENT OR SERVICE CONTRACT, DO NOT CONSTITUTE AN EXPRESS OR IMPLIED PROMISE OF CONTINUED ENGAGEMENT AS A SERVICE PROVIDER FOR THE VESTING PERIOD, FOR ANY PERIOD, OR AT ALL, AND SHALL NOT INTERFERE IN ANY WAY WITH PARTICIPANT’S RIGHT OR THE RIGHT OF ANY SERVICE RECIPIENT TO TERMINATE PARTICIPANT’S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RELATIONSHIP AS A SERVICE PROVIDER, SUBJECT TO APPLICABLE LAW, WHICH TERMINATION, UNLESS PROVIDED OTHERWISE UNDER APPLICABLE LAW, MAY BE AT ANY TIME, WITH OR WITHOUT CAUSE.</w:t>
      </w:r>
    </w:p>
    <w:p>
      <w:pPr>
        <w:spacing w:after="0" w:line="15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color w:val="auto"/>
        </w:rPr>
        <w:t>Grant is Not Transferable</w:t>
      </w:r>
      <w:r>
        <w:rPr>
          <w:rFonts w:ascii="Times New Roman" w:cs="Times New Roman" w:eastAsia="Times New Roman" w:hAnsi="Times New Roman"/>
          <w:sz w:val="22"/>
          <w:szCs w:val="22"/>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color w:val="auto"/>
        </w:rPr>
        <w:t>Nature of Grant</w:t>
      </w:r>
      <w:r>
        <w:rPr>
          <w:rFonts w:ascii="Times New Roman" w:cs="Times New Roman" w:eastAsia="Times New Roman" w:hAnsi="Times New Roman"/>
          <w:sz w:val="22"/>
          <w:szCs w:val="22"/>
          <w:color w:val="auto"/>
        </w:rPr>
        <w:t>. In accepting this Award of Restricted Stock Units, Participant acknowledges, understands and agrees that:</w:t>
      </w:r>
    </w:p>
    <w:p>
      <w:pPr>
        <w:spacing w:after="0" w:line="154" w:lineRule="exact"/>
        <w:rPr>
          <w:sz w:val="20"/>
          <w:szCs w:val="20"/>
          <w:color w:val="auto"/>
        </w:rPr>
      </w:pPr>
    </w:p>
    <w:p>
      <w:pPr>
        <w:jc w:val="both"/>
        <w:ind w:firstLine="1505"/>
        <w:spacing w:after="0" w:line="244" w:lineRule="auto"/>
        <w:tabs>
          <w:tab w:leader="none" w:pos="20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Administrator;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from and value of same, are not intended to replace any pension rights or compensation;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from and value of same, are not part of normal or expected compensation for purposes of, including, but not limited to, calculating any severance, resignation, termination, redundancy, dismissal, end-of-service payments, bonuses, holiday pay, long-service awards, pension or retirement or welfare benefits or similar payments;</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any Subsidiary or Parent of the Company;</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Restricted Stock Units is unknown, indeterminable, and cannot be predicted with certainty;</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Applicable Laws).</w:t>
      </w:r>
    </w:p>
    <w:p>
      <w:pPr>
        <w:spacing w:after="0" w:line="178" w:lineRule="exact"/>
        <w:rPr>
          <w:sz w:val="20"/>
          <w:szCs w:val="20"/>
          <w:color w:val="auto"/>
        </w:rPr>
      </w:pPr>
    </w:p>
    <w:p>
      <w:pPr>
        <w:jc w:val="both"/>
        <w:ind w:firstLine="1505"/>
        <w:spacing w:after="0" w:line="239" w:lineRule="auto"/>
        <w:tabs>
          <w:tab w:leader="none" w:pos="203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06"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from and value of same, are not part of normal or expected compensation or salary for any purpose;</w:t>
      </w:r>
    </w:p>
    <w:p>
      <w:pPr>
        <w:spacing w:after="0" w:line="158"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80"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(iii)no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 In consideration of this grant of Restricted Stock Units, Participant agrees to the restrictive covenants set forth in Appendix 2 to this Award Agreement, the terms of which are incorporated by reference.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advisers regarding his or her participation in the Plan before taking any action related to the Plan.</w:t>
      </w:r>
    </w:p>
    <w:p>
      <w:pPr>
        <w:spacing w:after="0" w:line="17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i w:val="1"/>
          <w:iCs w:val="1"/>
          <w:color w:val="auto"/>
        </w:rPr>
        <w:t>Data Privacy. Participant hereby explicitly and unambiguously consents to the collection, use and transfer,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electronic or other form, of Participant’s personal data as described in this Award Agreement and any other Restricted Stock Unit grant materials by and among, as applicable, the Company and the Service Recipients for the exclusive purpose of implementing, administering and managing Participant’s participation in the Plan.</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17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will be transferred to a third-party stock plan service provider,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b w:val="1"/>
          <w:bCs w:val="1"/>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Paymentus Holdings, Inc., 11605 N. Community House Road, Suite 300, Charlotte, NC 28277, Attention: General Counsel, or at such other address as the Company may hereafter designate in writing.</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b w:val="1"/>
          <w:bCs w:val="1"/>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color w:val="auto"/>
        </w:rPr>
        <w:t>Language</w:t>
      </w:r>
      <w:r>
        <w:rPr>
          <w:rFonts w:ascii="Times New Roman" w:cs="Times New Roman" w:eastAsia="Times New Roman" w:hAnsi="Times New Roman"/>
          <w:sz w:val="22"/>
          <w:szCs w:val="22"/>
          <w:color w:val="auto"/>
        </w:rPr>
        <w:t>. Participant acknowledges that Participant is sufficiently proficient in the</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English language, or has consulted with an adviser who is sufficiently proficient in the English language, so as to allow Participant to understand the terms and conditions of this Award Agreement. If Participant has received this Award Agreement or any other document related to the Plan translated into a language other than the English language and if the meaning of the translated version is different than the English version, the English language version will control.</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b w:val="1"/>
          <w:bCs w:val="1"/>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by electronic delivery and agrees to participate in the Plan through any on-line or electronic system established and maintained by the Company or a third party designated by the Company.</w:t>
      </w:r>
    </w:p>
    <w:p>
      <w:pPr>
        <w:spacing w:after="0" w:line="154"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b w:val="1"/>
          <w:bCs w:val="1"/>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b w:val="1"/>
          <w:bCs w:val="1"/>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Notwithstanding any provisions in this Award Agreement, the Restricted Stock Unit grant shall be subject to any additional terms and conditions set forth in the Country Addendum (if any) for any country whose laws are applicable to Participant and this Award of Restricted Stock Units (as determined by the Administrator in its sole discretion). Moreover, if Participant relocates to one of the countries included in the Country Addendum, the additional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b w:val="1"/>
          <w:bCs w:val="1"/>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b w:val="1"/>
          <w:bCs w:val="1"/>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b w:val="1"/>
          <w:bCs w:val="1"/>
          <w:color w:val="auto"/>
        </w:rPr>
        <w:t>Insider Trading/Market Abuse Laws</w:t>
      </w:r>
      <w:r>
        <w:rPr>
          <w:rFonts w:ascii="Times New Roman" w:cs="Times New Roman" w:eastAsia="Times New Roman" w:hAnsi="Times New Roman"/>
          <w:sz w:val="22"/>
          <w:szCs w:val="22"/>
          <w:color w:val="auto"/>
        </w:rPr>
        <w:t>. Participant acknowledges that Participant may be subject to insider trading restrictions and/or market abuse laws based on the exchange on which the Shares are listed and in applicable jurisdictions including, but not limited to, the United States and Participant’s country of residence, which may affect Participant’s ability to acquire or sell Shares or rights to Shares (e.g., Restricted Stock Units) under the Plan during such time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“tipping” third parties or causing them otherwise to buy or sell securities. Participant should keep in mind third parties includes fellow employees. Any restrictions under these laws or regulations are separate from and in addition to any restrictions that may be imposed under any applicable insider trading policy of the Company. Participant is responsible for ensuring compliance with any applicable restrictions and should consult with his or her personal legal advisor on this matter.</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b w:val="1"/>
          <w:bCs w:val="1"/>
          <w:color w:val="auto"/>
        </w:rPr>
        <w:t>Governing Law; Venue; Severability</w:t>
      </w:r>
      <w:r>
        <w:rPr>
          <w:rFonts w:ascii="Times New Roman" w:cs="Times New Roman" w:eastAsia="Times New Roman" w:hAnsi="Times New Roman"/>
          <w:sz w:val="22"/>
          <w:szCs w:val="22"/>
          <w:color w:val="auto"/>
        </w:rPr>
        <w:t>. This Award Agreement and the Restricted Stock Units are governed by the internal substantive laws, but not the choice of law rules, of the State of Delaware. For purposes of any action, lawsuit or other proceedings brought to enforce this Award Agreement, relating to it, or arising from it, the parties hereby submit to and consent to the sole and exclusive jurisdiction of the courts of the State of Delaware, and no other courts, where this grant is made and/or to be performed. In the event that any provision hereof becomes or is declared by a court of competent jurisdiction to be illegal, unenforceable or void, this Award Agreement shall continue in full force and effect.</w:t>
      </w:r>
    </w:p>
    <w:p>
      <w:pPr>
        <w:spacing w:after="0" w:line="1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28.</w:t>
      </w: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Notwithstanding the foregoing, the restrictive covenants set forth in Appendix 2 do not supersede or in any way modify any other restrictive covenants applicable to Participant in any employment or other agreement with the Company or any Parent or Subsidiary of the Company. This Award Agreement, the Restricted Stock Units, and any Shares received hereunder shall be subject to any compensation recoupment or similar policy adopted by the Company from time to time as required by law or any rules of the New York Stock Exchange or other stock exchange.</w:t>
      </w:r>
    </w:p>
    <w:p>
      <w:pPr>
        <w:spacing w:after="0" w:line="178"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color w:val="auto"/>
        </w:rPr>
        <w:t>APPENDIX 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PAYMENTUS HOLDINGS,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 TO RESTRICTED STOCK UNIT AGREEMENT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Restricted Stock Unit Agreement (the “</w:t>
      </w: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will be ascribed the same defined meanings as set forth in the Restricted Stock Unit Agreement of which this Country Addendum forms a part (or the Plan or other written agreement as specified in the Restricted Stock Unit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the Award of Restricted Stock Units granted to Participant under the Plan to the extent Participant resides and/or works in one of the countries listed below. If Participant is a citizen or resident (or is considered as such for local law purposes) of a country other than the country in which Participant is currently residing and/or working, or if Participant transfers employment and/or residency to another country after the Award of Restricted Stock Units is granted, the Company, in its discretion, will determine to what extent the terms and conditions contained herein will apply to Participant.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This Country Addendum also includes information regarding securities laws, exchange controls and certain other issues of which Participant should be aware with respect to Participant’s participation in the Plan. The information is provided solely for Participant’s convenience and is based on the securities, exchange control and other Applicable Laws in effect in the respective countries as of </w:t>
      </w:r>
      <w:r>
        <w:rPr>
          <w:rFonts w:ascii="Times New Roman" w:cs="Times New Roman" w:eastAsia="Times New Roman" w:hAnsi="Times New Roman"/>
          <w:sz w:val="22"/>
          <w:szCs w:val="22"/>
          <w:b w:val="1"/>
          <w:bCs w:val="1"/>
          <w:color w:val="auto"/>
        </w:rPr>
        <w:t>April 2021</w:t>
      </w:r>
      <w:r>
        <w:rPr>
          <w:rFonts w:ascii="Times New Roman" w:cs="Times New Roman" w:eastAsia="Times New Roman" w:hAnsi="Times New Roman"/>
          <w:sz w:val="22"/>
          <w:szCs w:val="22"/>
          <w:color w:val="auto"/>
        </w:rPr>
        <w:t>.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Finally, if Participant is a citizen or resident (or is considered as such for local law purposes) of a country other than the one in which Participant currently is residing and/or working, or if Participant transfers residence and/or employment to another country after the grant of the Restricted Stock Units, the information in this Country Addendum may not apply to Participant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1148080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 w:name="page18"/>
    <w:bookmarkEnd w:id="17"/>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Settlement of Restricted Stock Units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discretion in Section 9.4 of the Plan and without prejudice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7(b) of the Restricted Stock Unit Agreement, Restricted Stock Units will be settled in Shares only, not in cash.</w:t>
      </w:r>
    </w:p>
    <w:p>
      <w:pPr>
        <w:spacing w:after="0" w:line="15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The following provision replaces the second paragraph of Sections 5 and 11(h) of the Restricted Stock Unit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in its entirety:</w:t>
      </w:r>
    </w:p>
    <w:p>
      <w:pPr>
        <w:spacing w:after="0" w:line="154"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22"/>
          <w:szCs w:val="22"/>
          <w:color w:val="auto"/>
        </w:rPr>
        <w:t>For purposes of the Restricted Stock Units, Participant’s status as a Service Provider will be considered terminated (regardless of the reason for such termination and whether or not later found to be invalid or in breach of employment laws in the jurisdiction where Participant is a Service Provider or the terms of Participant’s employment or service agreement, if any) as of the date that is the earliest of: (i) the date of termination of Participant’s status as a Service Provider, (ii) the date on which Participant receives notice of termination of his or her status as a Service Provider, and (iii) the date on which Participant ceases to be providing services to the Company, the Service Recipient or any other Subsidiary or Parent of the Company, which date shall not be extended by any notice period or period of pay in lieu of such notice mandated under the employment laws of the jurisdiction in which Participant is providing service or the terms of Participant’s employment or other service agreement, if any. The Administrator shall have the exclusive discretion to determine when Participant no longer is actively providing services for purposes of the Award (including whether Participant may still be considered to be providing services while on a leave of absence).</w:t>
      </w:r>
    </w:p>
    <w:p>
      <w:pPr>
        <w:spacing w:after="0" w:line="18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Notwithstanding the foregoing, if applicable employment standards legislation explicitly requires continued vesting during a statutory notice period, Participant’s right to vest in the Award, if any, will terminate effective upon the expiry of the minimum statutory notice period, but Participant will not earn or be entitled to prorated vesting if the vesting date falls after the end of the statutory notice period, nor will Participant be entitled to any compensation in lieu of any such prorated vesting.</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Language</w:t>
      </w:r>
      <w:r>
        <w:rPr>
          <w:rFonts w:ascii="Times New Roman" w:cs="Times New Roman" w:eastAsia="Times New Roman" w:hAnsi="Times New Roman"/>
          <w:sz w:val="22"/>
          <w:szCs w:val="22"/>
          <w:color w:val="auto"/>
        </w:rPr>
        <w:t>. The parties acknowledge that it is Participant’s express wish that the Restricted Stock Unit Agreement, as well as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notices and legal proceedings entered into, given or instituted pursuant hereto or relating directly or indirectly hereto, be drawn up in English.</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Les parties reconnaissent que le participant souhaite expressément que le contrat d'attribution, ainsi que tous les documents, avis et procédures judiciaires conclus, donnés ou intentés en vertu des présentes ou s'y rapportant directement ou indirectement, soient rédigés en anglais.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This provision supplements Section 14 of the Restricted Stock Unit Agreement: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Participant hereby authorizes any Service Recipient, and any agents or representatives to (i) discuss with and obtain all relevant information from all personnel, professional or non-professional, involved in the administration and operation of the Plan, and (ii) disclose and discuss any and all information relevant to the Plan with their advisers. Participant further authorizes the Company and any Service Recipient and any agents or representatives to record such information and to keep such information in Participant’s file.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Securities Law Notification</w:t>
      </w:r>
      <w:r>
        <w:rPr>
          <w:rFonts w:ascii="Times New Roman" w:cs="Times New Roman" w:eastAsia="Times New Roman" w:hAnsi="Times New Roman"/>
          <w:sz w:val="22"/>
          <w:szCs w:val="22"/>
          <w:color w:val="auto"/>
        </w:rPr>
        <w:t>. Participant is permitted to sell Shares acquired under the Plan through the designated broker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appointed under the Plan, if any, provided the resale of Shares acquired under the Plan takes place outside Canada through the facilities of the exchange on which the Shares are then listed.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w:t>
      </w:r>
      <w:r>
        <w:rPr>
          <w:rFonts w:ascii="Times New Roman" w:cs="Times New Roman" w:eastAsia="Times New Roman" w:hAnsi="Times New Roman"/>
          <w:sz w:val="14"/>
          <w:szCs w:val="14"/>
          <w:b w:val="1"/>
          <w:bCs w:val="1"/>
          <w:u w:val="single" w:color="auto"/>
          <w:color w:val="auto"/>
        </w:rPr>
        <w:t>ndia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Exchange Control Notification</w:t>
      </w:r>
      <w:r>
        <w:rPr>
          <w:rFonts w:ascii="Times New Roman" w:cs="Times New Roman" w:eastAsia="Times New Roman" w:hAnsi="Times New Roman"/>
          <w:sz w:val="22"/>
          <w:szCs w:val="22"/>
          <w:color w:val="auto"/>
        </w:rPr>
        <w:t>. Participant is required to repatriate to India, or cause to be repatriated, any proceeds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 of Shares acquired under the Plan and any dividends received in relation to the Shares within such time as prescribed under applicable Indian exchange control laws as may be amended from time to time. Participant should obtain a foreign inward remittance certificate (“</w:t>
      </w:r>
      <w:r>
        <w:rPr>
          <w:rFonts w:ascii="Times New Roman" w:cs="Times New Roman" w:eastAsia="Times New Roman" w:hAnsi="Times New Roman"/>
          <w:sz w:val="22"/>
          <w:szCs w:val="22"/>
          <w:u w:val="single" w:color="auto"/>
          <w:color w:val="auto"/>
        </w:rPr>
        <w:t>FIRC</w:t>
      </w:r>
      <w:r>
        <w:rPr>
          <w:rFonts w:ascii="Times New Roman" w:cs="Times New Roman" w:eastAsia="Times New Roman" w:hAnsi="Times New Roman"/>
          <w:sz w:val="22"/>
          <w:szCs w:val="22"/>
          <w:color w:val="auto"/>
        </w:rPr>
        <w:t xml:space="preserve">”) or other similar form from the bank where Participant deposits the funds and maintain the FIRC or other form as evidence of the repatriation of funds in the event the Reserve Bank of India or Participant’s employer requests proof of repatriation. </w:t>
      </w:r>
      <w:r>
        <w:rPr>
          <w:rFonts w:ascii="Times New Roman" w:cs="Times New Roman" w:eastAsia="Times New Roman" w:hAnsi="Times New Roman"/>
          <w:sz w:val="22"/>
          <w:szCs w:val="22"/>
          <w:i w:val="1"/>
          <w:iCs w:val="1"/>
          <w:color w:val="auto"/>
        </w:rPr>
        <w:t>Participant should consult with his or her personal legal adviser to ensure compliance with the 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color w:val="auto"/>
        </w:rPr>
        <w:t>APPENDIX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PAYMENTUS HOLDINGS,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 ADDENDUM TO RESTRICTED STOCK UNIT AGREEMENT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Restrictive Covenants Addendum to Restricted Stock Unit Agreement will be ascribed the same defined meanings as set forth in the Restricted Stock Unit Agreement of which this Restrictive Covenants Addendum forms a part (or the Plan or other written agreement as specified in the Restricted Stock Unit Agreement).</w:t>
      </w:r>
    </w:p>
    <w:p>
      <w:pPr>
        <w:spacing w:after="0" w:line="200" w:lineRule="exact"/>
        <w:rPr>
          <w:sz w:val="20"/>
          <w:szCs w:val="20"/>
          <w:color w:val="auto"/>
        </w:rPr>
      </w:pPr>
    </w:p>
    <w:p>
      <w:pPr>
        <w:spacing w:after="0" w:line="219" w:lineRule="exact"/>
        <w:rPr>
          <w:sz w:val="20"/>
          <w:szCs w:val="20"/>
          <w:color w:val="auto"/>
        </w:rPr>
      </w:pPr>
    </w:p>
    <w:p>
      <w:pPr>
        <w:ind w:left="760" w:hanging="752"/>
        <w:spacing w:after="0"/>
        <w:tabs>
          <w:tab w:leader="none" w:pos="760" w:val="left"/>
        </w:tabs>
        <w:numPr>
          <w:ilvl w:val="0"/>
          <w:numId w:val="1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Confidential Information</w:t>
      </w:r>
    </w:p>
    <w:p>
      <w:pPr>
        <w:spacing w:after="0" w:line="200" w:lineRule="exact"/>
        <w:rPr>
          <w:rFonts w:ascii="Times New Roman" w:cs="Times New Roman" w:eastAsia="Times New Roman" w:hAnsi="Times New Roman"/>
          <w:sz w:val="22"/>
          <w:szCs w:val="22"/>
          <w:b w:val="1"/>
          <w:bCs w:val="1"/>
          <w:u w:val="single" w:color="auto"/>
          <w:color w:val="auto"/>
        </w:rPr>
      </w:pPr>
    </w:p>
    <w:p>
      <w:pPr>
        <w:spacing w:after="0" w:line="253" w:lineRule="exact"/>
        <w:rPr>
          <w:rFonts w:ascii="Times New Roman" w:cs="Times New Roman" w:eastAsia="Times New Roman" w:hAnsi="Times New Roman"/>
          <w:sz w:val="22"/>
          <w:szCs w:val="22"/>
          <w:b w:val="1"/>
          <w:bCs w:val="1"/>
          <w:u w:val="single" w:color="auto"/>
          <w:color w:val="auto"/>
        </w:rPr>
      </w:pPr>
    </w:p>
    <w:p>
      <w:pPr>
        <w:jc w:val="both"/>
        <w:ind w:left="1500" w:hanging="743"/>
        <w:spacing w:after="0" w:line="233" w:lineRule="auto"/>
        <w:tabs>
          <w:tab w:leader="none" w:pos="15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expressly agrees that, throughout the term of Participant’s employment with the Company and at all times following the cessation of Participant’s employment from the Company, for so long as the information remains confidential, Participant will not acquire, use, transfer, download, print, or disclose any Confidential Information other than for the purpose to carry out the duties of Participant’s employment for the benefit of the Company (but in all cases preserving confidentiality by following the Company’s policies and procedures). Participant agrees to take all reasonable measures to protect the secrecy of and avoid disclosure or use of Confidential Information in order to prevent it from falling into the public domain or into the possession of any Competing Business or any persons other than those persons authorized under this Restrictive Covenants Addendum to have such information for the benefit of the Company. Participant agrees to notify the Company in writing of any actual or suspected misuse, misappropriation, or unauthorized disclosure of Confidential Information that may come to Participant’s attention. Participant acknowledges that if Participant discloses or uses knowledge of the Company’s Confidential Information to gain an advantage for Participant, for any Competing Business, or for any other person or entity other than the Company, such an advantage so obtained would be unfair and detrimental to the Company.</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Restrictive Covenants Addendum is intended to prohibit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 w:name="page21"/>
    <w:bookmarkEnd w:id="20"/>
    <w:p>
      <w:pPr>
        <w:jc w:val="both"/>
        <w:ind w:left="1500"/>
        <w:spacing w:after="0" w:line="244" w:lineRule="auto"/>
        <w:rPr>
          <w:sz w:val="20"/>
          <w:szCs w:val="20"/>
          <w:color w:val="auto"/>
        </w:rPr>
      </w:pPr>
      <w:r>
        <w:rPr>
          <w:rFonts w:ascii="Times New Roman" w:cs="Times New Roman" w:eastAsia="Times New Roman" w:hAnsi="Times New Roman"/>
          <w:sz w:val="21"/>
          <w:szCs w:val="21"/>
          <w:color w:val="auto"/>
        </w:rPr>
        <w:t>Participant from disclosing or discussing information relating to compensation or working conditions protected by the National Labor Relations Act or applicable law. Additionally, nothing contained in this Restrictive Covenants Addendum prohibits or prevents Participant from filing a charge with or participating, testifying, or assisting in any investigation, hearing, whistleblower proceeding, or other proceeding before any federal, state, or local government agency (e.g., EEOC, NLRB, SEC, etc.) or in any legislative or judicial proceeding nor does anything in this Restrictive Covenants Addendum preclude, prohibit or otherwise limit, in any way, Participant’s rights and abilities to contact, communicate with or report unlawful conduct to federal, state, or local officials for investigation or participate in any whistleblower program administered by such agencies. The Company further acknowledges Participant’s rights to make truthful statements or disclosures required by law, regulation, or legal process and to request or receive confidential legal advice, and nothing in this Restrictive Covenants Addendum shall be deemed to impair those rights. The Company also acknowledges Participant’s rights to make truthful statements or disclosures about unlawful employment practices which are defined to mean any form of unlawful discrimination, harassment, or retaliation that is actionable under Title VII of the Civil Rights Act of 1964 or any comparable state statue or any other related federal or state rule or law that is enforced by the Equal Employment Opportunity Commission or any comparable state agency.</w:t>
      </w:r>
    </w:p>
    <w:p>
      <w:pPr>
        <w:spacing w:after="0" w:line="200" w:lineRule="exact"/>
        <w:rPr>
          <w:sz w:val="20"/>
          <w:szCs w:val="20"/>
          <w:color w:val="auto"/>
        </w:rPr>
      </w:pPr>
    </w:p>
    <w:p>
      <w:pPr>
        <w:spacing w:after="0" w:line="217" w:lineRule="exact"/>
        <w:rPr>
          <w:sz w:val="20"/>
          <w:szCs w:val="20"/>
          <w:color w:val="auto"/>
        </w:rPr>
      </w:pPr>
    </w:p>
    <w:p>
      <w:pPr>
        <w:jc w:val="both"/>
        <w:ind w:left="760" w:hanging="752"/>
        <w:spacing w:after="0" w:line="236" w:lineRule="auto"/>
        <w:tabs>
          <w:tab w:leader="none" w:pos="760" w:val="left"/>
        </w:tabs>
        <w:numPr>
          <w:ilvl w:val="0"/>
          <w:numId w:val="1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Limited Non-Compete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acknowledge and agree that, as a result of Participant’s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(i) Participant has and will have access to and be involved in the development and utilization of the Company’s Confidential Information; (ii) Participant will develop and maintain critical relationships with the Company’s customers, prospective customers, employees, consultants, and independent contractors; and (iii) Participant will be responsible for further developing and strengthening the Company’s goodwill in the market. Accordingly, Participant expressly agrees that Participant will not Compete with the Company during the Restricted Period within the Restricted Territory on behalf of any Competing Business.</w:t>
      </w:r>
    </w:p>
    <w:p>
      <w:pPr>
        <w:spacing w:after="0" w:line="200" w:lineRule="exact"/>
        <w:rPr>
          <w:rFonts w:ascii="Times New Roman" w:cs="Times New Roman" w:eastAsia="Times New Roman" w:hAnsi="Times New Roman"/>
          <w:sz w:val="22"/>
          <w:szCs w:val="22"/>
          <w:b w:val="1"/>
          <w:bCs w:val="1"/>
          <w:u w:val="single" w:color="auto"/>
          <w:color w:val="auto"/>
        </w:rPr>
      </w:pPr>
    </w:p>
    <w:p>
      <w:pPr>
        <w:spacing w:after="0" w:line="218" w:lineRule="exact"/>
        <w:rPr>
          <w:rFonts w:ascii="Times New Roman" w:cs="Times New Roman" w:eastAsia="Times New Roman" w:hAnsi="Times New Roman"/>
          <w:sz w:val="22"/>
          <w:szCs w:val="22"/>
          <w:b w:val="1"/>
          <w:bCs w:val="1"/>
          <w:u w:val="single" w:color="auto"/>
          <w:color w:val="auto"/>
        </w:rPr>
      </w:pPr>
    </w:p>
    <w:p>
      <w:pPr>
        <w:jc w:val="both"/>
        <w:ind w:left="760" w:hanging="752"/>
        <w:spacing w:after="0" w:line="248" w:lineRule="auto"/>
        <w:tabs>
          <w:tab w:leader="none" w:pos="760" w:val="left"/>
        </w:tabs>
        <w:numPr>
          <w:ilvl w:val="0"/>
          <w:numId w:val="14"/>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Non-Solicitation of Customers/Prospective Customers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expressly agrees that during the Restricted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will not, directly or indirectly, either alone or by assisting or acting in concert with others, on behalf of themselves or any other person, business, entity, including but not limited to on behalf of a Competing Business, solicit, persuade, induce, encourage, divert, or attempt to solicit, persuade, induce, encourage, or divert, or otherwise accept business from, any Customer or Prospective Customer with whom Participant had Material Contact, for the purpose of interfering in the relationship between such Customer or Prospective Customer and the Company, or providing products or services that are competitive with or could replace the Company’s products or services in the Company’s Business.</w:t>
      </w:r>
    </w:p>
    <w:p>
      <w:pPr>
        <w:spacing w:after="0" w:line="200" w:lineRule="exact"/>
        <w:rPr>
          <w:rFonts w:ascii="Times New Roman" w:cs="Times New Roman" w:eastAsia="Times New Roman" w:hAnsi="Times New Roman"/>
          <w:sz w:val="21"/>
          <w:szCs w:val="21"/>
          <w:b w:val="1"/>
          <w:bCs w:val="1"/>
          <w:u w:val="single" w:color="auto"/>
          <w:color w:val="auto"/>
        </w:rPr>
      </w:pPr>
    </w:p>
    <w:p>
      <w:pPr>
        <w:spacing w:after="0" w:line="213" w:lineRule="exact"/>
        <w:rPr>
          <w:rFonts w:ascii="Times New Roman" w:cs="Times New Roman" w:eastAsia="Times New Roman" w:hAnsi="Times New Roman"/>
          <w:sz w:val="21"/>
          <w:szCs w:val="21"/>
          <w:b w:val="1"/>
          <w:bCs w:val="1"/>
          <w:u w:val="single" w:color="auto"/>
          <w:color w:val="auto"/>
        </w:rPr>
      </w:pPr>
    </w:p>
    <w:p>
      <w:pPr>
        <w:ind w:left="760" w:hanging="752"/>
        <w:spacing w:after="0" w:line="262" w:lineRule="auto"/>
        <w:tabs>
          <w:tab w:leader="none" w:pos="760" w:val="left"/>
        </w:tabs>
        <w:numPr>
          <w:ilvl w:val="0"/>
          <w:numId w:val="1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Non-Raiding of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expressly agrees that during the Restricted Period, Participant will not, directly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indirectly, either alone or by assisting or acting in concert with</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 w:name="page22"/>
    <w:bookmarkEnd w:id="21"/>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others, on behalf of themselves or any other person, business or entity, solicit, induce, encourage or attempt to solicit, induce or encourage any then current employee or independent contractor of the Company (each, a “Restricted Employee”) to alter or terminate their relationship with the Company, or hire, employ, recruit or attempt to hire, employ or recruit any Restricted Employee on behalf of any other person, business or entity.</w:t>
      </w:r>
    </w:p>
    <w:p>
      <w:pPr>
        <w:spacing w:after="0" w:line="200" w:lineRule="exact"/>
        <w:rPr>
          <w:sz w:val="20"/>
          <w:szCs w:val="20"/>
          <w:color w:val="auto"/>
        </w:rPr>
      </w:pPr>
    </w:p>
    <w:p>
      <w:pPr>
        <w:spacing w:after="0" w:line="219" w:lineRule="exact"/>
        <w:rPr>
          <w:sz w:val="20"/>
          <w:szCs w:val="20"/>
          <w:color w:val="auto"/>
        </w:rPr>
      </w:pPr>
    </w:p>
    <w:p>
      <w:pPr>
        <w:jc w:val="both"/>
        <w:ind w:left="760" w:hanging="752"/>
        <w:spacing w:after="0" w:line="243" w:lineRule="auto"/>
        <w:tabs>
          <w:tab w:leader="none" w:pos="760" w:val="left"/>
        </w:tabs>
        <w:numPr>
          <w:ilvl w:val="0"/>
          <w:numId w:val="15"/>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Remedies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event that Participant breaches any of the restrictive covenants set forth in this Restrictive Covenants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Addendum, the then-unvested Restricted Stock Units awarded by this Award Agreement will thereupon be forfeited at no cost to the Company and Participant will have no further rights thereunder. Participant agrees that the obligations set forth in this Restrictive Covenants Addendum are necessary and reasonable in order to protect the Company’s legitimate business interests and (without limiting the foregoing) that the obligations set forth in this Restrictive Covenants Addendum are necessary and reasonable in order to protect the Company’s legitimate business interests in protecting its Confidential Information, customer and employee relationships and the goodwill associated therewith. Participant expressly agrees that due to the unique nature of the Company’s Confidential Information, and its relationships with its customers and employees, monetary damages would be inadequate to compensate the Company for any breach by Participant of the covenants and agreements set forth in this Restrictive Covenants Addendum. Accordingly, Participant agrees and acknowledges that any such violation or threatened violation shall cause irreparable injury to the Company and that, in addition to forfeiture of any unvested Restricted Stock Units and any other remedies that may be available in law, in equity, or otherwise, the Company shall be entitled: (a) to obtain injunctive relief against the threatened breach of this Restrictive Covenants Addendum or the continuation of any such breach by Participant, without the necessity of proving actual damages, and without necessity of posting bond; and (b) to recover any costs or attorneys’ fees, arising out of or in connection with any breach or threatened breach by Participant or any action relating to Participant’s obligations under this Restrictive Covenants Addendum. Any such equitable relief sought or obtained pursuant to this Restrictive Covenants Addendum will not be the Company’s exclusive remedy to address Participant’s breach or threatened breach of the provisions herein, and the Company shall be entitled to pursue all remedies available, including but not limited to actual damages, pursuant to applicable law. No claim, demand, action, or cause of action that Participant may have against the Company shall constitute a defense to the Company’s enforcement of any of its rights or Participant’s obligations hereunder by the Company or the Company’s successors or assigns.</w:t>
      </w:r>
    </w:p>
    <w:p>
      <w:pPr>
        <w:spacing w:after="0" w:line="200" w:lineRule="exact"/>
        <w:rPr>
          <w:rFonts w:ascii="Times New Roman" w:cs="Times New Roman" w:eastAsia="Times New Roman" w:hAnsi="Times New Roman"/>
          <w:sz w:val="21"/>
          <w:szCs w:val="21"/>
          <w:b w:val="1"/>
          <w:bCs w:val="1"/>
          <w:u w:val="single" w:color="auto"/>
          <w:color w:val="auto"/>
        </w:rPr>
      </w:pPr>
    </w:p>
    <w:p>
      <w:pPr>
        <w:spacing w:after="0" w:line="225" w:lineRule="exact"/>
        <w:rPr>
          <w:rFonts w:ascii="Times New Roman" w:cs="Times New Roman" w:eastAsia="Times New Roman" w:hAnsi="Times New Roman"/>
          <w:sz w:val="21"/>
          <w:szCs w:val="21"/>
          <w:b w:val="1"/>
          <w:bCs w:val="1"/>
          <w:u w:val="single" w:color="auto"/>
          <w:color w:val="auto"/>
        </w:rPr>
      </w:pPr>
    </w:p>
    <w:p>
      <w:pPr>
        <w:jc w:val="both"/>
        <w:ind w:left="760" w:hanging="752"/>
        <w:spacing w:after="0" w:line="235" w:lineRule="auto"/>
        <w:tabs>
          <w:tab w:leader="none" w:pos="760" w:val="left"/>
        </w:tabs>
        <w:numPr>
          <w:ilvl w:val="0"/>
          <w:numId w:val="15"/>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Tolling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acknowledges and agrees that the Restricted Period shall be tolled on a day-for-day basis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periods in which Participant is in breach of the obligations contained in this Restrictive Covenants Addendum, so that the Company receives the full benefit of the Restricted Period to which Participant has agreed herein. Participant also agrees that if Participant or the Company institutes litigation to enforce or challenge the protective covenants in this Restrictive Covenants Addendum, and Participant is not enjoined from breaching one or more of the protective covenants contained in this Restrictive Covenants Addendum, and a court thereafter determines that one or more of the protective covenants are enforceable, the Restricted Period shall be tolled (i.e. suspended) beginning on the date the litigation was instituted until the litigation is finally resolved and all periods of appeal have expired.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 w:name="page23"/>
    <w:bookmarkEnd w:id="22"/>
    <w:p>
      <w:pPr>
        <w:spacing w:after="0" w:line="200" w:lineRule="exact"/>
        <w:rPr>
          <w:sz w:val="20"/>
          <w:szCs w:val="20"/>
          <w:color w:val="auto"/>
        </w:rPr>
      </w:pPr>
    </w:p>
    <w:p>
      <w:pPr>
        <w:spacing w:after="0" w:line="224" w:lineRule="exact"/>
        <w:rPr>
          <w:sz w:val="20"/>
          <w:szCs w:val="20"/>
          <w:color w:val="auto"/>
        </w:rPr>
      </w:pPr>
    </w:p>
    <w:p>
      <w:pPr>
        <w:ind w:left="760" w:hanging="752"/>
        <w:spacing w:after="0" w:line="262" w:lineRule="auto"/>
        <w:tabs>
          <w:tab w:leader="none" w:pos="760" w:val="left"/>
        </w:tabs>
        <w:numPr>
          <w:ilvl w:val="0"/>
          <w:numId w:val="1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all purposes throughout this Restrictive Covenants Addendum, the terms defined below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meanings specified in this section.</w:t>
      </w:r>
    </w:p>
    <w:p>
      <w:pPr>
        <w:spacing w:after="0" w:line="396" w:lineRule="exact"/>
        <w:rPr>
          <w:rFonts w:ascii="Times New Roman" w:cs="Times New Roman" w:eastAsia="Times New Roman" w:hAnsi="Times New Roman"/>
          <w:sz w:val="22"/>
          <w:szCs w:val="22"/>
          <w:b w:val="1"/>
          <w:bCs w:val="1"/>
          <w:u w:val="single" w:color="auto"/>
          <w:color w:val="auto"/>
        </w:rPr>
      </w:pPr>
    </w:p>
    <w:p>
      <w:pPr>
        <w:jc w:val="both"/>
        <w:ind w:left="1500" w:hanging="743"/>
        <w:spacing w:after="0" w:line="244"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means the business of investing and operating in payments, payments networks, billing, billing solutions, software and technology-enabled businesses, including a continuous program of research, development, production and marketing.</w:t>
      </w:r>
    </w:p>
    <w:p>
      <w:pPr>
        <w:spacing w:after="0" w:line="200" w:lineRule="exact"/>
        <w:rPr>
          <w:rFonts w:ascii="Times New Roman" w:cs="Times New Roman" w:eastAsia="Times New Roman" w:hAnsi="Times New Roman"/>
          <w:sz w:val="22"/>
          <w:szCs w:val="22"/>
          <w:color w:val="auto"/>
        </w:rPr>
      </w:pPr>
    </w:p>
    <w:p>
      <w:pPr>
        <w:spacing w:after="0" w:line="216" w:lineRule="exact"/>
        <w:rPr>
          <w:rFonts w:ascii="Times New Roman" w:cs="Times New Roman" w:eastAsia="Times New Roman" w:hAnsi="Times New Roman"/>
          <w:sz w:val="22"/>
          <w:szCs w:val="22"/>
          <w:color w:val="auto"/>
        </w:rPr>
      </w:pPr>
    </w:p>
    <w:p>
      <w:pPr>
        <w:jc w:val="both"/>
        <w:ind w:left="1500" w:hanging="743"/>
        <w:spacing w:after="0" w:line="235"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shall mean voluntary resignation, disability that renders Participant incapable of performing the essential functions of Participant’s job, with or without reasonable accommodation, after Participant has exhausted any leave available under applicable law or Company policy, job abandonment, substandard performance, engaging in any act or omission deemed to be against the best interests of the Company, unsafe, threatening or violent activity or conduct, and any other conduct that could reasonably be perceived as damaging the Company’s reputation or interfering with its business interests. A termination for Cause may be based on conduct that takes place in or outside the workplace. Cause shall be determined in the sole discretion of the Company.</w:t>
      </w: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jc w:val="both"/>
        <w:ind w:left="1500" w:hanging="743"/>
        <w:spacing w:after="0" w:line="235"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 shall mean: (i) providing the same or similar services or expertise Participant provided to the Company at any time during the twelve (12) months prior to cessation of employment; (ii) any involvement where Participant will be responsible for managing others, participating in strategic decision-making, engaging in research or development, or personally selling products or services that are the same as or substantially similar to the products or services market, sold, or provided by the Company; or (iii) any other capacity where Participant’s knowledge of the Company’s Confidential Information could provide a competitive advantage to any Competing Business.</w:t>
      </w:r>
    </w:p>
    <w:p>
      <w:pPr>
        <w:spacing w:after="0" w:line="200" w:lineRule="exact"/>
        <w:rPr>
          <w:rFonts w:ascii="Times New Roman" w:cs="Times New Roman" w:eastAsia="Times New Roman" w:hAnsi="Times New Roman"/>
          <w:sz w:val="22"/>
          <w:szCs w:val="22"/>
          <w:color w:val="auto"/>
        </w:rPr>
      </w:pPr>
    </w:p>
    <w:p>
      <w:pPr>
        <w:spacing w:after="0" w:line="226" w:lineRule="exact"/>
        <w:rPr>
          <w:rFonts w:ascii="Times New Roman" w:cs="Times New Roman" w:eastAsia="Times New Roman" w:hAnsi="Times New Roman"/>
          <w:sz w:val="22"/>
          <w:szCs w:val="22"/>
          <w:color w:val="auto"/>
        </w:rPr>
      </w:pPr>
    </w:p>
    <w:p>
      <w:pPr>
        <w:jc w:val="both"/>
        <w:ind w:left="1500" w:hanging="743"/>
        <w:spacing w:after="0" w:line="235"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“Competing Business” shall mean any person or entity in the business of developing, distributing, selling, supplying or otherwise dealing with (including but not limited to technical and product support, professional services, technical advice and other customer services) billing and payment solutions (products and services) that offer billers the ability to send bills via electronic channels, receive payments of all types, reconcile payments in real time, and empower customers to work with a self-service billing portal and any other products or services that could replace and are therefore competitive with those offered by the Company or any predecessor within the two (2) years prior to the cessation of Participant’s employment.</w:t>
      </w:r>
    </w:p>
    <w:p>
      <w:pPr>
        <w:spacing w:after="0" w:line="200" w:lineRule="exact"/>
        <w:rPr>
          <w:rFonts w:ascii="Times New Roman" w:cs="Times New Roman" w:eastAsia="Times New Roman" w:hAnsi="Times New Roman"/>
          <w:sz w:val="22"/>
          <w:szCs w:val="22"/>
          <w:color w:val="auto"/>
        </w:rPr>
      </w:pPr>
    </w:p>
    <w:p>
      <w:pPr>
        <w:spacing w:after="0" w:line="226"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 Information” shall mean sensitive business information having actual or potential value to the Company or its affiliates because it is not generally known to the general public or ascertainable by a Competing Business, and which has been disclosed to Participant, or of which Participant will become aware, as a consequence of the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jc w:val="both"/>
        <w:ind w:left="743"/>
        <w:spacing w:after="0" w:line="243" w:lineRule="auto"/>
        <w:rPr>
          <w:sz w:val="20"/>
          <w:szCs w:val="20"/>
          <w:color w:val="auto"/>
        </w:rPr>
      </w:pPr>
      <w:r>
        <w:rPr>
          <w:rFonts w:ascii="Times New Roman" w:cs="Times New Roman" w:eastAsia="Times New Roman" w:hAnsi="Times New Roman"/>
          <w:sz w:val="21"/>
          <w:szCs w:val="21"/>
          <w:color w:val="auto"/>
        </w:rPr>
        <w:t>employment with the Company. Confidential Information includes, but is not limited to, the Company’s investment strategies, management planning information, business plans, operational methods, market studies, marketing plans or strategies, patent information, business acquisition plans, past, current and planned research and development, formulas, methods, patterns, processes, procedures, instructions, designs, inventions, operations, engineering, drawings, equipment, devices, technology, software systems, price lists, sales reports and records, sales books and manuals, code books, financial information and projections, personnel data such as compensation, strengths, weaknesses, and experience, names of customers, customer lists and contact information, customer pricing and purchasing information, lists of targeted prospective customers, supplier lists, product/service and marketing data and programs, product/service plans, product development, advertising campaigns, new product designs or roll out, agreements with third parties, or any information designated by the Company as being “confidential.” Confidential Information may be in written or non-written form, as well as information held on electronic media or networks, magnetic storage, cloud storage service, or other similar media. The Company has invested and will continue to invest extensive time, resources, talent, and effort to develop its Confidential Information, all of which generates goodwill for the Company. Participant acknowledges that the Company has taken reasonable and adequate steps to control access to the Confidential Information and to prevent unauthorized disclosure, which could cause injury to the Company. This definition shall not limit any broader definition of “confidential information” or any equivalent term under applicable state or federal law. Confidential Information shall not include any information that (i) is or becomes generally available to the public other than as a result of an unauthorized or unintentional disclosure, (ii) has been independently developed and disclosed by others without violating any obligations to the Company or applicable law, or (iii) otherwise enters the public domain through lawful means.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743" w:hanging="743"/>
        <w:spacing w:after="0" w:line="244" w:lineRule="auto"/>
        <w:tabs>
          <w:tab w:leader="none" w:pos="74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of the Company shall mean any business or entity that agreed, verbally or in writing, to purchase products or services from the Company or actually purchased products or services from the Company within the twelve (12) months preceding the cessation of Participant’s employment with the Company.</w:t>
      </w:r>
    </w:p>
    <w:p>
      <w:pPr>
        <w:spacing w:after="0" w:line="200" w:lineRule="exact"/>
        <w:rPr>
          <w:rFonts w:ascii="Times New Roman" w:cs="Times New Roman" w:eastAsia="Times New Roman" w:hAnsi="Times New Roman"/>
          <w:sz w:val="22"/>
          <w:szCs w:val="22"/>
          <w:color w:val="auto"/>
        </w:rPr>
      </w:pPr>
    </w:p>
    <w:p>
      <w:pPr>
        <w:spacing w:after="0" w:line="216" w:lineRule="exact"/>
        <w:rPr>
          <w:rFonts w:ascii="Times New Roman" w:cs="Times New Roman" w:eastAsia="Times New Roman" w:hAnsi="Times New Roman"/>
          <w:sz w:val="22"/>
          <w:szCs w:val="22"/>
          <w:color w:val="auto"/>
        </w:rPr>
      </w:pPr>
    </w:p>
    <w:p>
      <w:pPr>
        <w:ind w:left="743" w:hanging="743"/>
        <w:spacing w:after="0" w:line="258" w:lineRule="auto"/>
        <w:tabs>
          <w:tab w:leader="none" w:pos="74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“employment” shall include service as an employee, consultant, or other service provider of the Company or any Subsidiary or Parent of the Company.</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jc w:val="both"/>
        <w:ind w:left="743" w:hanging="743"/>
        <w:spacing w:after="0" w:line="235" w:lineRule="auto"/>
        <w:tabs>
          <w:tab w:leader="none" w:pos="74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will be deemed to have had “Material Contact” with any Customer or Prospective Customer of the Company if, in the twelve (12) months prior to the cessation of Participant’s employment with the Company, the Customer or Prospective Customer is one: (i) with whom or which Participant dealt on behalf of the Company; (ii) whose dealings with the Company were coordinated or supervised by Participant; (iii) about whom Participant obtained Confidential Information in the ordinary course of business as a result of Participant’s employment with the Company; or (iv) who received products or services authorized by the Company, the sale or provision of</w:t>
      </w:r>
    </w:p>
    <w:p>
      <w:pPr>
        <w:spacing w:after="0" w:line="224" w:lineRule="exact"/>
        <w:rPr>
          <w:sz w:val="20"/>
          <w:szCs w:val="20"/>
          <w:color w:val="auto"/>
        </w:rPr>
      </w:pPr>
    </w:p>
    <w:p>
      <w:pPr>
        <w:ind w:left="4743"/>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24" w:name="page25"/>
    <w:bookmarkEnd w:id="24"/>
    <w:p>
      <w:pPr>
        <w:ind w:left="1500"/>
        <w:spacing w:after="0"/>
        <w:rPr>
          <w:sz w:val="20"/>
          <w:szCs w:val="20"/>
          <w:color w:val="auto"/>
        </w:rPr>
      </w:pPr>
      <w:r>
        <w:rPr>
          <w:rFonts w:ascii="Times New Roman" w:cs="Times New Roman" w:eastAsia="Times New Roman" w:hAnsi="Times New Roman"/>
          <w:sz w:val="22"/>
          <w:szCs w:val="22"/>
          <w:color w:val="auto"/>
        </w:rPr>
        <w:t>which resulted in compensation, commissions, or earnings for Participant.</w:t>
      </w:r>
    </w:p>
    <w:p>
      <w:pPr>
        <w:spacing w:after="0" w:line="200" w:lineRule="exact"/>
        <w:rPr>
          <w:sz w:val="20"/>
          <w:szCs w:val="20"/>
          <w:color w:val="auto"/>
        </w:rPr>
      </w:pPr>
    </w:p>
    <w:p>
      <w:pPr>
        <w:spacing w:after="0" w:line="249" w:lineRule="exact"/>
        <w:rPr>
          <w:sz w:val="20"/>
          <w:szCs w:val="20"/>
          <w:color w:val="auto"/>
        </w:rPr>
      </w:pPr>
    </w:p>
    <w:p>
      <w:pPr>
        <w:jc w:val="both"/>
        <w:ind w:left="1500" w:hanging="743"/>
        <w:spacing w:after="0" w:line="239" w:lineRule="auto"/>
        <w:tabs>
          <w:tab w:leader="none" w:pos="15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“Prospective Customer” shall mean any business or entity that is not a Customer, but to whom Participant provided a bid, quote for products or services, or about whom Participant obtained Confidential Information for the purposes of securing a sale, during the twelve (12) months preceding cessation of Participant’s employment with the Company.</w:t>
      </w:r>
    </w:p>
    <w:p>
      <w:pPr>
        <w:spacing w:after="0" w:line="200" w:lineRule="exact"/>
        <w:rPr>
          <w:rFonts w:ascii="Times New Roman" w:cs="Times New Roman" w:eastAsia="Times New Roman" w:hAnsi="Times New Roman"/>
          <w:sz w:val="22"/>
          <w:szCs w:val="22"/>
          <w:color w:val="auto"/>
        </w:rPr>
      </w:pPr>
    </w:p>
    <w:p>
      <w:pPr>
        <w:spacing w:after="0" w:line="223"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Period” shall mean the entire period of Participant’s employment with the Company and a twelve (12) month period immediately following the cessation of Participant’s employment.</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jc w:val="both"/>
        <w:ind w:left="1500" w:hanging="743"/>
        <w:spacing w:after="0" w:line="236" w:lineRule="auto"/>
        <w:tabs>
          <w:tab w:leader="none" w:pos="15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Territory” shall mean (i) Participant’s designated territory or area of responsibility as of the cessation of Participant’s employment with the Company; and (ii) the geographic areas in which Participant, during any time in the last twelve (12) months of employment with the Company, provided services or had a material presence or influence. Acts done by Participant outside the “Restricted Territory” shall be deemed to be done within the “Restricted Territory” where their primary purpose or effect is to compete with the Company on behalf of a Competing Business within the “Restricted Territory.”</w:t>
      </w: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jc w:val="both"/>
        <w:ind w:left="760" w:hanging="752"/>
        <w:spacing w:after="0" w:line="241" w:lineRule="auto"/>
        <w:tabs>
          <w:tab w:leader="none" w:pos="760" w:val="left"/>
        </w:tabs>
        <w:numPr>
          <w:ilvl w:val="0"/>
          <w:numId w:val="1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Participant’s right to consult with counsel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acknowledges that Participant has been provided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and has been made aware of Participant’s right, to consult with counsel of their choosing at Participant’s expense prior to entering into the Award Agreement, including specifically (but without limitation) the restrictive covenants in this Restrictive Covenants Addendum.</w:t>
      </w:r>
    </w:p>
    <w:p>
      <w:pPr>
        <w:spacing w:after="0" w:line="200" w:lineRule="exact"/>
        <w:rPr>
          <w:rFonts w:ascii="Times New Roman" w:cs="Times New Roman" w:eastAsia="Times New Roman" w:hAnsi="Times New Roman"/>
          <w:sz w:val="22"/>
          <w:szCs w:val="22"/>
          <w:b w:val="1"/>
          <w:bCs w:val="1"/>
          <w:u w:val="single" w:color="auto"/>
          <w:color w:val="auto"/>
        </w:rPr>
      </w:pPr>
    </w:p>
    <w:p>
      <w:pPr>
        <w:spacing w:after="0" w:line="214" w:lineRule="exact"/>
        <w:rPr>
          <w:rFonts w:ascii="Times New Roman" w:cs="Times New Roman" w:eastAsia="Times New Roman" w:hAnsi="Times New Roman"/>
          <w:sz w:val="22"/>
          <w:szCs w:val="22"/>
          <w:b w:val="1"/>
          <w:bCs w:val="1"/>
          <w:u w:val="single" w:color="auto"/>
          <w:color w:val="auto"/>
        </w:rPr>
      </w:pPr>
    </w:p>
    <w:p>
      <w:pPr>
        <w:jc w:val="both"/>
        <w:ind w:left="760" w:hanging="752"/>
        <w:spacing w:after="0" w:line="247" w:lineRule="auto"/>
        <w:tabs>
          <w:tab w:leader="none" w:pos="760" w:val="left"/>
        </w:tabs>
        <w:numPr>
          <w:ilvl w:val="0"/>
          <w:numId w:val="19"/>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Notification of New Employer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Before Participant accepts employment or enters into any consulting, independent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contractor, or other professional or business engagement with any other person or entity while any of the provisions of this Restrictive Covenants Addendum are in effect, Participant will provide such person or entity with written notice of the provisions of this Restrictive Covenants Addendum and will deliver a copy of that notice to the Company. While any of the restrictive covenant provisions of this Restrictive Covenants Addendum are in effect, Participant agrees that, upon the request of the Company, Participant will furnish the Company with the name and address of any new employer or entity for whom Participant provides contractor or consulting services, as well as the capacity in which Participant will be employed or otherwise engaged. Participant hereby consents to the Company’s notifying Participant’s new employer about Participant’s responsibilities, restrictions and obligations under this Restrictive Covenants Addendum.</w:t>
      </w:r>
    </w:p>
    <w:p>
      <w:pPr>
        <w:spacing w:after="0" w:line="200" w:lineRule="exact"/>
        <w:rPr>
          <w:rFonts w:ascii="Times New Roman" w:cs="Times New Roman" w:eastAsia="Times New Roman" w:hAnsi="Times New Roman"/>
          <w:sz w:val="21"/>
          <w:szCs w:val="21"/>
          <w:b w:val="1"/>
          <w:bCs w:val="1"/>
          <w:u w:val="single" w:color="auto"/>
          <w:color w:val="auto"/>
        </w:rPr>
      </w:pPr>
    </w:p>
    <w:p>
      <w:pPr>
        <w:spacing w:after="0" w:line="209" w:lineRule="exact"/>
        <w:rPr>
          <w:rFonts w:ascii="Times New Roman" w:cs="Times New Roman" w:eastAsia="Times New Roman" w:hAnsi="Times New Roman"/>
          <w:sz w:val="21"/>
          <w:szCs w:val="21"/>
          <w:b w:val="1"/>
          <w:bCs w:val="1"/>
          <w:u w:val="single" w:color="auto"/>
          <w:color w:val="auto"/>
        </w:rPr>
      </w:pPr>
    </w:p>
    <w:p>
      <w:pPr>
        <w:ind w:left="760" w:hanging="752"/>
        <w:spacing w:after="0"/>
        <w:tabs>
          <w:tab w:leader="none" w:pos="760" w:val="left"/>
        </w:tabs>
        <w:numPr>
          <w:ilvl w:val="0"/>
          <w:numId w:val="1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State Law Exceptions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acknowledges and agrees that, in certain states the</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 w:name="page26"/>
    <w:bookmarkEnd w:id="25"/>
    <w:p>
      <w:pPr>
        <w:jc w:val="both"/>
        <w:ind w:left="3"/>
        <w:spacing w:after="0" w:line="236" w:lineRule="auto"/>
        <w:rPr>
          <w:sz w:val="20"/>
          <w:szCs w:val="20"/>
          <w:color w:val="auto"/>
        </w:rPr>
      </w:pPr>
      <w:r>
        <w:rPr>
          <w:rFonts w:ascii="Times New Roman" w:cs="Times New Roman" w:eastAsia="Times New Roman" w:hAnsi="Times New Roman"/>
          <w:sz w:val="22"/>
          <w:szCs w:val="22"/>
          <w:color w:val="auto"/>
        </w:rPr>
        <w:t>covenants contained in this Restrictive Covenants Addendum may have limited or no applicability. The Company intends for this Restrictive Covenants Addendum to comply fully with state and local laws and, as such, acknowledges that this Restrictive Covenants Addendum is limited or not applicable in the following states. To the extent that there are additional limitations not acknowledged herein, the Company intends for this</w:t>
      </w:r>
    </w:p>
    <w:p>
      <w:pPr>
        <w:spacing w:after="0" w:line="1" w:lineRule="exact"/>
        <w:rPr>
          <w:sz w:val="20"/>
          <w:szCs w:val="20"/>
          <w:color w:val="auto"/>
        </w:rPr>
      </w:pPr>
    </w:p>
    <w:p>
      <w:pPr>
        <w:jc w:val="both"/>
        <w:ind w:left="3"/>
        <w:spacing w:after="0" w:line="234" w:lineRule="auto"/>
        <w:rPr>
          <w:sz w:val="20"/>
          <w:szCs w:val="20"/>
          <w:color w:val="auto"/>
        </w:rPr>
      </w:pPr>
      <w:r>
        <w:rPr>
          <w:rFonts w:ascii="Times New Roman" w:cs="Times New Roman" w:eastAsia="Times New Roman" w:hAnsi="Times New Roman"/>
          <w:sz w:val="22"/>
          <w:szCs w:val="22"/>
          <w:color w:val="auto"/>
        </w:rPr>
        <w:t>Restrictive Covenants Addendum to be read and applied in full compliance with applicable state laws. Further, to the extent any state not listed limits enforceability of a covenant if Participant’s annual compensation is insufficient for enforceable post-employment non-competition or non-solicitation restrictions, such limitation is incorporated by reference.</w:t>
      </w:r>
    </w:p>
    <w:p>
      <w:pPr>
        <w:spacing w:after="0" w:line="177" w:lineRule="exact"/>
        <w:rPr>
          <w:sz w:val="20"/>
          <w:szCs w:val="20"/>
          <w:color w:val="auto"/>
        </w:rPr>
      </w:pPr>
    </w:p>
    <w:p>
      <w:pPr>
        <w:jc w:val="both"/>
        <w:ind w:left="743" w:hanging="743"/>
        <w:spacing w:after="0" w:line="244" w:lineRule="auto"/>
        <w:tabs>
          <w:tab w:leader="none" w:pos="74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Arizona</w:t>
      </w:r>
      <w:r>
        <w:rPr>
          <w:rFonts w:ascii="Times New Roman" w:cs="Times New Roman" w:eastAsia="Times New Roman" w:hAnsi="Times New Roman"/>
          <w:sz w:val="22"/>
          <w:szCs w:val="22"/>
          <w:color w:val="auto"/>
        </w:rPr>
        <w:t>. If Participant’s primary work location is in Arizona as of the date Participant’s employment with the Company ceases, Sections 3 and 4 of this Restrictive Covenants Addendum will prohibit Participant from engaging in the conduct described only in the “Restricted Territory.”</w:t>
      </w:r>
    </w:p>
    <w:p>
      <w:pPr>
        <w:spacing w:after="0" w:line="173" w:lineRule="exact"/>
        <w:rPr>
          <w:rFonts w:ascii="Times New Roman" w:cs="Times New Roman" w:eastAsia="Times New Roman" w:hAnsi="Times New Roman"/>
          <w:sz w:val="22"/>
          <w:szCs w:val="22"/>
          <w:color w:val="auto"/>
        </w:rPr>
      </w:pPr>
    </w:p>
    <w:p>
      <w:pPr>
        <w:jc w:val="both"/>
        <w:ind w:left="743" w:hanging="743"/>
        <w:spacing w:after="0" w:line="255" w:lineRule="auto"/>
        <w:tabs>
          <w:tab w:leader="none" w:pos="74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California</w:t>
      </w:r>
      <w:r>
        <w:rPr>
          <w:rFonts w:ascii="Times New Roman" w:cs="Times New Roman" w:eastAsia="Times New Roman" w:hAnsi="Times New Roman"/>
          <w:sz w:val="21"/>
          <w:szCs w:val="21"/>
          <w:color w:val="auto"/>
        </w:rPr>
        <w:t>. If Participant’s primary work location is in California as of the date Participant’s employment with the Company ceases, Sections 2, 3, 4 and 6 of this Restrictive Covenants Addendum do not apply to Participant after Participant’s last day of employment. Further, Section 5 of this Restrictive Covenants Addendum shall provide for attorneys’ fees to the prevailing party as required under California Civil Code § 1717.</w:t>
      </w:r>
    </w:p>
    <w:p>
      <w:pPr>
        <w:spacing w:after="0" w:line="161" w:lineRule="exact"/>
        <w:rPr>
          <w:rFonts w:ascii="Times New Roman" w:cs="Times New Roman" w:eastAsia="Times New Roman" w:hAnsi="Times New Roman"/>
          <w:sz w:val="21"/>
          <w:szCs w:val="21"/>
          <w:color w:val="auto"/>
        </w:rPr>
      </w:pPr>
    </w:p>
    <w:p>
      <w:pPr>
        <w:jc w:val="both"/>
        <w:ind w:left="743" w:hanging="743"/>
        <w:spacing w:after="0" w:line="244" w:lineRule="auto"/>
        <w:tabs>
          <w:tab w:leader="none" w:pos="74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Connecticut</w:t>
      </w:r>
      <w:r>
        <w:rPr>
          <w:rFonts w:ascii="Times New Roman" w:cs="Times New Roman" w:eastAsia="Times New Roman" w:hAnsi="Times New Roman"/>
          <w:sz w:val="22"/>
          <w:szCs w:val="22"/>
          <w:color w:val="auto"/>
        </w:rPr>
        <w:t>. If Participant’s primary work location is in Connecticut, Section 1 of this Restrictive Covenants Addendum shall not be interpreted to preclude Participant from discussing at any time the compensation of any employee of the Company who has voluntarily disclosed that compensation information to Participant.</w:t>
      </w:r>
    </w:p>
    <w:p>
      <w:pPr>
        <w:spacing w:after="0" w:line="173" w:lineRule="exact"/>
        <w:rPr>
          <w:rFonts w:ascii="Times New Roman" w:cs="Times New Roman" w:eastAsia="Times New Roman" w:hAnsi="Times New Roman"/>
          <w:sz w:val="22"/>
          <w:szCs w:val="22"/>
          <w:color w:val="auto"/>
        </w:rPr>
      </w:pPr>
    </w:p>
    <w:p>
      <w:pPr>
        <w:jc w:val="both"/>
        <w:ind w:left="743" w:hanging="743"/>
        <w:spacing w:after="0" w:line="244" w:lineRule="auto"/>
        <w:tabs>
          <w:tab w:leader="none" w:pos="74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Florida</w:t>
      </w:r>
      <w:r>
        <w:rPr>
          <w:rFonts w:ascii="Times New Roman" w:cs="Times New Roman" w:eastAsia="Times New Roman" w:hAnsi="Times New Roman"/>
          <w:sz w:val="22"/>
          <w:szCs w:val="22"/>
          <w:color w:val="auto"/>
        </w:rPr>
        <w:t>. If Participant’s primary work location is in Florida as of the date Participant’s employment with the Company ceases, then the phrase “and without necessity of posting bond” shall be struck from Section 5 of this Restrictive Covenants Addendum.</w:t>
      </w:r>
    </w:p>
    <w:p>
      <w:pPr>
        <w:spacing w:after="0" w:line="173" w:lineRule="exact"/>
        <w:rPr>
          <w:rFonts w:ascii="Times New Roman" w:cs="Times New Roman" w:eastAsia="Times New Roman" w:hAnsi="Times New Roman"/>
          <w:sz w:val="22"/>
          <w:szCs w:val="22"/>
          <w:color w:val="auto"/>
        </w:rPr>
      </w:pPr>
    </w:p>
    <w:p>
      <w:pPr>
        <w:jc w:val="both"/>
        <w:ind w:left="743" w:hanging="743"/>
        <w:spacing w:after="0" w:line="239" w:lineRule="auto"/>
        <w:tabs>
          <w:tab w:leader="none" w:pos="74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Hawaii</w:t>
      </w:r>
      <w:r>
        <w:rPr>
          <w:rFonts w:ascii="Times New Roman" w:cs="Times New Roman" w:eastAsia="Times New Roman" w:hAnsi="Times New Roman"/>
          <w:sz w:val="22"/>
          <w:szCs w:val="22"/>
          <w:color w:val="auto"/>
        </w:rPr>
        <w:t>. If Participant’s primary work location is in Hawaii as of the date Participant’s employment with the Company ceases, then after the last day of employment the restrictions in Section 2 of this Restrictive Covenants Addendum will apply geographically only to the specific island(s) within the State of Hawaii for which Participant had managerial and/or sales responsibility.</w:t>
      </w:r>
    </w:p>
    <w:p>
      <w:pPr>
        <w:spacing w:after="0" w:line="180" w:lineRule="exact"/>
        <w:rPr>
          <w:rFonts w:ascii="Times New Roman" w:cs="Times New Roman" w:eastAsia="Times New Roman" w:hAnsi="Times New Roman"/>
          <w:sz w:val="22"/>
          <w:szCs w:val="22"/>
          <w:color w:val="auto"/>
        </w:rPr>
      </w:pPr>
    </w:p>
    <w:p>
      <w:pPr>
        <w:jc w:val="both"/>
        <w:ind w:left="743" w:hanging="743"/>
        <w:spacing w:after="0" w:line="235" w:lineRule="auto"/>
        <w:tabs>
          <w:tab w:leader="none" w:pos="74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Idaho</w:t>
      </w:r>
      <w:r>
        <w:rPr>
          <w:rFonts w:ascii="Times New Roman" w:cs="Times New Roman" w:eastAsia="Times New Roman" w:hAnsi="Times New Roman"/>
          <w:sz w:val="22"/>
          <w:szCs w:val="22"/>
          <w:color w:val="auto"/>
        </w:rPr>
        <w:t>. If Participant’s primary work location is in Idaho as of the date Participant’s employment with the Company ceases, then after the last day of employment the restrictions in Sections 2, 3, and 4 of this Restrictive Covenants Addendum shall apply only if Participant is a “key employee.” As used herein, the phrase “key employee” means an employee who, by reason of the employer’s investment of time, money, trust, exposure to the public, or exposure to technologies, intellectual property, business plans, business processes and methods of operation, customers, vendors or other business relationships during the course of employment, has gained a high level of inside knowledge, influence, credibility, notoriety, fame, reputation or public persona as a representative or spokesperson of the employer and, as a result, has the ability to</w:t>
      </w:r>
    </w:p>
    <w:p>
      <w:pPr>
        <w:spacing w:after="0" w:line="219" w:lineRule="exact"/>
        <w:rPr>
          <w:sz w:val="20"/>
          <w:szCs w:val="20"/>
          <w:color w:val="auto"/>
        </w:rPr>
      </w:pPr>
    </w:p>
    <w:p>
      <w:pPr>
        <w:ind w:left="4743"/>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26" w:name="page27"/>
    <w:bookmarkEnd w:id="26"/>
    <w:p>
      <w:pPr>
        <w:spacing w:after="0" w:line="185"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22"/>
          <w:szCs w:val="22"/>
          <w:color w:val="auto"/>
        </w:rPr>
        <w:t>harm or threaten an employer’s legitimate business interests.</w:t>
      </w:r>
    </w:p>
    <w:p>
      <w:pPr>
        <w:spacing w:after="0" w:line="206" w:lineRule="exact"/>
        <w:rPr>
          <w:sz w:val="20"/>
          <w:szCs w:val="20"/>
          <w:color w:val="auto"/>
        </w:rPr>
      </w:pPr>
    </w:p>
    <w:p>
      <w:pPr>
        <w:jc w:val="both"/>
        <w:ind w:left="743" w:hanging="743"/>
        <w:spacing w:after="0" w:line="233" w:lineRule="auto"/>
        <w:tabs>
          <w:tab w:leader="none" w:pos="74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Nebraska</w:t>
      </w:r>
      <w:r>
        <w:rPr>
          <w:rFonts w:ascii="Times New Roman" w:cs="Times New Roman" w:eastAsia="Times New Roman" w:hAnsi="Times New Roman"/>
          <w:sz w:val="22"/>
          <w:szCs w:val="22"/>
          <w:color w:val="auto"/>
        </w:rPr>
        <w:t>. If Participant’s primary work location is in Nebraska as of the date Participant’s employment with the Company ceases, then after the last day of employment the restrictions in Section 2 of this Restrictive Covenants Addendum will not apply. After Participant’s employment with the Company ceases, the restrictions of Section 3 of this Restrictive Covenants Addendum will only apply to the Company’s current Customers, and not to Prospective Customers. Also after Participant’s employment with the Company ceases, (1) the definition of “Customer” in Section 7(f) of this Restrictive Covenants Addendum shall only apply to any business or entity that is a current customer of the Company; (2) the definition of “Material Contact” in Section 7(h) of this Restrictive Covenants Addendum shall mean doing business and having personal contact with Customers during Participant’s employment with the Company; and (3) the definition of “Restricted Employee” in Section 4 of this Restrictive Covenants Addendum shall mean any employee of the Company whom Participant had material business-related contact during Participant’s employment with the Company, and who is actually employed by the Company at the time of the conduct prohibited by Section 4 of this Restrictive Covenants Addendum, or who were employed by the Company within three (3) months prior to the contact prohibited by Section 4 of this Restrictive Covenants Addendum.</w:t>
      </w:r>
    </w:p>
    <w:p>
      <w:pPr>
        <w:spacing w:after="0" w:line="179" w:lineRule="exact"/>
        <w:rPr>
          <w:rFonts w:ascii="Times New Roman" w:cs="Times New Roman" w:eastAsia="Times New Roman" w:hAnsi="Times New Roman"/>
          <w:sz w:val="22"/>
          <w:szCs w:val="22"/>
          <w:color w:val="auto"/>
        </w:rPr>
      </w:pPr>
    </w:p>
    <w:p>
      <w:pPr>
        <w:jc w:val="both"/>
        <w:ind w:left="743" w:hanging="743"/>
        <w:spacing w:after="0" w:line="244" w:lineRule="auto"/>
        <w:tabs>
          <w:tab w:leader="none" w:pos="74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Tennessee</w:t>
      </w:r>
      <w:r>
        <w:rPr>
          <w:rFonts w:ascii="Times New Roman" w:cs="Times New Roman" w:eastAsia="Times New Roman" w:hAnsi="Times New Roman"/>
          <w:sz w:val="22"/>
          <w:szCs w:val="22"/>
          <w:color w:val="auto"/>
        </w:rPr>
        <w:t>. If Participant’s primary work location is in Tennessee as of the date Participant’s employment with the Company ceases, Sections 3 and 4 of this Restrictive Covenants Addendum will prohibit Participant from engaging in the conduct described only in the “Restricted Territory.”</w:t>
      </w:r>
    </w:p>
    <w:p>
      <w:pPr>
        <w:spacing w:after="0" w:line="173" w:lineRule="exact"/>
        <w:rPr>
          <w:rFonts w:ascii="Times New Roman" w:cs="Times New Roman" w:eastAsia="Times New Roman" w:hAnsi="Times New Roman"/>
          <w:sz w:val="22"/>
          <w:szCs w:val="22"/>
          <w:color w:val="auto"/>
        </w:rPr>
      </w:pPr>
    </w:p>
    <w:p>
      <w:pPr>
        <w:jc w:val="both"/>
        <w:ind w:left="743" w:hanging="743"/>
        <w:spacing w:after="0" w:line="235" w:lineRule="auto"/>
        <w:tabs>
          <w:tab w:leader="none" w:pos="74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Virginia</w:t>
      </w:r>
      <w:r>
        <w:rPr>
          <w:rFonts w:ascii="Times New Roman" w:cs="Times New Roman" w:eastAsia="Times New Roman" w:hAnsi="Times New Roman"/>
          <w:sz w:val="22"/>
          <w:szCs w:val="22"/>
          <w:color w:val="auto"/>
        </w:rPr>
        <w:t>. If Participant’s primary work location is in Virginia, then: (i) at any time that Participant is a “low-wage employee” within the meaning of Virginia Code § 40.1-28.7:8, Section 2 of this Restrictive Covenants Addendum does not apply and Section 3 of this Restrictive Covenants Addendum is modified by deleting the phrase “or otherwise accept business from”; and (ii) as of the date Participant’s employment with the Company ceases, “Compete” as defined in Section 7(c), shall mean: providing the same or similar services or expertise Participant provided to the Company at any time during the twelve (12) months prior to cessation of employment.</w:t>
      </w:r>
    </w:p>
    <w:p>
      <w:pPr>
        <w:spacing w:after="0" w:line="224" w:lineRule="exact"/>
        <w:rPr>
          <w:sz w:val="20"/>
          <w:szCs w:val="20"/>
          <w:color w:val="auto"/>
        </w:rPr>
      </w:pPr>
    </w:p>
    <w:p>
      <w:pPr>
        <w:ind w:left="4743"/>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lvl w:ilvl="1">
      <w:lvlJc w:val="left"/>
      <w:lvlText w:val="(%2)"/>
      <w:numFmt w:val="lowerLetter"/>
      <w:start w:val="1"/>
    </w:lvl>
  </w:abstractNum>
  <w:abstractNum w:abstractNumId="3">
    <w:nsid w:val="140E0F76"/>
    <w:multiLevelType w:val="hybridMultilevel"/>
    <w:lvl w:ilvl="0">
      <w:lvlJc w:val="left"/>
      <w:lvlText w:val="(%1)"/>
      <w:numFmt w:val="lowerLetter"/>
      <w:start w:val="3"/>
    </w:lvl>
  </w:abstractNum>
  <w:abstractNum w:abstractNumId="4">
    <w:nsid w:val="3352255A"/>
    <w:multiLevelType w:val="hybridMultilevel"/>
    <w:lvl w:ilvl="0">
      <w:lvlJc w:val="left"/>
      <w:lvlText w:val="(%1)"/>
      <w:numFmt w:val="lowerLetter"/>
      <w:start w:val="5"/>
    </w:lvl>
    <w:lvl w:ilvl="1">
      <w:lvlJc w:val="left"/>
      <w:lvlText w:val="(%2)"/>
      <w:numFmt w:val="lowerRoman"/>
      <w:start w:val="1"/>
    </w:lvl>
  </w:abstractNum>
  <w:abstractNum w:abstractNumId="5">
    <w:nsid w:val="109CF92E"/>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6">
    <w:nsid w:val="DED7263"/>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7">
    <w:nsid w:val="7FDCC233"/>
    <w:multiLevelType w:val="hybridMultilevel"/>
    <w:lvl w:ilvl="0">
      <w:lvlJc w:val="left"/>
      <w:lvlText w:val="(%1)"/>
      <w:numFmt w:val="lowerLetter"/>
      <w:start w:val="2"/>
    </w:lvl>
  </w:abstractNum>
  <w:abstractNum w:abstractNumId="8">
    <w:nsid w:val="1BEFD79F"/>
    <w:multiLevelType w:val="hybridMultilevel"/>
    <w:lvl w:ilvl="0">
      <w:lvlJc w:val="left"/>
      <w:lvlText w:val="%1"/>
      <w:numFmt w:val="decimal"/>
      <w:start w:val="1"/>
    </w:lvl>
    <w:lvl w:ilvl="1">
      <w:lvlJc w:val="left"/>
      <w:lvlText w:val="(%2)"/>
      <w:numFmt w:val="lowerLetter"/>
      <w:start w:val="3"/>
    </w:lvl>
  </w:abstractNum>
  <w:abstractNum w:abstractNumId="9">
    <w:nsid w:val="41A7C4C9"/>
    <w:multiLevelType w:val="hybridMultilevel"/>
    <w:lvl w:ilvl="0">
      <w:lvlJc w:val="left"/>
      <w:lvlText w:val="%1."/>
      <w:numFmt w:val="decimal"/>
      <w:start w:val="8"/>
    </w:lvl>
    <w:lvl w:ilvl="1">
      <w:lvlJc w:val="left"/>
      <w:lvlText w:val="%2"/>
      <w:numFmt w:val="lowerLetter"/>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9"/>
    </w:lvl>
    <w:lvl w:ilvl="1">
      <w:lvlJc w:val="left"/>
      <w:lvlText w:val="(%2)"/>
      <w:numFmt w:val="lowerRoman"/>
      <w:start w:val="1"/>
    </w:lvl>
  </w:abstractNum>
  <w:abstractNum w:abstractNumId="12">
    <w:nsid w:val="25E45D32"/>
    <w:multiLevelType w:val="hybridMultilevel"/>
    <w:lvl w:ilvl="0">
      <w:lvlJc w:val="left"/>
      <w:lvlText w:val="%1."/>
      <w:numFmt w:val="decimal"/>
      <w:start w:val="1"/>
    </w:lvl>
    <w:lvl w:ilvl="1">
      <w:lvlJc w:val="left"/>
      <w:lvlText w:val="%2."/>
      <w:numFmt w:val="lowerLetter"/>
      <w:start w:val="1"/>
    </w:lvl>
  </w:abstractNum>
  <w:abstractNum w:abstractNumId="13">
    <w:nsid w:val="519B500D"/>
    <w:multiLevelType w:val="hybridMultilevel"/>
    <w:lvl w:ilvl="0">
      <w:lvlJc w:val="left"/>
      <w:lvlText w:val="%1."/>
      <w:numFmt w:val="decimal"/>
      <w:start w:val="2"/>
    </w:lvl>
  </w:abstractNum>
  <w:abstractNum w:abstractNumId="14">
    <w:nsid w:val="431BD7B7"/>
    <w:multiLevelType w:val="hybridMultilevel"/>
    <w:lvl w:ilvl="0">
      <w:lvlJc w:val="left"/>
      <w:lvlText w:val="%1."/>
      <w:numFmt w:val="decimal"/>
      <w:start w:val="5"/>
    </w:lvl>
  </w:abstractNum>
  <w:abstractNum w:abstractNumId="15">
    <w:nsid w:val="3F2DBA31"/>
    <w:multiLevelType w:val="hybridMultilevel"/>
    <w:lvl w:ilvl="0">
      <w:lvlJc w:val="left"/>
      <w:lvlText w:val="%1."/>
      <w:numFmt w:val="decimal"/>
      <w:start w:val="7"/>
    </w:lvl>
    <w:lvl w:ilvl="1">
      <w:lvlJc w:val="left"/>
      <w:lvlText w:val="%2."/>
      <w:numFmt w:val="lowerLetter"/>
      <w:start w:val="1"/>
    </w:lvl>
  </w:abstractNum>
  <w:abstractNum w:abstractNumId="16">
    <w:nsid w:val="7C83E458"/>
    <w:multiLevelType w:val="hybridMultilevel"/>
    <w:lvl w:ilvl="0">
      <w:lvlJc w:val="left"/>
      <w:lvlText w:val="%1."/>
      <w:numFmt w:val="lowerLetter"/>
      <w:start w:val="6"/>
    </w:lvl>
  </w:abstractNum>
  <w:abstractNum w:abstractNumId="17">
    <w:nsid w:val="257130A3"/>
    <w:multiLevelType w:val="hybridMultilevel"/>
    <w:lvl w:ilvl="0">
      <w:lvlJc w:val="left"/>
      <w:lvlText w:val="%1"/>
      <w:numFmt w:val="decimal"/>
      <w:start w:val="1"/>
    </w:lvl>
    <w:lvl w:ilvl="1">
      <w:lvlJc w:val="left"/>
      <w:lvlText w:val="%2."/>
      <w:numFmt w:val="lowerLetter"/>
      <w:start w:val="9"/>
    </w:lvl>
  </w:abstractNum>
  <w:abstractNum w:abstractNumId="18">
    <w:nsid w:val="62BBD95A"/>
    <w:multiLevelType w:val="hybridMultilevel"/>
    <w:lvl w:ilvl="0">
      <w:lvlJc w:val="left"/>
      <w:lvlText w:val="%1."/>
      <w:numFmt w:val="decimal"/>
      <w:start w:val="8"/>
    </w:lvl>
    <w:lvl w:ilvl="1">
      <w:lvlJc w:val="left"/>
      <w:lvlText w:val="%2"/>
      <w:numFmt w:val="lowerLetter"/>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2025-07-02T15:26:26Z</dcterms:created>
  <dcterms:modified xsi:type="dcterms:W3CDTF">2025-07-02T15:26:26Z</dcterms:modified>
</cp:coreProperties>
</file>