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3920" w:right="2760" w:hanging="3899"/>
        <w:spacing w:after="0" w:line="268" w:lineRule="auto"/>
        <w:tabs>
          <w:tab w:leader="none" w:pos="4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1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 w:lineRule="exact"/>
        <w:rPr>
          <w:sz w:val="24"/>
          <w:szCs w:val="24"/>
          <w:color w:val="auto"/>
        </w:rPr>
      </w:pPr>
    </w:p>
    <w:p>
      <w:pPr>
        <w:ind w:left="3720"/>
        <w:spacing w:after="0"/>
        <w:tabs>
          <w:tab w:leader="none" w:pos="65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Commission File Number: 001-40429</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4260" w:type="dxa"/>
            <w:vAlign w:val="bottom"/>
          </w:tcPr>
          <w:p>
            <w:pPr>
              <w:jc w:val="center"/>
              <w:spacing w:after="0"/>
              <w:rPr>
                <w:sz w:val="20"/>
                <w:szCs w:val="20"/>
                <w:color w:val="auto"/>
              </w:rPr>
            </w:pPr>
            <w:r>
              <w:rPr>
                <w:rFonts w:ascii="Arial" w:cs="Arial" w:eastAsia="Arial" w:hAnsi="Arial"/>
                <w:sz w:val="16"/>
                <w:szCs w:val="16"/>
                <w:b w:val="1"/>
                <w:bCs w:val="1"/>
                <w:color w:val="auto"/>
              </w:rPr>
              <w:t>Delaware</w:t>
            </w:r>
          </w:p>
        </w:tc>
        <w:tc>
          <w:tcPr>
            <w:tcW w:w="4700" w:type="dxa"/>
            <w:vAlign w:val="bottom"/>
          </w:tcPr>
          <w:p>
            <w:pPr>
              <w:jc w:val="right"/>
              <w:ind w:right="739"/>
              <w:spacing w:after="0"/>
              <w:rPr>
                <w:sz w:val="20"/>
                <w:szCs w:val="20"/>
                <w:color w:val="auto"/>
              </w:rPr>
            </w:pPr>
            <w:r>
              <w:rPr>
                <w:rFonts w:ascii="Arial" w:cs="Arial" w:eastAsia="Arial" w:hAnsi="Arial"/>
                <w:sz w:val="16"/>
                <w:szCs w:val="16"/>
                <w:b w:val="1"/>
                <w:bCs w:val="1"/>
                <w:color w:val="auto"/>
              </w:rPr>
              <w:t>45-3188251</w:t>
            </w:r>
          </w:p>
        </w:tc>
        <w:tc>
          <w:tcPr>
            <w:tcW w:w="0" w:type="dxa"/>
            <w:vAlign w:val="bottom"/>
          </w:tcPr>
          <w:p>
            <w:pPr>
              <w:spacing w:after="0"/>
              <w:rPr>
                <w:sz w:val="1"/>
                <w:szCs w:val="1"/>
                <w:color w:val="auto"/>
              </w:rPr>
            </w:pPr>
          </w:p>
        </w:tc>
      </w:tr>
      <w:tr>
        <w:trPr>
          <w:trHeight w:val="235"/>
        </w:trPr>
        <w:tc>
          <w:tcPr>
            <w:tcW w:w="4260" w:type="dxa"/>
            <w:vAlign w:val="bottom"/>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4700" w:type="dxa"/>
            <w:vAlign w:val="bottom"/>
          </w:tcPr>
          <w:p>
            <w:pPr>
              <w:jc w:val="center"/>
              <w:ind w:left="2119"/>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176"/>
        </w:trPr>
        <w:tc>
          <w:tcPr>
            <w:tcW w:w="4260" w:type="dxa"/>
            <w:vAlign w:val="bottom"/>
          </w:tcPr>
          <w:p>
            <w:pPr>
              <w:jc w:val="center"/>
              <w:spacing w:after="0" w:line="176" w:lineRule="exact"/>
              <w:rPr>
                <w:sz w:val="20"/>
                <w:szCs w:val="20"/>
                <w:color w:val="auto"/>
              </w:rPr>
            </w:pPr>
            <w:r>
              <w:rPr>
                <w:rFonts w:ascii="Arial" w:cs="Arial" w:eastAsia="Arial" w:hAnsi="Arial"/>
                <w:sz w:val="15"/>
                <w:szCs w:val="15"/>
                <w:b w:val="1"/>
                <w:bCs w:val="1"/>
                <w:color w:val="auto"/>
              </w:rPr>
              <w:t>18390 NE 68</w:t>
            </w:r>
            <w:r>
              <w:rPr>
                <w:rFonts w:ascii="Arial" w:cs="Arial" w:eastAsia="Arial" w:hAnsi="Arial"/>
                <w:sz w:val="20"/>
                <w:szCs w:val="20"/>
                <w:b w:val="1"/>
                <w:bCs w:val="1"/>
                <w:color w:val="auto"/>
                <w:vertAlign w:val="superscript"/>
              </w:rPr>
              <w:t>th</w:t>
            </w:r>
            <w:r>
              <w:rPr>
                <w:rFonts w:ascii="Arial" w:cs="Arial" w:eastAsia="Arial" w:hAnsi="Arial"/>
                <w:sz w:val="15"/>
                <w:szCs w:val="15"/>
                <w:b w:val="1"/>
                <w:bCs w:val="1"/>
                <w:color w:val="auto"/>
              </w:rPr>
              <w:t xml:space="preserve"> St.</w:t>
            </w:r>
          </w:p>
        </w:tc>
        <w:tc>
          <w:tcPr>
            <w:tcW w:w="4700" w:type="dxa"/>
            <w:vAlign w:val="bottom"/>
            <w:vMerge w:val="restart"/>
          </w:tcPr>
          <w:p>
            <w:pPr>
              <w:jc w:val="right"/>
              <w:ind w:right="939"/>
              <w:spacing w:after="0"/>
              <w:rPr>
                <w:sz w:val="20"/>
                <w:szCs w:val="20"/>
                <w:color w:val="auto"/>
              </w:rPr>
            </w:pPr>
            <w:r>
              <w:rPr>
                <w:rFonts w:ascii="Arial" w:cs="Arial" w:eastAsia="Arial" w:hAnsi="Arial"/>
                <w:sz w:val="16"/>
                <w:szCs w:val="16"/>
                <w:b w:val="1"/>
                <w:bCs w:val="1"/>
                <w:color w:val="auto"/>
              </w:rPr>
              <w:t>98052</w:t>
            </w:r>
          </w:p>
        </w:tc>
        <w:tc>
          <w:tcPr>
            <w:tcW w:w="0" w:type="dxa"/>
            <w:vAlign w:val="bottom"/>
          </w:tcPr>
          <w:p>
            <w:pPr>
              <w:spacing w:after="0"/>
              <w:rPr>
                <w:sz w:val="1"/>
                <w:szCs w:val="1"/>
                <w:color w:val="auto"/>
              </w:rPr>
            </w:pPr>
          </w:p>
        </w:tc>
      </w:tr>
      <w:tr>
        <w:trPr>
          <w:trHeight w:val="191"/>
        </w:trPr>
        <w:tc>
          <w:tcPr>
            <w:tcW w:w="4260" w:type="dxa"/>
            <w:vAlign w:val="bottom"/>
          </w:tcPr>
          <w:p>
            <w:pPr>
              <w:jc w:val="center"/>
              <w:spacing w:after="0"/>
              <w:rPr>
                <w:sz w:val="20"/>
                <w:szCs w:val="20"/>
                <w:color w:val="auto"/>
              </w:rPr>
            </w:pPr>
            <w:r>
              <w:rPr>
                <w:rFonts w:ascii="Arial" w:cs="Arial" w:eastAsia="Arial" w:hAnsi="Arial"/>
                <w:sz w:val="16"/>
                <w:szCs w:val="16"/>
                <w:b w:val="1"/>
                <w:bCs w:val="1"/>
                <w:color w:val="auto"/>
              </w:rPr>
              <w:t>Redmond, WA</w:t>
            </w:r>
          </w:p>
        </w:tc>
        <w:tc>
          <w:tcPr>
            <w:tcW w:w="4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60" w:type="dxa"/>
            <w:vAlign w:val="bottom"/>
          </w:tcPr>
          <w:p>
            <w:pPr>
              <w:jc w:val="center"/>
              <w:spacing w:after="0" w:line="155" w:lineRule="exact"/>
              <w:rPr>
                <w:sz w:val="20"/>
                <w:szCs w:val="20"/>
                <w:color w:val="auto"/>
              </w:rPr>
            </w:pPr>
            <w:r>
              <w:rPr>
                <w:rFonts w:ascii="Arial" w:cs="Arial" w:eastAsia="Arial" w:hAnsi="Arial"/>
                <w:sz w:val="16"/>
                <w:szCs w:val="16"/>
                <w:color w:val="auto"/>
              </w:rPr>
              <w:t>(Address of principal executive offices)</w:t>
            </w:r>
          </w:p>
        </w:tc>
        <w:tc>
          <w:tcPr>
            <w:tcW w:w="4700" w:type="dxa"/>
            <w:vAlign w:val="bottom"/>
          </w:tcPr>
          <w:p>
            <w:pPr>
              <w:jc w:val="center"/>
              <w:ind w:left="2119"/>
              <w:spacing w:after="0" w:line="155" w:lineRule="exact"/>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4700" w:type="dxa"/>
            <w:vAlign w:val="bottom"/>
          </w:tcPr>
          <w:p>
            <w:pPr>
              <w:jc w:val="right"/>
              <w:ind w:right="3419"/>
              <w:spacing w:after="0"/>
              <w:rPr>
                <w:sz w:val="20"/>
                <w:szCs w:val="20"/>
                <w:color w:val="auto"/>
              </w:rPr>
            </w:pPr>
            <w:r>
              <w:rPr>
                <w:rFonts w:ascii="Arial" w:cs="Arial" w:eastAsia="Arial" w:hAnsi="Arial"/>
                <w:sz w:val="16"/>
                <w:szCs w:val="16"/>
                <w:b w:val="1"/>
                <w:bCs w:val="1"/>
                <w:color w:val="auto"/>
              </w:rPr>
              <w:t>(888) 440-4826</w:t>
            </w:r>
          </w:p>
        </w:tc>
        <w:tc>
          <w:tcPr>
            <w:tcW w:w="0" w:type="dxa"/>
            <w:vAlign w:val="bottom"/>
          </w:tcPr>
          <w:p>
            <w:pPr>
              <w:spacing w:after="0"/>
              <w:rPr>
                <w:sz w:val="1"/>
                <w:szCs w:val="1"/>
                <w:color w:val="auto"/>
              </w:rPr>
            </w:pPr>
          </w:p>
        </w:tc>
      </w:tr>
    </w:tbl>
    <w:p>
      <w:pPr>
        <w:ind w:left="3700"/>
        <w:spacing w:after="0"/>
        <w:rPr>
          <w:sz w:val="20"/>
          <w:szCs w:val="20"/>
          <w:color w:val="auto"/>
        </w:rPr>
      </w:pPr>
      <w:r>
        <w:rPr>
          <w:rFonts w:ascii="Arial" w:cs="Arial" w:eastAsia="Arial" w:hAnsi="Arial"/>
          <w:sz w:val="16"/>
          <w:szCs w:val="16"/>
          <w:color w:val="auto"/>
        </w:rPr>
        <w:t>(Registrant’s telephone number, including area code)</w:t>
      </w:r>
    </w:p>
    <w:p>
      <w:pPr>
        <w:spacing w:after="0" w:line="116"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53340</wp:posOffset>
            </wp:positionV>
            <wp:extent cx="81280" cy="24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280" cy="24828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53340</wp:posOffset>
            </wp:positionV>
            <wp:extent cx="33655" cy="248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248285"/>
                    </a:xfrm>
                    <a:prstGeom prst="rect">
                      <a:avLst/>
                    </a:prstGeom>
                    <a:noFill/>
                  </pic:spPr>
                </pic:pic>
              </a:graphicData>
            </a:graphic>
          </wp:anchor>
        </w:drawing>
      </w:r>
    </w:p>
    <w:p>
      <w:pPr>
        <w:spacing w:after="0" w:line="61"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30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Borders>
              <w:top w:val="single" w:sz="8" w:color="auto"/>
            </w:tcBorders>
          </w:tcPr>
          <w:p>
            <w:pPr>
              <w:spacing w:after="0"/>
              <w:rPr>
                <w:sz w:val="18"/>
                <w:szCs w:val="18"/>
                <w:color w:val="auto"/>
              </w:rPr>
            </w:pPr>
          </w:p>
        </w:tc>
        <w:tc>
          <w:tcPr>
            <w:tcW w:w="4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47"/>
        </w:trPr>
        <w:tc>
          <w:tcPr>
            <w:tcW w:w="430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40" w:type="dxa"/>
            <w:vAlign w:val="bottom"/>
            <w:tcBorders>
              <w:bottom w:val="single" w:sz="8" w:color="auto"/>
              <w:right w:val="single" w:sz="8" w:color="auto"/>
            </w:tcBorders>
          </w:tcPr>
          <w:p>
            <w:pPr>
              <w:spacing w:after="0"/>
              <w:rPr>
                <w:sz w:val="12"/>
                <w:szCs w:val="12"/>
                <w:color w:val="auto"/>
              </w:rPr>
            </w:pPr>
          </w:p>
        </w:tc>
      </w:tr>
      <w:tr>
        <w:trPr>
          <w:trHeight w:val="152"/>
        </w:trPr>
        <w:tc>
          <w:tcPr>
            <w:tcW w:w="4300" w:type="dxa"/>
            <w:vAlign w:val="bottom"/>
            <w:tcBorders>
              <w:left w:val="single" w:sz="8" w:color="auto"/>
              <w:right w:val="single" w:sz="8" w:color="auto"/>
            </w:tcBorders>
          </w:tcPr>
          <w:p>
            <w:pPr>
              <w:ind w:left="40"/>
              <w:spacing w:after="0" w:line="152" w:lineRule="exact"/>
              <w:rPr>
                <w:sz w:val="20"/>
                <w:szCs w:val="20"/>
                <w:color w:val="auto"/>
              </w:rPr>
            </w:pPr>
            <w:r>
              <w:rPr>
                <w:rFonts w:ascii="Arial" w:cs="Arial" w:eastAsia="Arial" w:hAnsi="Arial"/>
                <w:sz w:val="14"/>
                <w:szCs w:val="14"/>
                <w:color w:val="auto"/>
              </w:rPr>
              <w:t>Class A Common Stock, par value $0.0001 per share</w:t>
            </w:r>
          </w:p>
        </w:tc>
        <w:tc>
          <w:tcPr>
            <w:tcW w:w="12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color w:val="auto"/>
                <w:w w:val="92"/>
              </w:rPr>
              <w:t>PAY</w:t>
            </w:r>
          </w:p>
        </w:tc>
        <w:tc>
          <w:tcPr>
            <w:tcW w:w="120" w:type="dxa"/>
            <w:vAlign w:val="bottom"/>
            <w:tcBorders>
              <w:right w:val="single" w:sz="8" w:color="auto"/>
            </w:tcBorders>
          </w:tcPr>
          <w:p>
            <w:pPr>
              <w:spacing w:after="0"/>
              <w:rPr>
                <w:sz w:val="13"/>
                <w:szCs w:val="13"/>
                <w:color w:val="auto"/>
              </w:rPr>
            </w:pPr>
          </w:p>
        </w:tc>
        <w:tc>
          <w:tcPr>
            <w:tcW w:w="49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New York Stock Exchange</w:t>
            </w:r>
          </w:p>
        </w:tc>
      </w:tr>
      <w:tr>
        <w:trPr>
          <w:trHeight w:val="135"/>
        </w:trPr>
        <w:tc>
          <w:tcPr>
            <w:tcW w:w="4300" w:type="dxa"/>
            <w:vAlign w:val="bottom"/>
            <w:tcBorders>
              <w:left w:val="single" w:sz="8" w:color="auto"/>
              <w:bottom w:val="single" w:sz="8" w:color="auto"/>
              <w:right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4940" w:type="dxa"/>
            <w:vAlign w:val="bottom"/>
            <w:tcBorders>
              <w:bottom w:val="single" w:sz="8" w:color="auto"/>
              <w:right w:val="single" w:sz="8" w:color="auto"/>
            </w:tcBorders>
          </w:tcPr>
          <w:p>
            <w:pPr>
              <w:spacing w:after="0"/>
              <w:rPr>
                <w:sz w:val="11"/>
                <w:szCs w:val="11"/>
                <w:color w:val="auto"/>
              </w:rPr>
            </w:pPr>
          </w:p>
        </w:tc>
      </w:tr>
    </w:tbl>
    <w:p>
      <w:pPr>
        <w:spacing w:after="0" w:line="16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72" w:lineRule="exact"/>
        <w:rPr>
          <w:sz w:val="24"/>
          <w:szCs w:val="24"/>
          <w:color w:val="auto"/>
        </w:rPr>
      </w:pPr>
    </w:p>
    <w:p>
      <w:pPr>
        <w:spacing w:after="0" w:line="150" w:lineRule="exact"/>
        <w:tabs>
          <w:tab w:leader="none" w:pos="762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07" w:lineRule="exact"/>
        <w:rPr>
          <w:sz w:val="24"/>
          <w:szCs w:val="24"/>
          <w:color w:val="auto"/>
        </w:rPr>
      </w:pPr>
    </w:p>
    <w:p>
      <w:pPr>
        <w:spacing w:after="0" w:line="150" w:lineRule="exact"/>
        <w:tabs>
          <w:tab w:leader="none" w:pos="724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42" w:lineRule="exact"/>
        <w:rPr>
          <w:sz w:val="24"/>
          <w:szCs w:val="24"/>
          <w:color w:val="auto"/>
        </w:rPr>
      </w:pPr>
    </w:p>
    <w:p>
      <w:pPr>
        <w:jc w:val="both"/>
        <w:ind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1" w:lineRule="exact"/>
        <w:rPr>
          <w:sz w:val="24"/>
          <w:szCs w:val="24"/>
          <w:color w:val="auto"/>
        </w:rPr>
      </w:pPr>
    </w:p>
    <w:p>
      <w:pPr>
        <w:ind w:right="24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tbl>
      <w:tblPr>
        <w:tblLayout w:type="fixed"/>
        <w:tblInd w:w="0" w:type="dxa"/>
        <w:tblCellMar>
          <w:top w:w="0" w:type="dxa"/>
          <w:left w:w="0" w:type="dxa"/>
          <w:bottom w:w="0" w:type="dxa"/>
          <w:right w:w="0" w:type="dxa"/>
        </w:tblCellMar>
      </w:tblPr>
      <w:tr>
        <w:trPr>
          <w:trHeight w:val="122"/>
        </w:trPr>
        <w:tc>
          <w:tcPr>
            <w:tcW w:w="10520" w:type="dxa"/>
            <w:vAlign w:val="bottom"/>
            <w:gridSpan w:val="3"/>
          </w:tcPr>
          <w:p>
            <w:pPr>
              <w:spacing w:after="0" w:line="123" w:lineRule="exact"/>
              <w:rPr>
                <w:sz w:val="20"/>
                <w:szCs w:val="20"/>
                <w:color w:val="auto"/>
              </w:rPr>
            </w:pPr>
            <w:r>
              <w:rPr>
                <w:rFonts w:ascii="Arial" w:cs="Arial" w:eastAsia="Arial" w:hAnsi="Arial"/>
                <w:sz w:val="13"/>
                <w:szCs w:val="13"/>
                <w:color w:val="auto"/>
              </w:rPr>
              <w:t>definitions of “large accelerated filer,” “accelerated filer,” “smaller reporting company,” and “emerging growth company” in Rule 12b-2 of the Exchange Act.</w:t>
            </w:r>
          </w:p>
        </w:tc>
        <w:tc>
          <w:tcPr>
            <w:tcW w:w="660" w:type="dxa"/>
            <w:vAlign w:val="bottom"/>
            <w:vMerge w:val="restart"/>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3"/>
                <w:szCs w:val="13"/>
                <w:color w:val="auto"/>
              </w:rPr>
              <w:t>Large accelerated filer</w:t>
            </w:r>
          </w:p>
        </w:tc>
        <w:tc>
          <w:tcPr>
            <w:tcW w:w="3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2980"/>
              <w:spacing w:after="0" w:line="135" w:lineRule="exact"/>
              <w:rPr>
                <w:sz w:val="20"/>
                <w:szCs w:val="20"/>
                <w:color w:val="auto"/>
              </w:rPr>
            </w:pPr>
            <w:r>
              <w:rPr>
                <w:rFonts w:ascii="Arial" w:cs="Arial" w:eastAsia="Arial" w:hAnsi="Arial"/>
                <w:sz w:val="13"/>
                <w:szCs w:val="13"/>
                <w:color w:val="auto"/>
              </w:rPr>
              <w:t>Accelerated filer</w:t>
            </w: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rPr>
                <w:sz w:val="20"/>
                <w:szCs w:val="20"/>
                <w:color w:val="auto"/>
              </w:rPr>
            </w:pPr>
            <w:r>
              <w:rPr>
                <w:rFonts w:ascii="Arial" w:cs="Arial" w:eastAsia="Arial" w:hAnsi="Arial"/>
                <w:sz w:val="13"/>
                <w:szCs w:val="13"/>
                <w:color w:val="auto"/>
              </w:rPr>
              <w:t>Non-accelerated filer</w:t>
            </w:r>
          </w:p>
        </w:tc>
        <w:tc>
          <w:tcPr>
            <w:tcW w:w="3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2980"/>
              <w:spacing w:after="0"/>
              <w:rPr>
                <w:sz w:val="20"/>
                <w:szCs w:val="20"/>
                <w:color w:val="auto"/>
              </w:rPr>
            </w:pPr>
            <w:r>
              <w:rPr>
                <w:rFonts w:ascii="Arial" w:cs="Arial" w:eastAsia="Arial" w:hAnsi="Arial"/>
                <w:sz w:val="13"/>
                <w:szCs w:val="13"/>
                <w:color w:val="auto"/>
              </w:rPr>
              <w:t>Smaller reporting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11"/>
        </w:trPr>
        <w:tc>
          <w:tcPr>
            <w:tcW w:w="1960" w:type="dxa"/>
            <w:vAlign w:val="bottom"/>
          </w:tcPr>
          <w:p>
            <w:pPr>
              <w:ind w:left="20"/>
              <w:spacing w:after="0"/>
              <w:rPr>
                <w:sz w:val="20"/>
                <w:szCs w:val="20"/>
                <w:color w:val="auto"/>
              </w:rPr>
            </w:pPr>
            <w:r>
              <w:rPr>
                <w:rFonts w:ascii="Arial" w:cs="Arial" w:eastAsia="Arial" w:hAnsi="Arial"/>
                <w:sz w:val="13"/>
                <w:szCs w:val="13"/>
                <w:color w:val="auto"/>
              </w:rPr>
              <w:t>Emerging growth company</w:t>
            </w:r>
          </w:p>
        </w:tc>
        <w:tc>
          <w:tcPr>
            <w:tcW w:w="3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2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1"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6" w:lineRule="exact"/>
        <w:rPr>
          <w:sz w:val="24"/>
          <w:szCs w:val="24"/>
          <w:color w:val="auto"/>
        </w:rPr>
      </w:pPr>
    </w:p>
    <w:p>
      <w:pPr>
        <w:spacing w:after="0" w:line="150" w:lineRule="exact"/>
        <w:tabs>
          <w:tab w:leader="none" w:pos="74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42" w:lineRule="exact"/>
        <w:rPr>
          <w:sz w:val="24"/>
          <w:szCs w:val="24"/>
          <w:color w:val="auto"/>
        </w:rPr>
      </w:pPr>
    </w:p>
    <w:p>
      <w:pPr>
        <w:ind w:right="180"/>
        <w:spacing w:after="0" w:line="245" w:lineRule="auto"/>
        <w:rPr>
          <w:sz w:val="20"/>
          <w:szCs w:val="20"/>
          <w:color w:val="auto"/>
        </w:rPr>
      </w:pPr>
      <w:r>
        <w:rPr>
          <w:rFonts w:ascii="Arial" w:cs="Arial" w:eastAsia="Arial" w:hAnsi="Arial"/>
          <w:sz w:val="13"/>
          <w:szCs w:val="13"/>
          <w:color w:val="auto"/>
        </w:rPr>
        <w:t>As of February 28, 2022, there were 17,679,546 shares of the Registrant’s Class A common stock outstanding and 103,336,337 shares of the Registrant’s Class B common stock outstanding. The aggregate market value of the Class A common stock held by non-affiliates of the Registrant as of the last business day of the Registrant’s most recently completed second fiscal quarter was approximately $403.4 million based on the closing sale price of the Class A common stock as reported by the New York Stock Exchange on that date of $35.50 per share.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15" w:lineRule="exact"/>
        <w:rPr>
          <w:sz w:val="24"/>
          <w:szCs w:val="24"/>
          <w:color w:val="auto"/>
        </w:rPr>
      </w:pPr>
    </w:p>
    <w:p>
      <w:pPr>
        <w:ind w:right="220"/>
        <w:spacing w:after="0" w:line="258" w:lineRule="auto"/>
        <w:rPr>
          <w:sz w:val="20"/>
          <w:szCs w:val="20"/>
          <w:color w:val="auto"/>
        </w:rPr>
      </w:pPr>
      <w:r>
        <w:rPr>
          <w:rFonts w:ascii="Arial" w:cs="Arial" w:eastAsia="Arial" w:hAnsi="Arial"/>
          <w:sz w:val="13"/>
          <w:szCs w:val="13"/>
          <w:color w:val="auto"/>
        </w:rPr>
        <w:t>Portions of the Registrant’s Definitive Proxy Statement for the 2022 Annual Meeting of Stockholders, which is expected to be filed within 120 days after the Registrant's fiscal year ended December 31, 2021,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10"/>
          </w:tcPr>
          <w:p>
            <w:pPr>
              <w:ind w:left="1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PART I</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8"/>
        </w:trPr>
        <w:tc>
          <w:tcPr>
            <w:tcW w:w="12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22"/>
          </w:tcPr>
          <w:p>
            <w:pPr>
              <w:spacing w:after="0" w:line="176"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1A.</w:t>
            </w:r>
          </w:p>
        </w:tc>
        <w:tc>
          <w:tcPr>
            <w:tcW w:w="7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180" w:type="dxa"/>
            <w:vAlign w:val="bottom"/>
            <w:gridSpan w:val="18"/>
            <w:vMerge w:val="restart"/>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1020" w:type="dxa"/>
            <w:vAlign w:val="bottom"/>
            <w:gridSpan w:val="4"/>
          </w:tcPr>
          <w:p>
            <w:pPr>
              <w:spacing w:after="0" w:line="169" w:lineRule="exact"/>
              <w:rPr>
                <w:rFonts w:ascii="Arial" w:cs="Arial" w:eastAsia="Arial" w:hAnsi="Arial"/>
                <w:sz w:val="18"/>
                <w:szCs w:val="18"/>
                <w:color w:val="0000FF"/>
              </w:rPr>
            </w:pPr>
            <w:hyperlink w:anchor="page52">
              <w:r>
                <w:rPr>
                  <w:rFonts w:ascii="Arial" w:cs="Arial" w:eastAsia="Arial" w:hAnsi="Arial"/>
                  <w:sz w:val="18"/>
                  <w:szCs w:val="18"/>
                  <w:color w:val="0000FF"/>
                </w:rPr>
                <w:t>Unresolved</w:t>
              </w:r>
            </w:hyperlink>
          </w:p>
        </w:tc>
        <w:tc>
          <w:tcPr>
            <w:tcW w:w="8180" w:type="dxa"/>
            <w:vAlign w:val="bottom"/>
            <w:gridSpan w:val="18"/>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260" w:type="dxa"/>
            <w:vAlign w:val="bottom"/>
            <w:gridSpan w:val="10"/>
          </w:tcPr>
          <w:p>
            <w:pPr>
              <w:spacing w:after="0" w:line="169" w:lineRule="exact"/>
              <w:rPr>
                <w:rFonts w:ascii="Arial" w:cs="Arial" w:eastAsia="Arial" w:hAnsi="Arial"/>
                <w:sz w:val="18"/>
                <w:szCs w:val="18"/>
                <w:color w:val="0000FF"/>
              </w:rPr>
            </w:pPr>
            <w:hyperlink w:anchor="page52">
              <w:r>
                <w:rPr>
                  <w:rFonts w:ascii="Arial" w:cs="Arial" w:eastAsia="Arial" w:hAnsi="Arial"/>
                  <w:sz w:val="18"/>
                  <w:szCs w:val="18"/>
                  <w:color w:val="0000FF"/>
                </w:rPr>
                <w:t>Properties</w:t>
              </w:r>
            </w:hyperlink>
          </w:p>
        </w:tc>
        <w:tc>
          <w:tcPr>
            <w:tcW w:w="9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3.</w:t>
            </w:r>
          </w:p>
        </w:tc>
        <w:tc>
          <w:tcPr>
            <w:tcW w:w="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4.</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53">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60" w:type="dxa"/>
            <w:vAlign w:val="bottom"/>
          </w:tcPr>
          <w:p>
            <w:pPr>
              <w:ind w:left="20"/>
              <w:spacing w:after="0"/>
              <w:rPr>
                <w:sz w:val="20"/>
                <w:szCs w:val="20"/>
                <w:color w:val="auto"/>
              </w:rPr>
            </w:pPr>
            <w:r>
              <w:rPr>
                <w:rFonts w:ascii="Arial" w:cs="Arial" w:eastAsia="Arial" w:hAnsi="Arial"/>
                <w:sz w:val="18"/>
                <w:szCs w:val="18"/>
                <w:color w:val="auto"/>
              </w:rPr>
              <w:t>PART 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line="176" w:lineRule="exact"/>
              <w:rPr>
                <w:sz w:val="20"/>
                <w:szCs w:val="20"/>
                <w:color w:val="auto"/>
              </w:rPr>
            </w:pPr>
            <w:r>
              <w:rPr>
                <w:rFonts w:ascii="Arial" w:cs="Arial" w:eastAsia="Arial" w:hAnsi="Arial"/>
                <w:sz w:val="18"/>
                <w:szCs w:val="18"/>
                <w:color w:val="auto"/>
              </w:rPr>
              <w:t>Item 5.</w:t>
            </w:r>
          </w:p>
        </w:tc>
        <w:tc>
          <w:tcPr>
            <w:tcW w:w="9200" w:type="dxa"/>
            <w:vAlign w:val="bottom"/>
            <w:gridSpan w:val="22"/>
          </w:tcPr>
          <w:p>
            <w:pPr>
              <w:spacing w:after="0" w:line="176" w:lineRule="exact"/>
              <w:rPr>
                <w:rFonts w:ascii="Arial" w:cs="Arial" w:eastAsia="Arial" w:hAnsi="Arial"/>
                <w:sz w:val="18"/>
                <w:szCs w:val="18"/>
                <w:color w:val="0000FF"/>
              </w:rPr>
            </w:pPr>
            <w:hyperlink w:anchor="page53">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6.</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8880" w:type="dxa"/>
            <w:vAlign w:val="bottom"/>
            <w:gridSpan w:val="21"/>
          </w:tcPr>
          <w:p>
            <w:pPr>
              <w:spacing w:after="0" w:line="169" w:lineRule="exact"/>
              <w:rPr>
                <w:rFonts w:ascii="Arial" w:cs="Arial" w:eastAsia="Arial" w:hAnsi="Arial"/>
                <w:sz w:val="18"/>
                <w:szCs w:val="18"/>
                <w:color w:val="0000FF"/>
              </w:rPr>
            </w:pPr>
            <w:hyperlink w:anchor="page55">
              <w:r>
                <w:rPr>
                  <w:rFonts w:ascii="Arial" w:cs="Arial" w:eastAsia="Arial" w:hAnsi="Arial"/>
                  <w:sz w:val="18"/>
                  <w:szCs w:val="18"/>
                  <w:color w:val="0000FF"/>
                </w:rPr>
                <w:t>[Reserved]</w:t>
              </w:r>
            </w:hyperlink>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7.</w:t>
            </w:r>
          </w:p>
        </w:tc>
        <w:tc>
          <w:tcPr>
            <w:tcW w:w="8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55">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7A.</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7080" w:type="dxa"/>
            <w:vAlign w:val="bottom"/>
            <w:gridSpan w:val="18"/>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Quantitative and Qualitative Disclosures About Market Risk</w:t>
              </w:r>
            </w:hyperlink>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8.</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100" w:type="dxa"/>
            <w:vAlign w:val="bottom"/>
            <w:gridSpan w:val="2"/>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4720" w:type="dxa"/>
            <w:vAlign w:val="bottom"/>
            <w:gridSpan w:val="15"/>
          </w:tcPr>
          <w:p>
            <w:pPr>
              <w:spacing w:after="0" w:line="169" w:lineRule="exact"/>
              <w:rPr>
                <w:rFonts w:ascii="Arial" w:cs="Arial" w:eastAsia="Arial" w:hAnsi="Arial"/>
                <w:sz w:val="18"/>
                <w:szCs w:val="18"/>
                <w:color w:val="0000FF"/>
              </w:rPr>
            </w:pPr>
            <w:hyperlink w:anchor="page70">
              <w:r>
                <w:rPr>
                  <w:rFonts w:ascii="Arial" w:cs="Arial" w:eastAsia="Arial" w:hAnsi="Arial"/>
                  <w:sz w:val="18"/>
                  <w:szCs w:val="18"/>
                  <w:color w:val="0000FF"/>
                </w:rPr>
                <w:t>Financial Statements and Supplementary Data</w:t>
              </w:r>
            </w:hyperlink>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9.</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9A.</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7180" w:type="dxa"/>
            <w:vAlign w:val="bottom"/>
            <w:gridSpan w:val="19"/>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Controls and Procedures</w:t>
              </w:r>
            </w:hyperlink>
          </w:p>
        </w:tc>
        <w:tc>
          <w:tcPr>
            <w:tcW w:w="84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9B.</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80" w:type="dxa"/>
            <w:vAlign w:val="bottom"/>
            <w:gridSpan w:val="2"/>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000" w:type="dxa"/>
            <w:vAlign w:val="bottom"/>
            <w:gridSpan w:val="9"/>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Other Information</w:t>
              </w:r>
            </w:hyperlink>
          </w:p>
        </w:tc>
        <w:tc>
          <w:tcPr>
            <w:tcW w:w="11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9C.</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60" w:type="dxa"/>
            <w:vAlign w:val="bottom"/>
          </w:tcPr>
          <w:p>
            <w:pPr>
              <w:ind w:left="20"/>
              <w:spacing w:after="0"/>
              <w:rPr>
                <w:sz w:val="20"/>
                <w:szCs w:val="20"/>
                <w:color w:val="auto"/>
              </w:rPr>
            </w:pPr>
            <w:r>
              <w:rPr>
                <w:rFonts w:ascii="Arial" w:cs="Arial" w:eastAsia="Arial" w:hAnsi="Arial"/>
                <w:sz w:val="18"/>
                <w:szCs w:val="18"/>
                <w:color w:val="auto"/>
              </w:rPr>
              <w:t>PART III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line="176" w:lineRule="exact"/>
              <w:rPr>
                <w:sz w:val="20"/>
                <w:szCs w:val="20"/>
                <w:color w:val="auto"/>
              </w:rPr>
            </w:pPr>
            <w:r>
              <w:rPr>
                <w:rFonts w:ascii="Arial" w:cs="Arial" w:eastAsia="Arial" w:hAnsi="Arial"/>
                <w:sz w:val="18"/>
                <w:szCs w:val="18"/>
                <w:color w:val="auto"/>
              </w:rPr>
              <w:t>Item 10.</w:t>
            </w:r>
          </w:p>
        </w:tc>
        <w:tc>
          <w:tcPr>
            <w:tcW w:w="9200" w:type="dxa"/>
            <w:vAlign w:val="bottom"/>
            <w:gridSpan w:val="22"/>
          </w:tcPr>
          <w:p>
            <w:pPr>
              <w:spacing w:after="0" w:line="176" w:lineRule="exact"/>
              <w:rPr>
                <w:rFonts w:ascii="Arial" w:cs="Arial" w:eastAsia="Arial" w:hAnsi="Arial"/>
                <w:sz w:val="18"/>
                <w:szCs w:val="18"/>
                <w:color w:val="0000FF"/>
              </w:rPr>
            </w:pPr>
            <w:hyperlink w:anchor="page102">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11.</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gridSpan w:val="3"/>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4500" w:type="dxa"/>
            <w:vAlign w:val="bottom"/>
            <w:gridSpan w:val="14"/>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Executive Compensation</w:t>
              </w:r>
            </w:hyperlink>
          </w:p>
        </w:tc>
        <w:tc>
          <w:tcPr>
            <w:tcW w:w="158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12.</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Security Ownership of Certain Beneficial Owners and Management and Related Stockholder Matters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13.</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8020" w:type="dxa"/>
            <w:vAlign w:val="bottom"/>
            <w:gridSpan w:val="20"/>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Certain Relationships and Related Transactions, and Director Independence</w:t>
              </w:r>
            </w:hyperlink>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14.</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12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6080" w:type="dxa"/>
            <w:vAlign w:val="bottom"/>
            <w:gridSpan w:val="17"/>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Principal Accounting Fees and Services</w:t>
              </w:r>
            </w:hyperlink>
          </w:p>
        </w:tc>
        <w:tc>
          <w:tcPr>
            <w:tcW w:w="312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60" w:type="dxa"/>
            <w:vAlign w:val="bottom"/>
          </w:tcPr>
          <w:p>
            <w:pPr>
              <w:ind w:left="20"/>
              <w:spacing w:after="0"/>
              <w:rPr>
                <w:sz w:val="20"/>
                <w:szCs w:val="20"/>
                <w:color w:val="auto"/>
              </w:rPr>
            </w:pPr>
            <w:r>
              <w:rPr>
                <w:rFonts w:ascii="Arial" w:cs="Arial" w:eastAsia="Arial" w:hAnsi="Arial"/>
                <w:sz w:val="18"/>
                <w:szCs w:val="18"/>
                <w:color w:val="auto"/>
              </w:rPr>
              <w:t>PART IV</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line="176" w:lineRule="exact"/>
              <w:rPr>
                <w:sz w:val="20"/>
                <w:szCs w:val="20"/>
                <w:color w:val="auto"/>
              </w:rPr>
            </w:pPr>
            <w:r>
              <w:rPr>
                <w:rFonts w:ascii="Arial" w:cs="Arial" w:eastAsia="Arial" w:hAnsi="Arial"/>
                <w:sz w:val="18"/>
                <w:szCs w:val="18"/>
                <w:color w:val="auto"/>
              </w:rPr>
              <w:t>Item 15.</w:t>
            </w:r>
          </w:p>
        </w:tc>
        <w:tc>
          <w:tcPr>
            <w:tcW w:w="9200" w:type="dxa"/>
            <w:vAlign w:val="bottom"/>
            <w:gridSpan w:val="22"/>
          </w:tcPr>
          <w:p>
            <w:pPr>
              <w:spacing w:after="0" w:line="176" w:lineRule="exact"/>
              <w:rPr>
                <w:rFonts w:ascii="Arial" w:cs="Arial" w:eastAsia="Arial" w:hAnsi="Arial"/>
                <w:sz w:val="18"/>
                <w:szCs w:val="18"/>
                <w:color w:val="0000FF"/>
              </w:rPr>
            </w:pPr>
            <w:hyperlink w:anchor="page103">
              <w:r>
                <w:rPr>
                  <w:rFonts w:ascii="Arial" w:cs="Arial" w:eastAsia="Arial" w:hAnsi="Arial"/>
                  <w:sz w:val="18"/>
                  <w:szCs w:val="18"/>
                  <w:color w:val="0000FF"/>
                </w:rPr>
                <w:t>Exhibits and Financial Statement Schedules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16.</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6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106</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520" w:type="dxa"/>
            <w:vAlign w:val="bottom"/>
            <w:gridSpan w:val="12"/>
          </w:tcPr>
          <w:p>
            <w:pPr>
              <w:spacing w:after="0" w:line="169" w:lineRule="exact"/>
              <w:rPr>
                <w:rFonts w:ascii="Arial" w:cs="Arial" w:eastAsia="Arial" w:hAnsi="Arial"/>
                <w:sz w:val="18"/>
                <w:szCs w:val="18"/>
                <w:color w:val="0000FF"/>
              </w:rPr>
            </w:pPr>
            <w:hyperlink w:anchor="page106">
              <w:r>
                <w:rPr>
                  <w:rFonts w:ascii="Arial" w:cs="Arial" w:eastAsia="Arial" w:hAnsi="Arial"/>
                  <w:sz w:val="18"/>
                  <w:szCs w:val="18"/>
                  <w:color w:val="0000FF"/>
                </w:rPr>
                <w:t>Form 10-K Summary</w:t>
              </w:r>
            </w:hyperlink>
          </w:p>
        </w:tc>
        <w:tc>
          <w:tcPr>
            <w:tcW w:w="568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752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107</w:t>
            </w:r>
          </w:p>
        </w:tc>
        <w:tc>
          <w:tcPr>
            <w:tcW w:w="0" w:type="dxa"/>
            <w:vAlign w:val="bottom"/>
          </w:tcPr>
          <w:p>
            <w:pPr>
              <w:spacing w:after="0" w:line="20" w:lineRule="exact"/>
              <w:rPr>
                <w:sz w:val="1"/>
                <w:szCs w:val="1"/>
                <w:color w:val="auto"/>
              </w:rPr>
            </w:pPr>
          </w:p>
        </w:tc>
      </w:tr>
      <w:tr>
        <w:trPr>
          <w:trHeight w:val="169"/>
        </w:trPr>
        <w:tc>
          <w:tcPr>
            <w:tcW w:w="1260" w:type="dxa"/>
            <w:vAlign w:val="bottom"/>
          </w:tcPr>
          <w:p>
            <w:pPr>
              <w:spacing w:after="0"/>
              <w:rPr>
                <w:sz w:val="14"/>
                <w:szCs w:val="14"/>
                <w:color w:val="auto"/>
              </w:rPr>
            </w:pPr>
          </w:p>
        </w:tc>
        <w:tc>
          <w:tcPr>
            <w:tcW w:w="1680" w:type="dxa"/>
            <w:vAlign w:val="bottom"/>
            <w:gridSpan w:val="7"/>
          </w:tcPr>
          <w:p>
            <w:pPr>
              <w:spacing w:after="0" w:line="169" w:lineRule="exact"/>
              <w:rPr>
                <w:rFonts w:ascii="Arial" w:cs="Arial" w:eastAsia="Arial" w:hAnsi="Arial"/>
                <w:sz w:val="18"/>
                <w:szCs w:val="18"/>
                <w:color w:val="0000FF"/>
              </w:rPr>
            </w:pPr>
            <w:hyperlink w:anchor="page107">
              <w:r>
                <w:rPr>
                  <w:rFonts w:ascii="Arial" w:cs="Arial" w:eastAsia="Arial" w:hAnsi="Arial"/>
                  <w:sz w:val="18"/>
                  <w:szCs w:val="18"/>
                  <w:color w:val="0000FF"/>
                </w:rPr>
                <w:t>Signatures</w:t>
              </w:r>
            </w:hyperlink>
          </w:p>
        </w:tc>
        <w:tc>
          <w:tcPr>
            <w:tcW w:w="7520" w:type="dxa"/>
            <w:vAlign w:val="bottom"/>
            <w:gridSpan w:val="1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26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26" w:lineRule="exact"/>
        <w:rPr>
          <w:sz w:val="20"/>
          <w:szCs w:val="20"/>
          <w:color w:val="auto"/>
        </w:rPr>
      </w:pPr>
    </w:p>
    <w:p>
      <w:pPr>
        <w:ind w:right="540" w:firstLine="494"/>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95" w:lineRule="exact"/>
        <w:rPr>
          <w:sz w:val="20"/>
          <w:szCs w:val="20"/>
          <w:color w:val="auto"/>
        </w:rPr>
      </w:pPr>
    </w:p>
    <w:p>
      <w:pPr>
        <w:ind w:left="1020" w:right="20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rapid growth may not be sustainable or indicative of future growth, and our business could be harmed if we fail to manage our infrastructure to support future growth.</w:t>
      </w:r>
    </w:p>
    <w:p>
      <w:pPr>
        <w:spacing w:after="0" w:line="88" w:lineRule="exact"/>
        <w:rPr>
          <w:rFonts w:ascii="Arial" w:cs="Arial" w:eastAsia="Arial" w:hAnsi="Arial"/>
          <w:sz w:val="18"/>
          <w:szCs w:val="18"/>
          <w:color w:val="auto"/>
        </w:rPr>
      </w:pPr>
    </w:p>
    <w:p>
      <w:pPr>
        <w:ind w:left="1020" w:right="30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unsuccessful in establishing, growing or maintaining partnerships, our ability to compete could be impaired, and our operating results may suffer.</w:t>
      </w:r>
    </w:p>
    <w:p>
      <w:pPr>
        <w:spacing w:after="0" w:line="88" w:lineRule="exact"/>
        <w:rPr>
          <w:rFonts w:ascii="Arial" w:cs="Arial" w:eastAsia="Arial" w:hAnsi="Arial"/>
          <w:sz w:val="18"/>
          <w:szCs w:val="18"/>
          <w:color w:val="auto"/>
        </w:rPr>
      </w:pPr>
    </w:p>
    <w:p>
      <w:pPr>
        <w:ind w:left="1020" w:right="28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94" w:lineRule="exact"/>
        <w:rPr>
          <w:rFonts w:ascii="Arial" w:cs="Arial" w:eastAsia="Arial" w:hAnsi="Arial"/>
          <w:sz w:val="18"/>
          <w:szCs w:val="18"/>
          <w:color w:val="auto"/>
        </w:rPr>
      </w:pPr>
    </w:p>
    <w:p>
      <w:pPr>
        <w:ind w:left="1020" w:right="64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efforts to large enterprises and large financial institutions involve considerable time and expense with long and unpredictable sales cycles.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including existing and future variants, could have a material adverse impact on our employees, billers, financial institutions, partners, consumers and other key stakeholders, which could materially and adversely impact our business, operating results and financial condition.</w:t>
      </w:r>
    </w:p>
    <w:p>
      <w:pPr>
        <w:spacing w:after="0" w:line="94" w:lineRule="exact"/>
        <w:rPr>
          <w:rFonts w:ascii="Arial" w:cs="Arial" w:eastAsia="Arial" w:hAnsi="Arial"/>
          <w:sz w:val="18"/>
          <w:szCs w:val="18"/>
          <w:color w:val="auto"/>
        </w:rPr>
      </w:pPr>
    </w:p>
    <w:p>
      <w:pPr>
        <w:ind w:left="1020" w:right="30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economic and geopolitical risk, the business cycles and credit risk of our billers, financial institutions and partners and their consumers, and the overall level of consumer, business and government spending, which could negatively affect our business, operating results and financial condition.</w:t>
      </w:r>
    </w:p>
    <w:p>
      <w:pPr>
        <w:spacing w:after="0" w:line="94" w:lineRule="exact"/>
        <w:rPr>
          <w:rFonts w:ascii="Arial" w:cs="Arial" w:eastAsia="Arial" w:hAnsi="Arial"/>
          <w:sz w:val="18"/>
          <w:szCs w:val="18"/>
          <w:color w:val="auto"/>
        </w:rPr>
      </w:pPr>
    </w:p>
    <w:p>
      <w:pPr>
        <w:ind w:left="1020" w:right="24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operating results and financial condition could be harmed.</w:t>
      </w:r>
    </w:p>
    <w:p>
      <w:pPr>
        <w:spacing w:after="0" w:line="88" w:lineRule="exact"/>
        <w:rPr>
          <w:rFonts w:ascii="Arial" w:cs="Arial" w:eastAsia="Arial" w:hAnsi="Arial"/>
          <w:sz w:val="18"/>
          <w:szCs w:val="18"/>
          <w:color w:val="auto"/>
        </w:rPr>
      </w:pPr>
    </w:p>
    <w:p>
      <w:pPr>
        <w:ind w:left="1020" w:right="16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is sensitive to shifts in payment mix and if more consumers start paying their bills by payment methods with lower transaction fees, it could materially impact our operating results.</w:t>
      </w:r>
    </w:p>
    <w:p>
      <w:pPr>
        <w:spacing w:after="0" w:line="88"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fluctuations in our operating results, which will make it difficult to project future results and may cause the market price of our Class A common stock to decline.</w:t>
      </w:r>
    </w:p>
    <w:p>
      <w:pPr>
        <w:spacing w:after="0" w:line="88" w:lineRule="exact"/>
        <w:rPr>
          <w:rFonts w:ascii="Arial" w:cs="Arial" w:eastAsia="Arial" w:hAnsi="Arial"/>
          <w:sz w:val="18"/>
          <w:szCs w:val="18"/>
          <w:color w:val="auto"/>
        </w:rPr>
      </w:pPr>
    </w:p>
    <w:p>
      <w:pPr>
        <w:ind w:left="1020" w:right="16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payment processors, sponsor banks and third-party printers to process bill payments made on our platform and our business, operating results and reputation could be harmed if we experience service interruptions related to these processors.</w:t>
      </w:r>
    </w:p>
    <w:p>
      <w:pPr>
        <w:spacing w:after="0" w:line="94" w:lineRule="exact"/>
        <w:rPr>
          <w:rFonts w:ascii="Arial" w:cs="Arial" w:eastAsia="Arial" w:hAnsi="Arial"/>
          <w:sz w:val="18"/>
          <w:szCs w:val="18"/>
          <w:color w:val="auto"/>
        </w:rPr>
      </w:pPr>
    </w:p>
    <w:p>
      <w:pPr>
        <w:ind w:left="1020" w:right="1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94"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efforts may not be effective to prevent fraudulent activities, which could expose us to material financial losses and liability and otherwise harm our business.</w:t>
      </w:r>
    </w:p>
    <w:p>
      <w:pPr>
        <w:spacing w:after="0" w:line="88" w:lineRule="exact"/>
        <w:rPr>
          <w:rFonts w:ascii="Arial" w:cs="Arial" w:eastAsia="Arial" w:hAnsi="Arial"/>
          <w:sz w:val="18"/>
          <w:szCs w:val="18"/>
          <w:color w:val="auto"/>
        </w:rPr>
      </w:pPr>
    </w:p>
    <w:p>
      <w:pPr>
        <w:ind w:left="1020" w:right="70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extensive, complex, overlapping and frequently changing rules, regulations, standards and legal interpretations, including those related to payments, card network operations and other financial services, privacy, data protection and information security, our business could be materially harmed.</w:t>
      </w:r>
    </w:p>
    <w:p>
      <w:pPr>
        <w:spacing w:after="0" w:line="94" w:lineRule="exact"/>
        <w:rPr>
          <w:rFonts w:ascii="Arial" w:cs="Arial" w:eastAsia="Arial" w:hAnsi="Arial"/>
          <w:sz w:val="18"/>
          <w:szCs w:val="18"/>
          <w:color w:val="auto"/>
        </w:rPr>
      </w:pPr>
    </w:p>
    <w:p>
      <w:pPr>
        <w:jc w:val="both"/>
        <w:ind w:left="1020" w:right="5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identified material weaknesses in our internal control over financial reporting, and if we fail to remediate these material weaknesses or if we otherwise fail to establish and maintain effective internal control over financial reporting, our ability to accurately and timely report our financial results could be adversely affected.</w:t>
      </w:r>
    </w:p>
    <w:p>
      <w:pPr>
        <w:spacing w:after="0" w:line="94" w:lineRule="exact"/>
        <w:rPr>
          <w:rFonts w:ascii="Arial" w:cs="Arial" w:eastAsia="Arial" w:hAnsi="Arial"/>
          <w:sz w:val="18"/>
          <w:szCs w:val="18"/>
          <w:color w:val="auto"/>
        </w:rPr>
      </w:pPr>
    </w:p>
    <w:p>
      <w:pPr>
        <w:ind w:left="1020" w:right="80" w:hanging="503"/>
        <w:spacing w:after="0" w:line="23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software and technology defects, undetected errors, development delays or other performance problems in our software and other technology used as part of our platform, which could damage biller, financial institution and partner relations, harm our reputation, result in significant costs to us, decrease our potential profitability and expose us to substantial liability.</w:t>
      </w:r>
    </w:p>
    <w:p>
      <w:pPr>
        <w:spacing w:after="0" w:line="96" w:lineRule="exact"/>
        <w:rPr>
          <w:rFonts w:ascii="Arial" w:cs="Arial" w:eastAsia="Arial" w:hAnsi="Arial"/>
          <w:sz w:val="18"/>
          <w:szCs w:val="18"/>
          <w:color w:val="auto"/>
        </w:rPr>
      </w:pPr>
    </w:p>
    <w:p>
      <w:pPr>
        <w:ind w:left="1020" w:right="16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94" w:lineRule="exact"/>
        <w:rPr>
          <w:rFonts w:ascii="Arial" w:cs="Arial" w:eastAsia="Arial" w:hAnsi="Arial"/>
          <w:sz w:val="18"/>
          <w:szCs w:val="18"/>
          <w:color w:val="auto"/>
        </w:rPr>
      </w:pPr>
    </w:p>
    <w:p>
      <w:pPr>
        <w:ind w:left="1020" w:right="280" w:hanging="503"/>
        <w:spacing w:after="0" w:line="23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and our billers, financial institutions and partners and their consumers and other third parties that use our platform obtain, provide and process a large amount of sensitive and personal data. Any real or perceived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 w:name="page4"/>
    <w:bookmarkEnd w:id="3"/>
    <w:p>
      <w:pPr>
        <w:ind w:left="1020"/>
        <w:spacing w:after="0" w:line="246" w:lineRule="auto"/>
        <w:rPr>
          <w:sz w:val="20"/>
          <w:szCs w:val="20"/>
          <w:color w:val="auto"/>
        </w:rPr>
      </w:pPr>
      <w:r>
        <w:rPr>
          <w:rFonts w:ascii="Arial" w:cs="Arial" w:eastAsia="Arial" w:hAnsi="Arial"/>
          <w:sz w:val="18"/>
          <w:szCs w:val="18"/>
          <w:color w:val="auto"/>
        </w:rPr>
        <w:t>improper or unauthorized use of, disclosure of or access to such data could harm our reputation as a trusted brand, as well as have a material adverse effect on our business, operating results and financial condition.</w:t>
      </w:r>
    </w:p>
    <w:p>
      <w:pPr>
        <w:spacing w:after="0" w:line="89" w:lineRule="exact"/>
        <w:rPr>
          <w:sz w:val="20"/>
          <w:szCs w:val="20"/>
          <w:color w:val="auto"/>
        </w:rPr>
      </w:pPr>
    </w:p>
    <w:p>
      <w:pPr>
        <w:ind w:left="1020" w:right="6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and our stockholders agreement have the effect of concentrating voting control with Accel-KKR, or AKKR, and our founder and chief executive officer, which limits or precludes your ability to influence corporate matters for the foreseeable future and may depress the market price of our Class A common stock.</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AKKR controls us and its interests may conflict with ours or yours in the future.</w:t>
      </w:r>
    </w:p>
    <w:p>
      <w:pPr>
        <w:spacing w:after="0" w:line="103"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97" w:lineRule="exact"/>
        <w:rPr>
          <w:sz w:val="20"/>
          <w:szCs w:val="20"/>
          <w:color w:val="auto"/>
        </w:rPr>
      </w:pPr>
    </w:p>
    <w:p>
      <w:pPr>
        <w:ind w:right="220" w:firstLine="494"/>
        <w:spacing w:after="0" w:line="246"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49" w:right="5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26" w:lineRule="exact"/>
        <w:rPr>
          <w:sz w:val="20"/>
          <w:szCs w:val="20"/>
          <w:color w:val="auto"/>
        </w:rPr>
      </w:pPr>
    </w:p>
    <w:p>
      <w:pPr>
        <w:ind w:right="200" w:firstLine="494"/>
        <w:spacing w:after="0" w:line="236" w:lineRule="auto"/>
        <w:rPr>
          <w:sz w:val="20"/>
          <w:szCs w:val="20"/>
          <w:color w:val="auto"/>
        </w:rPr>
      </w:pPr>
      <w:r>
        <w:rPr>
          <w:rFonts w:ascii="Arial" w:cs="Arial" w:eastAsia="Arial" w:hAnsi="Arial"/>
          <w:sz w:val="18"/>
          <w:szCs w:val="18"/>
          <w:color w:val="auto"/>
        </w:rPr>
        <w:t>This report contains forward-looking statements within the meaning of the federal securities laws, such as those under the heading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100"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03" w:lineRule="exact"/>
        <w:rPr>
          <w:rFonts w:ascii="Arial" w:cs="Arial" w:eastAsia="Arial" w:hAnsi="Arial"/>
          <w:sz w:val="18"/>
          <w:szCs w:val="18"/>
          <w:color w:val="auto"/>
        </w:rPr>
      </w:pPr>
    </w:p>
    <w:p>
      <w:pPr>
        <w:ind w:left="1020" w:right="960" w:hanging="503"/>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impact of the COVID-19 pandemic on our operating results, liquidity and financial condition and on our employees, billers, financial institutions, partners, consumers and other key stakeholders;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 opportunity and anticipated trends in our business and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remain competitive as we continue to scale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new product features and enhance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and their impact on consumer demand;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impact of our recent acquisitions of Payveris LLC, or Payveris and Finovera, Inc., or Finovera;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acquisitions or strategic investments in complementary companies,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enhance our brand;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 to expand into new channels and industry verticals across different markets;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expansion plans and ability to expand internationally,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factors discussed under the heading "Risk Factors" in Item 1A herein.</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4"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00"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You should not place undue reliance on our forward-looking statements.</w:t>
      </w:r>
    </w:p>
    <w:p>
      <w:pPr>
        <w:spacing w:after="0" w:line="94"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26"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427" w:right="9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rPr>
          <w:rFonts w:ascii="Arial" w:cs="Arial" w:eastAsia="Arial" w:hAnsi="Arial"/>
          <w:sz w:val="18"/>
          <w:szCs w:val="18"/>
          <w:b w:val="1"/>
          <w:bCs w:val="1"/>
          <w:u w:val="single" w:color="auto"/>
          <w:color w:val="auto"/>
        </w:rPr>
      </w:pPr>
      <w:hyperlink w:anchor="page7">
        <w:r>
          <w:rPr>
            <w:rFonts w:ascii="Arial" w:cs="Arial" w:eastAsia="Arial" w:hAnsi="Arial"/>
            <w:sz w:val="18"/>
            <w:szCs w:val="18"/>
            <w:b w:val="1"/>
            <w:bCs w:val="1"/>
            <w:u w:val="single" w:color="auto"/>
            <w:color w:val="auto"/>
          </w:rPr>
          <w:t>Item 1. 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901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1,700 biller business and financial institution clients. Our platform was used by approximately 21 million consumers and businesses in North America in December 2021 to pay their bills, make money movements and engage with our clients. We serve billers of all sizes that primarily provide non-discretionary services across a variety of industry verticals, including utilities, financial services, insurance, government, telecommunications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99"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Software-as-a -Service, or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97"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We extend our platform’s reach through our Instant Payment Network®, or IPN. This is a proprietary network, consisting of tens of thousands of billers, that connects our integrated billing, payment and reconciliation capabilities with our IPN partners’ platforms. Our IPN enables our partners, which include leading consumer technology providers, retailers and financial institutions, to access our next-generation electronic bill payment technology using the same integrated platform we provide directly to our billers. By being connected to our IPN, our IPN partners provide their consumers with the full capabilities of our next-generation product suite, including the ability to engage with and make payments to our large and growing base of billers. Those partners in turn expand our platform’s reach to millions of additional consumers in the United States and globally.</w:t>
      </w:r>
    </w:p>
    <w:p>
      <w:pPr>
        <w:spacing w:after="0" w:line="95" w:lineRule="exact"/>
        <w:rPr>
          <w:sz w:val="20"/>
          <w:szCs w:val="20"/>
          <w:color w:val="auto"/>
        </w:rPr>
      </w:pPr>
    </w:p>
    <w:p>
      <w:pPr>
        <w:ind w:right="120" w:firstLine="494"/>
        <w:spacing w:after="0" w:line="253" w:lineRule="auto"/>
        <w:rPr>
          <w:sz w:val="20"/>
          <w:szCs w:val="20"/>
          <w:color w:val="auto"/>
        </w:rPr>
      </w:pPr>
      <w:r>
        <w:rPr>
          <w:rFonts w:ascii="Arial" w:cs="Arial" w:eastAsia="Arial" w:hAnsi="Arial"/>
          <w:sz w:val="17"/>
          <w:szCs w:val="17"/>
          <w:color w:val="auto"/>
        </w:rPr>
        <w:t>Today, many billers and financial institutions rely on legacy bill payment systems that offer limited functionality, flexibility and extensibility. Billers traditionally rely on non-integrated multi-vendor solutions, which force consumers into a decentralized and fragmented experience. Similarly, financial institutions often lack the ability to view billing details or obtain payment confirmation and limit payment types to their own checking accounts. These legacy solutions result in inefficiencies in consumer communication, electronic bill presentment and payment capture, which we believe hinder a biller’s ability to create a holistic and accurate perspective on its cash flow. For financial institutions, the inadequacies of legacy solutions can have a negative impact on digital engagement, retention and cross-selling.</w:t>
      </w:r>
    </w:p>
    <w:p>
      <w:pPr>
        <w:spacing w:after="0" w:line="87"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We address these inefficiencies through our cloud-native, integrated single-vendor solution. Our platform supports omni-channel, electronic bill payments across multiple commerce channels, including online, mobile, interactive voice response, or IVR, call center, chatbot and voice-based assistants. As we do not charge development or implementation fees to billers, there is no minimum investment necessary for billers to achieve efficiencies from the use of our platform to replace some or all of their legacy bill payment systems or biller-direct solutions. We simplify how bills are paid and help billers collect revenue faster and more profitably because our platform is:</w:t>
      </w:r>
    </w:p>
    <w:p>
      <w:pPr>
        <w:spacing w:after="0" w:line="94" w:lineRule="exact"/>
        <w:rPr>
          <w:sz w:val="20"/>
          <w:szCs w:val="20"/>
          <w:color w:val="auto"/>
        </w:rPr>
      </w:pPr>
    </w:p>
    <w:p>
      <w:pPr>
        <w:ind w:left="1020" w:right="44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Scalable: Enterprise-grade platform capable of supporting transaction growth for billers and financial institutions of all sizes across numerous industry verticals.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Innovative: Artificial intelligence, or AI, and machine learning, or ML, algorithms power an omni-channel, end-to-end solution that adapts to new technologies and continuously learns from transaction activity.</w:t>
      </w:r>
    </w:p>
    <w:p>
      <w:pPr>
        <w:spacing w:after="0" w:line="88"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Flexible: Platform accessible through an array of application program interfaces, or APIs, software development kits, iFrames and fully hosted solutions that provide complete control over the user experience.</w:t>
      </w:r>
    </w:p>
    <w:p>
      <w:pPr>
        <w:spacing w:after="0" w:line="88" w:lineRule="exact"/>
        <w:rPr>
          <w:rFonts w:ascii="Arial" w:cs="Arial" w:eastAsia="Arial" w:hAnsi="Arial"/>
          <w:sz w:val="18"/>
          <w:szCs w:val="18"/>
          <w:color w:val="auto"/>
        </w:rPr>
      </w:pPr>
    </w:p>
    <w:p>
      <w:pPr>
        <w:ind w:left="1020" w:right="1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Configurable: Reconfigurable business logic that allows us to quickly implement new functionality required by new and existing billers.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7" w:name="page8"/>
    <w:bookmarkEnd w:id="7"/>
    <w:p>
      <w:pPr>
        <w:ind w:left="1020" w:right="40" w:hanging="503"/>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Integrated: Our library of over 350 integrations to core accounting software systems, including customer information systems, or CIS (which are software systems used to efficiently manage customer processes and data and often include bill pay, customer service and forecasting and analytics tools), and enterprise resource planning, or ERP, systems (which are software systems used to collect, store, manage and interpret data from many business activities, typically including accounting systems); as well as core financial institution processing platforms and certain digital banking providers, helps connect disparate systems across the electronic bill payment value chain.</w:t>
      </w:r>
    </w:p>
    <w:p>
      <w:pPr>
        <w:spacing w:after="0" w:line="96" w:lineRule="exact"/>
        <w:rPr>
          <w:rFonts w:ascii="Arial" w:cs="Arial" w:eastAsia="Arial" w:hAnsi="Arial"/>
          <w:sz w:val="18"/>
          <w:szCs w:val="18"/>
          <w:color w:val="auto"/>
        </w:rPr>
      </w:pPr>
    </w:p>
    <w:p>
      <w:pPr>
        <w:ind w:left="1020" w:right="30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Extensible: Adaptable to new technologies and emerging payment channels, such as pay-by-text, AI-based virtual assistants and social media payments.</w:t>
      </w:r>
    </w:p>
    <w:p>
      <w:pPr>
        <w:spacing w:after="0" w:line="88" w:lineRule="exact"/>
        <w:rPr>
          <w:rFonts w:ascii="Arial" w:cs="Arial" w:eastAsia="Arial" w:hAnsi="Arial"/>
          <w:sz w:val="18"/>
          <w:szCs w:val="18"/>
          <w:color w:val="auto"/>
        </w:rPr>
      </w:pPr>
    </w:p>
    <w:p>
      <w:pPr>
        <w:ind w:left="1020" w:right="58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Secure: Multi-layer intrusion detection and prevention system, multi-factor authentication and encryption and tokenization designed for trust and security of transaction activity and information.</w:t>
      </w:r>
    </w:p>
    <w:p>
      <w:pPr>
        <w:spacing w:after="0" w:line="89"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We seek to enhance our biller network to gain market share. We believe our ability to seamlessly serve billers, financial institutions, partners and consumers uniquely positions us at the center of a multi-sided network and enables us to drive a powerful, and accelerating, flywheel effect. Our robust platform attracts billers, financial institutions and partners seeking to build stronger relationships with their consumers. Adding more billers, financial institutions and partners extends our platform’s reach to more consumers. These consumers drive more transactions to our platform, which strengthens biller, financial institution and partner retention and in turn accelerates our organic growth. As we scale, we seek to drive increases in our operating leverage, which in turn is expected to enable higher profitability and more efficient biller, financial institution and partner acquisition.</w:t>
      </w:r>
    </w:p>
    <w:p>
      <w:pPr>
        <w:spacing w:after="0" w:line="203" w:lineRule="exact"/>
        <w:rPr>
          <w:sz w:val="20"/>
          <w:szCs w:val="20"/>
          <w:color w:val="auto"/>
        </w:rPr>
      </w:pPr>
    </w:p>
    <w:p>
      <w:pPr>
        <w:ind w:right="140" w:firstLine="494"/>
        <w:spacing w:after="0" w:line="237" w:lineRule="auto"/>
        <w:rPr>
          <w:sz w:val="20"/>
          <w:szCs w:val="20"/>
          <w:color w:val="auto"/>
        </w:rPr>
      </w:pPr>
      <w:r>
        <w:rPr>
          <w:rFonts w:ascii="Arial" w:cs="Arial" w:eastAsia="Arial" w:hAnsi="Arial"/>
          <w:sz w:val="18"/>
          <w:szCs w:val="18"/>
          <w:color w:val="auto"/>
        </w:rPr>
        <w:t>We rely on a diversified go-to-market strategy including direct sales, software and strategic partnerships, resellers and our IPN. While the direct sales channel is an important part of our business, we also rely on our software and strategic partners and resellers to deliver our solutions to our billers and financial institutions. Our software partners, such as Oracle, integrate our platform into their software products enabling us to power their bill payment capabilities. Our strategic partners, such as JPMorgan Chase, U.S. Bank, and a major payroll solutions provider, refer new billers to our platform and in many cases we jointly sell to prospective customers with our strategic partners. Some of our strategic partners, particularly banks, also integrate our solutions into their platforms to provide an integrated bill presentment and omni-channel bill payment solution to their customers, and as such they are also IPN partners.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IPN promotes more rapid adoption of our platform through partnerships with leading business networks, including:</w:t>
      </w:r>
    </w:p>
    <w:p>
      <w:pPr>
        <w:spacing w:after="0" w:line="104" w:lineRule="exact"/>
        <w:rPr>
          <w:sz w:val="20"/>
          <w:szCs w:val="20"/>
          <w:color w:val="auto"/>
        </w:rPr>
      </w:pPr>
    </w:p>
    <w:p>
      <w:pPr>
        <w:ind w:left="1020" w:right="10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Banking Partners: We modernize the bill payment infrastructure of banks and credit unions of all sizes, empowering their digital banking consumers with fast, secure and omni-channel payment technology by seamlessly integrating our solution into their digital platforms.</w:t>
      </w:r>
    </w:p>
    <w:p>
      <w:pPr>
        <w:spacing w:after="0" w:line="94" w:lineRule="exact"/>
        <w:rPr>
          <w:rFonts w:ascii="Arial" w:cs="Arial" w:eastAsia="Arial" w:hAnsi="Arial"/>
          <w:sz w:val="18"/>
          <w:szCs w:val="18"/>
          <w:color w:val="auto"/>
        </w:rPr>
      </w:pPr>
    </w:p>
    <w:p>
      <w:pPr>
        <w:jc w:val="both"/>
        <w:ind w:left="1020" w:right="38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eCommerce Partner: We power electronic bill payments through the mobile app and AI-assistant voice service of a leading global ecommerce retailer, enabling millions of its users to retrieve information about, and pay, their bills for all billers on our network.</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PayPal: We enable PayPal’s U.S. consumers to pay their bills directly from PayPal apps.</w:t>
      </w:r>
    </w:p>
    <w:p>
      <w:pPr>
        <w:spacing w:after="0" w:line="103" w:lineRule="exact"/>
        <w:rPr>
          <w:rFonts w:ascii="Arial" w:cs="Arial" w:eastAsia="Arial" w:hAnsi="Arial"/>
          <w:sz w:val="18"/>
          <w:szCs w:val="18"/>
          <w:color w:val="auto"/>
        </w:rPr>
      </w:pPr>
    </w:p>
    <w:p>
      <w:pPr>
        <w:jc w:val="both"/>
        <w:ind w:left="1020" w:right="20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Partners: Other partners benefit from our IPN in a variety of ways, such as enabling bill payment for consumers at more than 70,000 retail locations. For example, we enable Walmart’s consumers to pay their bills either in-store at retail locations or online via Walmart’s retail websites or mobile apps.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Industry Overview</w:t>
      </w:r>
    </w:p>
    <w:p>
      <w:pPr>
        <w:spacing w:after="0" w:line="12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believe the bill payment industry is undergoing technological transformation as consumers, billers and financial institutions demand a straightforward and streamlined approach to electronic bill presentment and payment and consumer engagement. The following key trends are currently defining the industry: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Bill Payment Requires an Integrated, Single-vendor Solution</w:t>
      </w:r>
    </w:p>
    <w:p>
      <w:pPr>
        <w:spacing w:after="0" w:line="126" w:lineRule="exact"/>
        <w:rPr>
          <w:sz w:val="20"/>
          <w:szCs w:val="20"/>
          <w:color w:val="auto"/>
        </w:rPr>
      </w:pPr>
    </w:p>
    <w:p>
      <w:pPr>
        <w:ind w:right="60" w:firstLine="494"/>
        <w:spacing w:after="0" w:line="234" w:lineRule="auto"/>
        <w:rPr>
          <w:sz w:val="20"/>
          <w:szCs w:val="20"/>
          <w:color w:val="auto"/>
        </w:rPr>
      </w:pPr>
      <w:r>
        <w:rPr>
          <w:rFonts w:ascii="Arial" w:cs="Arial" w:eastAsia="Arial" w:hAnsi="Arial"/>
          <w:sz w:val="18"/>
          <w:szCs w:val="18"/>
          <w:color w:val="auto"/>
        </w:rPr>
        <w:t>As electronic bill payments continue to evolve with consumer preferences, billers and financial institutions demand an integrated single-vendor solution suite to remain competitive. A typical electronic bill payment experience requires the coordination of multiple vendors for bill notification, presentment, various payment channels, call center support, and data and analytics. These vendors lack integration, which results in a fragmented consumer experience and increased cost to the biller. Billers and financial institutions that are able to access a single, integrated end-to-end solution are able to provide a seamless experience for their consumers.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Billers and Consumers Are Underserved by Financial Institutions</w:t>
      </w:r>
    </w:p>
    <w:p>
      <w:pPr>
        <w:spacing w:after="0" w:line="126"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Traditional financial institutions have been slow to adopt modern digital bill payment technologies and the legacy providers which the financial institutions rely on have failed to innovate. Over the last decade, U.S. online consumer bill payment volume made through a bank’s bill payment solution has decreased from approximately 40% to approximately 20%. We believe this reduction is driven by consistent under-investment by financial institutions and legacy providers in their bill payment platforms, resulting in a poor consumer experience. Generally, consumers must manually add billers to a financial institution’s system and are generally limited to automated clearing house, or ACH, or other legacy payment channels rather than omni-channel payment capabilities. Ultimately, the lack of optionality and transparency inherent to a financial institution’s bill payment solutions creates an opportunity that we seek to address.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Payment Options Through Online and Mobile Channels Are Transforming the Market</w:t>
      </w:r>
    </w:p>
    <w:p>
      <w:pPr>
        <w:spacing w:after="0" w:line="126"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Consumers are transacting anywhere and everywhere and through different channels. With the widespread use of mobile phones and home computers, consumer devices are becoming the aggregation point for billing information. As consumers move beyond paper checks and adopt emerging payment technologies, we believe the continued digitization of the bill payment industry will manifest through increased adoption of technologies such as pay by text, digital wallets and AI-based assistants. The emergence of these new technologies unlocks previously untapped opportunities to grow our network.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Is Being Underutilized</w:t>
      </w:r>
    </w:p>
    <w:p>
      <w:pPr>
        <w:spacing w:after="0" w:line="126"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Consumer bill payment transactions are rich repositories of data that can be used to significantly improve the electronic bill payment experience. We believe the bill payment industry has under-invested in the technology required to capture and analyze this data. As the industry continues to evolve around changing consumer preferences and the emergence of new payment technologies, data and analytics plays an increasingly important role in improving the full transaction value chain. Our proprietary transactional data creates workflow efficiencies and provides insights (e.g., payment methods depending on bill size and bill type) that strengthen the connection between billers and consumers.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Platform and Solutions</w:t>
      </w:r>
    </w:p>
    <w:p>
      <w:pPr>
        <w:spacing w:after="0" w:line="126"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Our biller platform is purpose-built to transform the way billers get paid and engage with their consumers. Our AI-driven SaaS platform provides a single-vendor solution that enhances the bill payment ecosystem with new functionality and added transparency. Our single code base architecture maximizes the inherent flexibility, extensibility and configurability of our solutions, which allows us to rapidly deploy our solutions to our billers.</w:t>
      </w:r>
    </w:p>
    <w:p>
      <w:pPr>
        <w:spacing w:after="0" w:line="97"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Our platform for financial institutions reconnects the financial institutions to their customers by providing a frictionless, real-time financial hub where consumers can consolidate their financial obligations, pay bills, move money in real time and deepen their understanding of their own financial position. Customers get a centralized viewpoint over all their money movement needs and the financial institutions get insights into their customers’ behavior than can inform a meaningful evolution of the customer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Single Point of Access</w:t>
      </w:r>
    </w:p>
    <w:p>
      <w:pPr>
        <w:spacing w:after="0" w:line="126"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APIs: Our easy-to-use APIs enable billers, financial institutions and partners to seamlessly access the entirety of our network through a single connection.</w:t>
      </w:r>
    </w:p>
    <w:p>
      <w:pPr>
        <w:spacing w:after="0" w:line="89"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iFrames: Enables our billers, financial institutions and partners to exercise more control over the user experience by customizing the business logic to meet their specific requirements. Many of our billers who use iFrames have in-house IT resources but use our infrastructure for payment processing and Payment Card Industry Data Security Standard, or PCI-DSS compliance.</w:t>
      </w:r>
    </w:p>
    <w:p>
      <w:pPr>
        <w:spacing w:after="0" w:line="95" w:lineRule="exact"/>
        <w:rPr>
          <w:sz w:val="20"/>
          <w:szCs w:val="20"/>
          <w:color w:val="auto"/>
        </w:rPr>
      </w:pPr>
    </w:p>
    <w:p>
      <w:pPr>
        <w:ind w:right="340" w:firstLine="494"/>
        <w:spacing w:after="0" w:line="246" w:lineRule="auto"/>
        <w:rPr>
          <w:sz w:val="20"/>
          <w:szCs w:val="20"/>
          <w:color w:val="auto"/>
        </w:rPr>
      </w:pPr>
      <w:r>
        <w:rPr>
          <w:rFonts w:ascii="Arial" w:cs="Arial" w:eastAsia="Arial" w:hAnsi="Arial"/>
          <w:sz w:val="18"/>
          <w:szCs w:val="18"/>
          <w:color w:val="auto"/>
        </w:rPr>
        <w:t>Fully Hosted: We also provide a fully hosted alternative for our billers. In this option, our hosted platform provides our billers the full power of our platform without incurring the cost of using their own IT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Solutions</w:t>
      </w:r>
    </w:p>
    <w:p>
      <w:pPr>
        <w:spacing w:after="0" w:line="126" w:lineRule="exact"/>
        <w:rPr>
          <w:sz w:val="20"/>
          <w:szCs w:val="20"/>
          <w:color w:val="auto"/>
        </w:rPr>
      </w:pPr>
    </w:p>
    <w:p>
      <w:pPr>
        <w:ind w:right="200" w:firstLine="494"/>
        <w:spacing w:after="0" w:line="234" w:lineRule="auto"/>
        <w:rPr>
          <w:sz w:val="20"/>
          <w:szCs w:val="20"/>
          <w:color w:val="auto"/>
        </w:rPr>
      </w:pPr>
      <w:r>
        <w:rPr>
          <w:rFonts w:ascii="Arial" w:cs="Arial" w:eastAsia="Arial" w:hAnsi="Arial"/>
          <w:sz w:val="18"/>
          <w:szCs w:val="18"/>
          <w:color w:val="auto"/>
        </w:rPr>
        <w:t>Engagement: We believe billers must regularly engage with their consumers using actionable and contextualized data. Our smart notifications and messaging tools enable billers to provide billing details to their consumers, such as account status, and directly communicate with them over secure channels. Our response-time survey of hundreds of our billers’ unique consumers showed that billers who delivered billing reminders using the smart notifications and messaging tools on our platform, in addition to using outbound IVR phone calls that are also available without using our platform, received 30% more timely payments. Our engagement products help billers and financial institutions facilitate timely and secure bill payments, while driving digital adoption and reducing cost to serve.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9" w:name="page10"/>
    <w:bookmarkEnd w:id="9"/>
    <w:p>
      <w:pPr>
        <w:ind w:right="20" w:firstLine="494"/>
        <w:spacing w:after="0" w:line="238" w:lineRule="auto"/>
        <w:rPr>
          <w:sz w:val="20"/>
          <w:szCs w:val="20"/>
          <w:color w:val="auto"/>
        </w:rPr>
      </w:pPr>
      <w:r>
        <w:rPr>
          <w:rFonts w:ascii="Arial" w:cs="Arial" w:eastAsia="Arial" w:hAnsi="Arial"/>
          <w:sz w:val="18"/>
          <w:szCs w:val="18"/>
          <w:color w:val="auto"/>
        </w:rPr>
        <w:t>Presentment: Consumers are increasingly demanding omni-channel access to their bills through their preferred engagement channels. Our solution offers electronic bill presentment across numerous channels including web, mobile, text, secure PDF, email, IVR, chatbot, social media and through our IPN partners. Our electronic bill presentment products help billers maximize their reach to accelerate revenue realization and engage consumers more efficiently.</w:t>
      </w:r>
    </w:p>
    <w:p>
      <w:pPr>
        <w:spacing w:after="0" w:line="97"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Empowerment: Our comprehensive suite of solutions empowers consumers and billers to customize, control and enhance the bill payment experience. Consumers can control communication preferences, multi-lingual capabilities, self-directed payment scheduling, multi-account management and dispute management. Billers are able to use automated case management and configurable reporting to quickly and comprehensively provide high-quality customer service.</w:t>
      </w:r>
    </w:p>
    <w:p>
      <w:pPr>
        <w:spacing w:after="0" w:line="97"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Payment: We believe consumers demand an omni-channel payment experience that enables use of their preferred payment type and channel. Our secure and comprehensive omni-channel payment platform supports traditional and emerging payment technologies across multiple currencies and languages. Our platform supports electronic bill payments using credit, debit, ACH and digital wallets across a variety of payment channels, including web, mobile, IVR, text, secure PDF, chatbot, agent-assisted (call center), in-person, the AI-assistant voice service of a leading global ecommerce retailer, in Walmart and certain other retail stores, and through alternative payment rails such as PayPal. We support one-time payments, as well as future-dated, recurring and payment plan transactions.</w:t>
      </w:r>
    </w:p>
    <w:p>
      <w:pPr>
        <w:spacing w:after="0" w:line="97" w:lineRule="exact"/>
        <w:rPr>
          <w:sz w:val="20"/>
          <w:szCs w:val="20"/>
          <w:color w:val="auto"/>
        </w:rPr>
      </w:pPr>
    </w:p>
    <w:p>
      <w:pPr>
        <w:ind w:right="280" w:firstLine="494"/>
        <w:spacing w:after="0" w:line="238" w:lineRule="auto"/>
        <w:rPr>
          <w:sz w:val="20"/>
          <w:szCs w:val="20"/>
          <w:color w:val="auto"/>
        </w:rPr>
      </w:pPr>
      <w:r>
        <w:rPr>
          <w:rFonts w:ascii="Arial" w:cs="Arial" w:eastAsia="Arial" w:hAnsi="Arial"/>
          <w:sz w:val="18"/>
          <w:szCs w:val="18"/>
          <w:color w:val="auto"/>
        </w:rPr>
        <w:t>Intelligence: Electronic bill payment transactions contain a rich volume of consumer and behavioral data that can improve the bill payment experience for billers and consumers. Our AI-powered analytics engine produces data-driven insights on consumer preferences, channel usage, bill lifecycles, messaging effectiveness and paper suppression and can be used by billers to improve the consumer experience. For example, our analytics engine can analyze frequently asked questions to call centers and enable billers to quickly predict answers to those questions in the future, creating a better consumer experience with reduced cost to serve for the biller.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Architecture</w:t>
      </w:r>
    </w:p>
    <w:p>
      <w:pPr>
        <w:spacing w:after="0" w:line="126"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Single Code Base: Our extensible, cloud-based payments platform was built from the ground-up on a single code base with no versioning, which enables rapid deployment of new features and tools in part because there is no need to manage and reconcile separate versions of our software code. This flexibility empowers billers, financial institutions and partners across our network to offer their consumers the strength of our platform without paying us development or implementation fees.</w:t>
      </w:r>
    </w:p>
    <w:p>
      <w:pPr>
        <w:spacing w:after="0" w:line="97" w:lineRule="exact"/>
        <w:rPr>
          <w:sz w:val="20"/>
          <w:szCs w:val="20"/>
          <w:color w:val="auto"/>
        </w:rPr>
      </w:pPr>
    </w:p>
    <w:p>
      <w:pPr>
        <w:ind w:right="380" w:firstLine="494"/>
        <w:spacing w:after="0"/>
        <w:rPr>
          <w:sz w:val="20"/>
          <w:szCs w:val="20"/>
          <w:color w:val="auto"/>
        </w:rPr>
      </w:pPr>
      <w:r>
        <w:rPr>
          <w:rFonts w:ascii="Arial" w:cs="Arial" w:eastAsia="Arial" w:hAnsi="Arial"/>
          <w:sz w:val="18"/>
          <w:szCs w:val="18"/>
          <w:color w:val="auto"/>
        </w:rPr>
        <w:t>AI / ML: Our biller platform uses AI and ML algorithms to increase efficiency and extract data-driven insights from transactions and interactions between consumers, billers, partners and our platform. These algorithms are embedded within, and enhance, each of our technology solutions to deliver a more intelligent and predictive consumer experience.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Platform Features</w:t>
      </w:r>
    </w:p>
    <w:p>
      <w:pPr>
        <w:spacing w:after="0" w:line="126" w:lineRule="exact"/>
        <w:rPr>
          <w:sz w:val="20"/>
          <w:szCs w:val="20"/>
          <w:color w:val="auto"/>
        </w:rPr>
      </w:pPr>
    </w:p>
    <w:p>
      <w:pPr>
        <w:jc w:val="both"/>
        <w:ind w:right="640" w:firstLine="494"/>
        <w:spacing w:after="0"/>
        <w:rPr>
          <w:sz w:val="20"/>
          <w:szCs w:val="20"/>
          <w:color w:val="auto"/>
        </w:rPr>
      </w:pPr>
      <w:r>
        <w:rPr>
          <w:rFonts w:ascii="Arial" w:cs="Arial" w:eastAsia="Arial" w:hAnsi="Arial"/>
          <w:sz w:val="18"/>
          <w:szCs w:val="18"/>
          <w:color w:val="auto"/>
        </w:rPr>
        <w:t>The electronic bill payment process involves more than just a payment. It requires an end-to-end engagement mechanism that facilitates communication and payment between billers, partners and consumers to ensure timely and transparent payment through a frictionless consumer experience. Various features of our platform support this:</w:t>
      </w:r>
    </w:p>
    <w:p>
      <w:pPr>
        <w:spacing w:after="0" w:line="95"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Consumer Engagement: We enable our billers to improve their consumer engagement with targeted communications, such as smart notifications, broadcast messaging, inbound and outbound communications, and campaign management, all of which are managed by our communications management tools. Our engagement modules allow billers to communicate with consumers based on desired characteristics such as regional location, due date, account status (such as late payment), or custom logic. Our billers can also communicate new offerings, incentives for payment and new payment types (such as PayPal). In 2021, our billers sent approximately 135 million emails, sent 8 million text messages and had over 2 million IVR calls using our communications modules.</w:t>
      </w:r>
    </w:p>
    <w:p>
      <w:pPr>
        <w:spacing w:after="0" w:line="97"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Bill Presentment: Billers can present electronic bills and balance amounts through the biller’s own mobile app, text, secure PDFs, IVR, and chatbots or via alternative channels such as digital wallets, the AI-assistant voice service of a leading global ecommerce retailer, PayPal’s bill pay app, social media and our other IPN Partners.</w:t>
      </w:r>
    </w:p>
    <w:p>
      <w:pPr>
        <w:spacing w:after="0" w:line="95" w:lineRule="exact"/>
        <w:rPr>
          <w:sz w:val="20"/>
          <w:szCs w:val="20"/>
          <w:color w:val="auto"/>
        </w:rPr>
      </w:pPr>
    </w:p>
    <w:p>
      <w:pPr>
        <w:ind w:right="300" w:firstLine="494"/>
        <w:spacing w:after="0"/>
        <w:rPr>
          <w:sz w:val="20"/>
          <w:szCs w:val="20"/>
          <w:color w:val="auto"/>
        </w:rPr>
      </w:pPr>
      <w:r>
        <w:rPr>
          <w:rFonts w:ascii="Arial" w:cs="Arial" w:eastAsia="Arial" w:hAnsi="Arial"/>
          <w:sz w:val="18"/>
          <w:szCs w:val="18"/>
          <w:color w:val="auto"/>
        </w:rPr>
        <w:t>Consumer and Biller Employee Empowerment: We enable billers and financial institutions to empower both their consumers and employees, which significantly increases consumer satisfaction and on-time bill payment rates for many of our billers. Billers and financial institutions are able to empower consumers with an array of choices:</w:t>
      </w:r>
    </w:p>
    <w:p>
      <w:pPr>
        <w:spacing w:after="0" w:line="95"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communications preferences – consumers can choose email, text, portal or otherwise;</w:t>
      </w:r>
    </w:p>
    <w:p>
      <w:pPr>
        <w:spacing w:after="0" w:line="103" w:lineRule="exact"/>
        <w:rPr>
          <w:rFonts w:ascii="Arial" w:cs="Arial" w:eastAsia="Arial" w:hAnsi="Arial"/>
          <w:sz w:val="18"/>
          <w:szCs w:val="18"/>
          <w:color w:val="auto"/>
        </w:rPr>
      </w:pPr>
    </w:p>
    <w:p>
      <w:pPr>
        <w:ind w:left="5520" w:right="400" w:hanging="5003"/>
        <w:spacing w:after="0" w:line="246" w:lineRule="auto"/>
        <w:tabs>
          <w:tab w:leader="none" w:pos="1022" w:val="left"/>
        </w:tabs>
        <w:numPr>
          <w:ilvl w:val="0"/>
          <w:numId w:val="9"/>
        </w:numPr>
        <w:rPr>
          <w:rFonts w:ascii="Arial" w:cs="Arial" w:eastAsia="Arial" w:hAnsi="Arial"/>
          <w:sz w:val="18"/>
          <w:szCs w:val="18"/>
          <w:color w:val="auto"/>
        </w:rPr>
      </w:pPr>
      <w:r>
        <w:rPr>
          <w:rFonts w:ascii="Arial" w:cs="Arial" w:eastAsia="Arial" w:hAnsi="Arial"/>
          <w:sz w:val="18"/>
          <w:szCs w:val="18"/>
          <w:color w:val="auto"/>
        </w:rPr>
        <w:t>language preferences – consumers can select their preferred language for receiving billing information and interact via IVR;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left="1020" w:right="12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scheduling and type – consumers can schedule payments at specific times and use specific payment type to best suit their needs;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multi-account management – consumers can manage multiple accounts with a single provider in one place.</w:t>
      </w:r>
    </w:p>
    <w:p>
      <w:pPr>
        <w:spacing w:after="0" w:line="104" w:lineRule="exact"/>
        <w:rPr>
          <w:sz w:val="20"/>
          <w:szCs w:val="20"/>
          <w:color w:val="auto"/>
        </w:rPr>
      </w:pPr>
    </w:p>
    <w:p>
      <w:pPr>
        <w:ind w:right="300" w:firstLine="494"/>
        <w:spacing w:after="0" w:line="246" w:lineRule="auto"/>
        <w:rPr>
          <w:sz w:val="20"/>
          <w:szCs w:val="20"/>
          <w:color w:val="auto"/>
        </w:rPr>
      </w:pPr>
      <w:r>
        <w:rPr>
          <w:rFonts w:ascii="Arial" w:cs="Arial" w:eastAsia="Arial" w:hAnsi="Arial"/>
          <w:sz w:val="18"/>
          <w:szCs w:val="18"/>
          <w:color w:val="auto"/>
        </w:rPr>
        <w:t>We offer complementary features to our biller’s employees, including tools for automated case management, configurable reporting and “see what they see” where the customer service employees can see exactly what the consumer sees to quickly resolve problems.</w:t>
      </w:r>
    </w:p>
    <w:p>
      <w:pPr>
        <w:spacing w:after="0" w:line="89" w:lineRule="exact"/>
        <w:rPr>
          <w:sz w:val="20"/>
          <w:szCs w:val="20"/>
          <w:color w:val="auto"/>
        </w:rPr>
      </w:pPr>
    </w:p>
    <w:p>
      <w:pPr>
        <w:ind w:right="440" w:firstLine="494"/>
        <w:spacing w:after="0"/>
        <w:rPr>
          <w:sz w:val="20"/>
          <w:szCs w:val="20"/>
          <w:color w:val="auto"/>
        </w:rPr>
      </w:pPr>
      <w:r>
        <w:rPr>
          <w:rFonts w:ascii="Arial" w:cs="Arial" w:eastAsia="Arial" w:hAnsi="Arial"/>
          <w:sz w:val="18"/>
          <w:szCs w:val="18"/>
          <w:color w:val="auto"/>
        </w:rPr>
        <w:t>We have also made significant investments in research and development, including in an automated, streamlined onboarding experience to help our billers and financial institutions go live faster and in self-service features to help billers quickly adapt to consumer needs.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Payment Types: We have significantly invested in innovative payment types to provide billers a seamless, omni-channel suite of tools.</w:t>
      </w:r>
    </w:p>
    <w:p>
      <w:pPr>
        <w:spacing w:after="0"/>
        <w:rPr>
          <w:sz w:val="20"/>
          <w:szCs w:val="20"/>
          <w:color w:val="auto"/>
        </w:rPr>
      </w:pPr>
      <w:r>
        <w:rPr>
          <w:rFonts w:ascii="Arial" w:cs="Arial" w:eastAsia="Arial" w:hAnsi="Arial"/>
          <w:sz w:val="18"/>
          <w:szCs w:val="18"/>
          <w:color w:val="auto"/>
        </w:rPr>
        <w:t>We believe no other provider in our markets offers a similar array of easy-to-implement options.</w:t>
      </w:r>
    </w:p>
    <w:p>
      <w:pPr>
        <w:spacing w:after="0" w:line="104" w:lineRule="exact"/>
        <w:rPr>
          <w:sz w:val="20"/>
          <w:szCs w:val="20"/>
          <w:color w:val="auto"/>
        </w:rPr>
      </w:pPr>
    </w:p>
    <w:p>
      <w:pPr>
        <w:ind w:right="400" w:firstLine="494"/>
        <w:spacing w:after="0" w:line="246" w:lineRule="auto"/>
        <w:rPr>
          <w:sz w:val="20"/>
          <w:szCs w:val="20"/>
          <w:color w:val="auto"/>
        </w:rPr>
      </w:pPr>
      <w:r>
        <w:rPr>
          <w:rFonts w:ascii="Arial" w:cs="Arial" w:eastAsia="Arial" w:hAnsi="Arial"/>
          <w:sz w:val="18"/>
          <w:szCs w:val="18"/>
          <w:color w:val="auto"/>
        </w:rPr>
        <w:t>These features are seamlessly integrated with our engagement and empowerment tools to provide a superior consumer biller and financial institutions experience. Our platform supports a variety of payment types, including:</w:t>
      </w:r>
    </w:p>
    <w:p>
      <w:pPr>
        <w:spacing w:after="0" w:line="89"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 and eCheck;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debit card;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card;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emerging payment types.</w:t>
      </w:r>
    </w:p>
    <w:p>
      <w:pPr>
        <w:spacing w:after="0" w:line="104" w:lineRule="exact"/>
        <w:rPr>
          <w:sz w:val="20"/>
          <w:szCs w:val="20"/>
          <w:color w:val="auto"/>
        </w:rPr>
      </w:pPr>
    </w:p>
    <w:p>
      <w:pPr>
        <w:ind w:right="140" w:firstLine="494"/>
        <w:spacing w:after="0" w:line="246" w:lineRule="auto"/>
        <w:rPr>
          <w:sz w:val="20"/>
          <w:szCs w:val="20"/>
          <w:color w:val="auto"/>
        </w:rPr>
      </w:pPr>
      <w:r>
        <w:rPr>
          <w:rFonts w:ascii="Arial" w:cs="Arial" w:eastAsia="Arial" w:hAnsi="Arial"/>
          <w:sz w:val="18"/>
          <w:szCs w:val="18"/>
          <w:color w:val="auto"/>
        </w:rPr>
        <w:t>Emerging payment types include PayPal, Venmo, PayPal Credit, Apple Pay, Google Pay and Amazon Pay. These payment types are gaining increasing traction with consumers, and as a result, are viewed as increasingly important by billers and financial institutions.</w:t>
      </w:r>
    </w:p>
    <w:p>
      <w:pPr>
        <w:spacing w:after="0" w:line="89"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Payment Channels: Our platform offers an omni-channel payment infrastructure, which means that it enables bill payments through all the traditional payment channels billers and consumers expect, as well as many emerging payment channels. These include web portal, mobile, IVR, text, secure PDF, chatbot, agent-assisted (call center), in-person, the AI-assistant voice service of a leading global ecommerce retailer, in Walmart stores and through alternative payment rails such as PayPal. Key features and examples of several of these channels are described and illustrated in the following pages.</w:t>
      </w:r>
    </w:p>
    <w:p>
      <w:pPr>
        <w:spacing w:after="0" w:line="94"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Chatbot: Enable billers to engage with consumers through an automated, AI-powered interface that constantly improves the customer service experience through data-driven insights.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PayPal App: Leveraging our APIs, PayPal’s U.S. consumers can pay their bills directly from PayPal.</w:t>
      </w:r>
    </w:p>
    <w:p>
      <w:pPr>
        <w:spacing w:after="0" w:line="104" w:lineRule="exact"/>
        <w:rPr>
          <w:sz w:val="20"/>
          <w:szCs w:val="20"/>
          <w:color w:val="auto"/>
        </w:rPr>
      </w:pPr>
    </w:p>
    <w:p>
      <w:pPr>
        <w:ind w:right="180" w:firstLine="494"/>
        <w:spacing w:after="0" w:line="237" w:lineRule="auto"/>
        <w:rPr>
          <w:sz w:val="20"/>
          <w:szCs w:val="20"/>
          <w:color w:val="auto"/>
        </w:rPr>
      </w:pPr>
      <w:r>
        <w:rPr>
          <w:rFonts w:ascii="Arial" w:cs="Arial" w:eastAsia="Arial" w:hAnsi="Arial"/>
          <w:sz w:val="18"/>
          <w:szCs w:val="18"/>
          <w:color w:val="auto"/>
        </w:rPr>
        <w:t>Secure Service: Our patented Secure Service feature enables billers to accept payments over the phone while minimizing PCI-DSS compliance risk. Many billers avoid accepting payment information over the phone by directing consumers to websites or automated phone systems, which creates poor experiences and results in abandoned payments. Our Secure Service allows the biller’s employee and the consumer to remain connected throughout the process, while removing the biller’s employee from PCI-DSS scope by concealing payment details. As a result, the transaction is able to be completed securely and the consumer can be returned to the same employee directly on completion.</w:t>
      </w:r>
    </w:p>
    <w:p>
      <w:pPr>
        <w:spacing w:after="0" w:line="97" w:lineRule="exact"/>
        <w:rPr>
          <w:sz w:val="20"/>
          <w:szCs w:val="20"/>
          <w:color w:val="auto"/>
        </w:rPr>
      </w:pPr>
    </w:p>
    <w:p>
      <w:pPr>
        <w:ind w:right="80" w:firstLine="544"/>
        <w:spacing w:after="0" w:line="246" w:lineRule="auto"/>
        <w:rPr>
          <w:sz w:val="20"/>
          <w:szCs w:val="20"/>
          <w:color w:val="auto"/>
        </w:rPr>
      </w:pPr>
      <w:r>
        <w:rPr>
          <w:rFonts w:ascii="Arial" w:cs="Arial" w:eastAsia="Arial" w:hAnsi="Arial"/>
          <w:sz w:val="18"/>
          <w:szCs w:val="18"/>
          <w:color w:val="auto"/>
        </w:rPr>
        <w:t>AI-assistant Voice Service: We power bill payments for the AI-assistant voice service of a leading global ecommerce retailer, enabling millions of its users to retrieve information about, and pay, their bills for all billers on our network using voice commands.</w:t>
      </w:r>
    </w:p>
    <w:p>
      <w:pPr>
        <w:spacing w:after="0" w:line="89"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Text-based: Pay by text leverages our text based bill presentment technology for a text payment authorization, which then uses stored payment types in the consumer’s account.</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IVR: Interactive voice response is a powerful tool to make payments and check balances, and is available in multi-lingual options.</w:t>
      </w:r>
    </w:p>
    <w:p>
      <w:pPr>
        <w:spacing w:after="0" w:line="104" w:lineRule="exact"/>
        <w:rPr>
          <w:sz w:val="20"/>
          <w:szCs w:val="20"/>
          <w:color w:val="auto"/>
        </w:rPr>
      </w:pPr>
    </w:p>
    <w:p>
      <w:pPr>
        <w:ind w:right="140" w:firstLine="494"/>
        <w:spacing w:after="0" w:line="246" w:lineRule="auto"/>
        <w:rPr>
          <w:sz w:val="20"/>
          <w:szCs w:val="20"/>
          <w:color w:val="auto"/>
        </w:rPr>
      </w:pPr>
      <w:r>
        <w:rPr>
          <w:rFonts w:ascii="Arial" w:cs="Arial" w:eastAsia="Arial" w:hAnsi="Arial"/>
          <w:sz w:val="18"/>
          <w:szCs w:val="18"/>
          <w:color w:val="auto"/>
        </w:rPr>
        <w:t>Agent-assisted Call Center Payments: Our agent-assisted call center capability enables a biller to support and assist their consumers with bill payments and other related issues.</w:t>
      </w:r>
    </w:p>
    <w:p>
      <w:pPr>
        <w:spacing w:after="0" w:line="89" w:lineRule="exact"/>
        <w:rPr>
          <w:sz w:val="20"/>
          <w:szCs w:val="20"/>
          <w:color w:val="auto"/>
        </w:rPr>
      </w:pPr>
    </w:p>
    <w:p>
      <w:pPr>
        <w:ind w:right="320" w:firstLine="544"/>
        <w:spacing w:after="0" w:line="234" w:lineRule="auto"/>
        <w:rPr>
          <w:sz w:val="20"/>
          <w:szCs w:val="20"/>
          <w:color w:val="auto"/>
        </w:rPr>
      </w:pPr>
      <w:r>
        <w:rPr>
          <w:rFonts w:ascii="Arial" w:cs="Arial" w:eastAsia="Arial" w:hAnsi="Arial"/>
          <w:sz w:val="18"/>
          <w:szCs w:val="18"/>
          <w:color w:val="auto"/>
        </w:rPr>
        <w:t>Portal: Our bill payment portal enables billers to provide advanced usage and consumption data to their consumers such as power use by day.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color w:val="auto"/>
        </w:rPr>
        <w:t>In-person Payments: We also power in-person payments, which include payments at kiosks or a counter for point-of-sale transactions.</w:t>
      </w:r>
    </w:p>
    <w:p>
      <w:pPr>
        <w:spacing w:after="0"/>
        <w:rPr>
          <w:sz w:val="20"/>
          <w:szCs w:val="20"/>
          <w:color w:val="auto"/>
        </w:rPr>
      </w:pPr>
      <w:r>
        <w:rPr>
          <w:rFonts w:ascii="Arial" w:cs="Arial" w:eastAsia="Arial" w:hAnsi="Arial"/>
          <w:sz w:val="18"/>
          <w:szCs w:val="18"/>
          <w:color w:val="auto"/>
        </w:rPr>
        <w:t>This is particularly appealing for many billers who may have a local customer service center.</w:t>
      </w:r>
    </w:p>
    <w:p>
      <w:pPr>
        <w:spacing w:after="0" w:line="104" w:lineRule="exact"/>
        <w:rPr>
          <w:sz w:val="20"/>
          <w:szCs w:val="20"/>
          <w:color w:val="auto"/>
        </w:rPr>
      </w:pPr>
    </w:p>
    <w:p>
      <w:pPr>
        <w:ind w:right="480" w:firstLine="494"/>
        <w:spacing w:after="0" w:line="246" w:lineRule="auto"/>
        <w:rPr>
          <w:sz w:val="20"/>
          <w:szCs w:val="20"/>
          <w:color w:val="auto"/>
        </w:rPr>
      </w:pPr>
      <w:r>
        <w:rPr>
          <w:rFonts w:ascii="Arial" w:cs="Arial" w:eastAsia="Arial" w:hAnsi="Arial"/>
          <w:sz w:val="18"/>
          <w:szCs w:val="18"/>
          <w:color w:val="auto"/>
        </w:rPr>
        <w:t>Payment Timing: We support an array of timing alternatives including one-time guest payments, recurring payments, future-dated payments, multiple payments and payment plans.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Sets Us Apart</w:t>
      </w:r>
    </w:p>
    <w:p>
      <w:pPr>
        <w:spacing w:after="0" w:line="126" w:lineRule="exact"/>
        <w:rPr>
          <w:sz w:val="20"/>
          <w:szCs w:val="20"/>
          <w:color w:val="auto"/>
        </w:rPr>
      </w:pPr>
    </w:p>
    <w:p>
      <w:pPr>
        <w:ind w:right="340" w:firstLine="494"/>
        <w:spacing w:after="0" w:line="238" w:lineRule="auto"/>
        <w:rPr>
          <w:sz w:val="20"/>
          <w:szCs w:val="20"/>
          <w:color w:val="auto"/>
        </w:rPr>
      </w:pPr>
      <w:r>
        <w:rPr>
          <w:rFonts w:ascii="Arial" w:cs="Arial" w:eastAsia="Arial" w:hAnsi="Arial"/>
          <w:sz w:val="18"/>
          <w:szCs w:val="18"/>
          <w:color w:val="auto"/>
        </w:rPr>
        <w:t>Paymentus was built on the notion that existing bill payment systems are not equipped to handle how bills will be paid in the future. Our platform is a cloud-native solution that automates the entire bill payments lifecycle between billers and financial institutions and consumers through a single integration, simplifying how consumers pay bills and accelerating billers’ revenue recognition through the following characteristics:</w:t>
      </w:r>
    </w:p>
    <w:p>
      <w:pPr>
        <w:spacing w:after="0" w:line="97" w:lineRule="exact"/>
        <w:rPr>
          <w:sz w:val="20"/>
          <w:szCs w:val="20"/>
          <w:color w:val="auto"/>
        </w:rPr>
      </w:pPr>
    </w:p>
    <w:p>
      <w:pPr>
        <w:ind w:left="1020" w:right="140" w:hanging="503"/>
        <w:spacing w:after="0" w:line="23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Scalable: Our mission-critical platform is designed to support high velocity throughput of daily, non-discretionary consumer bill payments. Our platform is capable of scaling up market to serve large billers, each processing payments for millions of bills per month, while also serving smaller billers, each processing payments for one bill per month. In 2021, we processed over 280 million bill payments and an average of over 750,000 bill payments were made each day using our platform.</w:t>
      </w:r>
    </w:p>
    <w:p>
      <w:pPr>
        <w:spacing w:after="0" w:line="96" w:lineRule="exact"/>
        <w:rPr>
          <w:rFonts w:ascii="Arial" w:cs="Arial" w:eastAsia="Arial" w:hAnsi="Arial"/>
          <w:sz w:val="18"/>
          <w:szCs w:val="18"/>
          <w:color w:val="auto"/>
        </w:rPr>
      </w:pPr>
    </w:p>
    <w:p>
      <w:pPr>
        <w:ind w:left="1020" w:right="300" w:hanging="503"/>
        <w:spacing w:after="0" w:line="23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Innovative: Our AI-enabled, SaaS architecture is the foundation of our unified platform. Our ML algorithms continuously learn and self-improve from transaction activity on our platform. Our platform and our intensely client-centric approach inform our product development strategy, enabling us to offer new features and functionality that improve our value proposition to our billers.</w:t>
      </w:r>
    </w:p>
    <w:p>
      <w:pPr>
        <w:spacing w:after="0" w:line="96" w:lineRule="exact"/>
        <w:rPr>
          <w:rFonts w:ascii="Arial" w:cs="Arial" w:eastAsia="Arial" w:hAnsi="Arial"/>
          <w:sz w:val="18"/>
          <w:szCs w:val="18"/>
          <w:color w:val="auto"/>
        </w:rPr>
      </w:pPr>
    </w:p>
    <w:p>
      <w:pPr>
        <w:ind w:left="1020" w:right="120" w:hanging="503"/>
        <w:spacing w:after="0" w:line="23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Flexible: We support multiple integration modalities to enhance our billers’ and financial institutions' ability to consume the full breadth of our platform. Some of our billers and financial institutions use our APIs or iFrames, which offer more control over the user experience, but require our infrastructure for payment processing and PCI-DSS compliance. Other billers use our fully hosted solution because they lack requisite IT resources and must leverage our technology and customer support systems to offer an electronic bill payment experience. We also allow our billers financial institutions to adopt a hybrid approach that leverages our APIs for certain environments.</w:t>
      </w:r>
    </w:p>
    <w:p>
      <w:pPr>
        <w:spacing w:after="0" w:line="96" w:lineRule="exact"/>
        <w:rPr>
          <w:rFonts w:ascii="Arial" w:cs="Arial" w:eastAsia="Arial" w:hAnsi="Arial"/>
          <w:sz w:val="18"/>
          <w:szCs w:val="18"/>
          <w:color w:val="auto"/>
        </w:rPr>
      </w:pPr>
    </w:p>
    <w:p>
      <w:pPr>
        <w:ind w:left="1020" w:hanging="503"/>
        <w:spacing w:after="0" w:line="23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Configurable: Our platform can rapidly and cost-effectively reconfigure our business logic to accommodate the specific requirements of the different end markets we serve. In 2021, over 87% of new biller implementations were completed without any code changes or significant development costs. Once configured, we can use these solutions with new and existing billers to expand into new verticals and geographies. For example, in 2019, we developed a digital disbursement system for a biller in the insurance vertical. This product created new use cases for billers in other verticals, such as utility billers, to offer deposit refunds to consumers. By developing products through this platform approach we are able to drive additional growth and expand the reach of our platform.</w:t>
      </w:r>
    </w:p>
    <w:p>
      <w:pPr>
        <w:spacing w:after="0" w:line="94" w:lineRule="exact"/>
        <w:rPr>
          <w:rFonts w:ascii="Arial" w:cs="Arial" w:eastAsia="Arial" w:hAnsi="Arial"/>
          <w:sz w:val="18"/>
          <w:szCs w:val="18"/>
          <w:color w:val="auto"/>
        </w:rPr>
      </w:pPr>
    </w:p>
    <w:p>
      <w:pPr>
        <w:ind w:left="1020" w:right="60" w:hanging="503"/>
        <w:spacing w:after="0" w:line="23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Integrated: Our library of over 350 integrations to core accounting software systems, including leading CIS and ERP systems as well as core financial institution processing platforms and certain digital banking providers, helps connect disparate systems across the electronic bill payment value chain. Our billers gain access to the entirety of our biller platform through an easy-to-deploy, single point of access. These integrations allow us to own and control the key components of the electronic bill payment value chain, including accounting and back-end integrations to CIS and ERP systems. Our portfolio of integrations span hundreds of software versions – some of which are decades old but still in use today by many of our billers – which enables us to rapidly integrate with billers and financial institutions. We believe competitors would need to invest significant time and resources in order to replicate our software integration portfolio.</w:t>
      </w:r>
    </w:p>
    <w:p>
      <w:pPr>
        <w:spacing w:after="0" w:line="99" w:lineRule="exact"/>
        <w:rPr>
          <w:rFonts w:ascii="Arial" w:cs="Arial" w:eastAsia="Arial" w:hAnsi="Arial"/>
          <w:sz w:val="18"/>
          <w:szCs w:val="18"/>
          <w:color w:val="auto"/>
        </w:rPr>
      </w:pPr>
    </w:p>
    <w:p>
      <w:pPr>
        <w:ind w:left="1020" w:right="200" w:hanging="503"/>
        <w:spacing w:after="0" w:line="23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Extensible: Our platform is designed to integrate with new payment and consumer engagement technologies as well as new software, strategic and IPN partners. For example, through integrations with PayPal and a leading global ecommerce retailer, we have extended our platform to hundreds of millions of new consumers who wish to interact with billers in the PayPal app or through the AI-assistant voice service of a leading global ecommerce retailer.</w:t>
      </w:r>
    </w:p>
    <w:p>
      <w:pPr>
        <w:spacing w:after="0" w:line="96" w:lineRule="exact"/>
        <w:rPr>
          <w:rFonts w:ascii="Arial" w:cs="Arial" w:eastAsia="Arial" w:hAnsi="Arial"/>
          <w:sz w:val="18"/>
          <w:szCs w:val="18"/>
          <w:color w:val="auto"/>
        </w:rPr>
      </w:pPr>
    </w:p>
    <w:p>
      <w:pPr>
        <w:ind w:left="1020" w:right="280" w:hanging="503"/>
        <w:spacing w:after="0" w:line="23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Biller, financial institution, partner and consumer security is of paramount importance to our business. Our PCI-DSS-compliant platform offers an intrusion detection and prevention system, multi-factor authentication and encryption and tokenization capabilities. We enforce our security policies and procedures through regular internal and third party audits, 24/7 digital monitoring, continued education and sophisticated technology tools.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Our Network</w:t>
      </w:r>
    </w:p>
    <w:p>
      <w:pPr>
        <w:spacing w:after="0" w:line="126" w:lineRule="exact"/>
        <w:rPr>
          <w:sz w:val="20"/>
          <w:szCs w:val="20"/>
          <w:color w:val="auto"/>
        </w:rPr>
      </w:pPr>
    </w:p>
    <w:p>
      <w:pPr>
        <w:ind w:right="200" w:firstLine="494"/>
        <w:spacing w:after="0" w:line="238" w:lineRule="auto"/>
        <w:rPr>
          <w:sz w:val="20"/>
          <w:szCs w:val="20"/>
          <w:color w:val="auto"/>
        </w:rPr>
      </w:pPr>
      <w:r>
        <w:rPr>
          <w:rFonts w:ascii="Arial" w:cs="Arial" w:eastAsia="Arial" w:hAnsi="Arial"/>
          <w:sz w:val="18"/>
          <w:szCs w:val="18"/>
          <w:color w:val="auto"/>
        </w:rPr>
        <w:t>We believe our innovative technology platform enables us to sit at the nexus of a powerful multi-sided network of billers, financial institutions, partners and consumers. We use the power of this network to enhance the number of product features each biller uses to promote transaction growth. Our portfolio data shows that payment adoption is highly correlated to feature utilization. By increasing feature usage, we believe we will realize an increase in transaction volume from our billers.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Billers</w:t>
      </w:r>
    </w:p>
    <w:p>
      <w:pPr>
        <w:spacing w:after="0" w:line="126" w:lineRule="exact"/>
        <w:rPr>
          <w:sz w:val="20"/>
          <w:szCs w:val="20"/>
          <w:color w:val="auto"/>
        </w:rPr>
      </w:pPr>
    </w:p>
    <w:p>
      <w:pPr>
        <w:ind w:right="200" w:firstLine="494"/>
        <w:spacing w:after="0" w:line="238" w:lineRule="auto"/>
        <w:rPr>
          <w:sz w:val="20"/>
          <w:szCs w:val="20"/>
          <w:color w:val="auto"/>
        </w:rPr>
      </w:pPr>
      <w:r>
        <w:rPr>
          <w:rFonts w:ascii="Arial" w:cs="Arial" w:eastAsia="Arial" w:hAnsi="Arial"/>
          <w:sz w:val="18"/>
          <w:szCs w:val="18"/>
          <w:color w:val="auto"/>
        </w:rPr>
        <w:t>Our innovative technology platform empowers billers to offer electronic bill payment acceptance across multiple payment types, engage with their consumers and streamline their business operations efficiently and cost-effectively. We attract billers to our platform because our platform modernizes their payment infrastructure and helps them collect revenue faster and more profitably. Our platform is capable of posting payments directly to billers’ systems, which simplifies revenue operations and strengthens the relationship we have with billers.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Institutions</w:t>
      </w:r>
    </w:p>
    <w:p>
      <w:pPr>
        <w:spacing w:after="0" w:line="126" w:lineRule="exact"/>
        <w:rPr>
          <w:sz w:val="20"/>
          <w:szCs w:val="20"/>
          <w:color w:val="auto"/>
        </w:rPr>
      </w:pPr>
    </w:p>
    <w:p>
      <w:pPr>
        <w:ind w:right="180" w:firstLine="494"/>
        <w:spacing w:after="0" w:line="238" w:lineRule="auto"/>
        <w:rPr>
          <w:sz w:val="20"/>
          <w:szCs w:val="20"/>
          <w:color w:val="auto"/>
        </w:rPr>
      </w:pPr>
      <w:r>
        <w:rPr>
          <w:rFonts w:ascii="Arial" w:cs="Arial" w:eastAsia="Arial" w:hAnsi="Arial"/>
          <w:sz w:val="18"/>
          <w:szCs w:val="18"/>
          <w:color w:val="auto"/>
        </w:rPr>
        <w:t>Our network connects our financial institutions to thousands of billers and sources of money movement including virtually every bank and credit union in the US, debit card and credit card payments and multiple digital wallets. The network also enables consumers to make loan payments to our financial institutions from our other network partners. By using open APIs, SDK widgets and SSO interfaces, our financial institutions have complete flexibility and control over how they integrate and deliver their services including modern digital bill presentment, payment and money movement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Billers and Financial Institutions</w:t>
      </w:r>
    </w:p>
    <w:p>
      <w:pPr>
        <w:spacing w:after="0" w:line="126" w:lineRule="exact"/>
        <w:rPr>
          <w:sz w:val="20"/>
          <w:szCs w:val="20"/>
          <w:color w:val="auto"/>
        </w:rPr>
      </w:pPr>
    </w:p>
    <w:p>
      <w:pPr>
        <w:ind w:right="140" w:firstLine="494"/>
        <w:spacing w:after="0" w:line="237" w:lineRule="auto"/>
        <w:rPr>
          <w:sz w:val="20"/>
          <w:szCs w:val="20"/>
          <w:color w:val="auto"/>
        </w:rPr>
      </w:pPr>
      <w:r>
        <w:rPr>
          <w:rFonts w:ascii="Arial" w:cs="Arial" w:eastAsia="Arial" w:hAnsi="Arial"/>
          <w:sz w:val="18"/>
          <w:szCs w:val="18"/>
          <w:color w:val="auto"/>
        </w:rPr>
        <w:t>Flexible and Integrated Platform: Billers and financial institutions can offer their consumers a variety of traditional and emerging payment and engagement technologies that enable the billers to collect revenue faster and drive improved customer satisfaction, while reducing costs such as their PCI-DSS compliance burden. Billers and financial institutions have the flexibility to integrate directly to our platform through APIs, iFrames or a fully hosted solution, which allows them to cost-effectively select and customize our solutions to fit their specific requirements. Because our platform is flexible and scalable, we believe our value proposition applies to all billers whether they ultimately choose to use our platform for all of their bills or continue using legacy bill payment systems or biller-direct solutions together with our solutions.</w:t>
      </w:r>
    </w:p>
    <w:p>
      <w:pPr>
        <w:spacing w:after="0" w:line="95" w:lineRule="exact"/>
        <w:rPr>
          <w:sz w:val="20"/>
          <w:szCs w:val="20"/>
          <w:color w:val="auto"/>
        </w:rPr>
      </w:pPr>
    </w:p>
    <w:p>
      <w:pPr>
        <w:ind w:right="140" w:firstLine="494"/>
        <w:spacing w:after="0" w:line="238" w:lineRule="auto"/>
        <w:rPr>
          <w:sz w:val="20"/>
          <w:szCs w:val="20"/>
          <w:color w:val="auto"/>
        </w:rPr>
      </w:pPr>
      <w:r>
        <w:rPr>
          <w:rFonts w:ascii="Arial" w:cs="Arial" w:eastAsia="Arial" w:hAnsi="Arial"/>
          <w:sz w:val="18"/>
          <w:szCs w:val="18"/>
          <w:color w:val="auto"/>
        </w:rPr>
        <w:t>Long-term Growth and Operating Leverage: The scalability of our platform allows billers and financial institutions to capitalize on growth opportunities for their business. While helping billers grow their revenue, we also help reduce costs by leveraging our integrated technology architecture to automate manual workflows, which reduces error-prone manual data entry and efficiently reconciles payments to backend financial and operating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w:t>
      </w:r>
    </w:p>
    <w:p>
      <w:pPr>
        <w:spacing w:after="0" w:line="126" w:lineRule="exact"/>
        <w:rPr>
          <w:sz w:val="20"/>
          <w:szCs w:val="20"/>
          <w:color w:val="auto"/>
        </w:rPr>
      </w:pPr>
    </w:p>
    <w:p>
      <w:pPr>
        <w:jc w:val="both"/>
        <w:ind w:right="100" w:firstLine="494"/>
        <w:spacing w:after="0"/>
        <w:rPr>
          <w:sz w:val="20"/>
          <w:szCs w:val="20"/>
          <w:color w:val="auto"/>
        </w:rPr>
      </w:pPr>
      <w:r>
        <w:rPr>
          <w:rFonts w:ascii="Arial" w:cs="Arial" w:eastAsia="Arial" w:hAnsi="Arial"/>
          <w:sz w:val="18"/>
          <w:szCs w:val="18"/>
          <w:color w:val="auto"/>
        </w:rPr>
        <w:t>As our biller base expands, we attract market-leading software, strategic and IPN partners that use our platform to power bill payment experiences within their ecosystems. Our innovative platform facilitates a modern bill presentment, consumer engagement and bill payment experience for our partners’ customers, regardless of partner type.</w:t>
      </w:r>
    </w:p>
    <w:p>
      <w:pPr>
        <w:spacing w:after="0" w:line="9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Software Partners: Our software partners include large third-party technology providers, such as Oracle, which integrate our platform into their software suites to power bill payments for their customers and refer billers and financial institutions to us. For example, ERP providers integrate our platform into their own suite of solutions to offer a comprehensive solution set that enhances their ERP software with bill presentment, consumer engagement and bill payment capabilities. In certain cases, we have revenue sharing arrangements with our software partners based on our transaction fees. In other cases, rather than a revenue sharing arrangement, we and our software partner mutually benefit from the partnership as the software partner can offer a more comprehensive solution and stronger value proposition to its customers and we receive broader reach to potential billers and consumers, an efficient biller acquisition channel and stronger biller retention from an integrated solution.</w:t>
      </w:r>
    </w:p>
    <w:p>
      <w:pPr>
        <w:spacing w:after="0" w:line="100" w:lineRule="exact"/>
        <w:rPr>
          <w:sz w:val="20"/>
          <w:szCs w:val="20"/>
          <w:color w:val="auto"/>
        </w:rPr>
      </w:pPr>
    </w:p>
    <w:p>
      <w:pPr>
        <w:ind w:right="40" w:firstLine="494"/>
        <w:spacing w:after="0" w:line="234" w:lineRule="auto"/>
        <w:rPr>
          <w:sz w:val="20"/>
          <w:szCs w:val="20"/>
          <w:color w:val="auto"/>
        </w:rPr>
      </w:pPr>
      <w:r>
        <w:rPr>
          <w:rFonts w:ascii="Arial" w:cs="Arial" w:eastAsia="Arial" w:hAnsi="Arial"/>
          <w:sz w:val="18"/>
          <w:szCs w:val="18"/>
          <w:color w:val="auto"/>
        </w:rPr>
        <w:t>Strategic Partners: Similar to our software providers, our strategic partners refer billers to us and, in many cases, integrate our solutions into their platforms. Our strategic partners, including JPMorgan Chase, U.S. Bank, and a major payroll solutions provider, work with us to offer bill presentment, consumer engagement and bill payment capabilities to their customers, which are billers. For example, a large commercial bank has many business clients who seek to improve and streamline the bill presentment and bill payment experience for their consumers. In that case, the large commercial bank partners with us to sell a joint solution. In other cases, the commercial bank may prefer to sell a white-labeled solution, which it obtains from us. Both co-sale and white-label arrangements typically involve revenue sharing agreements with the strategic partner based on the transaction fees we receive.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3" w:name="page14"/>
    <w:bookmarkEnd w:id="13"/>
    <w:p>
      <w:pPr>
        <w:ind w:right="20" w:firstLine="494"/>
        <w:spacing w:after="0" w:line="236" w:lineRule="auto"/>
        <w:rPr>
          <w:sz w:val="20"/>
          <w:szCs w:val="20"/>
          <w:color w:val="auto"/>
        </w:rPr>
      </w:pPr>
      <w:r>
        <w:rPr>
          <w:rFonts w:ascii="Arial" w:cs="Arial" w:eastAsia="Arial" w:hAnsi="Arial"/>
          <w:sz w:val="18"/>
          <w:szCs w:val="18"/>
          <w:color w:val="auto"/>
        </w:rPr>
        <w:t>IPN Partners: Our IPN partners work with us to gain access to broader biller networks and provide their consumers with innovative technology to streamline bill payments. Our IPN partners include PayPal, for which we power bill payment capabilities, a leading global ecommerce retailer, through which we offer electronic bill presentment and payment via its AI-assistant voice service and mobile app, and Walmart, for which we enhance in-person bill payment capability at Walmart Money Centers. Unlike software and strategic partners, IPN partners typically have direct interactions with consumers, and leverage our platform to connect to our biller network. Through this connection, consumers can initiate bill payments through our IPN partners, which we route to the billers. There are many types of IPN partners, including consumer networks, retailers, banks and financial institutions. We offer consumer networks and retailers increased engagement with consumers by enabling streamlined bill presentment payment experiences for an array of billers through their networks. We similarly offer banks and financial institutions increased engagement with their retail clients. For IPN partners, we will typically receive a fee per transaction processed through our platform and in some cases we pay a referral fee to IPN partners.</w:t>
      </w:r>
    </w:p>
    <w:p>
      <w:pPr>
        <w:spacing w:after="0" w:line="98"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Multiple Roles for Partners: Notably, partners may fit into multiple categories, particularly banks and financial institutions. For example, a bank can be a biller, a strategic partner and an IPN partner. As a biller, the bank generates bills, such as mortgage and credit card statements. As a strategic partner, the same bank uses our platform to power an omni-channel bill payment experience for a commercial customer of the bank. In this way, that commercial customer becomes a new biller for our network. Finally, as an IPN partner, the same bank leverages our IPN network to enable a more robust bill payment experience for its business customers and consumers by, for example, enabling its business customers and those businesses’ consumers to pay bills using alternative payment channels, such as PayPal. For clarity, financial institutions may also be customers where the financial institution uses our platform to provide bill payment and other money movement services directly to consumers and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Partners</w:t>
      </w:r>
    </w:p>
    <w:p>
      <w:pPr>
        <w:spacing w:after="0" w:line="126"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Higher Consumer Satisfaction: Partners gain access to our network of billers and can provide turnkey electronic bill payment functionality to their consumers through flexible integration options. By integrating our platform into their ecosystems, partners can provide a more comprehensive solution and drive higher customer satisfaction.</w:t>
      </w:r>
    </w:p>
    <w:p>
      <w:pPr>
        <w:spacing w:after="0" w:line="95" w:lineRule="exact"/>
        <w:rPr>
          <w:sz w:val="20"/>
          <w:szCs w:val="20"/>
          <w:color w:val="auto"/>
        </w:rPr>
      </w:pPr>
    </w:p>
    <w:p>
      <w:pPr>
        <w:ind w:right="220" w:firstLine="494"/>
        <w:spacing w:after="0"/>
        <w:rPr>
          <w:sz w:val="20"/>
          <w:szCs w:val="20"/>
          <w:color w:val="auto"/>
        </w:rPr>
      </w:pPr>
      <w:r>
        <w:rPr>
          <w:rFonts w:ascii="Arial" w:cs="Arial" w:eastAsia="Arial" w:hAnsi="Arial"/>
          <w:sz w:val="18"/>
          <w:szCs w:val="18"/>
          <w:color w:val="auto"/>
        </w:rPr>
        <w:t>Access to Innovative Technology Solutions: As consumers demand a more seamless and secure experience, partners require consumer engagement and payment technology that caters to the latest consumer trends. Our platform offers cutting edge technology that enables partners to grow mind and wallet share with their consumers.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Billers’, Financial Institutions' and Partners’ Consumers</w:t>
      </w:r>
    </w:p>
    <w:p>
      <w:pPr>
        <w:spacing w:after="0" w:line="126"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As our platform reaches more consumers, we capture and monetize more payment transactions. In December 2021, approximately 21 million consumers and businesses used our platform to pay their bills. As consumers increasingly demand omni-channel bill payment solutions for more of their bills, we attract more billers and partners who look to our platform to meet that demand.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Consumers</w:t>
      </w:r>
    </w:p>
    <w:p>
      <w:pPr>
        <w:spacing w:after="0" w:line="126" w:lineRule="exact"/>
        <w:rPr>
          <w:sz w:val="20"/>
          <w:szCs w:val="20"/>
          <w:color w:val="auto"/>
        </w:rPr>
      </w:pPr>
    </w:p>
    <w:p>
      <w:pPr>
        <w:ind w:right="200" w:firstLine="494"/>
        <w:spacing w:after="0"/>
        <w:rPr>
          <w:sz w:val="20"/>
          <w:szCs w:val="20"/>
          <w:color w:val="auto"/>
        </w:rPr>
      </w:pPr>
      <w:r>
        <w:rPr>
          <w:rFonts w:ascii="Arial" w:cs="Arial" w:eastAsia="Arial" w:hAnsi="Arial"/>
          <w:sz w:val="18"/>
          <w:szCs w:val="18"/>
          <w:color w:val="auto"/>
        </w:rPr>
        <w:t>Next-Generation Electronic Bill Payment Tools: Consumers gain access to advanced payments functionality to streamline their omni-channel bill payment experience. Consumers can view and pay bills through a variety of payment channels and types, engage with their billers, financial institutions and retrieve actionable insights regarding their payments and billing history.</w:t>
      </w:r>
    </w:p>
    <w:p>
      <w:pPr>
        <w:spacing w:after="0" w:line="95" w:lineRule="exact"/>
        <w:rPr>
          <w:sz w:val="20"/>
          <w:szCs w:val="20"/>
          <w:color w:val="auto"/>
        </w:rPr>
      </w:pPr>
    </w:p>
    <w:p>
      <w:pPr>
        <w:ind w:right="220" w:firstLine="494"/>
        <w:spacing w:after="0"/>
        <w:rPr>
          <w:sz w:val="20"/>
          <w:szCs w:val="20"/>
          <w:color w:val="auto"/>
        </w:rPr>
      </w:pPr>
      <w:r>
        <w:rPr>
          <w:rFonts w:ascii="Arial" w:cs="Arial" w:eastAsia="Arial" w:hAnsi="Arial"/>
          <w:sz w:val="18"/>
          <w:szCs w:val="18"/>
          <w:color w:val="auto"/>
        </w:rPr>
        <w:t>Control Over Financial Health: Consumers gain added control and visibility over their financial health on a daily basis through the advanced tools and features we provide. Our platform allows consumers to set the terms of their bill payments in a way that best suits their needs.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Growth Strategies</w:t>
      </w:r>
    </w:p>
    <w:p>
      <w:pPr>
        <w:spacing w:after="0" w:line="126"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We intend to leverage our products and industry presence to establish our platform as the industry standard for electronic bill payments for billers, financial institutions and partners globally. Key elements of this strategy include: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Win New Billers, Financial Institutions and Partners</w:t>
      </w:r>
    </w:p>
    <w:p>
      <w:pPr>
        <w:spacing w:after="0" w:line="126" w:lineRule="exact"/>
        <w:rPr>
          <w:sz w:val="20"/>
          <w:szCs w:val="20"/>
          <w:color w:val="auto"/>
        </w:rPr>
      </w:pPr>
    </w:p>
    <w:p>
      <w:pPr>
        <w:ind w:right="100" w:firstLine="494"/>
        <w:spacing w:after="0" w:line="234" w:lineRule="auto"/>
        <w:rPr>
          <w:sz w:val="20"/>
          <w:szCs w:val="20"/>
          <w:color w:val="auto"/>
        </w:rPr>
      </w:pPr>
      <w:r>
        <w:rPr>
          <w:rFonts w:ascii="Arial" w:cs="Arial" w:eastAsia="Arial" w:hAnsi="Arial"/>
          <w:sz w:val="18"/>
          <w:szCs w:val="18"/>
          <w:color w:val="auto"/>
        </w:rPr>
        <w:t>We believe the majority of billers and financial institutions use inferior electronic bill payment platforms. We plan to continue winning new billers, financial institutions and partners by investing in the growth of our IPN, expanding our diversified go to market strategies and strengthening our value proposition. We intend to continue winning market share through a superior product offering that is easy to integrate and provides a feature-rich experience for our billers, partners and consumers.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Grow with Existing Billers, Financial Institutions and Partners</w:t>
      </w:r>
    </w:p>
    <w:p>
      <w:pPr>
        <w:spacing w:after="0" w:line="126"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We believe we have a significant opportunity to leverage the full scope of our highly scalable model to drive further adoption of our platform with existing billers, financial institutions and partners, including our IPN partners. We believe adding product features and additional functionality enables us to capture more electronic bill payments, strengthens our biller and partner retention and ultimately generate more transaction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into New Channels and Industry Verticals</w:t>
      </w:r>
    </w:p>
    <w:p>
      <w:pPr>
        <w:spacing w:after="0" w:line="126"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We intend to leverage our platform to expand into new channels and new industry verticals. In particular, we anticipate growth of our IPN and additional partnerships with leading business networks to drive further expansion into new channels, such as PayPal’s bill pay app. We also intend to continue to cost-effectively expand into new verticals and expect that our expansion efforts will center on verticals with favorable bill payment characteristics such as recurring payments for non-discretionary, essential services, similar to our previous expansion into the healthcare and insurance verticals. Our configurability and platform approach to new feature development enables us to cost-effectively extend products that were initially designed for an existing vertical into powerful use cases for new verticals.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New Products</w:t>
      </w:r>
    </w:p>
    <w:p>
      <w:pPr>
        <w:spacing w:after="0" w:line="126" w:lineRule="exact"/>
        <w:rPr>
          <w:sz w:val="20"/>
          <w:szCs w:val="20"/>
          <w:color w:val="auto"/>
        </w:rPr>
      </w:pPr>
    </w:p>
    <w:p>
      <w:pPr>
        <w:ind w:right="280" w:firstLine="494"/>
        <w:spacing w:after="0" w:line="238" w:lineRule="auto"/>
        <w:rPr>
          <w:sz w:val="20"/>
          <w:szCs w:val="20"/>
          <w:color w:val="auto"/>
        </w:rPr>
      </w:pPr>
      <w:r>
        <w:rPr>
          <w:rFonts w:ascii="Arial" w:cs="Arial" w:eastAsia="Arial" w:hAnsi="Arial"/>
          <w:sz w:val="18"/>
          <w:szCs w:val="18"/>
          <w:color w:val="auto"/>
        </w:rPr>
        <w:t>We believe the significant investments we have made in our technology platform are a core differentiator of our business. As billers, financial institutions, partners and consumers adopt new consumer engagement and bill payment technologies, we intend to continue investing in our platform in order to create innovative features and add emerging payment types that further enhance the bill payment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our Platform to Expand Internationally</w:t>
      </w:r>
    </w:p>
    <w:p>
      <w:pPr>
        <w:spacing w:after="0" w:line="126" w:lineRule="exact"/>
        <w:rPr>
          <w:sz w:val="20"/>
          <w:szCs w:val="20"/>
          <w:color w:val="auto"/>
        </w:rPr>
      </w:pPr>
    </w:p>
    <w:p>
      <w:pPr>
        <w:ind w:firstLine="494"/>
        <w:spacing w:after="0" w:line="251" w:lineRule="auto"/>
        <w:rPr>
          <w:sz w:val="20"/>
          <w:szCs w:val="20"/>
          <w:color w:val="auto"/>
        </w:rPr>
      </w:pPr>
      <w:r>
        <w:rPr>
          <w:rFonts w:ascii="Arial" w:cs="Arial" w:eastAsia="Arial" w:hAnsi="Arial"/>
          <w:sz w:val="17"/>
          <w:szCs w:val="17"/>
          <w:color w:val="auto"/>
        </w:rPr>
        <w:t>We believe there is global demand for electronic bill payment technology among billers and financial institutions with international consumers and partners that serve international billers and financial institutions. Although substantially all of our revenue is generated in the United States, many of our largest domestic billers also serve billable consumers in international geographies and several of our domestic partners maintain international operations. We believe this presents us with a large opportunity to expand internationally without needing to significantly increase international headcount or retain local resources to initially serve international markets. Our international growth strategy is focused on leveraging our existing biller and partner relationships and we believe our platform is well-positioned to quickly adapt to local payment channels and regulatory schemes. In particular, we anticipate that our near-term international growth opportunities will come through our U.S.-based billers, financial institutions or partners seeking a technology platform to power bill presentment and payment in international markets within their existing industry verticals, as well as through our larger partners that serve international billers and financial institutions. We also expect to expand our existing presence in Canada and India over time, both within current and new industry verticals.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Selective Strategic Acquisitions</w:t>
      </w:r>
    </w:p>
    <w:p>
      <w:pPr>
        <w:spacing w:after="0" w:line="126"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We plan to pursue strategic acquisitions that we believe will be complementary to our existing solutions, enhance our technology and increase the value proposition we deliver to our billers, financial institutions and partners and their consumers. For example, we may pursue acquisitions that we believe will help us expand within existing or new industry verticals and channels, accelerate our biller growth or enter new markets.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Go-to-Market Strategy</w:t>
      </w:r>
    </w:p>
    <w:p>
      <w:pPr>
        <w:spacing w:after="0" w:line="12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employ a diversified go-to-market strategy that leverages targeted marketing efforts, a direct sales team and relationships with technology partners and resellers as we seek to acquire billers and financial institutions in an efficient manner. Our marketing strategy targets prospective billers and financial institutions through industry- and role-based marketing efforts at trade shows and industry events, direct marketing and social media programs. We also leverage partnerships and referral relationships of various types.</w:t>
      </w:r>
    </w:p>
    <w:p>
      <w:pPr>
        <w:spacing w:after="0" w:line="97" w:lineRule="exact"/>
        <w:rPr>
          <w:sz w:val="20"/>
          <w:szCs w:val="20"/>
          <w:color w:val="auto"/>
        </w:rPr>
      </w:pPr>
    </w:p>
    <w:p>
      <w:pPr>
        <w:jc w:val="both"/>
        <w:ind w:right="100" w:firstLine="494"/>
        <w:spacing w:after="0"/>
        <w:rPr>
          <w:sz w:val="20"/>
          <w:szCs w:val="20"/>
          <w:color w:val="auto"/>
        </w:rPr>
      </w:pPr>
      <w:r>
        <w:rPr>
          <w:rFonts w:ascii="Arial" w:cs="Arial" w:eastAsia="Arial" w:hAnsi="Arial"/>
          <w:sz w:val="18"/>
          <w:szCs w:val="18"/>
          <w:color w:val="auto"/>
        </w:rPr>
        <w:t>Our direct sales team is responsible for outbound lead generation, driving new business and helping to manage account relationships and renewals. Our sales team also maintains close relationships with existing billers and financial institutions and acts as an advisor to each biller to help identify and understand their specific needs, challenges, goals and opportunities.</w:t>
      </w:r>
    </w:p>
    <w:p>
      <w:pPr>
        <w:spacing w:after="0" w:line="95" w:lineRule="exact"/>
        <w:rPr>
          <w:sz w:val="20"/>
          <w:szCs w:val="20"/>
          <w:color w:val="auto"/>
        </w:rPr>
      </w:pPr>
    </w:p>
    <w:p>
      <w:pPr>
        <w:ind w:right="40" w:firstLine="494"/>
        <w:spacing w:after="0" w:line="234" w:lineRule="auto"/>
        <w:rPr>
          <w:sz w:val="20"/>
          <w:szCs w:val="20"/>
          <w:color w:val="auto"/>
        </w:rPr>
      </w:pPr>
      <w:r>
        <w:rPr>
          <w:rFonts w:ascii="Arial" w:cs="Arial" w:eastAsia="Arial" w:hAnsi="Arial"/>
          <w:sz w:val="18"/>
          <w:szCs w:val="18"/>
          <w:color w:val="auto"/>
        </w:rPr>
        <w:t>We also leverage strong relationships with our partners to extend the reach of our platform and receive new biller referrals. Our software partners, including Oracle, integrate our platform into their software products, enabling us to power their bill payment capabilities for their consumers. Our strategic partners, including JPMorgan Chase, U.S. Bank and a major payroll solutions provider, also refer new billers to our platform. Our software is regularly integrated with our software partners’ offerings and with the software suites of other market-leading software providers commonly used by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our billers, including SAP and Guidewire, in each case to power electronic bill payment functions for our billers and their consumers.</w:t>
      </w:r>
    </w:p>
    <w:p>
      <w:pPr>
        <w:spacing w:after="0" w:line="104" w:lineRule="exact"/>
        <w:rPr>
          <w:sz w:val="20"/>
          <w:szCs w:val="20"/>
          <w:color w:val="auto"/>
        </w:rPr>
      </w:pPr>
    </w:p>
    <w:p>
      <w:pPr>
        <w:ind w:right="180" w:firstLine="494"/>
        <w:spacing w:after="0" w:line="261" w:lineRule="auto"/>
        <w:rPr>
          <w:sz w:val="20"/>
          <w:szCs w:val="20"/>
          <w:color w:val="auto"/>
        </w:rPr>
      </w:pPr>
      <w:r>
        <w:rPr>
          <w:rFonts w:ascii="Arial" w:cs="Arial" w:eastAsia="Arial" w:hAnsi="Arial"/>
          <w:sz w:val="17"/>
          <w:szCs w:val="17"/>
          <w:color w:val="auto"/>
        </w:rPr>
        <w:t>We also believe we benefit from the significant reach of our IPN. Through partnerships with PayPal, a leading global ecommerce retailer and financial institution partners, our platform reaches millions of consumers. Jointly delivering our platform with our software and strategic partners provides consistency of approach and a high-quality experience for billers, financial institutions, partners and consumers.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Our primary competition has historically been legacy solution providers and systems internally developed by financial institutions for bill presentment and payment services. The legacy solution providers have generally either served the financial services or the biller market individually. In both markets, legacy solution providers offer solutions for in-person cash payments, check-based mail payments, prior-generation IVR, phone-based payments and web-based payments, as well as a variety of point solutions for various payment needs. These solutions are often built via acquisitions and frequently not well integrated based on data architectures.</w:t>
      </w:r>
    </w:p>
    <w:p>
      <w:pPr>
        <w:spacing w:after="0" w:line="94"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In the financial services market, providers integrate into a bank’s online banking system. They offer access to a limited number of electronic bills, so only a fraction can be reviewed before deciding on payment. Once the consumer decides to pay the bill, the provider generally only allows for one type of payment, limiting the ability of consumers to use credit or other alternatives. The bank-based payments are slow, sometimes taking up to three days to reach a biller, so a consumer is not able to make a same-day payment.</w:t>
      </w:r>
    </w:p>
    <w:p>
      <w:pPr>
        <w:spacing w:after="0" w:line="97" w:lineRule="exact"/>
        <w:rPr>
          <w:sz w:val="20"/>
          <w:szCs w:val="20"/>
          <w:color w:val="auto"/>
        </w:rPr>
      </w:pPr>
    </w:p>
    <w:p>
      <w:pPr>
        <w:jc w:val="both"/>
        <w:ind w:right="620" w:firstLine="494"/>
        <w:spacing w:after="0"/>
        <w:rPr>
          <w:sz w:val="20"/>
          <w:szCs w:val="20"/>
          <w:color w:val="auto"/>
        </w:rPr>
      </w:pPr>
      <w:r>
        <w:rPr>
          <w:rFonts w:ascii="Arial" w:cs="Arial" w:eastAsia="Arial" w:hAnsi="Arial"/>
          <w:sz w:val="18"/>
          <w:szCs w:val="18"/>
          <w:color w:val="auto"/>
        </w:rPr>
        <w:t>In the biller-direct market, legacy providers have been slow to respond to biller and consumer needs because their systems are expensive to maintain and are not nimble enough to keep up with the pace of innovation. As a result, they do not offer the breadth of channels and payment methods demanded by consumers, nor the integration and analytics capabilities required by billers.</w:t>
      </w:r>
    </w:p>
    <w:p>
      <w:pPr>
        <w:spacing w:after="0" w:line="95" w:lineRule="exact"/>
        <w:rPr>
          <w:sz w:val="20"/>
          <w:szCs w:val="20"/>
          <w:color w:val="auto"/>
        </w:rPr>
      </w:pPr>
    </w:p>
    <w:p>
      <w:pPr>
        <w:ind w:right="360" w:firstLine="494"/>
        <w:spacing w:after="0" w:line="238" w:lineRule="auto"/>
        <w:rPr>
          <w:sz w:val="20"/>
          <w:szCs w:val="20"/>
          <w:color w:val="auto"/>
        </w:rPr>
      </w:pPr>
      <w:r>
        <w:rPr>
          <w:rFonts w:ascii="Arial" w:cs="Arial" w:eastAsia="Arial" w:hAnsi="Arial"/>
          <w:sz w:val="18"/>
          <w:szCs w:val="18"/>
          <w:color w:val="auto"/>
        </w:rPr>
        <w:t>We believe these solutions lack the modern infrastructure necessary to provide billers, financial institutions and consumers with an omni-channel electronic bill payment experience enhanced by AI, ML and contextualized data. We believe the strength and agility of our platform will drive our success in growing our business by demonstrating to billers, financial institutions and partners that our platform delivers superior business outcomes to those of third-party vendors or internally developed systems.</w:t>
      </w:r>
    </w:p>
    <w:p>
      <w:pPr>
        <w:spacing w:after="0" w:line="97"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While competitive factors and their relative importance can vary, in general, we will be assessed on a number of factors including security, reliability, breadth and depth of functionality, ease of deployment and implementation speed, total cost of ownership and return on investment, customer satisfaction, customer service, partnerships, brand awareness and reputation and the ability to provide contextualized and actionable data-driven insights that improve the transaction experience. We believe we compete favorably on all of these factors.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We rely on a combination of intellectual property rights, including patents, trademarks, copyrights, trade secrets and contractual rights, to protect our proprietary software and our brands. We have obtained or applied for patent protection in the United States on certain material aspects of our proprietary technologies and we have registered or applied to register certain of our trademarks in the United States. In addition to the intellectual property that we own, we license certain technologies and intellectual property from third parties, including software that is incorporated in our platform. We generally control access to and use of our software and other proprietary or confidential information through the use of internal and external controls, including entering into non-disclosure and confidentiality agreements with both our employees and third parties who have access to our software and other confidential information.</w:t>
      </w:r>
    </w:p>
    <w:p>
      <w:pPr>
        <w:spacing w:after="0" w:line="95"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As of December 31, 2021, we held 15 issued U.S. patents and one issued Canadian patent related to our proprietary technologies. As of December 31, 2021, we also held one allowed, seven published and two pending U.S. patent applications, and three pending PCT patent applications. If our currently issued patents are maintained until the end of their terms, they will expire between 2025 and 2040. The expiration of these patents is not reasonably likely to have a material adverse effect on our business, financial condition or results of operations. In addition, as of December 31, 2021, we owned four registered U.S. trademarks and one registered United Kingdom trademark. We also held four pending trademark applications in the U.S., two pending trademark applications in China, and one pending trademark application in each of Australia, Canada, Europe, Japan, and New Zealand.</w:t>
      </w:r>
    </w:p>
    <w:p>
      <w:pPr>
        <w:spacing w:after="0" w:line="203" w:lineRule="exact"/>
        <w:rPr>
          <w:sz w:val="20"/>
          <w:szCs w:val="20"/>
          <w:color w:val="auto"/>
        </w:rPr>
      </w:pPr>
    </w:p>
    <w:p>
      <w:pPr>
        <w:ind w:right="600" w:firstLine="494"/>
        <w:spacing w:after="0" w:line="234" w:lineRule="auto"/>
        <w:rPr>
          <w:sz w:val="20"/>
          <w:szCs w:val="20"/>
          <w:color w:val="auto"/>
        </w:rPr>
      </w:pPr>
      <w:r>
        <w:rPr>
          <w:rFonts w:ascii="Arial" w:cs="Arial" w:eastAsia="Arial" w:hAnsi="Arial"/>
          <w:sz w:val="18"/>
          <w:szCs w:val="18"/>
          <w:color w:val="auto"/>
        </w:rPr>
        <w:t>For additional discussion of how intellectual property protection affects our business, see the section titled “Risk Factors—Risks Related to Our Technology and Intellectual Property.”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Various aspects of our business and service areas are subject to U.S. federal, state, and local regulation, as well as regulation outside the United States. Certain of our services are also subject to rules promulgated by various card and payment networks and other authorities, as more fully described below. These descriptions are not exhaustive, and these laws, regulations and rules frequently change and are increasing in number.</w:t>
      </w:r>
    </w:p>
    <w:p>
      <w:pPr>
        <w:spacing w:after="0" w:line="97"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billers, financial institutions and partners and their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financial institutions and partners, as well as our employees and service providers. As a result, we and our handling of data are subject to a variety of laws, rules and regulations relating to privacy, data protection and information security, including regulation by various governmental authorities, such as the FTC, and various state, local and foreign agencies. Our data handling and processing activities are also subject to contractual obligations and industry standard requirements. 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The legislative and regulatory landscapes for privacy, data protection and information security continue to evolve in jurisdictions worldwide, with an increasing focus on privacy and data protection issues with the potential to affect our business.</w:t>
      </w:r>
    </w:p>
    <w:p>
      <w:pPr>
        <w:spacing w:after="0" w:line="97" w:lineRule="exact"/>
        <w:rPr>
          <w:sz w:val="20"/>
          <w:szCs w:val="20"/>
          <w:color w:val="auto"/>
        </w:rPr>
      </w:pPr>
    </w:p>
    <w:p>
      <w:pPr>
        <w:ind w:right="120" w:firstLine="544"/>
        <w:spacing w:after="0" w:line="235" w:lineRule="auto"/>
        <w:rPr>
          <w:sz w:val="20"/>
          <w:szCs w:val="20"/>
          <w:color w:val="auto"/>
        </w:rPr>
      </w:pPr>
      <w:r>
        <w:rPr>
          <w:rFonts w:ascii="Arial" w:cs="Arial" w:eastAsia="Arial" w:hAnsi="Arial"/>
          <w:sz w:val="18"/>
          <w:szCs w:val="18"/>
          <w:color w:val="auto"/>
        </w:rPr>
        <w:t>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 In addition, many states in which we operate have enacted laws that protect the privacy and security of sensitive and personal data, such as the CCPA and the CPRA in California. Certain other state laws impose similar privacy obligations, such as in New York, Nevada, Virginia and Colorado, and all 50 states have laws including obligations to provide notification of security breaches of computer databases that contain personal information to affected individuals, state officers and others. In addition, several foreign countries and governmental bodies, including the EU, have established their own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such as the GDPR, are in certain cases more restrictive than those in the United States. Because we process individually identifiable protected health information in certain cases, we are also subject to certain obligations under HIPAA, as amended by HITECH, as well as certain state laws and related contractual obligations.</w:t>
      </w:r>
    </w:p>
    <w:p>
      <w:pPr>
        <w:spacing w:after="0" w:line="106"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We are also subject to the rules and standards of Visa, Mastercard, American Express, NACHA and INTERAC and other payment networks and their participants. In order to provide our payment processing services, we must be registered either indirectly or directly as service providers with the payment networks that we use. As such, we are subject to applicable card association and payment network rules, standards and regulations, which impose various requirements and could subject us to a variety of fines or penalties that may be levied by such associations or networks for certain acts or omissions. Card associations and payment networks and their member financial institutions regularly update and generally expand security expectations and requirements related to the security of consumer data and environments. Failure to comply with the networks’ requirements, or to pay the fees or fines they may impose, could result in the suspension or termination of our registration with the relevant payment networks and therefore require us to limit or cease providing the relevant payment processing services. It could also cause existing billers, financial institutions or partners, their consumers or other third parties to cease using or referring our services or prospective billers, financial institutions or partners to terminate negotiations with us.</w:t>
      </w:r>
    </w:p>
    <w:p>
      <w:pPr>
        <w:spacing w:after="0" w:line="98"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Further, we and our billers, financial institutions and partners are subject to a variety of U.S. state and federal laws, rules and regulations related to telemarketing, recording and monitoring of communications, such as the TCPA, the CAN-SPAM Act and others, because our platform enables our billers and partners to communicate directly with their consumers, including via e-mail, text messages and calls, and also enables recording and monitoring of calls between our billers, financial institutions and partners and their consumers for training and quality assurance purposes.</w:t>
      </w:r>
    </w:p>
    <w:p>
      <w:pPr>
        <w:spacing w:after="0" w:line="94" w:lineRule="exact"/>
        <w:rPr>
          <w:sz w:val="20"/>
          <w:szCs w:val="20"/>
          <w:color w:val="auto"/>
        </w:rPr>
      </w:pPr>
    </w:p>
    <w:p>
      <w:pPr>
        <w:ind w:right="220" w:firstLine="494"/>
        <w:spacing w:after="0" w:line="234" w:lineRule="auto"/>
        <w:rPr>
          <w:sz w:val="20"/>
          <w:szCs w:val="20"/>
          <w:color w:val="auto"/>
        </w:rPr>
      </w:pPr>
      <w:r>
        <w:rPr>
          <w:rFonts w:ascii="Arial" w:cs="Arial" w:eastAsia="Arial" w:hAnsi="Arial"/>
          <w:sz w:val="18"/>
          <w:szCs w:val="18"/>
          <w:color w:val="auto"/>
        </w:rPr>
        <w:t>In addition to the laws and regulations described above, various regulatory agencies in the United States and in foreign jurisdictions continue to examine a wide variety of issues which are or may be applicable to us and may impact our business. These issues include payments, identity theft, account management guidelines, privacy, disclosure rules, cybersecurity and marketing. The laws and regulations relating to financial services, privacy, data protection and information security are evolving, can be subject to significant change and may result in ever-increasing regulatory and public scrutiny and escalating levels of enforcement and sanctions. As our business continues to develop and expand,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7" w:name="page18"/>
    <w:bookmarkEnd w:id="17"/>
    <w:p>
      <w:pPr>
        <w:spacing w:after="0" w:line="238" w:lineRule="auto"/>
        <w:rPr>
          <w:sz w:val="20"/>
          <w:szCs w:val="20"/>
          <w:color w:val="auto"/>
        </w:rPr>
      </w:pPr>
      <w:r>
        <w:rPr>
          <w:rFonts w:ascii="Arial" w:cs="Arial" w:eastAsia="Arial" w:hAnsi="Arial"/>
          <w:sz w:val="18"/>
          <w:szCs w:val="18"/>
          <w:color w:val="auto"/>
        </w:rPr>
        <w:t>including internationally, we continue to monitor the additional laws and regulations that may become relevant. Any actual or perceived failure to comply with legal and regulatory requirements may result in, among other things, revocation of required licenses or registrations, loss of approved status, private litigation, including class action litigation, consent decrees and injunctions, regulatory or governmental investigations, administrative enforcement actions, sanctions, civil and criminal liability, damages, fines, penalties, adverse publicity, reputational damage and constraints on our ability to continue to operate.</w:t>
      </w:r>
    </w:p>
    <w:p>
      <w:pPr>
        <w:spacing w:after="0" w:line="94" w:lineRule="exact"/>
        <w:rPr>
          <w:sz w:val="20"/>
          <w:szCs w:val="20"/>
          <w:color w:val="auto"/>
        </w:rPr>
      </w:pPr>
    </w:p>
    <w:p>
      <w:pPr>
        <w:ind w:right="420" w:firstLine="494"/>
        <w:spacing w:after="0" w:line="246" w:lineRule="auto"/>
        <w:rPr>
          <w:sz w:val="20"/>
          <w:szCs w:val="20"/>
          <w:color w:val="auto"/>
        </w:rPr>
      </w:pPr>
      <w:r>
        <w:rPr>
          <w:rFonts w:ascii="Arial" w:cs="Arial" w:eastAsia="Arial" w:hAnsi="Arial"/>
          <w:sz w:val="18"/>
          <w:szCs w:val="18"/>
          <w:color w:val="auto"/>
        </w:rPr>
        <w:t>For additional discussion on governmental regulation and payment network operating rules affecting our business, please see the section titled “Risk Factors—Risks Related to Regulation.”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6" w:lineRule="exact"/>
        <w:rPr>
          <w:sz w:val="20"/>
          <w:szCs w:val="20"/>
          <w:color w:val="auto"/>
        </w:rPr>
      </w:pPr>
    </w:p>
    <w:p>
      <w:pPr>
        <w:ind w:right="560" w:firstLine="494"/>
        <w:spacing w:after="0"/>
        <w:rPr>
          <w:sz w:val="20"/>
          <w:szCs w:val="20"/>
          <w:color w:val="auto"/>
        </w:rPr>
      </w:pPr>
      <w:r>
        <w:rPr>
          <w:rFonts w:ascii="Arial" w:cs="Arial" w:eastAsia="Arial" w:hAnsi="Arial"/>
          <w:sz w:val="18"/>
          <w:szCs w:val="18"/>
          <w:color w:val="auto"/>
        </w:rPr>
        <w:t>As of December 31, 2021, we employed 1,116 full-time employees and no part-time employees. None of our employees are represented by a labor union or are party to a collective bargaining agreement, and we have had no labor-related work stoppages. We believe that we have good relationships with our employees.</w:t>
      </w:r>
    </w:p>
    <w:p>
      <w:pPr>
        <w:spacing w:after="0" w:line="9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Our employees are our most critical assets. The success and growth of our business depends on our ability to attract, reward, retain, and develop diverse, talented, and high-performing employees at all levels of our organization, while sustaining an environment of anti-discrimination that ensures equal access to opportunities. To succeed in an ever-changing and competitive labor market, we have developed human capital management strategies, objectives and measures that drive recruitment and retention, support business performance, advance innovation and foster employee development. Our human capital strategies and objectives include, as applicable, identifying, recruiting, retaining, incentivizing and integrating our existing and new employees and consultants. We believe we provide our employees significant ongoing career growth opportunities in an exciting growth company and industry. The principal purpose of our incentive programs is to attract, retain and reward personnel in order to increase stockholder value and the success of our company by motivating such individuals to perform to the best of their abilities and achieve our objectives. We are also focused on supporting our employees’ health and safety and social well-being and seek to have a diverse, equitable and inclusive workplace.</w:t>
      </w:r>
    </w:p>
    <w:p>
      <w:pPr>
        <w:spacing w:after="0" w:line="7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Available Information</w:t>
      </w:r>
    </w:p>
    <w:p>
      <w:pPr>
        <w:spacing w:after="0" w:line="126"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 xml:space="preserve">We file or furnish periodic reports and amendments thereto, including Annual Reports on Form 10-K, Quarterly Reports on Form 10-Q and Current Reports on Form 8-K, proxy statements and other information with the Securities and Exchange Commission, or SEC. In addition,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Our website is located at </w:t>
      </w:r>
      <w:r>
        <w:rPr>
          <w:rFonts w:ascii="Arial" w:cs="Arial" w:eastAsia="Arial" w:hAnsi="Arial"/>
          <w:sz w:val="18"/>
          <w:szCs w:val="18"/>
          <w:i w:val="1"/>
          <w:iCs w:val="1"/>
          <w:color w:val="auto"/>
        </w:rPr>
        <w:t>www.paymentus.com</w:t>
      </w:r>
      <w:r>
        <w:rPr>
          <w:rFonts w:ascii="Arial" w:cs="Arial" w:eastAsia="Arial" w:hAnsi="Arial"/>
          <w:sz w:val="18"/>
          <w:szCs w:val="18"/>
          <w:color w:val="auto"/>
        </w:rPr>
        <w:t>, and our reports, amendments thereto, proxy statements and other information are also made available, free of charge, on our investor relations website at https://ir.paymentus.com/home/default.aspx as soon as reasonably practicable after we electronically file or furnish such information with the SEC. Information contained in, or that can be accessed through, our or the SEC's website is not a part of, and is not incorporated into, this report.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auto"/>
        </w:rPr>
      </w:pPr>
      <w:hyperlink w:anchor="page19">
        <w:r>
          <w:rPr>
            <w:rFonts w:ascii="Arial" w:cs="Arial" w:eastAsia="Arial" w:hAnsi="Arial"/>
            <w:sz w:val="18"/>
            <w:szCs w:val="18"/>
            <w:b w:val="1"/>
            <w:bCs w:val="1"/>
            <w:u w:val="single" w:color="auto"/>
            <w:color w:val="auto"/>
          </w:rPr>
          <w:t>Item 1A. 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1620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106"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risks and uncertainties described below, together with all of the other information in this report, including the section titled “Management’s Discussion and Analysis of Financial Condition and Results of Operations,” and our consolidated financial statements and the accompanying notes included elsewhere in this report before making an investment decision. The risks and uncertainties described below are not the only ones we face. Additional risks and uncertainties not presently known to us or that we currently deem immaterial may also materially and adversely affect our business operations, results of operations, financial condition or prospects. The trading price of our Class A common stock could decline due to the materialization of any of these risks, and you may lose all or part of your investment. In addition, the risks discussed below include forward-looking statements and our actual results may differ substantially from those discussed in the forward-looking statements. See the section titled “Special Note Regarding Forward-Looking Statements” for a discussion of such statements and their limitations Our Risk Factors are not guarantees that no such conditions exist as of the date of this report and should not be interpreted as an affirmative statement that such risks or conditions have not materialized, in whole or in part.</w:t>
      </w:r>
    </w:p>
    <w:p>
      <w:pPr>
        <w:spacing w:after="0" w:line="7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rapid growth may not be sustainable or indicative of our future growth.</w:t>
      </w:r>
    </w:p>
    <w:p>
      <w:pPr>
        <w:spacing w:after="0" w:line="126"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recent rapid growth, including in payment volumes, may not be sustainable or indicative of our future growth. Even though the number of billers, financial institutions and consumers who use our platform has grown rapidly in recent years, there can be no assurance that we will be able to attract new billers and financial institutions or retain existing billers and financial institutions. Our costs associated with retaining revenue from existing billers and financial institutions are substantially lower than costs associated with attracting and generating revenue from new billers and financial institutions or costs associated with generating increased adoption of our platform by existing billers and financial institutions. Therefore, if we are unable to retain revenue from existing billers and financial institutions, even if related losses are offset by an increase in new billers and financial institutions or increased adoption of our platform by existing billers, our operating results could be adversely impacted.</w:t>
      </w:r>
    </w:p>
    <w:p>
      <w:pPr>
        <w:spacing w:after="0" w:line="100" w:lineRule="exact"/>
        <w:rPr>
          <w:sz w:val="20"/>
          <w:szCs w:val="20"/>
          <w:color w:val="auto"/>
        </w:rPr>
      </w:pPr>
    </w:p>
    <w:p>
      <w:pPr>
        <w:ind w:right="580" w:firstLine="494"/>
        <w:spacing w:after="0" w:line="246" w:lineRule="auto"/>
        <w:rPr>
          <w:sz w:val="20"/>
          <w:szCs w:val="20"/>
          <w:color w:val="auto"/>
        </w:rPr>
      </w:pPr>
      <w:r>
        <w:rPr>
          <w:rFonts w:ascii="Arial" w:cs="Arial" w:eastAsia="Arial" w:hAnsi="Arial"/>
          <w:sz w:val="18"/>
          <w:szCs w:val="18"/>
          <w:color w:val="auto"/>
        </w:rPr>
        <w:t>Our ability to attract new billers and financial institutions, retain revenue from existing billers and financial institutions or increase adoption of our platform by both new and existing billers is impacted by a number of factors, including:</w:t>
      </w:r>
    </w:p>
    <w:p>
      <w:pPr>
        <w:spacing w:after="0" w:line="89"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transaction fees and certain of our billers’ ability to pass them on to consumers;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timely expand the functionality and scope of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the rates at which our billers and financial institutions pay us and continue to use our platform;</w:t>
      </w:r>
    </w:p>
    <w:p>
      <w:pPr>
        <w:spacing w:after="0" w:line="103" w:lineRule="exact"/>
        <w:rPr>
          <w:rFonts w:ascii="Arial" w:cs="Arial" w:eastAsia="Arial" w:hAnsi="Arial"/>
          <w:sz w:val="18"/>
          <w:szCs w:val="18"/>
          <w:color w:val="auto"/>
        </w:rPr>
      </w:pPr>
    </w:p>
    <w:p>
      <w:pPr>
        <w:ind w:left="1020" w:right="800" w:hanging="503"/>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factors, including the introduction of competing solutions, discount pricing and other strategies that may be implemented by our competitors;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high-quality customer support for billers, financial institutions and consumers;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strategic partners, software partners, resellers and IPN partners;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into new industries and market segments;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perceived privacy or security breaches or incidents;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frequency and severity of any system outages, technological changes or similar issues;</w:t>
      </w:r>
    </w:p>
    <w:p>
      <w:pPr>
        <w:spacing w:after="0" w:line="103" w:lineRule="exact"/>
        <w:rPr>
          <w:rFonts w:ascii="Arial" w:cs="Arial" w:eastAsia="Arial" w:hAnsi="Arial"/>
          <w:sz w:val="18"/>
          <w:szCs w:val="18"/>
          <w:color w:val="auto"/>
        </w:rPr>
      </w:pPr>
    </w:p>
    <w:p>
      <w:pPr>
        <w:ind w:left="1020" w:right="960" w:hanging="503"/>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identify and acquire or invest in businesses, products or technologies that we believe could complement or expand our platform;</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increase awareness of our brand and successfully compete with other companies;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internationally; and</w:t>
      </w:r>
    </w:p>
    <w:p>
      <w:pPr>
        <w:spacing w:after="0" w:line="103" w:lineRule="exact"/>
        <w:rPr>
          <w:rFonts w:ascii="Arial" w:cs="Arial" w:eastAsia="Arial" w:hAnsi="Arial"/>
          <w:sz w:val="18"/>
          <w:szCs w:val="18"/>
          <w:color w:val="auto"/>
        </w:rPr>
      </w:pPr>
    </w:p>
    <w:p>
      <w:pPr>
        <w:ind w:left="1020" w:right="100" w:hanging="503"/>
        <w:spacing w:after="0" w:line="23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focus on long-term value over short-term results, meaning that we may make strategic decisions that may not maximize our short-term revenue or profitability if we believe that the decisions are consistent with our mission and will improve our financial performance over the long-term.</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business could be harmed if we fail to manage our infrastructure to support future growth.</w:t>
      </w:r>
    </w:p>
    <w:p>
      <w:pPr>
        <w:spacing w:after="0" w:line="126"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The rapid growth we have experienced in our business places significant demands on our operational infrastructure. The scalability and flexibility of our platform depends on the functionality of our technology and network infrastructure and its ability to handle increased traffic and demand for bandwidth. The growth in the number of billers, financial institutions and partners using our platform and the number of bills processed through our platform has increased the amount of data that we process. Any problems with the transmission of increased data and bills could result in harm to our brand or reputation. Moreover, as our business grows, we will need to devote additional resources to improving our operational infrastructure and continuing to enhance its scalability in order to maintain the performance of our platform, including customer support, risk and compliance operations and professional services. Any failure of or delay in these efforts could result in service interruptions, impaired system performance and reduced biller, financial institution, partner and consumer satisfaction. If sustained or repeated, these performance issues could reduce the attractiveness of our platform to billers, financial institutions and partners and could result in lost biller, financial institution and partner opportunities and higher attrition rates, any of which could hurt our revenue growth, biller, financial institution and partner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0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Moreover, our rapid growth has placed, and will likely continue to place, a significant strain on our managerial, administrative, operational, financial and other resources. We have grown substantially in the past three years and intend to further expand our overall business, including headcount, with no assurance that our revenue will continue to grow or grow sufficiently to offset the costs associated with increased headcount. As we grow, we will be required to continue to improve our operational and financial controls and reporting procedures and we may not be able to do so effectively. Furthermore, some members of our management do not have significant experience managing a large public company, so our management may not be able to manage such growth effectively. In managing our growing operations, we are also subject to the risks of over-hiring and over-compensating our employees and over-expanding our operating infrastructure. As a result, we may be unable to manage our expenses effectively in the future, which may negatively impact our gross profit or operating expenses.</w:t>
      </w:r>
    </w:p>
    <w:p>
      <w:pPr>
        <w:spacing w:after="0" w:line="99"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In addition, we believe that an important contributor to our success has been our corporate culture, which we believe fosters innovation, and is rooted in a philosophy of aligning our success with that of billers, financial institutions, partners and consumers. As a result of our rapid growth, a significant portion of our employees have been with us for fewer than three years. As we continue to grow and develop the infrastructure of a public company, we must effectively integrate, develop and motivate a growing number of new employees, who will be dispersed geographically, with our headquarters in Redmond, Washington and a large employee presence in Toronto, Canada, Charlotte, North Carolina and Delhi, India. Our geographically dispersed workforce may make it more difficult for our management to manage our growth effectively and preserve our corporate culture. In addition, we must preserve our ability to execute quickly in further developing our platform and implementing new features and tools. As a result, we may find it difficult to maintain our corporate culture, which could limit our ability to innovate and operate effectively. Any failure to preserve our culture could also negatively affect our ability to recruit and retain personnel, to continue to perform at current levels or to execute on our business strategy effectively and efficiently.</w:t>
      </w:r>
    </w:p>
    <w:p>
      <w:pPr>
        <w:spacing w:after="0" w:line="18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If we are unsuccessful in establishing, growing or maintaining partnerships, our ability to compete could be impaired, and our operating results may suffer.</w:t>
      </w:r>
    </w:p>
    <w:p>
      <w:pPr>
        <w:spacing w:after="0" w:line="68"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We rely on integration of our end-to-end electronic bill payment solution into third-party software products, which enables us to power such software products’ bill payment capabilities. We also rely on strategic partners, such as U.S. Bank, JPMorgan Chase and a major payroll solutions provider, and industry-expert partners to refer new billers to our platform. Additionally, the IPN is our patented and proprietary network that enables partners, such as PayPal, Walmart, a leading global ecommerce retailer and banks, to embed our end-to-end electronic bill payment solution into their ecosystems through a single point of access. Collectively, our software, strategic and IPN partners drive increased transaction volume and adoption of our platform.</w:t>
      </w:r>
    </w:p>
    <w:p>
      <w:pPr>
        <w:spacing w:after="0" w:line="97" w:lineRule="exact"/>
        <w:rPr>
          <w:sz w:val="20"/>
          <w:szCs w:val="20"/>
          <w:color w:val="auto"/>
        </w:rPr>
      </w:pPr>
    </w:p>
    <w:p>
      <w:pPr>
        <w:ind w:right="120" w:firstLine="494"/>
        <w:spacing w:after="0" w:line="234" w:lineRule="auto"/>
        <w:rPr>
          <w:sz w:val="20"/>
          <w:szCs w:val="20"/>
          <w:color w:val="auto"/>
        </w:rPr>
      </w:pPr>
      <w:r>
        <w:rPr>
          <w:rFonts w:ascii="Arial" w:cs="Arial" w:eastAsia="Arial" w:hAnsi="Arial"/>
          <w:sz w:val="18"/>
          <w:szCs w:val="18"/>
          <w:color w:val="auto"/>
        </w:rPr>
        <w:t>To grow our business, we will seek to expand our existing and establish additional relationships with strategic, software and IPN partners. Establishing such relationships, particularly with financial institutions and other large enterprises, entails extensive sales and marketing efforts with no guarantee of success. Sales and marketing to large organizations involve risks that may not be present, or that are present to a lesser extent, with sales and marketing to other, smaller organizations. We must invest significant time educating and selling to multiple management and technical decision-makers to obtain their support. In addition, we may be required to meet wide-ranging and detailed ancillary requirements. For example, financial institutions generally require us to submit to an exhaustive security audit, given the sensitivity and importance of storing consumer billing and payment data on our platform. Adoption is also frequently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0" w:name="page21"/>
    <w:bookmarkEnd w:id="20"/>
    <w:p>
      <w:pPr>
        <w:spacing w:after="0" w:line="237" w:lineRule="auto"/>
        <w:rPr>
          <w:sz w:val="20"/>
          <w:szCs w:val="20"/>
          <w:color w:val="auto"/>
        </w:rPr>
      </w:pPr>
      <w:r>
        <w:rPr>
          <w:rFonts w:ascii="Arial" w:cs="Arial" w:eastAsia="Arial" w:hAnsi="Arial"/>
          <w:sz w:val="18"/>
          <w:szCs w:val="18"/>
          <w:color w:val="auto"/>
        </w:rPr>
        <w:t>subject to budget constraints and unplanned administrative, processing and other delays, including considerable efforts to negotiate and document relationships. Further, platform deployment and integration with partners’ software and other solutions requires significant efforts. If we are unable to increase adoption of our platform by partners and manage the costs associated with marketing our platform to potential partners and integrating with their systems, our business, operating results and financial condition may be adversely affected. In addition, if we are unsuccessful in establishing, growing or maintaining partnerships, our ability to compete could be impaired, and our operating results may suffer. If we lost one or more of our largest partnerships, we could also lose associated biller relationships or payment channels and our business, operating results and financial condition could be harmed.</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we scale our business, we expect to continue to expend substantial financial and other resources on:</w:t>
      </w:r>
    </w:p>
    <w:p>
      <w:pPr>
        <w:spacing w:after="0" w:line="104" w:lineRule="exact"/>
        <w:rPr>
          <w:sz w:val="20"/>
          <w:szCs w:val="20"/>
          <w:color w:val="auto"/>
        </w:rPr>
      </w:pPr>
    </w:p>
    <w:p>
      <w:pPr>
        <w:ind w:left="1020" w:right="180" w:hanging="503"/>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including an expansion of our sales organization and new initiatives in order to drive further expansion of our IPN and partner ecosystem;</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03" w:lineRule="exact"/>
        <w:rPr>
          <w:rFonts w:ascii="Arial" w:cs="Arial" w:eastAsia="Arial" w:hAnsi="Arial"/>
          <w:sz w:val="18"/>
          <w:szCs w:val="18"/>
          <w:color w:val="auto"/>
        </w:rPr>
      </w:pPr>
    </w:p>
    <w:p>
      <w:pPr>
        <w:ind w:left="1020" w:right="240" w:hanging="503"/>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AI-enabled platform;</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compliance and risk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into new channels, verticals and international markets;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04"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maintain profitability over the long term. In particular, we expect net income and adjusted EBITDA may decline in the near-term as we make investments in our platform, incur increased operating costs associated with being a public company, integrate our recent acquisitions and amortize the identifiable intangible assets that we recorded in conjunction with our recent acquisitions.</w:t>
      </w:r>
    </w:p>
    <w:p>
      <w:pPr>
        <w:spacing w:after="0" w:line="97" w:lineRule="exact"/>
        <w:rPr>
          <w:sz w:val="20"/>
          <w:szCs w:val="20"/>
          <w:color w:val="auto"/>
        </w:rPr>
      </w:pPr>
    </w:p>
    <w:p>
      <w:pPr>
        <w:ind w:right="220" w:firstLine="494"/>
        <w:spacing w:after="0" w:line="238" w:lineRule="auto"/>
        <w:rPr>
          <w:sz w:val="20"/>
          <w:szCs w:val="20"/>
          <w:color w:val="auto"/>
        </w:rPr>
      </w:pPr>
      <w:r>
        <w:rPr>
          <w:rFonts w:ascii="Arial" w:cs="Arial" w:eastAsia="Arial" w:hAnsi="Arial"/>
          <w:sz w:val="18"/>
          <w:szCs w:val="18"/>
          <w:color w:val="auto"/>
        </w:rPr>
        <w:t>Additionally, we anticipate that our growth rate will decline over time to the extent that the number of billers and financial institutions using our platform increases and we achieve higher market penetration rates. As our growth rate declines, investors’ perception of our business may be adversely affected and the market price of our Class A common stock could decline as a result. To the extent our growth rate slows, our business performance will become increasingly dependent on our ability to retain revenue from existing billers and financial institutions and increase adoption of our platform by existing billers.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to large enterprises involve considerable time and expense with long and unpredictable sales cycles.</w:t>
      </w:r>
    </w:p>
    <w:p>
      <w:pPr>
        <w:spacing w:after="0" w:line="126"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One of the factors affecting our growth and financial performance is the adoption of our platform by large enterprise billers and large financial institutions over legacy solutions and in-house proprietary technologies or our competitor’s products. To increase adoption within large enterprise billers and to attract new large enterprise billers and large financial institutions, we primarily rely on our direct sales team. As part of our sales efforts, we invest considerable time and expense evaluating the specific organizational needs of potential billers and financial institutions and educating these potential billers and financial institutions about the technical capabilities and value of our platform. Because large enterprises tend to have more consumers impacted by a switch in billing services, they often evaluate our platform at multiple levels within their organization, each of which often have specific requirements, and typically involve their senior management. As a result, our sales efforts to large enterprises involve considerable time and expense with long and unpredictable sales cycles, which may cause our results of operations to fluctuate.</w:t>
      </w:r>
    </w:p>
    <w:p>
      <w:pPr>
        <w:spacing w:after="0" w:line="99" w:lineRule="exact"/>
        <w:rPr>
          <w:sz w:val="20"/>
          <w:szCs w:val="20"/>
          <w:color w:val="auto"/>
        </w:rPr>
      </w:pPr>
    </w:p>
    <w:p>
      <w:pPr>
        <w:ind w:right="200" w:firstLine="494"/>
        <w:spacing w:after="0" w:line="234" w:lineRule="auto"/>
        <w:rPr>
          <w:sz w:val="20"/>
          <w:szCs w:val="20"/>
          <w:color w:val="auto"/>
        </w:rPr>
      </w:pPr>
      <w:r>
        <w:rPr>
          <w:rFonts w:ascii="Arial" w:cs="Arial" w:eastAsia="Arial" w:hAnsi="Arial"/>
          <w:sz w:val="18"/>
          <w:szCs w:val="18"/>
          <w:color w:val="auto"/>
        </w:rPr>
        <w:t>Large enterprise billers and large financial institutions also make product purchasing and adoption decisions based in part or entirely on factors, or perceived factors, not directly related to the features of platforms, including, among others, a biller’s projections of business growth, uncertainty about economic conditions (including as a result of the COVID-19 pandemic), capital budgets, anticipated cost savings from the implementation of our platform, potential preference for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ind w:right="20"/>
        <w:spacing w:after="0" w:line="236" w:lineRule="auto"/>
        <w:rPr>
          <w:sz w:val="20"/>
          <w:szCs w:val="20"/>
          <w:color w:val="auto"/>
        </w:rPr>
      </w:pPr>
      <w:r>
        <w:rPr>
          <w:rFonts w:ascii="Arial" w:cs="Arial" w:eastAsia="Arial" w:hAnsi="Arial"/>
          <w:sz w:val="18"/>
          <w:szCs w:val="18"/>
          <w:color w:val="auto"/>
        </w:rPr>
        <w:t>such biller’s or financial institutions' internally-developed software and billing solutions, perceptions about our business and platform, more favorable terms offered by potential competitors and previous technology investments. In addition, certain decision-makers and other stakeholders within potential billers and financial institutions tend to have vested interests in the continued use of internally developed solutions or other existing electronic payment and billing solutions, which may make it more difficult for us to sell our products. As a result of these and other factors, our sales efforts to large enterprises typically require an extensive effort throughout the organization and a significant investment of human resources, expense and time, including by our senior management, and there can be no assurances that we will be successful in making a sale. If our sales efforts to a potential biller or financial institution do not result in sufficient revenue to justify our investments, our business, operating results and financial condition could be adversely affected.</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The COVID-19 pandemic, including existing and future variants, could have a material adverse impact on our employees, billers, financial institutions, partners, consumers and other key stakeholders, which could materially and adversely impact our business, operating results and financial condition.</w:t>
      </w:r>
    </w:p>
    <w:p>
      <w:pPr>
        <w:spacing w:after="0" w:line="83"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in the United States, where we generate substantially all of our revenue, and worldwide, where we are targeting future growth. It has also caused extreme societal, economic and financial market volatility, resulting in business shutdowns and a global economic downturn. The extent of the impact of the COVID-19 pandemic on our operational and financial performance will depend on future developments, including the duration, spread and severity of the pandemic, the availability, effectiveness and uptake of vaccines for COVID-19, the emergence of new variants of COVID-19 and whether existing vaccines are effective with respect to such variants, the actions to contain the disease or mitigate its impact, and the duration, timing and severity of the impact on consumer behavior, including any recession resulting from the pandemic, all of which are unpredictable.</w:t>
      </w:r>
    </w:p>
    <w:p>
      <w:pPr>
        <w:spacing w:after="0" w:line="100"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In light of the uncertainty relating to the spread of COVID-19, we have taken precautionary measures intended to reduce the risk of the virus spreading to our employees, billers, financial institutions and partners, and we may take further precautionary measures. In particular, governmental authorities have at times instituted, and in the future may institute, shelter-in-place policies and other restrictions in many jurisdictions in which we operate, including in Redmond, Washington, where our headquarters are located, and Toronto, Canada, Charlotte, North Carolina and Delhi, India, where we maintain significant operations, which policies and restrictions have at times required our employees to work remotely. Even as shelter-in-place policies or other governmental restrictions are lifted, we are taking, and expect to continue to take, a measured and careful approach to having employees return to offices and travel for business. These precautionary measures and policies could negatively impact employee productivity, training and collaboration or otherwise disrupt our business operations. In addition, such restrictions impact certain of our sales efforts, marketing efforts and implementations, adversely affecting the effectiveness of such efforts in some cases and potentially inhibiting future growth.</w:t>
      </w:r>
    </w:p>
    <w:p>
      <w:pPr>
        <w:spacing w:after="0" w:line="98"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In addition, the COVID-19 pandemic has disrupted and may continue to disrupt the operations of our billers, financial institutions and partners for an indefinite period of time, which in turn could negatively impact our business and operating results. Widespread remote work arrangements may also negatively impact our billers’, financial institutions' and partners’ operations, and the operations of third-party service providers who perform critical services for us, and, by extension, our operations.</w:t>
      </w:r>
    </w:p>
    <w:p>
      <w:pPr>
        <w:spacing w:after="0" w:line="97"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Further, the extent and duration of working remotely exposes us, and our billers, financial institutions and partners and others with whom we have business relationships to increased risks of security breaches or incidents. The increase in remote working may also result in privacy, data protection,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pandemic-related developments. Furthermore, we may need to enhance the security of our platform, our data and our internal information technology, or IT, infrastructure, which may require us to expend additional resources and may not be successful.</w:t>
      </w:r>
    </w:p>
    <w:p>
      <w:pPr>
        <w:spacing w:after="0" w:line="95" w:lineRule="exact"/>
        <w:rPr>
          <w:sz w:val="20"/>
          <w:szCs w:val="20"/>
          <w:color w:val="auto"/>
        </w:rPr>
      </w:pPr>
    </w:p>
    <w:p>
      <w:pPr>
        <w:ind w:right="160" w:firstLine="494"/>
        <w:spacing w:after="0" w:line="234" w:lineRule="auto"/>
        <w:rPr>
          <w:sz w:val="20"/>
          <w:szCs w:val="20"/>
          <w:color w:val="auto"/>
        </w:rPr>
      </w:pPr>
      <w:r>
        <w:rPr>
          <w:rFonts w:ascii="Arial" w:cs="Arial" w:eastAsia="Arial" w:hAnsi="Arial"/>
          <w:sz w:val="18"/>
          <w:szCs w:val="18"/>
          <w:color w:val="auto"/>
        </w:rPr>
        <w:t>More generally, the COVID-19 pandemic has adversely affected economies and financial markets globally, potentially leading to a prolonged economic downturn, which could decrease technology spending, lengthen sales and implementation cycles, and adversely affect demand for our products and harm our business and operating results. The COVID-19 pandemic may delay, or prevent us from making, collections, and disrupt our ability to develop or enhance offerings. As the COVID-19 pandemic persists, government authorities and companies may continue to implement or reimpose restrictions or policies that could adversely impact consumer spending and payment volumes, global capital markets, the global economy and the market price of our Class A common stock.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480"/>
        <w:spacing w:after="0" w:line="253" w:lineRule="auto"/>
        <w:rPr>
          <w:sz w:val="20"/>
          <w:szCs w:val="20"/>
          <w:color w:val="auto"/>
        </w:rPr>
      </w:pPr>
      <w:r>
        <w:rPr>
          <w:rFonts w:ascii="Arial" w:cs="Arial" w:eastAsia="Arial" w:hAnsi="Arial"/>
          <w:sz w:val="18"/>
          <w:szCs w:val="18"/>
          <w:b w:val="1"/>
          <w:bCs w:val="1"/>
          <w:i w:val="1"/>
          <w:iCs w:val="1"/>
          <w:color w:val="auto"/>
        </w:rPr>
        <w:t>We are subject to economic and geopolitical risk, the business cycles and credit risk of our billers, financial institutions and partners and their consumers, and the overall level of consumer, business and government spending, which could negatively affect our business, operating results and financial condition.</w:t>
      </w:r>
    </w:p>
    <w:p>
      <w:pPr>
        <w:spacing w:after="0" w:line="83"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The electronic bill presentment and payment services industry depends heavily on the overall level of consumer, business and government spending. We are exposed to general economic conditions that affect consumer confidence, consumer spending, consumer discretionary income and changes in consumer purchasing habits. A sustained deterioration in general economic conditions in the markets in which we operate or increases in interest rates may adversely affect our financial performance by reducing the number or average payment amount of transactions made using electronic bill payments on our platform. Relatedly, a reduction in the amount of consumer spending could result in a decrease in our revenue and profit. If our billers present fewer bills to consumers using electronic billing or consumers making electronic bill payments spend less per transaction, we will have fewer transactions to process or lower transaction amounts, each of which would contribute to lower revenue. These developments could have a material adverse impact on our business, operating results and financial condition.</w:t>
      </w:r>
    </w:p>
    <w:p>
      <w:pPr>
        <w:spacing w:after="0" w:line="99"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Further, a downturn in the economy could force our billers, financial institutions or partners or their consumers to close or declare bankruptcy, resulting in lower revenue and earnings for us and greater exposure to potential credit losses and future transaction declines. We also have a certain amount of fixed and other costs, including rent and salaries, which could limit our ability to quickly adjust costs and respond to changes in our business and the economy. Changes in economic conditions could also adversely affect our future revenue and profit and cause a materially adverse effect on our business, operating results and financial condition.</w:t>
      </w:r>
    </w:p>
    <w:p>
      <w:pPr>
        <w:spacing w:after="0" w:line="18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operating results and financial condition could be harmed.</w:t>
      </w:r>
    </w:p>
    <w:p>
      <w:pPr>
        <w:spacing w:after="0" w:line="68" w:lineRule="exact"/>
        <w:rPr>
          <w:sz w:val="20"/>
          <w:szCs w:val="20"/>
          <w:color w:val="auto"/>
        </w:rPr>
      </w:pPr>
    </w:p>
    <w:p>
      <w:pPr>
        <w:ind w:right="140" w:firstLine="494"/>
        <w:spacing w:after="0" w:line="237" w:lineRule="auto"/>
        <w:rPr>
          <w:sz w:val="20"/>
          <w:szCs w:val="20"/>
          <w:color w:val="auto"/>
        </w:rPr>
      </w:pPr>
      <w:r>
        <w:rPr>
          <w:rFonts w:ascii="Arial" w:cs="Arial" w:eastAsia="Arial" w:hAnsi="Arial"/>
          <w:sz w:val="18"/>
          <w:szCs w:val="18"/>
          <w:color w:val="auto"/>
        </w:rPr>
        <w:t>The market for electronic bill presentment and payment services is fragmented, competitive and constantly evolving. Our primary competitors are legacy solution providers and financial institutions with internally developed solutions for bill presentment and payment services. With the introduction of new technologies and market entrants, we expect that the competitive environment will remain intense. Legacy solution providers, new market entrant solution providers and financial institutions may internally develop products, acquire existing, third-party products or enter into partnerships or other strategic relationships that would enable them to expand their product offerings to compete with our platform, provide more comprehensive offerings than they individually had offered or achieve greater economies of scale than us.</w:t>
      </w:r>
    </w:p>
    <w:p>
      <w:pPr>
        <w:spacing w:after="0" w:line="95" w:lineRule="exact"/>
        <w:rPr>
          <w:sz w:val="20"/>
          <w:szCs w:val="20"/>
          <w:color w:val="auto"/>
        </w:rPr>
      </w:pPr>
    </w:p>
    <w:p>
      <w:pPr>
        <w:ind w:right="220" w:firstLine="494"/>
        <w:spacing w:after="0" w:line="238" w:lineRule="auto"/>
        <w:rPr>
          <w:sz w:val="20"/>
          <w:szCs w:val="20"/>
          <w:color w:val="auto"/>
        </w:rPr>
      </w:pPr>
      <w:r>
        <w:rPr>
          <w:rFonts w:ascii="Arial" w:cs="Arial" w:eastAsia="Arial" w:hAnsi="Arial"/>
          <w:sz w:val="18"/>
          <w:szCs w:val="18"/>
          <w:color w:val="auto"/>
        </w:rPr>
        <w:t>These legacy solution providers and financial institutions may have the operating flexibility to bundle competing solutions with other offerings, and may offer them at a lower price or for no additional cost to billers and financial institutions as part of a larger sale. Legacy solution providers offer solutions for in-person cash payments, check-based mail payments, prior-generation interactive voice response, or IVR, phone-based payments and web-based payments, as well as a variety of point solutions for various payment needs.</w:t>
      </w:r>
    </w:p>
    <w:p>
      <w:pPr>
        <w:spacing w:after="0" w:line="97"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In addition, new entrants not currently considered to be competitors may enter the market through acquisitions, partnerships, or strategic relationships. New market entrants include a variety of payment processing vendors, particularly those focused on online and mobile payments, as well as mobile wallets and other offerings. Many of these new entrants are also potential partners of ours. As we look to market and sell our platform to potential billers, financial institutions or strategic partners with existing solutions, we must convince their internal stakeholders that our platform is superior to their current solutions.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several factors, including:</w:t>
      </w:r>
    </w:p>
    <w:p>
      <w:pPr>
        <w:spacing w:after="0" w:line="104"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features, quality and breadth and depth of functionality;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ease of deployment and implementation speed;</w:t>
      </w:r>
    </w:p>
    <w:p>
      <w:pPr>
        <w:spacing w:after="0" w:line="103" w:lineRule="exact"/>
        <w:rPr>
          <w:rFonts w:ascii="Arial" w:cs="Arial" w:eastAsia="Arial" w:hAnsi="Arial"/>
          <w:sz w:val="18"/>
          <w:szCs w:val="18"/>
          <w:color w:val="auto"/>
        </w:rPr>
      </w:pPr>
    </w:p>
    <w:p>
      <w:pPr>
        <w:ind w:left="1020" w:right="84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ease of integration with leading billing and enterprise software, customer information systems and banking technology infrastructures;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automate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cloud-based delivery architecture;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security, reliability, customer service and control features;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asset size and ability to leverage artificial intelligence, or AI, to grow faster and smarter;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compliance leadership;</w:t>
      </w:r>
    </w:p>
    <w:p>
      <w:pPr>
        <w:spacing w:after="0" w:line="9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awareness and reputation;</w:t>
      </w: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23" w:name="page24"/>
    <w:bookmarkEnd w:id="23"/>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total cost of ownership and return on investment;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satisfaction.</w:t>
      </w:r>
    </w:p>
    <w:p>
      <w:pPr>
        <w:spacing w:after="0" w:line="104" w:lineRule="exact"/>
        <w:rPr>
          <w:sz w:val="20"/>
          <w:szCs w:val="20"/>
          <w:color w:val="auto"/>
        </w:rPr>
      </w:pPr>
    </w:p>
    <w:p>
      <w:pPr>
        <w:ind w:right="60" w:firstLine="494"/>
        <w:spacing w:after="0" w:line="234" w:lineRule="auto"/>
        <w:rPr>
          <w:sz w:val="20"/>
          <w:szCs w:val="20"/>
          <w:color w:val="auto"/>
        </w:rPr>
      </w:pPr>
      <w:r>
        <w:rPr>
          <w:rFonts w:ascii="Arial" w:cs="Arial" w:eastAsia="Arial" w:hAnsi="Arial"/>
          <w:sz w:val="18"/>
          <w:szCs w:val="18"/>
          <w:color w:val="auto"/>
        </w:rPr>
        <w:t>Our competitors vary in size, breadth, and scope of the products and services offered. Many of our current and potential competitors have greater name recognition, longer operating histories, more established biller and consumer relationships, larger marketing budgets and greater resources than us. Our competitors may be able to respond more quickly and effectively than we can to new or changing opportunities, technologies, standards and requirements.</w:t>
      </w:r>
    </w:p>
    <w:p>
      <w:pPr>
        <w:spacing w:after="0" w:line="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 these reasons, we may not be able to compete successfully or continue to achieve or maintain market acceptance for our platform, any of which would harm our business,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sensitive to shifts in payment mix.</w:t>
      </w:r>
    </w:p>
    <w:p>
      <w:pPr>
        <w:spacing w:after="0" w:line="126"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A substantial majority of our revenue is derived from transaction fees, either absorbed by billers and financial institutions or paid by consumers, and the majority of bills on our platform are paid via credit or debit cards. In general, we receive more revenue for card-based payments than for electronic check and automated clearing house, or ACH, payments. Accordingly, if more consumers start paying their bills by electronic check, ACH or other payment methods with lower transaction fees, it could materially impact our operating results.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expect fluctuations in our operating results, which will make it difficult to project future results and may cause the market price of our Class A common stock to decline.</w:t>
      </w:r>
    </w:p>
    <w:p>
      <w:pPr>
        <w:spacing w:after="0" w:line="68" w:lineRule="exact"/>
        <w:rPr>
          <w:sz w:val="20"/>
          <w:szCs w:val="20"/>
          <w:color w:val="auto"/>
        </w:rPr>
      </w:pPr>
    </w:p>
    <w:p>
      <w:pPr>
        <w:jc w:val="both"/>
        <w:ind w:right="180" w:firstLine="494"/>
        <w:spacing w:after="0"/>
        <w:rPr>
          <w:sz w:val="20"/>
          <w:szCs w:val="20"/>
          <w:color w:val="auto"/>
        </w:rPr>
      </w:pPr>
      <w:r>
        <w:rPr>
          <w:rFonts w:ascii="Arial" w:cs="Arial" w:eastAsia="Arial" w:hAnsi="Arial"/>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other risks described herein, factors that may affect our operating results include the following:</w:t>
      </w:r>
    </w:p>
    <w:p>
      <w:pPr>
        <w:spacing w:after="0" w:line="10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billers and financial institutions and retain and increase adoption by our existing billers;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our relationships with our partners and identify and attract new partners;</w:t>
      </w:r>
    </w:p>
    <w:p>
      <w:pPr>
        <w:spacing w:after="0" w:line="103" w:lineRule="exact"/>
        <w:rPr>
          <w:rFonts w:ascii="Arial" w:cs="Arial" w:eastAsia="Arial" w:hAnsi="Arial"/>
          <w:sz w:val="18"/>
          <w:szCs w:val="18"/>
          <w:color w:val="auto"/>
        </w:rPr>
      </w:pPr>
    </w:p>
    <w:p>
      <w:pPr>
        <w:ind w:left="1020" w:right="70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payment method preferences and channels by consumers, which may affect our revenue and gross margin, particularly as a result of interchange fees;</w:t>
      </w:r>
    </w:p>
    <w:p>
      <w:pPr>
        <w:spacing w:after="0" w:line="88"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across the industries of our billers, which may affect payment methods used by consumers and average payment amounts and, in turn, our revenue and gross margin, particularly as a result of interchange fees;</w:t>
      </w:r>
    </w:p>
    <w:p>
      <w:pPr>
        <w:spacing w:after="0" w:line="88" w:lineRule="exact"/>
        <w:rPr>
          <w:rFonts w:ascii="Arial" w:cs="Arial" w:eastAsia="Arial" w:hAnsi="Arial"/>
          <w:sz w:val="18"/>
          <w:szCs w:val="18"/>
          <w:color w:val="auto"/>
        </w:rPr>
      </w:pPr>
    </w:p>
    <w:p>
      <w:pPr>
        <w:ind w:left="1020" w:right="94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impact of the COVID-19 pandemic on our operating results, liquidity and financial condition and on our employees, billers, financial institutions, partners, consumers and other key stakeholders;</w:t>
      </w:r>
    </w:p>
    <w:p>
      <w:pPr>
        <w:spacing w:after="0" w:line="88"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biller and financial institution preference for cloud-based services as a result of security breaches and incidents in the industry or privacy concerns, or other security or reliability concerns regarding our products;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or delays in purchasing decisions in anticipation of new products or product enhancements by us or our competitors;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biller, financial institution and consumer budgets and in the timing of their budget cycles and purchasing decisions;</w:t>
      </w:r>
    </w:p>
    <w:p>
      <w:pPr>
        <w:spacing w:after="0" w:line="103"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and existing billers and financial institutions choosing our competitors’ products or developing their own solutions in-house;</w:t>
      </w:r>
    </w:p>
    <w:p>
      <w:pPr>
        <w:spacing w:after="0" w:line="88" w:lineRule="exact"/>
        <w:rPr>
          <w:rFonts w:ascii="Arial" w:cs="Arial" w:eastAsia="Arial" w:hAnsi="Arial"/>
          <w:sz w:val="18"/>
          <w:szCs w:val="18"/>
          <w:color w:val="auto"/>
        </w:rPr>
      </w:pPr>
    </w:p>
    <w:p>
      <w:pPr>
        <w:ind w:left="1020" w:right="12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or introduction of new platforms or services that are easier to use or more advanced than our current platform and suite of services;</w:t>
      </w:r>
    </w:p>
    <w:p>
      <w:pPr>
        <w:spacing w:after="0" w:line="88" w:lineRule="exact"/>
        <w:rPr>
          <w:rFonts w:ascii="Arial" w:cs="Arial" w:eastAsia="Arial" w:hAnsi="Arial"/>
          <w:sz w:val="18"/>
          <w:szCs w:val="18"/>
          <w:color w:val="auto"/>
        </w:rPr>
      </w:pPr>
    </w:p>
    <w:p>
      <w:pPr>
        <w:ind w:left="1020" w:right="86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adapt to new forms or methods of payment that become widely accepted, including cryptocurrencies and blockchain-based transactions;</w:t>
      </w:r>
    </w:p>
    <w:p>
      <w:pPr>
        <w:spacing w:after="0" w:line="88" w:lineRule="exact"/>
        <w:rPr>
          <w:rFonts w:ascii="Arial" w:cs="Arial" w:eastAsia="Arial" w:hAnsi="Arial"/>
          <w:sz w:val="18"/>
          <w:szCs w:val="18"/>
          <w:color w:val="auto"/>
        </w:rPr>
      </w:pPr>
    </w:p>
    <w:p>
      <w:pPr>
        <w:ind w:left="1020" w:right="76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international markets where we compete or plan to compete;</w:t>
      </w:r>
    </w:p>
    <w:p>
      <w:pPr>
        <w:spacing w:after="0" w:line="8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rising inflation and our ability to control our costs, including employee wages and benefits and other operating expenses;</w:t>
      </w:r>
    </w:p>
    <w:p>
      <w:pPr>
        <w:spacing w:after="0" w:line="103"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88" w:lineRule="exact"/>
        <w:rPr>
          <w:rFonts w:ascii="Arial" w:cs="Arial" w:eastAsia="Arial" w:hAnsi="Arial"/>
          <w:sz w:val="18"/>
          <w:szCs w:val="18"/>
          <w:color w:val="auto"/>
        </w:rPr>
      </w:pPr>
    </w:p>
    <w:p>
      <w:pPr>
        <w:ind w:left="1020" w:right="24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88"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acquisitions and their integration, including our acquisition of Payveris in September 2021;</w:t>
      </w:r>
    </w:p>
    <w:p>
      <w:pPr>
        <w:spacing w:after="0" w:line="103" w:lineRule="exact"/>
        <w:rPr>
          <w:rFonts w:ascii="Arial" w:cs="Arial" w:eastAsia="Arial" w:hAnsi="Arial"/>
          <w:sz w:val="18"/>
          <w:szCs w:val="18"/>
          <w:color w:val="auto"/>
        </w:rPr>
      </w:pPr>
    </w:p>
    <w:p>
      <w:pPr>
        <w:ind w:left="1020" w:right="7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billers operate;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03"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breaches of and incidents impacting, technical difficulties with, or interruptions to, the delivery and use of our platform;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104"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have incurred and expect to continue to incur significant additional expenses due to the increased costs of operating as a public company. If the assumptions used to plan our business are incorrect, our revenue may fail to meet our expectations and we may fail to meet profitability expectations. Further, if our quarterly operating results fall below the expectations of investors and securities analysts who follow our Class A common stock, the price of our Class A common stock could decline substantially, and we could face costly lawsuits, including securities class action lawsuits.</w:t>
      </w:r>
    </w:p>
    <w:p>
      <w:pPr>
        <w:spacing w:after="0" w:line="183" w:lineRule="exact"/>
        <w:rPr>
          <w:sz w:val="20"/>
          <w:szCs w:val="20"/>
          <w:color w:val="auto"/>
        </w:rPr>
      </w:pPr>
    </w:p>
    <w:p>
      <w:pPr>
        <w:jc w:val="both"/>
        <w:ind w:right="500"/>
        <w:spacing w:after="0" w:line="253" w:lineRule="auto"/>
        <w:rPr>
          <w:sz w:val="20"/>
          <w:szCs w:val="20"/>
          <w:color w:val="auto"/>
        </w:rPr>
      </w:pPr>
      <w:r>
        <w:rPr>
          <w:rFonts w:ascii="Arial" w:cs="Arial" w:eastAsia="Arial" w:hAnsi="Arial"/>
          <w:sz w:val="18"/>
          <w:szCs w:val="18"/>
          <w:b w:val="1"/>
          <w:bCs w:val="1"/>
          <w:i w:val="1"/>
          <w:iCs w:val="1"/>
          <w:color w:val="auto"/>
        </w:rPr>
        <w:t>We depend on third-party payment processors, sponsor banks and third-party printers to process bill payments made on our platform and our business, operating results and reputation could be harmed if we experience service interruptions related to these processors.</w:t>
      </w:r>
    </w:p>
    <w:p>
      <w:pPr>
        <w:spacing w:after="0" w:line="83"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depend on third-party payment processors, including PayPal’s Braintree service, sponsor banks and third-party printers to process bill payments made through various channels on our platform, including credit and debit cards, ACH transfers, eChecks and PayPal. The per-transaction settlement fees we pay under our agreements with these processors collectively comprise a significant portion of our cost of revenue. We also rely on payment processors to collect and store payment card information and provide certain fraud detection services. Our multiyear agreements with these processors contain industry-standard terms and conditions, including technical requirements for how we must process and settle transactions and chargebacks. These agreements also obligate us to comply with card networks’ security standards and guidelines, and to reimburse the payment processors for any fines they are assessed by payment networks as a result of any rule violations by us. See the section titled “—Risks Related to Regulation—We are required to comply with payment network operating rules and changes to such rules or payment network fees could harm our business.”</w:t>
      </w:r>
    </w:p>
    <w:p>
      <w:pPr>
        <w:spacing w:after="0" w:line="99" w:lineRule="exact"/>
        <w:rPr>
          <w:sz w:val="20"/>
          <w:szCs w:val="20"/>
          <w:color w:val="auto"/>
        </w:rPr>
      </w:pPr>
    </w:p>
    <w:p>
      <w:pPr>
        <w:ind w:right="40" w:firstLine="494"/>
        <w:spacing w:after="0" w:line="234" w:lineRule="auto"/>
        <w:rPr>
          <w:sz w:val="20"/>
          <w:szCs w:val="20"/>
          <w:color w:val="auto"/>
        </w:rPr>
      </w:pPr>
      <w:r>
        <w:rPr>
          <w:rFonts w:ascii="Arial" w:cs="Arial" w:eastAsia="Arial" w:hAnsi="Arial"/>
          <w:sz w:val="18"/>
          <w:szCs w:val="18"/>
          <w:color w:val="auto"/>
        </w:rPr>
        <w:t>If any of our processors were to terminate its relationship with us, whether as a result of a failure by us to meet our contractual obligations or for other reasons, or if any of them were to refuse to renew its agreement with us on commercially reasonable terms, we would need to engage one or more alternate processors. In that case, we could experience service interruptions and incur significant expenses in arranging for replacement payment processing services. Such interruptions could also negatively impact our reputation and our relationships with existing or potential billers, financial institutions and partners, as well as cause us to become obligated to provide service credits or refunds under our service level commitments. Likewise, our processors have in the past and may in the future experience outages that have and may cause us to temporarily lose our ability to process transactions on our platform. If any of our processors fails to meet our standards and expectations, becomes compromised or suffers errors, outages or vulnerabilities, we could temporarily lose our ability to process transactions on our platform until such issues have been remedied or we have engaged one or more alternate processors.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ind w:right="100"/>
        <w:spacing w:after="0" w:line="253" w:lineRule="auto"/>
        <w:rPr>
          <w:sz w:val="20"/>
          <w:szCs w:val="20"/>
          <w:color w:val="auto"/>
        </w:rPr>
      </w:pPr>
      <w:r>
        <w:rPr>
          <w:rFonts w:ascii="Arial" w:cs="Arial" w:eastAsia="Arial" w:hAnsi="Arial"/>
          <w:sz w:val="18"/>
          <w:szCs w:val="18"/>
          <w:b w:val="1"/>
          <w:bCs w:val="1"/>
          <w:i w:val="1"/>
          <w:iCs w:val="1"/>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83"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primary competition remains the legacy processes that billers and financial institutions have relied on for many years, such as physical bills, physical checks and non-scalable legacy IVR and similar systems, as well as systems developed internally by financial institutions. Our success depends to a substantial extent on the widespread adoption of our cloud-based electronic billing and payment platform as an alternative to these existing solutions and adoption by billers that are not using any such solutions at all. Some organizations may be reluctant or unwilling to use our platform for several reasons, including concerns about additional costs, uncertainty regarding the reliability and security of cloud-based offerings or lack of awareness of the benefits of our platform. Our ability to expand sales of our platform depends on several factors, including prospective billers’ and financial institutions' awareness of our platform; the timely completion, introduction and market acceptance of enhancements to our platform or new products that we may introduce; the effectiveness of our marketing programs; the costs of our platform and the ability of billers to pass on transaction costs to their consumers; and the success of competing solutions. If we are unsuccessful in developing and marketing our platform, or if organizations do not perceive or value the benefits of our platform as an alternative to legacy systems, the market for our platform may not continue to develop or may develop more slowly than we expect, either of which would harm our business, operating results and prospects.</w:t>
      </w:r>
    </w:p>
    <w:p>
      <w:pPr>
        <w:spacing w:after="0" w:line="182"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which could expose us to material financial losses and liability and otherwise harm our business.</w:t>
      </w:r>
    </w:p>
    <w:p>
      <w:pPr>
        <w:spacing w:after="0" w:line="68"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We offer a software platform that automates the entire bill payment lifecycle, providing electronic bill presentment, consumer engagement and payment processing for a large number of billers, financial institutions and consumers. We are responsible for verifying the identity of our billers, and monitoring transactions for fraud. We and our billers, financial institutions and partners have been in the past and will continue to be targeted by parties who seek to commit acts of financial fraud using techniques such as stolen identities and bank accounts, compromised business email accounts, employee or insider fraud, account takeover, false applications and check fraud. We may suffer losses from acts of financial fraud committed by or against our billers, financial institutions or partners or their consumers, our employees or other third-parties.</w:t>
      </w:r>
    </w:p>
    <w:p>
      <w:pPr>
        <w:spacing w:after="0" w:line="9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The techniques used to perpetrate fraud on our platform are continually evolving, and we expend considerable resources to continue to monitor and combat them. In addition, when we introduce new products and functionality, or expand existing products, we may not be able to identify all risks created by the new products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platform could enable criminals and those committing fraud to cause significant losses to our business. As greater numbers of billers, financial institutions, partners and consumers use our platform, our exposure to material risk of losses from a single user, or from a small number of users, will increase.</w:t>
      </w:r>
    </w:p>
    <w:p>
      <w:pPr>
        <w:spacing w:after="0" w:line="99"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Our current business and anticipated domestic and international growth will continue to place significant demands on our risk management efforts, and we will need to continue developing and improving our existing risk management infrastructure, policies, procedures, techniques and processes. As techniques used to perpetrate fraud on our platform evolve, we may need to modify our products or services to mitigate fraud risks. As our business grows and becomes more complex, we may be less able to forecast and carry appropriate reserves on our books for fraud related losses. Further, these types of fraudulent activities on our platform can also expose us to civil and criminal liability and governmental and regulatory sanctions as well as potentially cause us to be in breach of our contractual obligations to our third-party partners.</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we lose our founder and chief executive officer or other key members of our management team, or if we are unable to attract and retain executives and employees we need to support our operations and growth, our business may be harmed.</w:t>
      </w:r>
    </w:p>
    <w:p>
      <w:pPr>
        <w:spacing w:after="0" w:line="68"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Dushyant Sharma, our founder, chairman, president and chief executive officer, is critical to our overall management, as well as the continued development of our products, partnerships, culture and strategic direction. From time to time, there may be changes in our management team resulting from the hiring or departure of executives and key employees, which could disrupt our business. Our senior management and key employees are employed on an at-will basis. Certain of our key employees have been with us for a long period of time and have fully vested stock options that may become valuable and are publicly tradable, subject to Rule 144 limitations, which reduces the incentive for each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6" w:name="page27"/>
    <w:bookmarkEnd w:id="26"/>
    <w:p>
      <w:pPr>
        <w:ind w:right="40"/>
        <w:spacing w:after="0" w:line="238" w:lineRule="auto"/>
        <w:rPr>
          <w:sz w:val="20"/>
          <w:szCs w:val="20"/>
          <w:color w:val="auto"/>
        </w:rPr>
      </w:pPr>
      <w:r>
        <w:rPr>
          <w:rFonts w:ascii="Arial" w:cs="Arial" w:eastAsia="Arial" w:hAnsi="Arial"/>
          <w:sz w:val="18"/>
          <w:szCs w:val="18"/>
          <w:color w:val="auto"/>
        </w:rPr>
        <w:t>these key employees to remain at our company. The loss of our founder and chief executive officer, or one or more of our other senior management members, or other key employees, including due to illness resulting from COVID-19, could harm our business, and we may not be able to find adequate replacements.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18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Failure to attract and retain additional qualified personnel and any restrictions on the movement of personnel could prevent us from executing our business strategy and growth plans</w:t>
      </w:r>
      <w:r>
        <w:rPr>
          <w:rFonts w:ascii="Arial" w:cs="Arial" w:eastAsia="Arial" w:hAnsi="Arial"/>
          <w:sz w:val="18"/>
          <w:szCs w:val="18"/>
          <w:color w:val="auto"/>
        </w:rPr>
        <w:t>.</w:t>
      </w:r>
    </w:p>
    <w:p>
      <w:pPr>
        <w:spacing w:after="0" w:line="68"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 is intense and increasing. We compete with many other companies for software developers with high levels of experience in designing, developing, and managing cloud-based software and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a new or revised visa program, and in particular one that limits the availability of H1-B and other visas, may impact our ability to recruit, hire, retain or effectively collaborate with qualified skilled personnel, including in the areas of AI and machine learning, and payment systems and risk management, which could adversely impact our business, operating results and financial condition. If we fail to identify, attract, develop and integrate new personnel, or fail to retain and motivate our current personnel, our growth prospects would be adversely affected.</w:t>
      </w:r>
    </w:p>
    <w:p>
      <w:pPr>
        <w:spacing w:after="0" w:line="18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If we fail to offer high-quality customer support, if we experience complaints regarding our customer support or if our support is more expensive than anticipated, our business and reputation could suffer.</w:t>
      </w:r>
    </w:p>
    <w:p>
      <w:pPr>
        <w:spacing w:after="0" w:line="68"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Billers and financial institutions and their consumers rely on our customer support services to resolve issues and realize the full benefits provided by our platform. High-quality support is also important to maintain and drive further adoption by our existing billers and their consumers. We primarily provide customer support to our clients over email, with some additional support provided over chat and through our platform, and to consumers over the phone. If we do not help our billers and financial institutions and their consumers quickly resolve issues and provide effective ongoing support, or if our support personnel or methods of providing support are insufficient to meet the needs of our billers and financial institutions and their consumers, our ability to retain billers and financial institutions, increase adoption by our existing billers and financial institutions and acquire new billers could suffer, and our reputation with existing or potential billers and financial institutions could be harmed. In addition, biller, financial institution and consumer complaints or negative publicity about our customer service could diminish confidence in and use of our products or services. Effective customer service requires significant expenses, which, if not managed properly, could negatively impact our profitability. If we are not able to meet the customer support needs of our billers and their consumers during the hours that we currently provide support, we may need to increase our support coverage and provide additional support by other means and methods, which may reduce our profitability.</w:t>
      </w:r>
    </w:p>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If the fees we charge are unacceptable to our billers, financial institutions or their consumers, our business, operating results and financial condition could be harmed.</w:t>
      </w:r>
    </w:p>
    <w:p>
      <w:pPr>
        <w:spacing w:after="0" w:line="68"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We generate substantially all of our revenue by charging billers and financial institutions fees on a per-transaction basis. As the market for our platform matures, or as new or existing competitors introduce new products or services that compete with ours, we may experience pricing pressure and be unable to renew our agreements with existing billers and financial institutions or attract new billers and financial institutions at fee levels that are consistent with our pricing model and operating budget. Our pricing strategy for new products we introduce may prove to be unappealing to our billers, financial institutions or consumers, and our competitors could choose to bundle certain products and services competitive with ours and offer them at lower prices. If this were to occur, it is possible that we would have to change our pricing strategies or reduce our prices, which could harm our business, operating results and growth prospects.</w:t>
      </w:r>
    </w:p>
    <w:p>
      <w:pPr>
        <w:spacing w:after="0" w:line="9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Further, a significant portion of our revenue is generated from billers that elect to pass on transaction fees to consumers in the form of convenience fees. In certain markets, such as utilities and municipalities, convenience fees are commonplace. Despite the fact that such fees are relatively standard, they are often met with negative consumer perception, which could lead to heightened regulatory scrutiny and further pricing pressure.</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If we fail to meet our service level commitments, we could be obligated to provide credits or refunds or face contract terminations, which could adversely affect our business, operating results and financial condition.</w:t>
      </w:r>
    </w:p>
    <w:p>
      <w:pPr>
        <w:spacing w:after="0" w:line="68" w:lineRule="exact"/>
        <w:rPr>
          <w:sz w:val="20"/>
          <w:szCs w:val="20"/>
          <w:color w:val="auto"/>
        </w:rPr>
      </w:pPr>
    </w:p>
    <w:p>
      <w:pPr>
        <w:jc w:val="both"/>
        <w:ind w:firstLine="494"/>
        <w:spacing w:after="0" w:line="234" w:lineRule="auto"/>
        <w:rPr>
          <w:sz w:val="20"/>
          <w:szCs w:val="20"/>
          <w:color w:val="auto"/>
        </w:rPr>
      </w:pPr>
      <w:r>
        <w:rPr>
          <w:rFonts w:ascii="Arial" w:cs="Arial" w:eastAsia="Arial" w:hAnsi="Arial"/>
          <w:sz w:val="18"/>
          <w:szCs w:val="18"/>
          <w:color w:val="auto"/>
        </w:rPr>
        <w:t>Certain of our agreements with our billers, financial institutions and partners contain service level commitments, including commitments regarding the accuracy of information and data we provide and how quickly we will respond to support inquiries. If we are unable to meet the stated service level commitments or our platform suffers extended periods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140"/>
        <w:spacing w:after="0" w:line="238" w:lineRule="auto"/>
        <w:rPr>
          <w:sz w:val="20"/>
          <w:szCs w:val="20"/>
          <w:color w:val="auto"/>
        </w:rPr>
      </w:pPr>
      <w:r>
        <w:rPr>
          <w:rFonts w:ascii="Arial" w:cs="Arial" w:eastAsia="Arial" w:hAnsi="Arial"/>
          <w:sz w:val="18"/>
          <w:szCs w:val="18"/>
          <w:color w:val="auto"/>
        </w:rPr>
        <w:t>of unavailability or downtime, we may be contractually obligated to provide these parties with service credits or refunds. In addition, certain billers and financial institutions could shift to using a different solution such that we would no longer be their exclusive payment provider and we could also face contract terminations, either of which would adversely affect our future revenue. Further, any extended service outages could adversely affect our reputation, revenue and operating results.</w:t>
      </w:r>
    </w:p>
    <w:p>
      <w:pPr>
        <w:spacing w:after="0" w:line="18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our products may become less competitive and our growth rate could decline.</w:t>
      </w:r>
    </w:p>
    <w:p>
      <w:pPr>
        <w:spacing w:after="0" w:line="83"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The market for electronic bill presentment and payment services is relatively new and subject to ongoing technological change, evolving industry standards, payment methods and changing regulations, and changing biller, financial institution and consumer needs, requirements and preferences. The success of our business will depend, in part, on our ability to adapt and respond effectively to these changes on a timely basis, including launching new products and services. The success of any new product and service, or any enhancements or modifications to existing products and services, depends on several factors, including the timely completion, introduction and market acceptance of such products and services, enhancements and modifications. If we are unable to enhance our platform, add new payment methods or develop new products that keep pace with technological and regulatory change and achieve market acceptance, or if new technologies emerge that are able to deliver competitive products and services at lower prices, more efficiently, more conveniently or more securely than our products, our business, operating results and financial condition would be adversely affected. Moreover, we may experience delays in the development and introduction of new products due to the effects of the COVID-19 pandemic. Furthermore, modifications to our existing platform or technology will increase our research and development expenses. Any of the foregoing could reduce the demand for our services, result in biller, financial institution, partner and consumer dissatisfaction and adversely affect our business.</w:t>
      </w:r>
    </w:p>
    <w:p>
      <w:pPr>
        <w:spacing w:after="0" w:line="182"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biller and financial institution base and achieve broader market acceptance of our products.</w:t>
      </w:r>
    </w:p>
    <w:p>
      <w:pPr>
        <w:spacing w:after="0" w:line="68"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Our ability to increase our biller and financial institution base and achieve broader market acceptance of our platform will depend to a significant extent on our ability to expand our sales and marketing organizations, and to deploy our sales and marketing resources efficiently. Although we will adjust our sales and marketing spend levels as needed in response to changes in the economic environment, we plan to continue expanding our direct sales team as well as our sales team focused on identifying partnerships. These efforts will require us to invest significant financial and other resources. We may not achieve anticipated revenue growth from expanding our sales team if we are unable to hire, develop, integrate and retain talented and effective sales personnel, if our new and existing sales personnel are unable to achieve desired productivity levels in a reasonable period of time or if our sales and marketing programs are not effective. Our business and operating results will be harmed if our sales and marketing efforts do not generate significant increases in revenue.</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plan to expand our operations internationally by targeting international billers, financial institutions and partners, and further expanding use of our platform internationally among our existing international billers, financial institutions and partners, which will create a variety of operational challenges.</w:t>
      </w:r>
    </w:p>
    <w:p>
      <w:pPr>
        <w:spacing w:after="0" w:line="83"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A component of our growth strategy involves expanding our operations internationally. Although we currently generate substantially all of our revenue in the United States, many of our largest billers have billable consumers in international geographies and some of our financial institutions have customers that send money to international geographies. We are continuing to adapt to and develop strategies to expand to international geographies. However, there is no guarantee that such efforts will have the desired effect or that we will be able to grow our international footprint without unexpected delay or expense when international expansion opportunities arise. If we invest substantial time and resources to further expand our operations internationally and are unable to do so successfully, cost-effectively and in a timely manner, our business and operating results may suffer.</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international operations strategy involves a variety of risks, including:</w:t>
      </w:r>
    </w:p>
    <w:p>
      <w:pPr>
        <w:spacing w:after="0" w:line="10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regulations and our ability to comply with and obtain any relevant licenses;</w:t>
      </w:r>
    </w:p>
    <w:p>
      <w:pPr>
        <w:spacing w:after="0" w:line="103"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w:t>
      </w:r>
    </w:p>
    <w:p>
      <w:pPr>
        <w:spacing w:after="0" w:line="88"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 in cross-border trade and other adverse impacts resulting from trade sanctions or changes in trade relations, laws or regulations;</w:t>
      </w:r>
    </w:p>
    <w:p>
      <w:pPr>
        <w:spacing w:after="0" w:line="88" w:lineRule="exact"/>
        <w:rPr>
          <w:rFonts w:ascii="Arial" w:cs="Arial" w:eastAsia="Arial" w:hAnsi="Arial"/>
          <w:sz w:val="18"/>
          <w:szCs w:val="18"/>
          <w:color w:val="auto"/>
        </w:rPr>
      </w:pPr>
    </w:p>
    <w:p>
      <w:pPr>
        <w:ind w:left="1020" w:right="20" w:hanging="503"/>
        <w:spacing w:after="0" w:line="23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application of more stringent regulations relating to payments, privacy, data protection and information security, and the authorized use of, or access to, sensitive and personal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1020" w:right="6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or FCPA, U.S. domestic bribery laws and similar laws and regulations in other jurisdictions;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tax laws.</w:t>
      </w:r>
    </w:p>
    <w:p>
      <w:pPr>
        <w:spacing w:after="0" w:line="19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Acquisitions and strategic investments could be difficult to identify and integrate, divert the attention of management, disrupt our business, dilute stockholder value and adversely affect our business, operating results and financial condition.</w:t>
      </w:r>
    </w:p>
    <w:p>
      <w:pPr>
        <w:spacing w:after="0" w:line="68"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In September 2021, we acquired Payveris, and we may in the future seek to acquire or invest in additional businesses, products or technologies that we believe could further complement or expand our platform, enhance our technical capabilities or otherwise offer growth opportunities. Acquisitions may divert management’s time and focus from operating our business and cause us to incur various expenses in identifying, investigating and pursuing suitable acquisitions, whether or not such acquisitions are completed. Acquisitions also may require us to spend a substantial portion of our available cash, incur debt or other liabilities, amortize expenses related to intangible assets or incur write-offs of goodwill or other assets. In addition, integrating an acquired business or technology is risky. Completed and future acquisitions may result in unforeseen operational difficulties and expenditures associated with:</w:t>
      </w:r>
    </w:p>
    <w:p>
      <w:pPr>
        <w:spacing w:after="0" w:line="95"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incorporating new businesses and technologies into our infrastructure;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consolidating operational and administrative functions;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coordinating outreach to our community;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morale and culture and retaining and integrating key employees;</w:t>
      </w:r>
    </w:p>
    <w:p>
      <w:pPr>
        <w:spacing w:after="0" w:line="103" w:lineRule="exact"/>
        <w:rPr>
          <w:rFonts w:ascii="Arial" w:cs="Arial" w:eastAsia="Arial" w:hAnsi="Arial"/>
          <w:sz w:val="18"/>
          <w:szCs w:val="18"/>
          <w:color w:val="auto"/>
        </w:rPr>
      </w:pPr>
    </w:p>
    <w:p>
      <w:pPr>
        <w:ind w:left="1020" w:right="50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or developing controls, procedures and policies (including effective internal control over financial reporting and disclosure controls and procedures); and</w:t>
      </w:r>
    </w:p>
    <w:p>
      <w:pPr>
        <w:spacing w:after="0" w:line="88"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and assuming liabilities related to the activities of the acquired business before the acquisition, including liabilities for violations of laws and regulations, intellectual property issues, commercial disputes, taxes and other matters.</w:t>
      </w:r>
    </w:p>
    <w:p>
      <w:pPr>
        <w:spacing w:after="0" w:line="89"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Moreover, we may not benefit from our acquisitions as we expect, or in the time frame we expect.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 Acquisitions could also be viewed negatively by analysts or investors, which could cause our stock price to decline.</w:t>
      </w:r>
    </w:p>
    <w:p>
      <w:pPr>
        <w:spacing w:after="0" w:line="1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business, operating results and financial condition could be adversely affected.</w:t>
      </w:r>
    </w:p>
    <w:p>
      <w:pPr>
        <w:spacing w:after="0" w:line="68"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believe that maintaining and enhancing the Paymentus brand is important to support the marketing and sale of our existing and future products to new billers, financial institutions and partners and to increase adoption of our platform by existing billers and partners. Successfully maintaining and enhancing our brand will depend largely on the effectiveness of our marketing and demand generation efforts, our ability to provide reliable products that continue to meet the needs of our billers, financial institutions and consumers at competitive prices, our ability to maintain our billers’, financial institutions' and consumers’ trust, our ability to continue to develop new functionality and products and our ability to successfully differentiate our products from competitive products and services. Our promotion activities may not generate brand awareness or yield increased revenue, and even if they do, any increased revenue may not offset the expenses we incur in building our brand. Further, any negative publicity about our industry, our company, the quality and reliability of our products and services, our risk management processes, our privacy, data protection or information security practices, litigation, regulatory activity or the experience of billers, financial institutions and partners with our products or services could harm our reputation. If we fail to successfully promote and maintain our brand, our business, operating results and financial condition could be adversely affected.</w:t>
      </w:r>
    </w:p>
    <w:p>
      <w:pPr>
        <w:spacing w:after="0" w:line="183"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68" w:lineRule="exact"/>
        <w:rPr>
          <w:sz w:val="20"/>
          <w:szCs w:val="20"/>
          <w:color w:val="auto"/>
        </w:rPr>
      </w:pPr>
    </w:p>
    <w:p>
      <w:pPr>
        <w:ind w:right="100" w:firstLine="494"/>
        <w:spacing w:after="0" w:line="234" w:lineRule="auto"/>
        <w:rPr>
          <w:sz w:val="20"/>
          <w:szCs w:val="20"/>
          <w:color w:val="auto"/>
        </w:rPr>
      </w:pPr>
      <w:r>
        <w:rPr>
          <w:rFonts w:ascii="Arial" w:cs="Arial" w:eastAsia="Arial" w:hAnsi="Arial"/>
          <w:sz w:val="18"/>
          <w:szCs w:val="18"/>
          <w:color w:val="auto"/>
        </w:rPr>
        <w:t>We have funded our operations since inception primarily through equity financings and cash from operations. We intend to continue to make investments to support our business, which may require us to engage in equity, equity-linked or debt financings to secure additional funds. Additional financing may not be available on terms favorable to us, if at all. The market prices for other technology companies have been highly volatile as a result of the COVID-19 pandemic and related governmental actions, which may also reduce our ability to access capital on favorable terms or at all and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20"/>
        <w:spacing w:after="0" w:line="255" w:lineRule="auto"/>
        <w:rPr>
          <w:sz w:val="20"/>
          <w:szCs w:val="20"/>
          <w:color w:val="auto"/>
        </w:rPr>
      </w:pPr>
      <w:r>
        <w:rPr>
          <w:rFonts w:ascii="Arial" w:cs="Arial" w:eastAsia="Arial" w:hAnsi="Arial"/>
          <w:sz w:val="17"/>
          <w:szCs w:val="17"/>
          <w:color w:val="auto"/>
        </w:rPr>
        <w:t>adversely impact the market price of our Class A common stock. If adequate funds are not available on acceptable terms, we may be unable to invest in future growth opportunities, which could harm our business, operating results, financial condition and prospects. If we incur debt, the debt holders would have rights senior to holders of our Class A common stock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Class A common stock.</w:t>
      </w:r>
    </w:p>
    <w:p>
      <w:pPr>
        <w:spacing w:after="0" w:line="8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market price of our Class A common stock and diluting their interests.</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Natural catastrophic events, pandemics and man-made problems such as power disruptions, computer viruses, security breaches and incidents and terrorism may disrupt our business.</w:t>
      </w:r>
    </w:p>
    <w:p>
      <w:pPr>
        <w:spacing w:after="0" w:line="68"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Natural disasters, pandemics such as COVID-19 or other catastrophic events may cause damage or disruption to our operations, commerce in general and the global economy, and thus could harm our business. Our headquarters are located in Redmond, Washington and we have a large employee presence in Toronto, Canada, Charlotte, North Carolina, and Delhi, India. In the event of a major earthquake, hurricane or catastrophic event such as fire, power loss, telecommunications failure, vandalism, cyber-attack, war or terrorist attack affecting regions where we maintain operations or where our data centers are located, we may be unable to continue our operations and may endure system interruptions, reputational harm, delays in our application development, lengthy interruptions in our services, breaches of data security, security incidents, and unauthorized access to or loss, disclosure, modification, misuse, corruption, unavailability, or destruction of critical data, any of which could harm our business, operating results and financial condition. In addition, the governmental restrictions in response to the COVID-19 pandemic have caused most of our employees to work remotely. Given these widespread remote work arrangements, if a natural disaster, power outage, connectivity issue or other event occurs that impacts our employees’ ability to work remotely, it may be difficult or, in certain cases, impossible, for us to continue our business for a substantial period of time.</w:t>
      </w:r>
    </w:p>
    <w:p>
      <w:pPr>
        <w:spacing w:after="0" w:line="97"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Additionally, as computer malware, viruses, computer hacking, intrusions, ransomware attacks, denial-of-service attacks, social engineering attacks, fraudulent use attempts, phishing attacks and other security breaches and incidents have become more prevalent, we, and third parties upon which we rely, face increased risk in maintaining the performance, reliability, security and availability of our solutions and related services and technical infrastructure to the satisfaction of our billers, financial institutions, partners and consumers. Any computer malware, viruses, computer hacking, intrusions, ransomware attacks, denial-of-service attacks, social engineering attacks, fraudulent use attempts, phishing attacks or other security breaches and incidents related to our network infrastructure or information technology systems or to computer hardware we lease from third parties, could, among other things, harm our reputation and our ability to retain existing billers, financial institutions and partners and attract new billers, financial institutions and partners.</w:t>
      </w:r>
    </w:p>
    <w:p>
      <w:pPr>
        <w:spacing w:after="0" w:line="100"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In addition, the insurance we maintain may be insufficient to cover our losses resulting from disasters, cyber-attacks or other business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operating results, financial condition and reputation.</w:t>
      </w:r>
    </w:p>
    <w:p>
      <w:pPr>
        <w:spacing w:after="0" w:line="18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Any future litigation, investigations or similar matters, or adverse facts and developments related thereto, could adversely affect our business, operating results and financial condition.</w:t>
      </w:r>
    </w:p>
    <w:p>
      <w:pPr>
        <w:spacing w:after="0" w:line="68" w:lineRule="exact"/>
        <w:rPr>
          <w:sz w:val="20"/>
          <w:szCs w:val="20"/>
          <w:color w:val="auto"/>
        </w:rPr>
      </w:pPr>
    </w:p>
    <w:p>
      <w:pPr>
        <w:ind w:right="240" w:firstLine="494"/>
        <w:spacing w:after="0" w:line="234" w:lineRule="auto"/>
        <w:rPr>
          <w:sz w:val="20"/>
          <w:szCs w:val="20"/>
          <w:color w:val="auto"/>
        </w:rPr>
      </w:pPr>
      <w:r>
        <w:rPr>
          <w:rFonts w:ascii="Arial" w:cs="Arial" w:eastAsia="Arial" w:hAnsi="Arial"/>
          <w:sz w:val="18"/>
          <w:szCs w:val="18"/>
          <w:color w:val="auto"/>
        </w:rPr>
        <w:t>We have in the past and may in the future become subject to legal proceedings, claims, investigations or similar matters that arise in the ordinary course of business, such as claims brought by our billers or their consumers in connection with commercial disputes, employment claims made by our current or former employees or claims regarding misappropriation of consumer data. Litigation, investigations or similar matters might result in substantial costs and may divert management’s attention and resources, which might seriously harm our business, operating results and financial condition. Insurance might not cover such matters, might not provide sufficient payments to cover all the costs to resolve one or more such matters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market price of our Class A common stock.</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Risks Related to Regulation</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and any failure by us to comply could materially harm our business.</w:t>
      </w:r>
    </w:p>
    <w:p>
      <w:pPr>
        <w:spacing w:after="0" w:line="68"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The local, state and federal laws, rules, regulations, licensing schemes and industry standards that govern our business, both directly and through our relationships with banks, card networks and other financial services partners, include, or may in the future include, those relating to payments services, such as payment processing and settlement services, anti-money laundering, combating terrorist financing, escheatment, international sanctions regimes and compliance with the Payment Card Industry Data Security Standard, or PCI-DSS, a set of requirements designed to ensure that all companies that process, store or transmit payment card information maintain a secure environment to protect cardholder data. We do not directly collect or store payment card information; instead, we rely on a third-party payment processor to do so. These laws, rules, regulations, licensing schemes and standards are enforced by multiple authorities and governing bodies in the United States, including the Department of the Treasury, self-regulatory organizations and numerous state and local agencies. Currently, we do not possess any permits or licenses from financial regulators. We believe the licensing requirements of federal and state agencies that regulate or monitor banks or other types of providers of electronic commerce services do not apply to us. While our business itself is not currently subject to financial services-related regulation, and we have received confirmation from multiple state regulators that we are not required to obtain money transmitter licenses in those states, the banks, payment networks and card networks that we partner with operate in a highly regulated landscape and there is a risk that those regulations could become directly applicable to us. As we expand into new jurisdictions, the number of foreign laws, rules, regulations, licensing schemes and standards governing our business will expand as well. In addition, as our business and products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05"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In the future, as a result of the regulations that are or may become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certifications or regulatory approvals. There can be no assurance that we will be able to successfully implement changes to our business practices or obtain or maintain any such licenses, certifications or regulatory approvals, and, even if we were able to do so, there could be substantial costs and potential product changes involved in obtaining, maintaining and renewing such licenses, certifications and approvals, which could have a material and adverse effect on our business. In addition, we could be subject to fines or other enforcement action if we are found to violate disclosure, reporting, anti-money laundering, capitalization, corporate governance or other requirements of such licenses, certifications or approvals. These factors could impose substantial additional costs, involve considerable delay to the development or provision of our products or services, require significant and costly operational changes or prevent us from providing our products or services in any given market.</w:t>
      </w:r>
    </w:p>
    <w:p>
      <w:pPr>
        <w:spacing w:after="0" w:line="18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are required to comply with payment network operating rules and changes to such rules or payment network fees could harm our business.</w:t>
      </w:r>
    </w:p>
    <w:p>
      <w:pPr>
        <w:spacing w:after="0" w:line="68"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Payment networks, such as Visa, Mastercard, American Express, NACHA and INTERAC, establish their own rules and standards that allocate liabilities and responsibilities among the payment networks and their participants. These rules and standards, including PCI-DSS, govern a variety of areas, including how consumers may use their cards, the security features of cards, security standards for processing, data protection and information security and allocation of liability for certain acts or omissions, including liability in the event of a data breach. Participants are subject to audits by the payment networks to ensure compliance with applicable rules and standards.</w:t>
      </w:r>
    </w:p>
    <w:p>
      <w:pPr>
        <w:spacing w:after="0" w:line="94"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We are required to comply with card network operating rules and have agreed to reimburse our service providers for any fines they are assessed by payment networks as a result of any rule violations by us. We may also be directly liable to the payment networks for rule violations. The payment networks set and interpret the card operating rules. The payment networks could adopt new operating rules or interpret or reinterpret existing rules that we or our processors might find difficult or even impossible to follow or costly to implement.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For example, changes in the payment network rules regarding chargebacks may affect our ability to dispute chargebacks and the amount of losses we incur from chargebacks. If we fail to make such changes or otherwise resolve the issue with the payment networks, the networks could pass on fines and assessments in respect of fraud or chargebacks related to our merchants or disqualify us from processing transactions if satisfactory controls are not maintained, which could have a material adverse effect on our business, operating results and financial condition. As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1" w:name="page32"/>
    <w:bookmarkEnd w:id="31"/>
    <w:p>
      <w:pPr>
        <w:ind w:right="100"/>
        <w:spacing w:after="0" w:line="237" w:lineRule="auto"/>
        <w:rPr>
          <w:sz w:val="20"/>
          <w:szCs w:val="20"/>
          <w:color w:val="auto"/>
        </w:rPr>
      </w:pPr>
      <w:r>
        <w:rPr>
          <w:rFonts w:ascii="Arial" w:cs="Arial" w:eastAsia="Arial" w:hAnsi="Arial"/>
          <w:sz w:val="18"/>
          <w:szCs w:val="18"/>
          <w:color w:val="auto"/>
        </w:rPr>
        <w:t>result of any violations of rules or new rules being implemented, the networks may fine, penalize or suspend the registration of participants for certain acts or omissions or the failure of the participants to comply with applicable rules and standards, existing billers, partners or other third parties may cease using or referring our services, prospective billers, partners or other third parties may choose to terminate negotiations with us, or delay or choose not to consider us for their processing needs, and the networks could refuse to allow us to process payments through their networks. Any of the foregoing could materially adversely impact our business, operating results and financial condition.</w:t>
      </w:r>
    </w:p>
    <w:p>
      <w:pPr>
        <w:spacing w:after="0" w:line="97"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From time to time, these networks increase the fees that they charge payment processors. We could attempt to pass these increases along to our billers, but this strategy might result in the loss of billers to competing solutions. If competitive practices prevent us from passing along the higher fees to our billers in the future, we may have to absorb all or a portion of such increases, which may increase our operating costs and reduce our earnings. In addition, regulators are subjecting interchange and other fees to increased scrutiny, and new regulations could require greater pricing transparency of the breakdown in fees or fee limitations, which could lead to increased price-based competition, lower margins and higher rates of biller attrition and negatively affect our business, operating results and financial condition. As a result of any increased fees, such payments could become prohibitively expensive for us or for our billers.</w:t>
      </w:r>
    </w:p>
    <w:p>
      <w:pPr>
        <w:spacing w:after="0" w:line="18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We are subject to U.S. and foreign governmental laws, regulations, rules, standards, policies, contractual obligations and other legal obligations, particularly those related to privacy, data protection and information security, and our actual or perceived failure to comply with such obligations could harm our business, by resulting in litigation, fines, penalties, increased costs or adverse publicity and reputational damage that may negatively affect the value of our business and decrease the market price of our Class A common stock.</w:t>
      </w:r>
    </w:p>
    <w:p>
      <w:pPr>
        <w:spacing w:after="0" w:line="90"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billers, financial institutions and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and financial institutions, as well as our employees and service providers. As a result, we and our handling of data are subject to a variety of laws, rules and regulations relating to privacy, data protection and information security, including regulation by various governmental authorities, such as the U.S. Federal Trade Commission, or FTC, and various state, local and foreign agencies. Our data handling and processing activities are also subject to contractual obligations and industry standard requirements. The legislative and regulatory landscapes for privacy, data protection and information security continue to evolve in jurisdictions worldwide, with an increasing focus on privacy and data protection issues with the potential to affect our business. Failure to comply with any of these laws or regulations could result in litigation, enforcement actions, damages, fines, penalties or adverse publicity and reputational damage, any of which could have a material adverse effect on our business, operating results and financial condition.</w:t>
      </w:r>
    </w:p>
    <w:p>
      <w:pPr>
        <w:spacing w:after="0" w:line="98"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w:t>
      </w:r>
    </w:p>
    <w:p>
      <w:pPr>
        <w:spacing w:after="0" w:line="95"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In addition, many states in which we operate have laws that protect the privacy and security of sensitive and personal data. Certain U.S. state laws may be more stringent or broader in scope, or offer greater individual rights, with respect to sensitive and personal information than international, federal, or other state laws, and such laws may differ from each other, which may complicate compliance efforts. For example, in June 2018, California enacted the California Consumer Privacy Act, or the CCPA, which became operative on January 1, 2020 and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This private right of action may increase the likelihood of, and risks associated with, data breach litigation. Additionally, the California Privacy Rights Act, or the CPRA, was passed in November 2020. Effective beginning on January 1, 2023, the CPRA imposes additional obligations on companies covered by the legislation and will significantly modify the CCPA, including by expanding California residents’ rights with respect to certain sensitive personal information. The CPRA also creates a new state agency that will be vested with authority to implement and enforce the CCPA and the CPRA. The interpretation and enforcement of the CCPA and many aspects of the CPRA remain unclear, and the effects of the CCPA and the CPRA potentially are significant and may require us to modify our data collection or processing practices and policies and to incur substantial costs and expenses in an effort to comply and increase our potential exposure to regulatory enforcement and sanctions and litigation.</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2" w:name="page33"/>
    <w:bookmarkEnd w:id="32"/>
    <w:p>
      <w:pPr>
        <w:ind w:right="40" w:firstLine="494"/>
        <w:spacing w:after="0" w:line="236" w:lineRule="auto"/>
        <w:rPr>
          <w:sz w:val="20"/>
          <w:szCs w:val="20"/>
          <w:color w:val="auto"/>
        </w:rPr>
      </w:pPr>
      <w:r>
        <w:rPr>
          <w:rFonts w:ascii="Arial" w:cs="Arial" w:eastAsia="Arial" w:hAnsi="Arial"/>
          <w:sz w:val="18"/>
          <w:szCs w:val="18"/>
          <w:color w:val="auto"/>
        </w:rPr>
        <w:t>Certain other state laws impose similar privacy obligations, and all 50 states have laws including obligations to provide notification of security breaches of computer databases that contain personal information to affected individuals, state officers and others. For example, the CCPA has prompted the enactment of several new state laws or amendments of existing state laws, such as in New York, Nevada, Virginia and Colorado. These laws could mark the beginning of a trend toward more stringent privacy legislation in other U.S. states and have prompted a number of proposals for new federal and state-level privacy legislation. This legislation, if passed,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100"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In addition, several foreign countries and governmental bodies, including the European Union, or EU, have established their own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are in certain cases more restrictive than those in the United States. Laws and regulations in these jurisdictions apply broadly to the collection, use, storage, disclosure and security of various types of data, including data that identifies or may be used to identify an individual, such as names, email addresses and in some jurisdictions, IP addresses. The EU’s privacy, data protection and information security landscapes are currently evolving, resulting in possible significant operational costs for internal compliance and risk to our business. Within the EU, the General Data Protection Regulation, or GDPR, which went into effect in May 2018, contains numerous requirements and changes from previously existing EU law, including more robust, direct obligations on data processors in addition to data controllers, heavier documentation requirements for data protection compliance programs by companies and significantly increases the level of sanctions for non-compliance as compared to previous EU data protection law. In particular, under the GDPR, EU data protection authorities have the power to impose administrative fines for violations of the GDPR of up to a maximum of €20 million or 4% of the data controller’s or data processor’s total global turnover for the preceding fiscal year, whichever is higher, and violations of the GDPR may also lead to damages claims by data controllers and data subjects. Such penalties are in addition to any civil litigation claims by data controllers, customers and data subjects. Being subject to the GDPR, we have taken steps to cause our processes to be compliant with applicable portions of the GDPR, but we cannot assure you that such steps will be effective as European authorities continue to issue guidance concerning the GDPR and how it applies to data processing activities and we may still face the risk of liability under the GDPR. The laws and regulations relating to privacy, data protection and information security are evolving, can be subject to significant change, and may result in ever-increasing regulatory and public scrutiny and escalating levels of enforcement and sanctions.</w:t>
      </w:r>
    </w:p>
    <w:p>
      <w:pPr>
        <w:spacing w:after="0" w:line="105"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We are also subject to certain obligations under the Health Insurance Portability and Accountability Act of 1996, or HIPAA, as amended by the Health Information Technology for Economic and Clinical Health Act of 2009, as well as certain state laws and related contractual obligations. HIPAA imposes obligations on certain covered entity healthcare providers, health plans and healthcare clearinghouses, as well as on business associates, like us,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7"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The scope and interpretation of the laws and regulations relating to privacy, data protection and information security that are or may be applicable to us are often uncertain and may be conflicting, as a result of the rapidly evolving regulatory framework for privacy issues worldwide. It is possible that these laws may be interpreted and applied in a manner that is inconsistent with our existing data management practices, solutions or platform capabilities. For example,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As a result of the laws that are or may be applicable to us, and due to the sensitive nature of the information we collect, we have implemented policies and procedures to preserve and protect our data and our platform users’ data against loss, misuse, corruption, misappropriation caused by systems failures or unauthorized access. If our policies, procedures or measures relating to privacy, data protection, information security or the processing of data for marketing purposes or consumer communications fail to comply with laws, regulations, policies, legal obligations or industry standards, we may be subject to governmental enforcement actions, litigation, regulatory investigations, fines, penalties and negative publicity, and could cause our application providers, billers, financial institutions and partners to lose trust in us, and have an adverse effect on our business, operating results and financial condition.</w:t>
      </w:r>
    </w:p>
    <w:p>
      <w:pPr>
        <w:spacing w:after="0" w:line="95" w:lineRule="exact"/>
        <w:rPr>
          <w:sz w:val="20"/>
          <w:szCs w:val="20"/>
          <w:color w:val="auto"/>
        </w:rPr>
      </w:pPr>
    </w:p>
    <w:p>
      <w:pPr>
        <w:jc w:val="both"/>
        <w:ind w:right="80" w:firstLine="494"/>
        <w:spacing w:after="0" w:line="234"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Because the interpretation and application of privacy, data protection and information security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740"/>
        <w:spacing w:after="0" w:line="246" w:lineRule="auto"/>
        <w:rPr>
          <w:sz w:val="20"/>
          <w:szCs w:val="20"/>
          <w:color w:val="auto"/>
        </w:rPr>
      </w:pPr>
      <w:r>
        <w:rPr>
          <w:rFonts w:ascii="Arial" w:cs="Arial" w:eastAsia="Arial" w:hAnsi="Arial"/>
          <w:sz w:val="18"/>
          <w:szCs w:val="18"/>
          <w:color w:val="auto"/>
        </w:rPr>
        <w:t>our platform. If so, in addition to the possibility of fines, lawsuits and other claims, we could be required to fundamentally change our business activities and practices or modify our software, which could have an adverse effect on our business.</w:t>
      </w:r>
    </w:p>
    <w:p>
      <w:pPr>
        <w:spacing w:after="0" w:line="89"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Further, any failure or perceived failure by us, or any third parties with which we do business, to comply with laws, regulations, policies (including our publicly posted privacy policies), procedures, measures, legal or contractual obligations, industry standards or regulatory guidance relating to privacy, data protection or information security may result in governmental investigations and enforcement actions, litigation, fines and penalties, or adverse publicity, and could cause our billers, financial institutions and partners to lose trust in us, which could have an adverse effect on our reputation, business, operating results and financial condition. We expect that there will continue to be new proposed laws, regulations and industry standards relating to privacy, data protection, information security, marketing and consumer communications, and we cannot predict the impact such future laws, regulations and standards may have on our business. Future laws, regulations, standards and other obligations or any changed interpretation of existing laws or regulations may be inconsistent among jurisdictions and may conflict with our current or future practices, which could impair our ability to develop and market new functionality and maintain and grow our biller and financial institution base and increase revenue. Additionally, our billers, financial institutions or partners may be subject to differing privacy laws, rules and legislation, which may mean that they require us to be bound by varying contractual requirements applicable to certain other jurisdictions. Future restrictions on the collection, use, processing, storage, sharing or disclosure of various types of data, including financial information and other personal data, or additional requirements for express or implied consent of our billers, financial institutions, partners or consumers for the collection, use, processing, storage, sharing and disclosure of such information could require us to incur additional costs or modify our platform, possibly in a material manner, and could limit our ability to develop new functionality. Complying with these requirements and changing our policies and practices may be onerous and costly, and we may not be able to respond quickly or effectively to regulatory, legislative and other developments.</w:t>
      </w:r>
    </w:p>
    <w:p>
      <w:pPr>
        <w:spacing w:after="0" w:line="105"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including through fines and litigation, and we may be forced to implement new measures to reduce our exposure to this liability. This may require us to expend substantial resources or to discontinue certain products, which would negatively affect our business, operating results and financial condition.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Our and our billers’ and partners’ communications with existing and potential consumers are subject to laws regulating telephone and email marketing practices, and our or their failure to comply with such communications laws could adversely affect our business, operating results and financial condition and significantly harm our reputation.</w:t>
      </w:r>
    </w:p>
    <w:p>
      <w:pPr>
        <w:spacing w:after="0" w:line="83"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Our platform enables our billers and partners to communicate directly with their consumers, including via email, text messages and telephone calls. Our platform also enables recording and monitoring of calls between our billers and partners and their consumers for training and quality assurance purposes. On occasion we also send communications directly to consumers. These activities are subject to a variety of U.S. state and federal laws, rules and regulations, such as the Telephone Consumer Protection Act of 1991, or the TCPA, the CAN-SPAM Act of 2003, or the CAN-SPAM Act, and others related to telemarketing, recording and monitoring of communications.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The TCPA, the CAN-SPAM Act and other communications laws, rules and regulations are subject to varying interpretations by courts and governmental authorities and often require subjective interpretation, making it difficult to predict their application and therefore making compliance efforts more challenging. We and our billers and partners may be required to comply with these and similar laws, rules and regulations. To comply with these laws, rules and regulations, in some cases we rely on our billers and partners to obtain legally required consents from their consumers to receive communications sent using our platform. We cannot, however, be certain that our or their efforts to comply will always be successful. Our business could be adversely affected by changes to the application or interpretation of existing laws, rules and regulations governing our platform’s communication capabilities, or the enactment of new laws, rules and regulations, and by our and our billers’ and partners’ failure to comply with such laws, rules and regulations in using our platform. If any of these laws, rules or regulations were to significantly restrict our or our billers’ or partners’ ability to use our platform to communicate with existing and potential consumers, we may not be able to develop adequate alternative communication modules for our platform. Further, our or our billers’ or partners’ non-compliance with these laws, rules and regulations could result in significant financial penalties, litigation, including class action litigation, consent decrees and injunctions, adverse publicity and other negative consequences, any of which could adversely affect our business, operating results and financial condition and significantly harm our reputation.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160"/>
        <w:spacing w:after="0" w:line="271" w:lineRule="auto"/>
        <w:rPr>
          <w:sz w:val="20"/>
          <w:szCs w:val="20"/>
          <w:color w:val="auto"/>
        </w:rPr>
      </w:pPr>
      <w:r>
        <w:rPr>
          <w:rFonts w:ascii="Arial" w:cs="Arial" w:eastAsia="Arial" w:hAnsi="Arial"/>
          <w:sz w:val="18"/>
          <w:szCs w:val="18"/>
          <w:b w:val="1"/>
          <w:bCs w:val="1"/>
          <w:i w:val="1"/>
          <w:iCs w:val="1"/>
          <w:color w:val="auto"/>
        </w:rPr>
        <w:t>If we fail to comply with extensive, complex, overlapping and frequently changing rules, regulations and legal interpretations, our business could be materially harmed.</w:t>
      </w:r>
    </w:p>
    <w:p>
      <w:pPr>
        <w:spacing w:after="0" w:line="68"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success and increased visibility, and that of the electronic and online billing and payments sector more generally, may result in increased regulatory oversight and enforcement and more restrictive rules and regulations that apply to our business. We are subject to a wide variety of local, state, federal and international laws, rules, regulations, licensing schemes and industry standards in the United States and in other countries in which we operate. These laws, rules, regulations, licensing schemes and standards govern numerous areas that are important to our business. In addition to the payments and financial services-related regulations, and privacy, data protection and information security-related laws, our business is also subject to, without limitation, rules and regulations applicable to securities, labor and employment, immigration, competition and marketing and communications practices. Laws, rules, regulations, licensing schemes and standards applicable to our business are subject to change and evolving interpretations and application, including by means of legislative changes and executive orders, and it can be difficult to predict how they may be applied to our business and the way we conduct our operations, particularly as we introduce new products and services and expand into new jurisdictions. We may not be able to respond quickly or effectively to regulatory, legislative and other developments, and these changes may in turn impair our ability to offer our existing or planned features, products and services and increase our cost of doing business.</w:t>
      </w:r>
    </w:p>
    <w:p>
      <w:pPr>
        <w:spacing w:after="0" w:line="96" w:lineRule="exact"/>
        <w:rPr>
          <w:sz w:val="20"/>
          <w:szCs w:val="20"/>
          <w:color w:val="auto"/>
        </w:rPr>
      </w:pPr>
    </w:p>
    <w:p>
      <w:pPr>
        <w:ind w:right="140" w:firstLine="494"/>
        <w:spacing w:after="0" w:line="238" w:lineRule="auto"/>
        <w:rPr>
          <w:sz w:val="20"/>
          <w:szCs w:val="20"/>
          <w:color w:val="auto"/>
        </w:rPr>
      </w:pPr>
      <w:r>
        <w:rPr>
          <w:rFonts w:ascii="Arial" w:cs="Arial" w:eastAsia="Arial" w:hAnsi="Arial"/>
          <w:sz w:val="18"/>
          <w:szCs w:val="18"/>
          <w:color w:val="auto"/>
        </w:rPr>
        <w:t>There can be no assurance that our employees or contractors will not violate laws, rules, regulations, licensing schemes and industry standards. Any failure or perceived failure by us or our employees or contractors to comply with existing or new laws, rules, regulations, licensing schemes, industry standards or orders of any governmental authority (including changes to or expansion of the interpretation of those laws, regulations, standards or orders), may, among other things:</w:t>
      </w:r>
    </w:p>
    <w:p>
      <w:pPr>
        <w:spacing w:after="0" w:line="97" w:lineRule="exact"/>
        <w:rPr>
          <w:sz w:val="20"/>
          <w:szCs w:val="20"/>
          <w:color w:val="auto"/>
        </w:rPr>
      </w:pPr>
    </w:p>
    <w:p>
      <w:pPr>
        <w:ind w:left="1020" w:right="200" w:hanging="503"/>
        <w:spacing w:after="0" w:line="23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us to significant fines, penalties, criminal and civil lawsuits, license suspension or revocation, forfeiture of significant assets, audits, inquiries, whistleblower complaints, adverse media coverage, investigations and enforcement actions in one or more jurisdictions levied by federal, state, local or foreign regulators, state attorneys general and private plaintiffs who may be acting as private attorneys general pursuant to various applicable federal, state and local laws;</w:t>
      </w:r>
    </w:p>
    <w:p>
      <w:pPr>
        <w:spacing w:after="0" w:line="9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additional compliance and licensure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regulatory scrutiny of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operations, product features, quality and breadth and depth of functionality; and</w:t>
      </w:r>
    </w:p>
    <w:p>
      <w:pPr>
        <w:spacing w:after="0" w:line="103" w:lineRule="exact"/>
        <w:rPr>
          <w:rFonts w:ascii="Arial" w:cs="Arial" w:eastAsia="Arial" w:hAnsi="Arial"/>
          <w:sz w:val="18"/>
          <w:szCs w:val="18"/>
          <w:color w:val="auto"/>
        </w:rPr>
      </w:pPr>
    </w:p>
    <w:p>
      <w:pPr>
        <w:ind w:left="1020" w:right="54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force us to change our business practices or compliance program, make product or operational changes or delay planned product launches or improvements.</w:t>
      </w:r>
    </w:p>
    <w:p>
      <w:pPr>
        <w:spacing w:after="0" w:line="89" w:lineRule="exact"/>
        <w:rPr>
          <w:sz w:val="20"/>
          <w:szCs w:val="20"/>
          <w:color w:val="auto"/>
        </w:rPr>
      </w:pPr>
    </w:p>
    <w:p>
      <w:pPr>
        <w:ind w:right="240" w:firstLine="494"/>
        <w:spacing w:after="0"/>
        <w:rPr>
          <w:sz w:val="20"/>
          <w:szCs w:val="20"/>
          <w:color w:val="auto"/>
        </w:rPr>
      </w:pPr>
      <w:r>
        <w:rPr>
          <w:rFonts w:ascii="Arial" w:cs="Arial" w:eastAsia="Arial" w:hAnsi="Arial"/>
          <w:sz w:val="18"/>
          <w:szCs w:val="18"/>
          <w:color w:val="auto"/>
        </w:rPr>
        <w:t>The complexity of U.S. federal and state regulatory and enforcement regimes, coupled with the current and potential future scope of our international operations and the evolving regulatory environment, could result in a single event giving rise to many overlapping investigations and legal and regulatory proceedings by multiple government authorities in different jurisdictions.</w:t>
      </w:r>
    </w:p>
    <w:p>
      <w:pPr>
        <w:spacing w:after="0" w:line="9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Any of the foregoing could, individually or in the aggregate, harm our reputation as a trusted provider, damage our brand and business, cause us to lose existing billers, financial institutions and partners, prevent us from obtaining new billers, financial institutions and partners, require us to expend significant funds to remedy problems caused by breaches and to avert further breaches, expose us to legal risk and potential liability, and adversely affect our business, operating results and financial condition.</w:t>
      </w:r>
    </w:p>
    <w:p>
      <w:pPr>
        <w:spacing w:after="0" w:line="18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i w:val="1"/>
          <w:iCs w:val="1"/>
          <w:color w:val="auto"/>
        </w:rPr>
        <w:t>We identified material weaknesses in our internal control over financial reporting in connection with the preparation and audit of our financial statements for the fiscal years ended December 31, 2020 and 2019, that continued to exist as of December 31, 2021, and we may identify additional material weaknesses in the future that may cause us to fail to meet our reporting obligations or result in material misstatements of our financial statements. If we fail to remediate any material weaknesses, identify additional material weaknesses, or if we otherwise fail to establish and maintain effective internal control over financial reporting, our ability to accurately and timely report our financial results could be adversely affected.</w:t>
      </w:r>
    </w:p>
    <w:p>
      <w:pPr>
        <w:spacing w:after="0" w:line="93" w:lineRule="exact"/>
        <w:rPr>
          <w:sz w:val="20"/>
          <w:szCs w:val="20"/>
          <w:color w:val="auto"/>
        </w:rPr>
      </w:pPr>
    </w:p>
    <w:p>
      <w:pPr>
        <w:ind w:right="160" w:firstLine="494"/>
        <w:spacing w:after="0" w:line="234" w:lineRule="auto"/>
        <w:rPr>
          <w:sz w:val="20"/>
          <w:szCs w:val="20"/>
          <w:color w:val="auto"/>
        </w:rPr>
      </w:pPr>
      <w:r>
        <w:rPr>
          <w:rFonts w:ascii="Arial" w:cs="Arial" w:eastAsia="Arial" w:hAnsi="Arial"/>
          <w:sz w:val="18"/>
          <w:szCs w:val="18"/>
          <w:color w:val="auto"/>
        </w:rPr>
        <w:t>We are required to comply with the rules of the SEC implementing Sections 302 and 404 of the Sarbanes-Oxley Act, which require management to certify financial and other information in our quarterly and annual reports and provide an annual management report on the effectiveness of internal control over financial reporting. Though we will be required to disclose changes made in our internal control over financial reporting on a quarterly basis, we will not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5" w:name="page36"/>
    <w:bookmarkEnd w:id="35"/>
    <w:p>
      <w:pPr>
        <w:ind w:right="20"/>
        <w:spacing w:after="0"/>
        <w:rPr>
          <w:sz w:val="20"/>
          <w:szCs w:val="20"/>
          <w:color w:val="auto"/>
        </w:rPr>
      </w:pPr>
      <w:r>
        <w:rPr>
          <w:rFonts w:ascii="Arial" w:cs="Arial" w:eastAsia="Arial" w:hAnsi="Arial"/>
          <w:sz w:val="18"/>
          <w:szCs w:val="18"/>
          <w:color w:val="auto"/>
        </w:rPr>
        <w:t>pursuant to Section 404 until the later of the year following our first annual report required to be filed with the SEC or the date we are no longer an emerging growth company. If our internal control over financial reporting is not effective, management’s report and our independent registered public accounting firm’s report would be adverse.</w:t>
      </w:r>
    </w:p>
    <w:p>
      <w:pPr>
        <w:spacing w:after="0" w:line="95" w:lineRule="exact"/>
        <w:rPr>
          <w:sz w:val="20"/>
          <w:szCs w:val="20"/>
          <w:color w:val="auto"/>
        </w:rPr>
      </w:pPr>
    </w:p>
    <w:p>
      <w:pPr>
        <w:ind w:right="180" w:firstLine="494"/>
        <w:spacing w:after="0" w:line="237" w:lineRule="auto"/>
        <w:rPr>
          <w:sz w:val="20"/>
          <w:szCs w:val="20"/>
          <w:color w:val="auto"/>
        </w:rPr>
      </w:pPr>
      <w:r>
        <w:rPr>
          <w:rFonts w:ascii="Arial" w:cs="Arial" w:eastAsia="Arial" w:hAnsi="Arial"/>
          <w:sz w:val="18"/>
          <w:szCs w:val="18"/>
          <w:color w:val="auto"/>
        </w:rPr>
        <w:t xml:space="preserve">In connection with the preparation and audit of our consolidated financial statements for the fiscal years ended December 31, 2020 and 2019, we and our independent registered public accounting firm identified certain control deficiencies in the design and implementation of our internal control over financial reporting that constituted material weaknesses. These material weaknesses continued to exist as of December 31, 2021.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w:t>
      </w:r>
      <w:r>
        <w:rPr>
          <w:rFonts w:ascii="Arial" w:cs="Arial" w:eastAsia="Arial" w:hAnsi="Arial"/>
          <w:sz w:val="18"/>
          <w:szCs w:val="18"/>
          <w:i w:val="1"/>
          <w:iCs w:val="1"/>
          <w:color w:val="auto"/>
        </w:rPr>
        <w:t>(COSO) 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These material weaknesses are as follows:</w:t>
      </w:r>
    </w:p>
    <w:p>
      <w:pPr>
        <w:spacing w:after="0" w:line="95" w:lineRule="exact"/>
        <w:rPr>
          <w:sz w:val="20"/>
          <w:szCs w:val="20"/>
          <w:color w:val="auto"/>
        </w:rPr>
      </w:pPr>
    </w:p>
    <w:p>
      <w:pPr>
        <w:ind w:left="1020" w:right="100" w:hanging="503"/>
        <w:spacing w:after="0" w:line="255"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82" w:lineRule="exact"/>
        <w:rPr>
          <w:rFonts w:ascii="Arial" w:cs="Arial" w:eastAsia="Arial" w:hAnsi="Arial"/>
          <w:sz w:val="17"/>
          <w:szCs w:val="17"/>
          <w:color w:val="auto"/>
        </w:rPr>
      </w:pPr>
    </w:p>
    <w:p>
      <w:pPr>
        <w:ind w:left="1020" w:right="120" w:hanging="503"/>
        <w:spacing w:after="0" w:line="23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relevant to the preparation of our financial statements with respect to certain information technology, or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97"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These material weaknesses resulted in misstatements related to capitalized internal-use software development costs, accumulated other comprehensive income, cost of revenue, sales and marketing expenses, research and development expenses, general and administrative expenses, income tax expense, the disclosure of deferred compensation, the classification of revenue, sales and marketing expenses, research and development expenses and general and administrative expenses, the calculation of earnings per share and the disclosure of revenue by geography as of and for the year ended December 31, 2019, which resulted in the restatement of the 2019 consolidated financial statements and a classification adjustment that was recorded to revenue and sales and marketing expenses in the 2020 consolidated financial statements. Additionally, these material weaknesses could result in a misstatement of substantially all of our accounts or disclosures that would result in a material misstatement to the annual or interim consolidated financial statements that would not be prevented or detected.</w:t>
      </w:r>
    </w:p>
    <w:p>
      <w:pPr>
        <w:spacing w:after="0" w:line="99" w:lineRule="exact"/>
        <w:rPr>
          <w:sz w:val="20"/>
          <w:szCs w:val="20"/>
          <w:color w:val="auto"/>
        </w:rPr>
      </w:pPr>
    </w:p>
    <w:p>
      <w:pPr>
        <w:ind w:right="480" w:firstLine="494"/>
        <w:spacing w:after="0" w:line="261" w:lineRule="auto"/>
        <w:rPr>
          <w:sz w:val="20"/>
          <w:szCs w:val="20"/>
          <w:color w:val="auto"/>
        </w:rPr>
      </w:pPr>
      <w:r>
        <w:rPr>
          <w:rFonts w:ascii="Arial" w:cs="Arial" w:eastAsia="Arial" w:hAnsi="Arial"/>
          <w:sz w:val="17"/>
          <w:szCs w:val="17"/>
          <w:color w:val="auto"/>
        </w:rPr>
        <w:t>We are in process of remediating the material weaknesses described above. In 2020, we implemented a new general ledger accounting system, including the design of permissions within that system which allow for effective restricted access and segregation of duties to govern the preparation and review of journal entries. Additional remediation measures are ongoing and include the following:</w:t>
      </w:r>
    </w:p>
    <w:p>
      <w:pPr>
        <w:spacing w:after="0" w:line="78" w:lineRule="exact"/>
        <w:rPr>
          <w:sz w:val="20"/>
          <w:szCs w:val="20"/>
          <w:color w:val="auto"/>
        </w:rPr>
      </w:pPr>
    </w:p>
    <w:p>
      <w:pPr>
        <w:ind w:left="1020" w:right="14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enhancing and documenting management review controls over the review of journal entries and the identification and review of complex transactions;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hire additional personnel with public company experience for our accounting and finance function; and</w:t>
      </w:r>
    </w:p>
    <w:p>
      <w:pPr>
        <w:spacing w:after="0" w:line="103"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designing and implementing comprehensive access control protocols for our relevant IT applications to enforce restricted user and privileged access and implementing controls to review the activities for those users who have privileged access.</w:t>
      </w:r>
    </w:p>
    <w:p>
      <w:pPr>
        <w:spacing w:after="0" w:line="89"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While we believe these efforts will remediate the material weaknesses, we may not be able to complete our evaluation, testing or any required remediation in a timely fashion, or at all. We cannot assure you that the measures we have taken to date and may take in the future will be sufficient to remediate the control deficiencies that led to the identified material weaknesses in internal control over financial reporting or that the measures will prevent or avoid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and report financial information accurately, and to prepare financial statements within the time periods required under SEC rules, could be adversely affected. This may in turn adversely affect our reputation and business and the market price of our Class A common stock. In addition, any such failures could result in litigation 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720"/>
        <w:spacing w:after="0" w:line="246" w:lineRule="auto"/>
        <w:rPr>
          <w:sz w:val="20"/>
          <w:szCs w:val="20"/>
          <w:color w:val="auto"/>
        </w:rPr>
      </w:pPr>
      <w:r>
        <w:rPr>
          <w:rFonts w:ascii="Arial" w:cs="Arial" w:eastAsia="Arial" w:hAnsi="Arial"/>
          <w:sz w:val="18"/>
          <w:szCs w:val="18"/>
          <w:color w:val="auto"/>
        </w:rPr>
        <w:t>regulatory actions by the SEC or other regulatory authorities, loss of investor confidence, delisting of our Class A common stock and diversion of financial and management resources from the operation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26"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We are subject to the requirements of the Securities Exchange Act of 1934, as amended, or the Exchange Act, the Sarbanes-Oxley Act, the Dodd-Frank Wall Street Reform and Consumer Protection Act, the listing requirements of the New York Stock Exchange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are required. As a result, management’s attention may be diverted from other business concerns, which could adversely affect our business and operating results. We have and may need to continue to hire additional employees or engage outside consultants to comply with these requirements, which has and will increase our costs and expenses.</w:t>
      </w:r>
    </w:p>
    <w:p>
      <w:pPr>
        <w:spacing w:after="0" w:line="98"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or for other reasons, regulatory authorities may initiate legal proceedings against us and our business may be adversely affected.</w:t>
      </w:r>
    </w:p>
    <w:p>
      <w:pPr>
        <w:spacing w:after="0" w:line="98"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These new rules and regulations may make it more expensive for us to maintain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are subject to laws and regulations regarding export control, import, economic and trade sanctions, anti-money laundering and counter-terror financing that could impair our ability to compete in international markets or subject us to criminal or civil liability if we violate them.</w:t>
      </w:r>
    </w:p>
    <w:p>
      <w:pPr>
        <w:spacing w:after="0" w:line="83"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We plan to expand internationally and will thus become subject to additional laws and regulations for which we will need to implement new regulatory compliance controls. In some cases, our products are subject to export control laws and regulations, including the Export Administration Regulations administered by the U.S. Department of Commerce, and our activities may be subject to trade and economic sanctions, including U.S. economic and trade sanctions administered by the U.S. Department of Treasury’s Office of Foreign Assets Control, or OFAC, which we collectively refer to as trade controls. As such, a license may be required to export or re-export our products, or provide related services, to certain countries and billers and financial institutions. Further, our products incorporating encryption functionality may be subject to special controls applying to encryption items or certain reporting requirements. The process for obtaining necessary licenses may be time-consuming or unsuccessful, potentially causing delays in sales or losses of sales opportunities.</w:t>
      </w:r>
    </w:p>
    <w:p>
      <w:pPr>
        <w:spacing w:after="0" w:line="100"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have procedures in place designed to ensure our compliance with trade controls, with which failure to comply could subject us to both civil and criminal penalties, including substantial fines, possible incarceration of responsible individuals for willful violations, possible loss of our export or import privileges and reputational harm. For example, we have processes in place to comply with the OFAC regulations as well as similar requirements in other jurisdictions. As part of our compliance efforts, we scan our billers against OFAC and other watchlists. If our platform is accessed from a sanctioned country in violation of trade and economic sanctions, we could be subject to fines or other enforcement action.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spacing w:after="0" w:line="100" w:lineRule="exact"/>
        <w:rPr>
          <w:sz w:val="20"/>
          <w:szCs w:val="20"/>
          <w:color w:val="auto"/>
        </w:rPr>
      </w:pPr>
    </w:p>
    <w:p>
      <w:pPr>
        <w:ind w:right="40" w:firstLine="494"/>
        <w:spacing w:after="0" w:line="234"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billers’ and financial institutions' ability to implement our products in those countries. Changes in our products or changes in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right="100"/>
        <w:spacing w:after="0" w:line="236" w:lineRule="auto"/>
        <w:rPr>
          <w:sz w:val="20"/>
          <w:szCs w:val="20"/>
          <w:color w:val="auto"/>
        </w:rPr>
      </w:pPr>
      <w:r>
        <w:rPr>
          <w:rFonts w:ascii="Arial" w:cs="Arial" w:eastAsia="Arial" w:hAnsi="Arial"/>
          <w:sz w:val="18"/>
          <w:szCs w:val="18"/>
          <w:color w:val="auto"/>
        </w:rPr>
        <w:t>export and import regulations in such countries may create delays in the introduction of our products into international markets, prevent billers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billers and financial institutions with international operations. Any decreased use of our products or limitation on our ability to export to or sell our products in international markets could adversely affect our business, operating results and financial condition.</w:t>
      </w:r>
    </w:p>
    <w:p>
      <w:pPr>
        <w:spacing w:after="0" w:line="100" w:lineRule="exact"/>
        <w:rPr>
          <w:sz w:val="20"/>
          <w:szCs w:val="20"/>
          <w:color w:val="auto"/>
        </w:rPr>
      </w:pPr>
    </w:p>
    <w:p>
      <w:pPr>
        <w:ind w:right="440" w:firstLine="494"/>
        <w:spacing w:after="0" w:line="238"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around the world that prohibit, among other things, our involvement in transferring the proceeds of criminal activities. There has been increased scrutiny in the United States and globally regarding compliance with these laws and regulations, which may require us to further revise or expand our compliance program, including the procedures we use to verify the identity of our billers.</w:t>
      </w:r>
    </w:p>
    <w:p>
      <w:pPr>
        <w:spacing w:after="0" w:line="18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68"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We are subject to the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Although we currently only maintain operations in the United States, Canada and India, as we increase our international cross-border business and expand operations abroad, we may engage with business partners and third-party intermediaries to market our services and to obtain necessary permits, licenses and other regulatory approvals. Our operations are dependent in part upon transmission bandwidth provided by third-party network providers and access to co-location facilities to house our servers, which in some countries may be state owned. Similarly, some of our billers and financial institutions may be state-owned, in each case exposing us to potential risks.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106"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04" w:lineRule="exact"/>
        <w:rPr>
          <w:sz w:val="20"/>
          <w:szCs w:val="20"/>
          <w:color w:val="auto"/>
        </w:rPr>
      </w:pPr>
    </w:p>
    <w:p>
      <w:pPr>
        <w:ind w:left="1020" w:right="80" w:hanging="503"/>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88"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thereof, including the Tax Cuts and Jobs Act of 2017, as modified by the Coronavirus Aid, Relief, and Economic Security Act and the Emergency Coronavirus Relief Act;</w:t>
      </w:r>
    </w:p>
    <w:p>
      <w:pPr>
        <w:spacing w:after="0" w:line="88" w:lineRule="exact"/>
        <w:rPr>
          <w:rFonts w:ascii="Arial" w:cs="Arial" w:eastAsia="Arial" w:hAnsi="Arial"/>
          <w:sz w:val="18"/>
          <w:szCs w:val="18"/>
          <w:color w:val="auto"/>
        </w:rPr>
      </w:pPr>
    </w:p>
    <w:p>
      <w:pPr>
        <w:ind w:left="1020" w:right="10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operating results.</w:t>
      </w:r>
    </w:p>
    <w:p>
      <w:pPr>
        <w:ind w:left="5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suites, applications and other technologies that are developed by others, including our partners, or if there are performance issues with such third-party systems, our solutions will not operate effectively, we may become less competitive and our business, operating results and financial condition may be harmed.</w:t>
      </w:r>
    </w:p>
    <w:p>
      <w:pPr>
        <w:spacing w:after="0" w:line="88"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Our platform must integrate with a variety of software suites, applications and other technologies that are developed by third parties, and we need to continuously modify and enhance our platform to adapt to changes in such software and other technologies. In particular, we have developed our platform to be able to easily integrate with key third-party applications of our software partners. We are typically subject to standard terms and conditions of providers of software or other technology, which govern the distribution and operation of such software and other technologies and are subject to change by such providers from time to time. Our business will be harmed if any provider of such software or other technologies:</w:t>
      </w:r>
    </w:p>
    <w:p>
      <w:pPr>
        <w:spacing w:after="0" w:line="9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other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modifies its terms of service or other legal terms or policies, including fees charged to, or other restrictions on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how information is accessed by us or our billers, financial institutions or partners or their consumers;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has performance or other problems that affect the perception of our platform, products or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establishes exclusive or more favorable relationships with one or more of our competitors;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 or products.</w:t>
      </w:r>
    </w:p>
    <w:p>
      <w:pPr>
        <w:spacing w:after="0" w:line="104"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For example, to deliver a comprehensive solution, our platform integrates with offerings of popular software providers, including Oracle and SAP, through application program interfaces, or APIs, made available by these software providers. If any providers of software or other technologies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94" w:lineRule="exact"/>
        <w:rPr>
          <w:sz w:val="20"/>
          <w:szCs w:val="20"/>
          <w:color w:val="auto"/>
        </w:rPr>
      </w:pPr>
    </w:p>
    <w:p>
      <w:pPr>
        <w:ind w:right="120" w:firstLine="494"/>
        <w:spacing w:after="0" w:line="236"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our competitors or competitive products,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software suites, applications and other technologies in the future, our business, results of operations and financial condition would be harmed.</w:t>
      </w:r>
    </w:p>
    <w:p>
      <w:pPr>
        <w:spacing w:after="0" w:line="99"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Furthermore, the functionality of our platform also depends on our and our partners’ ability to integrate our platform with their offerings. These partners periodically update and change their systems, and although we have been able to adapt our platform to their evolving needs in the past, there can be no guarantee that we will be able to do so in the future or in a way such that our billers, financial institutions or partners or their consumers are satisfied with the quality of work performed by us or with the technical support services rendered. In particular, if we are unable to adapt to the needs of our partners’ platforms, software and solutions, our billers’, financial institutions' and partners’ operations may be disrupted, which could result in disputes with our billers, financial institutions or partners or their consumers or other third parties and additional costs to address the situation. Additionally, our billers, financial institutions and partners may terminate their relationship with us and we may lose access to large numbers of consumers and biller and financial institution referrals as a result.</w:t>
      </w:r>
    </w:p>
    <w:p>
      <w:pPr>
        <w:spacing w:after="0" w:line="100" w:lineRule="exact"/>
        <w:rPr>
          <w:sz w:val="20"/>
          <w:szCs w:val="20"/>
          <w:color w:val="auto"/>
        </w:rPr>
      </w:pPr>
    </w:p>
    <w:p>
      <w:pPr>
        <w:ind w:right="280" w:firstLine="494"/>
        <w:spacing w:after="0"/>
        <w:rPr>
          <w:sz w:val="20"/>
          <w:szCs w:val="20"/>
          <w:color w:val="auto"/>
        </w:rPr>
      </w:pPr>
      <w:r>
        <w:rPr>
          <w:rFonts w:ascii="Arial" w:cs="Arial" w:eastAsia="Arial" w:hAnsi="Arial"/>
          <w:sz w:val="18"/>
          <w:szCs w:val="18"/>
          <w:color w:val="auto"/>
        </w:rPr>
        <w:t>Any negative publicity related to our solutions, regardless of its accuracy or whether the ultimate cause of any poor performance actually results from our platform, or from the systems of our billers, financial institutions, partners or consumers, may adversely affect our reputation, business, operating results and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9" w:name="page40"/>
    <w:bookmarkEnd w:id="39"/>
    <w:p>
      <w:pPr>
        <w:spacing w:after="0" w:line="247" w:lineRule="auto"/>
        <w:rPr>
          <w:sz w:val="20"/>
          <w:szCs w:val="20"/>
          <w:color w:val="auto"/>
        </w:rPr>
      </w:pPr>
      <w:r>
        <w:rPr>
          <w:rFonts w:ascii="Arial" w:cs="Arial" w:eastAsia="Arial" w:hAnsi="Arial"/>
          <w:sz w:val="18"/>
          <w:szCs w:val="18"/>
          <w:b w:val="1"/>
          <w:bCs w:val="1"/>
          <w:i w:val="1"/>
          <w:iCs w:val="1"/>
          <w:color w:val="auto"/>
        </w:rPr>
        <w:t>Interruptions or delays in the services provided by our third-party data centers or internet service providers could impair the delivery of our platform. Any changes in the systems that these providers make available to us that degrade the functionality of our platform, impose additional costs or requirements on us, or give preferential treatment to competitors’ services, including their own services, could materially and adversely affect usage of our products and services.</w:t>
      </w:r>
    </w:p>
    <w:p>
      <w:pPr>
        <w:spacing w:after="0" w:line="88"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third-party service providers are ultimately responsible for maintaining their own network security, disaster recovery and system management procedures, and our review processes for such providers may be insufficient to identify, prevent or mitigate adverse events. The owners and operators of our current and future hosting facilities do not guarantee that our billers’ or partners’ or their consumers’ access to our solutions will be uninterrupted, error-free or secure. We or our third-party service providers may experience website disruptions, outages and other performance problems. We have periodically experienced service disruptions in the past, and we cannot assure you that we will not experience service interruptions or delays in the future. We depend on our third-party service providers to protect their infrastructure against damage, interruption and other performance problems, maintain their respective configuration, architecture and interconnection specifications and protect information stored by such providers, as well as on internet service providers to transmit data. We may also incur significant costs for using alternative equipment or taking other actions in preparation for, or in reaction to, events that damage the data storage services we use.</w:t>
      </w:r>
    </w:p>
    <w:p>
      <w:pPr>
        <w:spacing w:after="0" w:line="98"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Although we have disaster recovery plans that use multiple data storage locations, any incident affecting their infrastructure that may be caused by fire, flood, severe storm, earthquake, power loss, telecommunications failures, unauthorized entry or intrusion, sabotage, criminal acts, intentional acts of vandalism and other misconduct, computer viruses and disabling devices, natural disasters, military actions, terrorist attacks, negligence, infrastructure changes, human or software errors, fraud, spikes in biller, financial institution, partner or consumer usage and denial of service issues, hardware failures, improper operation, data loss, compromise or corruption, cybersecurity attacks, wars, hurricanes, tornadoes and other similar events beyond our control could negatively affect our platform. In some instances, we may not be able to identify the cause or causes of these performance problems within an acceptable period of time. Any prolonged service disruption affecting our platform for any of the foregoing reasons could result in lengthy interruptions in the delivery of our platform, products or services, cause system interruptions, prevent our billers, financial institutions, partners or consumers from accessing their accounts online, damage our reputation with current and potential billers, financial institutions, partners or consumers, expose us to liability, cause us to lose billers, financial institutions, partners or consumers, cause the loss or unavailability of critical data, prevent us from supporting our platform, products or services, result in regulatory investigations, enforcement actions and litigation or cause us to incur additional expense in investigating, remediating and responding to these disruptions and arranging for new facilities and support or otherwise harm our business.</w:t>
      </w:r>
    </w:p>
    <w:p>
      <w:pPr>
        <w:spacing w:after="0" w:line="9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Also, in the event of damage or interruption, our insurance policies may not adequately compensate us for any losses that we may incur. System failures or outages, including any potential disruptions due to significantly increased global demand on certain cloud-based systems during the COVID -19 pandemic, could compromise our ability to perform these functions in a timely manner, which could harm our ability to conduct business or delay our financial reporting. Such 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financial institutions, partners or consumers, and their failure to timely notify us of such a breach or disclosure may cause us to incur significant costs or otherwise harm our business.</w:t>
      </w:r>
    </w:p>
    <w:p>
      <w:pPr>
        <w:spacing w:after="0" w:line="100"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platform is accessed by many billers, financial institutions, partners and consumers, often at the same time. As we continue to expand the number of our billers, financial institutions, partners and consumers, and products available through our platform,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100" w:lineRule="exact"/>
        <w:rPr>
          <w:sz w:val="20"/>
          <w:szCs w:val="20"/>
          <w:color w:val="auto"/>
        </w:rPr>
      </w:pPr>
    </w:p>
    <w:p>
      <w:pPr>
        <w:ind w:right="160" w:firstLine="494"/>
        <w:spacing w:after="0" w:line="234" w:lineRule="auto"/>
        <w:rPr>
          <w:sz w:val="20"/>
          <w:szCs w:val="20"/>
          <w:color w:val="auto"/>
        </w:rPr>
      </w:pPr>
      <w:r>
        <w:rPr>
          <w:rFonts w:ascii="Arial" w:cs="Arial" w:eastAsia="Arial" w:hAnsi="Arial"/>
          <w:sz w:val="18"/>
          <w:szCs w:val="18"/>
          <w:color w:val="auto"/>
        </w:rPr>
        <w:t>We also depend on third-party internet-hosting providers and continuous and uninterrupted access to the internet through third-party bandwidth providers to operate our business. If we lose the services of one or more of our internet-hosting or bandwidth providers for any reason or if their services are disrupted, for example due to viruses, ransomware, denial of service or other attacks on their systems, or due to human error, intentional bad acts, power loss, hardware failures, telecommunications failures, fires, wars, terrorist attacks, floods, earthquakes, hurricanes, tornadoes or similar catastrophic events, we could experience disruption in our ability to offer our solutions and adverse perception of our solutions’ reliability, or we could be required to retain the services of replacement providers, which could increase our operating costs and materially and adversely affect our business, operating results and financial condition.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0" w:name="page41"/>
    <w:bookmarkEnd w:id="40"/>
    <w:p>
      <w:pPr>
        <w:ind w:right="240" w:firstLine="494"/>
        <w:spacing w:after="0" w:line="238" w:lineRule="auto"/>
        <w:rPr>
          <w:sz w:val="20"/>
          <w:szCs w:val="20"/>
          <w:color w:val="auto"/>
        </w:rPr>
      </w:pPr>
      <w:r>
        <w:rPr>
          <w:rFonts w:ascii="Arial" w:cs="Arial" w:eastAsia="Arial" w:hAnsi="Arial"/>
          <w:sz w:val="18"/>
          <w:szCs w:val="18"/>
          <w:color w:val="auto"/>
        </w:rPr>
        <w:t>Furthermore, prolonged interruption in the availability, or reduction in the speed or other functionality, of our platform, products or services could materially harm our reputation and business. Frequent or persistent interruptions in accessing our platform, products and services could cause billers, financial institutions, partners or consumers to believe that our platform, products and services are unreliable, leading them to switch to our competitors or to avoid our platform, products and services, and could permanently harm our reputation and business.</w:t>
      </w:r>
    </w:p>
    <w:p>
      <w:pPr>
        <w:spacing w:after="0" w:line="94"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Additionally, as our billers, financial institutions and partners and their consumers may use our platform for critical transactions, any errors, defects or other infrastructure problems could result in damage to such billers’, financial institutions', partners’ or consumers’ businesses. These billers, financial institutions, partners and consumers could seek significant compensation from us for their losses and our insurance policies may be insufficient to cover a claim. Even if unsuccessful, this type of claim may be time-consuming and costly for us to defend. Any of the foregoing could have a material adverse effect on our business, operating results and financial condition.</w:t>
      </w:r>
    </w:p>
    <w:p>
      <w:pPr>
        <w:spacing w:after="0" w:line="180"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b w:val="1"/>
          <w:bCs w:val="1"/>
          <w:i w:val="1"/>
          <w:iCs w:val="1"/>
          <w:color w:val="auto"/>
        </w:rPr>
        <w:t>We may experience software and technology defects, undetected errors, development delays or other performance problems in our software and other technology used as part of our platform, which could damage biller, financial institution and partner relations, harm our reputation, result in significant costs to us, decrease our potential profitability and expose us to substantial liability.</w:t>
      </w:r>
    </w:p>
    <w:p>
      <w:pPr>
        <w:spacing w:after="0" w:line="88"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Our software and other technology used as part of our platform may contain undetected errors, viruses or defects when implemented or when new functionality is released, as we may modify, enhance, upgrade and implement new systems, procedures and controls to reflect changes in our business, technological advancements and changing industry trends. Despite extensive testing, from time to time we have discovered and may in the future discover defects or errors in our solutions. Any performance problems or defects in our solutions could materially and adversely affect our business, operating results and financial conditions. Defects, errors or other similar performance problems or disruptions, whether in connection with day-to-day operations or otherwise, could be costly for us, adversely affect our billers’, financial institutions' or partners’ businesses, harm our reputation and result in reduced sales or a loss of, or delay in, the market acceptance of our solutions. In addition, if we have any such errors, defects or other performance problems, our billers, financial institutions or partners could seek to terminate, or elect not to renew, their contracts with us, delay or withhold payment or make claims against us. Any of these actions could result in liability, lost business, increased insurance costs, difficulty in collecting accounts receivable, costly litigation or adverse publicity, which could materially and adversely affect our business, operating results and financial condition. Additionally, our software uses open-source software and any defects or security vulnerabilities in such open-source software could materially and adversely affect our business, operating results and financial condition. In addition, we rely on technologies and software supplied by third parties that may also contain undetected errors, viruses or defects. Software defects and errors or delays in electronic bill presentment or our facilitation of payment processing could result in additional development costs, diversion of technical and other resources from our other development efforts, loss of credibility with current or potential billers, financial institutions, partners and consumers, harm to our reputation and exposure to liability claims, any of which could result in a material adverse effect on our business, operating results and financial condition.</w:t>
      </w:r>
    </w:p>
    <w:p>
      <w:pPr>
        <w:spacing w:after="0" w:line="19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We use open source software in our platform and products, which may pose particular risks to our proprietary software in a manner that could subject us to litigation or other actions, negatively affect our ability to sell our products or otherwise adversely affect our business, operating results and financial condition.</w:t>
      </w:r>
    </w:p>
    <w:p>
      <w:pPr>
        <w:spacing w:after="0" w:line="83" w:lineRule="exact"/>
        <w:rPr>
          <w:sz w:val="20"/>
          <w:szCs w:val="20"/>
          <w:color w:val="auto"/>
        </w:rPr>
      </w:pPr>
    </w:p>
    <w:p>
      <w:pPr>
        <w:ind w:right="280" w:firstLine="494"/>
        <w:spacing w:after="0" w:line="238" w:lineRule="auto"/>
        <w:rPr>
          <w:sz w:val="20"/>
          <w:szCs w:val="20"/>
          <w:color w:val="auto"/>
        </w:rPr>
      </w:pPr>
      <w:r>
        <w:rPr>
          <w:rFonts w:ascii="Arial" w:cs="Arial" w:eastAsia="Arial" w:hAnsi="Arial"/>
          <w:sz w:val="18"/>
          <w:szCs w:val="18"/>
          <w:color w:val="auto"/>
        </w:rPr>
        <w:t>Our platform incorporates software modules licensed to us by third-party authors under “open source” licenses, and we expect to continue to incorporate open source software in our products and platform in the future. Some open source licenses contain requirements that those who distribute open source software as part of their own software product also make publicly available all or part of the source code for modifications or derivative works created based on the type of open source software they use, or grant other licenses to their intellectual property on unfavorable terms or at no cost, and we may be subject to such requirements.</w:t>
      </w:r>
    </w:p>
    <w:p>
      <w:pPr>
        <w:spacing w:after="0" w:line="94" w:lineRule="exact"/>
        <w:rPr>
          <w:sz w:val="20"/>
          <w:szCs w:val="20"/>
          <w:color w:val="auto"/>
        </w:rPr>
      </w:pPr>
    </w:p>
    <w:p>
      <w:pPr>
        <w:ind w:right="160" w:firstLine="494"/>
        <w:spacing w:after="0" w:line="23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and there is a risk that these licenses could be construed in a way that could impose unanticipated conditions or restrictions on our ability to provide, or distribute our platform, products or services related to, the open source software subject to those licenses. In addition, the public availability of such software may make it easier for others to compromise our platform. Although we generally monitor our use of open source software to avoid subjecting our platform to conditions we do not intend and to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Moreover, we cannot assure you that our processes for controlling our use of open source software in our platform, products and services will be effective. From time to time, there have been claims challenging the ownership of open source software against companies that incorporate it into their products. Likewise, we could become subject to lawsuits and face claims from third parties claiming ownership of, or demanding release of, any open source software or derivative works that we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spacing w:after="0" w:line="236" w:lineRule="auto"/>
        <w:rPr>
          <w:sz w:val="20"/>
          <w:szCs w:val="20"/>
          <w:color w:val="auto"/>
        </w:rPr>
      </w:pPr>
      <w:r>
        <w:rPr>
          <w:rFonts w:ascii="Arial" w:cs="Arial" w:eastAsia="Arial" w:hAnsi="Arial"/>
          <w:sz w:val="18"/>
          <w:szCs w:val="18"/>
          <w:color w:val="auto"/>
        </w:rPr>
        <w:t>have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Litigation could be costly for us to defend, have a negative effect on our business, operating results and financial condition or require us to devote additional research and development resources to change our products. If we are held to have breached or failed to fully comply with all the terms and conditions of an open source software license, we could face infringement or other liability, or be required to seek costly licenses from third parties, to continue providing our offerings on terms that are not economically feasible, to re-engineer our platform (which could involve substantial time and resources), to discontinue or delay the provision of our offerings if re-engineering could not be accomplished on a timely basis or to make generally available, in source code form, our proprietary code, any of which could adversely affect our business, operating results and financial condition.</w:t>
      </w:r>
    </w:p>
    <w:p>
      <w:pPr>
        <w:spacing w:after="0" w:line="98"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In addition to risks related to complying with applicable license requirements, a release of our proprietary code could also allow our competitors to create similar offerings with lower development effort and time and ultimately could result in a loss of our competitive advantages. Furthermore,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operating results and financial condition.</w:t>
      </w:r>
    </w:p>
    <w:p>
      <w:pPr>
        <w:spacing w:after="0" w:line="1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83" w:lineRule="exact"/>
        <w:rPr>
          <w:sz w:val="20"/>
          <w:szCs w:val="20"/>
          <w:color w:val="auto"/>
        </w:rPr>
      </w:pPr>
    </w:p>
    <w:p>
      <w:pPr>
        <w:jc w:val="both"/>
        <w:ind w:right="240" w:firstLine="494"/>
        <w:spacing w:after="0" w:line="248" w:lineRule="auto"/>
        <w:rPr>
          <w:sz w:val="20"/>
          <w:szCs w:val="20"/>
          <w:color w:val="auto"/>
        </w:rPr>
      </w:pPr>
      <w:r>
        <w:rPr>
          <w:rFonts w:ascii="Arial" w:cs="Arial" w:eastAsia="Arial" w:hAnsi="Arial"/>
          <w:sz w:val="17"/>
          <w:szCs w:val="17"/>
          <w:color w:val="auto"/>
        </w:rPr>
        <w:t>Our success is dependent, in part, upon protecting our intellectual property and proprietary technology. We rely on a combination of patents, copyrights, trademarks, service marks, trade secret laws and contractual provisions with our employees, independent contractors, consultants and third parties with whom we have relationships to establish and protect our intellectual property and proprietary rights.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However, the steps we take to protect our intellectual property may be inadequate, may not afford complete protection and may not adequately permit us to gain or keep any competitive advantage or otherwise fail to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97"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Various factors outside our control pose a threat to our intellectual property rights, as well as to our products, services and technologies. Although we have been issued patents in the United States and Canada and have additional patent applications pending, we may be unable to obtain patent protection for the technology covered in our patent applications or obtain the coverage originally sought. In addition, any patents issued in the future may not provide us with competitive advantages or may be successfully challenged by third parties, which could result in them being narrowed in scope or declared invalid or unenforceable. For example, it is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 or file suit against us. Any of our patents, trademarks or other intellectual property rights may lapse, be abandoned, be challenged or circumvented by others or invalidated through administrative process or litigation. We also may allow certain of our registered intellectual property rights, or our pending applications for intellectual property rights, to lapse or to become abandoned if we determine that obtaining or maintaining the applicable registered intellectual property rights is not worthwhile. Despite our efforts to protect our intellectual property and proprietary rights, there can be no guarantee that such rights will be sufficient to protect against others offering products or services that are substantially similar to ours, independently developing similar products, duplicating any of our products, designing around our patents, adopting trade names or domain names similar to ours, competing with our business or attempting to copy aspects of our technology and using information that we consider proprietary, thereby impeding our ability to promote our platform and possibly leading to biller, financial institution or consumer confusion.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services that compete with ours.</w:t>
      </w:r>
    </w:p>
    <w:p>
      <w:pPr>
        <w:spacing w:after="0" w:line="105" w:lineRule="exact"/>
        <w:rPr>
          <w:sz w:val="20"/>
          <w:szCs w:val="20"/>
          <w:color w:val="auto"/>
        </w:rPr>
      </w:pPr>
    </w:p>
    <w:p>
      <w:pPr>
        <w:ind w:right="140" w:firstLine="494"/>
        <w:spacing w:after="0" w:line="234" w:lineRule="auto"/>
        <w:rPr>
          <w:sz w:val="20"/>
          <w:szCs w:val="20"/>
          <w:color w:val="auto"/>
        </w:rPr>
      </w:pPr>
      <w:r>
        <w:rPr>
          <w:rFonts w:ascii="Arial" w:cs="Arial" w:eastAsia="Arial" w:hAnsi="Arial"/>
          <w:sz w:val="18"/>
          <w:szCs w:val="18"/>
          <w:color w:val="auto"/>
        </w:rPr>
        <w:t>We cannot guarantee that our ability to assert our intellectual property rights against potential competitors or to settle current or future disputes will not be limited by our agreements with third parties. Further, no assurance can be given that our agreements will be effective in controlling access to and distribution of our products and proprietary information, and they do not prevent our competitors or partners from independently developing technologies that are substantially equivalent or superior to our platform.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20" w:firstLine="494"/>
        <w:spacing w:after="0" w:line="236" w:lineRule="auto"/>
        <w:rPr>
          <w:sz w:val="20"/>
          <w:szCs w:val="20"/>
          <w:color w:val="auto"/>
        </w:rPr>
      </w:pPr>
      <w:r>
        <w:rPr>
          <w:rFonts w:ascii="Arial" w:cs="Arial" w:eastAsia="Arial" w:hAnsi="Arial"/>
          <w:sz w:val="18"/>
          <w:szCs w:val="18"/>
          <w:color w:val="auto"/>
        </w:rPr>
        <w:t>We will not be able to protect our intellectual property rights if we are unable to enforce our rights or if we do not detect unauthorized use of our intellectual property rights. Despite our efforts to protect our proprietary rights, unauthorized parties may attempt to copy, reverse engineer or otherwise obtain and use our products, technology, systems, methods, processes, intellectual property and other information that we regard as proprietary to create products and services that compete with ours. We cannot be certain that we will be able to prevent unauthorized use of our products, technology, systems, methods and processes or infringement, misappropriation or other violation of our intellectual property, particularly in foreign countries where the laws may not protect our proprietary rights as comprehensively as in the United States, if at all. In addition, any changes in, or unexpected interpretations of, intellectual property laws may compromise our ability to enforce our trade secret and intellectual property rights. Failure to obtain or maintain protection of our trade secrets or other proprietary information could harm our competitive position and materially and adversely affect our business, operating results and financial condition.</w:t>
      </w:r>
    </w:p>
    <w:p>
      <w:pPr>
        <w:spacing w:after="0" w:line="99"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In addition to registered intellectual property rights such as issued patents and trademark registrations, we rely on non-registered proprietary information and technology, such as copyrights, trade secrets, confidential information, know-how and technical information. In order to protect our proprietary information and technology, we rely in part on confidentiality and intellectual property assignment agreements with our employees and contractors involved in the development of material intellectual property for us, which place restrictions on the employees’ and contractors’ use and disclosure of this intellectual property. However, these agreements may not be self-executing, sufficient in scope or enforceable or may not provide meaningful protection for our trade secrets or other proprietary information in the event of unauthorized use or disclosure or other breaches of the agreements. We cannot guarantee that we have entered into such agreements with each person or entity that may have or have had access to our trade secrets or proprietary information or otherwise developed intellectual property for us, including our technology and processes. Individuals that were involved in the development of intellectual property for us or who had access to our intellectual property but who are not subject to invention assignment agreements may make adverse ownership claims to our current and future intellectual property.</w:t>
      </w:r>
    </w:p>
    <w:p>
      <w:pPr>
        <w:spacing w:after="0" w:line="97"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Additionally, these agreements may be insufficient or breached, or this intellectual property, including trade secrets, may otherwise be disclosed or become known to our competitors, which could cause us to lose any competitive advantage resulting from this intellectual property. We may not be able to obtain adequate remedies for such breaches. Additionally, to the extent that our employees, independent contractors or other third parties with whom we do business use intellectual property owned by others in their work for us, disputes may arise as to the rights in related or resulting works of authorship, know-how and inventions. The loss of trade secret protection could make it easier for third parties to compete with our products and services by copying functionality.</w:t>
      </w:r>
    </w:p>
    <w:p>
      <w:pPr>
        <w:spacing w:after="0" w:line="97"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Effective patent, copyright, trademark, service mark, trade secret and domain name protection is time-consuming and expensive. We may not be able to obtain protection for our technology and even if we are successful in obtaining effective patent, copyright, trademark, service mark, trade secret and domain name protection, it is expensive to maintain these rights, both in terms of application and maintenance costs, and the time and cost required to defend our rights could be substantial. Moreover, our failure to develop and properly manage and protect new intellectual property could hurt our market position and business opportunities. Furthermore, changes to U.S. or foreign intellectual property laws and regulations may jeopardize the enforceability and validity of our intellectual property portfolio and harm our ability to obtain patent protection, including for some of our unique business methods. We may be unable to obtain trademark protection for our products and brands, and our existing trademark registrations and applications, and any trademarks that may be used in the future, may not provide us with competitive advantages or distinguish our products and services from those of our competitors. We do not and may not own registered trademarks for all trademarks and logos used in our business in the jurisdictions in which we operate or may operate in the future. In addition, our trademarks may be contested or found to be unenforceable, weak or invalid, and we may not be able to prevent third parties from infringing or otherwise violating them. Litigation may be necessary to enforce our intellectual property rights, to protect our trade secrets or to determine the validity and scope of the proprietary rights of others, which could result in substantial costs and diversion of our resources. In addition, our efforts may be met with defenses and counterclaims challenging the validity and enforceability of our intellectual property rights or may result in a court determining that our intellectual property rights are unenforceable. Further, we have and may in the future employ individuals who previously were employed by our competitors, and, as a result, those competitors may bring claims against such individuals or us alleging their intellectual property rights have been infringed, misappropriated or otherwise violated. If we are unable to cost-effectively protect our intellectual property rights, our business would be harmed. If competitors are able to use our technology or develop proprietary technology similar to ours or competing technologies, our ability to compete effectively and our growth prospects would be adversely affected.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60"/>
        <w:spacing w:after="0" w:line="247" w:lineRule="auto"/>
        <w:rPr>
          <w:sz w:val="20"/>
          <w:szCs w:val="20"/>
          <w:color w:val="auto"/>
        </w:rPr>
      </w:pPr>
      <w:r>
        <w:rPr>
          <w:rFonts w:ascii="Arial" w:cs="Arial" w:eastAsia="Arial" w:hAnsi="Arial"/>
          <w:sz w:val="18"/>
          <w:szCs w:val="18"/>
          <w:b w:val="1"/>
          <w:bCs w:val="1"/>
          <w:i w:val="1"/>
          <w:iCs w:val="1"/>
          <w:color w:val="auto"/>
        </w:rPr>
        <w:t>We and our billers, financial institutions and partners and their consumers and other third parties that use our platform obtain, provide and process a large amount of sensitive and personal data. Any real or perceived improper or unauthorized use of, disclosure of or access to such data could harm our reputation as a trusted brand, as well as have a material adverse effect on our business, operating results and financial condition.</w:t>
      </w:r>
    </w:p>
    <w:p>
      <w:pPr>
        <w:spacing w:after="0" w:line="88"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and our billers, financial institutions and partners and their consumers and the third-party vendors and data centers that we use obtain, provide and process large amounts of sensitive and personal data, including data provided by and related to consumers and their transactions, as well as other data of the counterparties to their payments. We face risks, including to our reputation as a trusted brand, in the handling and protection of this data, and these risks will increase as our business continues to expand to include new products and technologies.</w:t>
      </w:r>
    </w:p>
    <w:p>
      <w:pPr>
        <w:spacing w:after="0" w:line="94"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Cybersecurity threats and attacks, privacy and security breaches and incidents, insider threats or other incidents and malicious internet-based activity continue to increase generally, evolve in nature and become more sophisticated, and providers of cloud-based services have frequently been targeted by such attacks, particularly in the financial technology sector. These cybersecurity challenges, including threats to our own IT infrastructure or those of our billers, financial institutions or partners or their consumers or third-party service providers, may take a variety of forms ranging from stolen bank accounts, business email compromise, biller or financial institution employee fraud, account takeover, check fraud or cybersecurity attacks, to “mega breaches” targeted against cloud-based services and other hosted software, which could be initiated by individual or groups of hackers or sophisticated cyber criminals. A cybersecurity incident or breach could result in loss, compromise, corruption or disclosure of confidential information, intellectual property and sensitive and personal data or data we rely on to provide our solutions and impair our ability to provide our solutions and meet our billers’, financial institutions' or partners’ or their consumers’ requirements, or cause production downtimes and compromised data. We may be unable to anticipate or prevent techniques used in the future to obtain unauthorized access or to sabotage systems because they change frequently and often are not detected until after an incident has occurred. As we increase our biller and financial institution base and our brand becomes more widely known and recognized, third parties may increasingly seek to compromise our security controls or gain unauthorized access to our sensitive corporate information or our billers’, financial institutions' or partners’ or their consumers’ sensitive and personal data. Information security risks for technology companies such as ours have significantly increased in recent years in part because of the proliferation of new technologies, the use of the internet and telecommunications technologies to conduct financial transactions, and the increased sophistication and activities of organized crime, hackers, terrorists and other external parties as well as nation-state and nation-state-supported actors. Additionally, geopolitical events and resulting government activity could lead to information security threats and attacks by affected jurisdictions and their sympathizers. Because of our position in the financial services industry, we believe that we are likely to continue to be a target of such threats and attacks.</w:t>
      </w:r>
    </w:p>
    <w:p>
      <w:pPr>
        <w:spacing w:after="0" w:line="105" w:lineRule="exact"/>
        <w:rPr>
          <w:sz w:val="20"/>
          <w:szCs w:val="20"/>
          <w:color w:val="auto"/>
        </w:rPr>
      </w:pPr>
    </w:p>
    <w:p>
      <w:pPr>
        <w:ind w:right="60" w:firstLine="494"/>
        <w:spacing w:after="0" w:line="235"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contractually require service providers to whom we disclose data to implement and maintain reasonable privacy, data protection and information security measures. However, if our privacy protection, data protection or information security measures or those of the previously mentioned third parties are inadequate or are breached or otherwise compromised as a result of third-party action, employee or contractor error, malfeasance, malware, phishing, hacking attacks, system error, software bugs or defects in our products, trickery, process failure, or otherwise, and, as a result, there is improper disclosure of, or someone obtains unauthorized access to or exfiltrates funds or accesses, modifies, corrupts, or destroys any sensitive and personal data,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sensitive and personal data by large institutions suggest that the risk of such events is significant, even if privacy, data protection and information security measures are implemented and enforced. If sensitive and personal data is unavailable, lost, modified, corrupted, or destroyed without authorization or improperly disclosed or threatened to be disclosed, we could incur significant costs associated with remediation and the implementation of additional security measures, and may incur significant liability and financial loss and be subject to regulatory scrutiny, investigations, proceedings and penalties.</w:t>
      </w:r>
    </w:p>
    <w:p>
      <w:pPr>
        <w:spacing w:after="0" w:line="106"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In addition, because we leverage third-party service providers, including cloud, software, data center and other critical technology vendors to deliver our solutions to our billers, financial institutions, partners or consumers and their clients, we rely heavily on the data security technology practices and policies adopted by these third-party service providers. Such third-party service providers have access to sensitive and personal data and other data about our billers, partners and employees, as well as consumers using our products and services to pay the bills of our billers, financial institutions and some of these providers in turn may subcontract with other third-party service providers. Our ability to monitor our third-party service providers’ data security is limited. There have been and may continue to be significant supply chain attacks, and we cannot guarantee that our or our third-party service providers’ software or systems have not been breached or compromised or that they do not contain exploitable defects or bugs that could result in a breach of or disruption to our systems or the systems of third parties that support us and our services. A vulnerability in our third-party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4" w:name="page45"/>
    <w:bookmarkEnd w:id="44"/>
    <w:p>
      <w:pPr>
        <w:spacing w:after="0" w:line="237" w:lineRule="auto"/>
        <w:rPr>
          <w:sz w:val="20"/>
          <w:szCs w:val="20"/>
          <w:color w:val="auto"/>
        </w:rPr>
      </w:pPr>
      <w:r>
        <w:rPr>
          <w:rFonts w:ascii="Arial" w:cs="Arial" w:eastAsia="Arial" w:hAnsi="Arial"/>
          <w:sz w:val="18"/>
          <w:szCs w:val="18"/>
          <w:color w:val="auto"/>
        </w:rPr>
        <w:t>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Techniques used to sabotage or obtain unauthorized access to systems are constantly evolving and our third-party service providers may face difficulties or delays in identifying breaches and compromises, and notifying us of any such breaches and compromises. This could cause us to face delays in responding to any such breach or compromise and providing any required notifications to consumers or other third parties.</w:t>
      </w:r>
    </w:p>
    <w:p>
      <w:pPr>
        <w:spacing w:after="0" w:line="97"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In addition, our financial institution strategic partners conduct regular audits of our cybersecurity program, and if any of them were to conclude that our systems and procedures are insufficiently rigorous, they could terminate their relationships with us, and our financial results and business would be adversely affected. Under our terms of service and our contracts with strategic partners, if there is a breach of payment information that we store, we could be liable to the partner for their losses and related expenses. Additionally, if our own confidential business information were improperly disclosed, our business could be materially and adversely affected. A core aspect of our business is the reliability and security of our platform. Any perceived or actual breach of security or security incident, regardless of how it occurs or the extent of the breach or incident, could have a significant impact on our reputation as a trusted brand, cause us to lose existing billers, financial institutions, partners and consumers, prevent us from obtaining new billers, financial institutions, partners and consumers, require us to expend significant funds to remedy problems caused by breaches and incidents and implement measures to prevent further breaches and incidents, and expose us to legal risk and potential liability including those resulting from governmental or regulatory investigations, class action litigation, indemnity obligations, damages for contract breach or penalties for violation of security obligations and costs associated with remediation, such as fraud monitoring and forensics, all of which could divert resources and attention of our management and key personnel away from our business operations and materially and adversely affect our business, operating results and financial condition. Any actual or perceived security breach or incident at a third-party service provider providing services to us or our billers, financial institutions, partners or consumers could have similar effects. Further, as the current COVID-19 pandemic continues to result in a significant number of people working from home, these cybersecurity risks may be heightened by an increased attack surface across our business and those of our partners and service providers. We cannot guarantee that our efforts, or the efforts of those upon whom we rely and partner with, will be successful in preventing any such information security incidents or protecting sensitive and personal data that they obtain and process on our behalf.</w:t>
      </w:r>
    </w:p>
    <w:p>
      <w:pPr>
        <w:spacing w:after="0" w:line="10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Federal, state and international regulations may require us or our billers, financial institutions or partners to notify governmental entities and individuals of data security incidents involving certain types of personal and sensitive data or information technology systems. Security compromises experienced by others in our industry, our billers, financial institutions or partners or their consumers, our third-party service providers or us may lead to public disclosures and widespread negative publicity. Any security compromise in our industry, whether actual or perceived, could erode consumer, biller, financial institution or partner confidence in the effectiveness of our security measures, negatively impact our ability to attract new billers, financial institutions, partners and consumers, cause existing billers, financial institutions, partners and consumers to elect not to renew or expand their use of our platform, services and products or subject us to third-party lawsuits, regulatory fines or other actions or liabilities, which could materially and adversely affect our business, operating results and financial condition.</w:t>
      </w:r>
    </w:p>
    <w:p>
      <w:pPr>
        <w:spacing w:after="0" w:line="100" w:lineRule="exact"/>
        <w:rPr>
          <w:sz w:val="20"/>
          <w:szCs w:val="20"/>
          <w:color w:val="auto"/>
        </w:rPr>
      </w:pPr>
    </w:p>
    <w:p>
      <w:pPr>
        <w:ind w:right="300" w:firstLine="494"/>
        <w:spacing w:after="0" w:line="236" w:lineRule="auto"/>
        <w:rPr>
          <w:sz w:val="20"/>
          <w:szCs w:val="20"/>
          <w:color w:val="auto"/>
        </w:rPr>
      </w:pPr>
      <w:r>
        <w:rPr>
          <w:rFonts w:ascii="Arial" w:cs="Arial" w:eastAsia="Arial" w:hAnsi="Arial"/>
          <w:sz w:val="18"/>
          <w:szCs w:val="18"/>
          <w:color w:val="auto"/>
        </w:rPr>
        <w:t>In addition, some of our billers, financial institutions and partners contractually require notification of data security compromises and include representations and warranties in their contracts with us that our platform, products and services comply with certain legal and technical standards related to data security and privacy and meet certain service levels. In our contracts, a data security compromise or operational disruption impacting us or one of our critical vendors, or system unavailability or damage due to other circumstances, may constitute a material breach and give rise to a biller’s, financial institution's or partner’s right to terminate their contract with us. In these circumstances, it may be difficult or impossible to cure such a breach in order to prevent billers, financial institutions or partners from potentially terminating their contracts with us. Furthermore, although our contracts typically include limitations on our potential liability, we cannot ensure that such limitations of liability would be adequate or apply to data security compromises.</w:t>
      </w:r>
    </w:p>
    <w:p>
      <w:pPr>
        <w:spacing w:after="0" w:line="100"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by any security breach or incident.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litigation to pursue claims under our insurance policies or the occurrence of changes in our insurance policies, including premium increases or the imposition of large deductible or co-insurance requirements, or denials of coverage, could have a material adverse effect on our business, reputation, operating results and financial condition.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240"/>
        <w:spacing w:after="0" w:line="271" w:lineRule="auto"/>
        <w:rPr>
          <w:sz w:val="20"/>
          <w:szCs w:val="20"/>
          <w:color w:val="auto"/>
        </w:rPr>
      </w:pPr>
      <w:r>
        <w:rPr>
          <w:rFonts w:ascii="Arial" w:cs="Arial" w:eastAsia="Arial" w:hAnsi="Arial"/>
          <w:sz w:val="18"/>
          <w:szCs w:val="18"/>
          <w:b w:val="1"/>
          <w:bCs w:val="1"/>
          <w:i w:val="1"/>
          <w:iCs w:val="1"/>
          <w:color w:val="auto"/>
        </w:rPr>
        <w:t>We may in the future become subject to or initiate intellectual property disputes, which are costly and time-consuming to defend against or pursue, and may subject us to significant liability and increased costs of doing business.</w:t>
      </w:r>
    </w:p>
    <w:p>
      <w:pPr>
        <w:spacing w:after="0" w:line="68"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We may in the future become subject to and involved in lawsuits, disputes, legal proceedings or claims to protect or enforce our intellectual property rights, and we may be subject to claims by third parties that we have infringed, misappropriated or otherwise violated their intellectual property. Even if we believe that particular intellectual property-related claims are without merit, litigation may be necessary to determine the scope and validity of intellectual property or proprietary rights of others or to protect or enforce our intellectual property rights. The ultimate outcome of any allegation is often uncertain and, regardless of the outcome, lawsuits, with or without merit, are time-consuming and expensive to resolve and they divert management’s time and attention and require us to, among other things, redesign or stop providing our products or services, pay substantial amounts to satisfy judgments or settle claims or lawsuits, pay substantial royalty or licensing fees, or satisfy indemnification obligations that we have with certain parties with whom we have commercial relationships. Although we carry insurance, our insurance may not cover potential claims of this type or may not be adequate to indemnify us for all liability that may be imposed. We cannot predict the outcome of lawsuits and cannot assure you that the results of any such actions will not have an adverse effect on our business, operating results or financial condition.</w:t>
      </w:r>
    </w:p>
    <w:p>
      <w:pPr>
        <w:spacing w:after="0" w:line="97"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The software industry is characterized by the existence of many patents, copyrights, trademarks, trade secrets and other intellectual property rights. Companies in the software industry are often required to defend against litigation claims based on allegations of infringement or other violations of intellectual property rights. Our technologies may not be able to withstand any third-party claims against their use. We could also face trade name or trademark or service mark infringement claims brought by owners of other registered or unregistered trademarks or service marks, including trademarks or service marks that may incorporate variations of our brand names. Any claims related to our intellectual property or biller, financial institution or consumer confusion related to our marketplace could damage our reputation and adversely affect our growth prospects. In addition, many companies have the capability to dedicate substantially greater resources to enforce their intellectual property rights and to defend claims that may be brought against them than we do. Any litigation may also involve patent holding companies or other adverse patent owners that have no relevant product revenue, and therefore, our patents may provide little or no deterrence as we would not be able to assert them against such entities or individuals.</w:t>
      </w:r>
    </w:p>
    <w:p>
      <w:pPr>
        <w:spacing w:after="0" w:line="98"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If a third party is able to obtain an injunction preventing us from accessing such third-party’s intellectual property rights, or if we cannot license or develop alternative technology for any infringing aspect of our business, we would be forced to limit or stop sales of our products or cease business activities related to such intellectual property. Any inability to license third-party technology in the future would have an adverse effect on our business or operating results and would adversely affect our ability to compete.</w:t>
      </w:r>
    </w:p>
    <w:p>
      <w:pPr>
        <w:spacing w:after="0" w:line="97"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We also are, and may in the future become, contractually obligated to indemnify our billers, financial institutions and partners in the event of infringement, misappropriation or other violation of a third party’s intellectual property rights. Responding to such claims, regardless of their merit, can be time-consuming, costly to defend and damaging to our reputation and brand.</w:t>
      </w:r>
    </w:p>
    <w:p>
      <w:pPr>
        <w:spacing w:after="0" w:line="181"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i w:val="1"/>
          <w:iCs w:val="1"/>
          <w:color w:val="auto"/>
        </w:rPr>
        <w:t>Our business and platform depend in part on intellectual property and proprietary rights and technology licensed from or otherwise made available to us by third parties.</w:t>
      </w:r>
    </w:p>
    <w:p>
      <w:pPr>
        <w:spacing w:after="0" w:line="68" w:lineRule="exact"/>
        <w:rPr>
          <w:sz w:val="20"/>
          <w:szCs w:val="20"/>
          <w:color w:val="auto"/>
        </w:rPr>
      </w:pPr>
    </w:p>
    <w:p>
      <w:pPr>
        <w:ind w:right="20" w:firstLine="494"/>
        <w:spacing w:after="0" w:line="251" w:lineRule="auto"/>
        <w:rPr>
          <w:sz w:val="20"/>
          <w:szCs w:val="20"/>
          <w:color w:val="auto"/>
        </w:rPr>
      </w:pPr>
      <w:r>
        <w:rPr>
          <w:rFonts w:ascii="Arial" w:cs="Arial" w:eastAsia="Arial" w:hAnsi="Arial"/>
          <w:sz w:val="17"/>
          <w:szCs w:val="17"/>
          <w:color w:val="auto"/>
        </w:rPr>
        <w:t>Much of our business and our platform rely on key technologies developed or licensed by third parties. These third-party software components may become obsolete, defective or incompatible with future versions of our services, relationships with the third-party licensors or technology providers may deteriorate, or our agreements with the third-party licensors or technology providers may expire or be terminated. Additionally, some of these licenses or other grants of rights may not be available to us in the future on terms that are acceptable, or at all, or that allow our platform, products and services to remain competitive. Our inability to obtain licenses or rights on favorable terms could have a material and adverse effect on our business and results of operations. Furthermore, incorporating intellectual property or proprietary rights licensed from or otherwise made available to us by third parties on a non-exclusive basis in our products or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91" w:lineRule="exact"/>
        <w:rPr>
          <w:sz w:val="20"/>
          <w:szCs w:val="20"/>
          <w:color w:val="auto"/>
        </w:rPr>
      </w:pPr>
    </w:p>
    <w:p>
      <w:pPr>
        <w:ind w:right="40" w:firstLine="494"/>
        <w:spacing w:after="0" w:line="234" w:lineRule="auto"/>
        <w:rPr>
          <w:sz w:val="20"/>
          <w:szCs w:val="20"/>
          <w:color w:val="auto"/>
        </w:rPr>
      </w:pPr>
      <w:r>
        <w:rPr>
          <w:rFonts w:ascii="Arial" w:cs="Arial" w:eastAsia="Arial" w:hAnsi="Arial"/>
          <w:sz w:val="18"/>
          <w:szCs w:val="18"/>
          <w:color w:val="auto"/>
        </w:rPr>
        <w:t>We believe we have all the necessary licenses and other grants of rights from third parties to use technology and software that we do not own. A third party could, however, allege that we are infringing its rights, which may deter our ability to obtain licenses or other grants of rights on commercially reasonable terms from the third party, if at all, or cause the third party to commence litigation against us. Our failure to obtain necessary licenses or other rights, or litigation or claims arising out of intellectual property matters, may harm or restrict our business. Even if we were able to obtain a license or other grant of rights, it could be non-exclusive, thereby giving our competitors and other third parties access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6" w:name="page47"/>
    <w:bookmarkEnd w:id="46"/>
    <w:p>
      <w:pPr>
        <w:ind w:right="80"/>
        <w:spacing w:after="0" w:line="238" w:lineRule="auto"/>
        <w:rPr>
          <w:sz w:val="20"/>
          <w:szCs w:val="20"/>
          <w:color w:val="auto"/>
        </w:rPr>
      </w:pPr>
      <w:r>
        <w:rPr>
          <w:rFonts w:ascii="Arial" w:cs="Arial" w:eastAsia="Arial" w:hAnsi="Arial"/>
          <w:sz w:val="18"/>
          <w:szCs w:val="18"/>
          <w:color w:val="auto"/>
        </w:rPr>
        <w:t>the same technologies licensed to or otherwise made available to us. In addition, we could be found liable for significant monetary damages, including treble damages and attorneys’ fees, if we are found to have willfully infringed a patent or other intellectual property right. Any such litigation or the failure to obtain any necessary licenses or other rights could adversely impact our business, financial position, results of operations and liquidity.</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steeply or suddenly regardless of our operating performance, and we may not be able to meet investor or analyst expectations.</w:t>
      </w:r>
    </w:p>
    <w:p>
      <w:pPr>
        <w:spacing w:after="0" w:line="68" w:lineRule="exact"/>
        <w:rPr>
          <w:sz w:val="20"/>
          <w:szCs w:val="20"/>
          <w:color w:val="auto"/>
        </w:rPr>
      </w:pPr>
    </w:p>
    <w:p>
      <w:pPr>
        <w:ind w:right="180" w:firstLine="494"/>
        <w:spacing w:after="0" w:line="238" w:lineRule="auto"/>
        <w:rPr>
          <w:sz w:val="20"/>
          <w:szCs w:val="20"/>
          <w:color w:val="auto"/>
        </w:rPr>
      </w:pPr>
      <w:r>
        <w:rPr>
          <w:rFonts w:ascii="Arial" w:cs="Arial" w:eastAsia="Arial" w:hAnsi="Arial"/>
          <w:sz w:val="18"/>
          <w:szCs w:val="18"/>
          <w:color w:val="auto"/>
        </w:rPr>
        <w:t>The market price of our Class A common stock has, and may continue to, fluctuate or decline significantly in response to numerous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97" w:lineRule="exact"/>
        <w:rPr>
          <w:sz w:val="20"/>
          <w:szCs w:val="20"/>
          <w:color w:val="auto"/>
        </w:rPr>
      </w:pPr>
    </w:p>
    <w:p>
      <w:pPr>
        <w:ind w:left="10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continued impact of the COVID-19 pandemic, including but not limited to market volatility and economic disruption caused by the pandemic;</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1020" w:right="88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88"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88"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88" w:lineRule="exact"/>
        <w:rPr>
          <w:rFonts w:ascii="Arial" w:cs="Arial" w:eastAsia="Arial" w:hAnsi="Arial"/>
          <w:sz w:val="18"/>
          <w:szCs w:val="18"/>
          <w:color w:val="auto"/>
        </w:rPr>
      </w:pPr>
    </w:p>
    <w:p>
      <w:pPr>
        <w:ind w:left="1020" w:right="6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AKKR and our founder and chief executive officer;</w:t>
      </w:r>
    </w:p>
    <w:p>
      <w:pPr>
        <w:spacing w:after="0" w:line="88" w:lineRule="exact"/>
        <w:rPr>
          <w:rFonts w:ascii="Arial" w:cs="Arial" w:eastAsia="Arial" w:hAnsi="Arial"/>
          <w:sz w:val="18"/>
          <w:szCs w:val="18"/>
          <w:color w:val="auto"/>
        </w:rPr>
      </w:pPr>
    </w:p>
    <w:p>
      <w:pPr>
        <w:ind w:left="1020" w:right="1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including if existing stockholders sell shares into the market;</w:t>
      </w:r>
    </w:p>
    <w:p>
      <w:pPr>
        <w:spacing w:after="0" w:line="88" w:lineRule="exact"/>
        <w:rPr>
          <w:rFonts w:ascii="Arial" w:cs="Arial" w:eastAsia="Arial" w:hAnsi="Arial"/>
          <w:sz w:val="18"/>
          <w:szCs w:val="18"/>
          <w:color w:val="auto"/>
        </w:rPr>
      </w:pPr>
    </w:p>
    <w:p>
      <w:pPr>
        <w:ind w:left="1020" w:right="66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03"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trading patterns or the economy as a whole;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lawsuits, claims or investigations threatened, filed or initiated against us;</w:t>
      </w:r>
    </w:p>
    <w:p>
      <w:pPr>
        <w:spacing w:after="0" w:line="103" w:lineRule="exact"/>
        <w:rPr>
          <w:rFonts w:ascii="Arial" w:cs="Arial" w:eastAsia="Arial" w:hAnsi="Arial"/>
          <w:sz w:val="18"/>
          <w:szCs w:val="18"/>
          <w:color w:val="auto"/>
        </w:rPr>
      </w:pPr>
    </w:p>
    <w:p>
      <w:pPr>
        <w:ind w:left="1020" w:right="64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or incidents of terrorism, or responses to these events.</w:t>
      </w:r>
    </w:p>
    <w:p>
      <w:pPr>
        <w:spacing w:after="0" w:line="104" w:lineRule="exact"/>
        <w:rPr>
          <w:sz w:val="20"/>
          <w:szCs w:val="20"/>
          <w:color w:val="auto"/>
        </w:rPr>
      </w:pPr>
    </w:p>
    <w:p>
      <w:pPr>
        <w:ind w:right="160" w:firstLine="494"/>
        <w:spacing w:after="0" w:line="238" w:lineRule="auto"/>
        <w:rPr>
          <w:sz w:val="20"/>
          <w:szCs w:val="20"/>
          <w:color w:val="auto"/>
        </w:rPr>
      </w:pPr>
      <w:r>
        <w:rPr>
          <w:rFonts w:ascii="Arial" w:cs="Arial" w:eastAsia="Arial" w:hAnsi="Arial"/>
          <w:sz w:val="18"/>
          <w:szCs w:val="18"/>
          <w:color w:val="auto"/>
        </w:rPr>
        <w:t>In addition, extreme price and volume fluctuations in the stock markets have affected and continue to affect many other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94"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Future sales of shares, or the perception that such sales could occur, could cause our stock price to decline.</w:t>
      </w:r>
    </w:p>
    <w:p>
      <w:pPr>
        <w:spacing w:after="0" w:line="126"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Sales of a substantial number of shares of our Class A common stock, particularly sales by our directors, executive officers and principal stockholders, or the perception that such sales may occur could cause the market price of our Class A common stock to fall or make it more difficult for you to sell your Class A common stock at a time and price that you deem appropriate.</w:t>
      </w:r>
    </w:p>
    <w:p>
      <w:pPr>
        <w:spacing w:after="0" w:line="9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As of December 31, 2021, we had 17,251,079 shares of Class A common stock and 103,388,082 shares of Class B common stock issued and outstanding.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97"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In addition, 512,637 shares of Class A common stock and 6,848,660 shares of Class B common stock were subject to outstanding equity awards as of December 31, 2021. We have registered the offer and sale of all shares of Class A common stock and Class B common stock subject to equity awards outstanding and reserved for issuance under our 2012 Equity Incentive Plan and 2021 Equity Incentive Plan. The shares covered by that registration statement are eligible for resale in the public markets, subject to Rule 144 limitations applicable to affiliates. If these additional shares are sold, or if it is perceived that they will be sold in the public market, the market price of our Class A common stock could decline.</w:t>
      </w:r>
    </w:p>
    <w:p>
      <w:pPr>
        <w:spacing w:after="0" w:line="97" w:lineRule="exact"/>
        <w:rPr>
          <w:sz w:val="20"/>
          <w:szCs w:val="20"/>
          <w:color w:val="auto"/>
        </w:rPr>
      </w:pPr>
    </w:p>
    <w:p>
      <w:pPr>
        <w:jc w:val="both"/>
        <w:ind w:right="140" w:firstLine="494"/>
        <w:spacing w:after="0"/>
        <w:rPr>
          <w:sz w:val="20"/>
          <w:szCs w:val="20"/>
          <w:color w:val="auto"/>
        </w:rPr>
      </w:pPr>
      <w:r>
        <w:rPr>
          <w:rFonts w:ascii="Arial" w:cs="Arial" w:eastAsia="Arial" w:hAnsi="Arial"/>
          <w:sz w:val="18"/>
          <w:szCs w:val="18"/>
          <w:color w:val="auto"/>
        </w:rPr>
        <w:t>Furthermore, up to 509,370 shares of Class A common stock may be issuable pursuant to a warrant agreement with JPMC Strategic Investments I Corporation. These shares will become eligible for sale in the public market to the extent permitted by the vesting terms of the warrant, and Rules 144 and 701 of the Securities Act.</w:t>
      </w:r>
    </w:p>
    <w:p>
      <w:pPr>
        <w:spacing w:after="0" w:line="9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As of December 31, 2021, the holders of approximately 107 million shares of our Class A common stock and Class B common stock, or certain permitted transferees, are entitled to require us to file registration statements for the public resale of the shares of Class A common stock, including shares issuable upon conversion of their shares of Class B common stock, or to include such shares in registration statements that we may file, subject to certain conditions. If we register the offer and sale of shares for the holders of registration rights, those shares can be freely sold in the public market upon registration.</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The dual class structure of our common stock and our stockholders agreement have the effect of concentrating voting control with AKKR and our founder and chief executive officer, which limits or precludes your ability to influence corporate matters for the foreseeable future and may depress the market price of our Class A common stock.</w:t>
      </w:r>
    </w:p>
    <w:p>
      <w:pPr>
        <w:spacing w:after="0" w:line="83"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Because of the ten-to-one voting ratio between our Class B common stock and Class A common stock, AKKR and our founder and chief executive officer, collectively controlled approximately 97.6% of the voting power of our outstanding common stock as of December 31, 2021 and therefore are able to control all matters submitted to our stockholders and will continue to control such matters so long as the shares of Class B common stock represent at least 9.1% of all outstanding shares of our Class A common stock and Class B common stock, including the election of directors, amendments of our organizational documents, compensation matters and any merger, consolidation, sale of all or substantially all of our assets, or other major corporate transaction requiring stockholder approval. This concentrated control will limit or preclude your ability to influence corporate matters for the foreseeable future.</w:t>
      </w:r>
    </w:p>
    <w:p>
      <w:pPr>
        <w:spacing w:after="0" w:line="100"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Further, the stockholders agreement we have entered into with AKKR provides that, for so long as AKKR or certain of its permitted transferees hold more of our outstanding common stock than Mr. Sharma and certain of his affiliates, AKKR has the right to nominate (x) five directors to our board of directors for so long as AKKR beneficially owns at least 10% of our outstanding common stock and (y) two directors to our board of directors for so long as AKKR beneficially owns at least 5% but less than 10% of our outstanding common stock. Moreover, after such time as AKKR ceases to hold more of our outstanding common stock than Mr. Sharma and certain of his affiliates, AKKR will continue to have the right to nominate two directors to our board of directors until such time as AKKR ceases to beneficially own at least 5% of our outstanding common stock.</w:t>
      </w:r>
    </w:p>
    <w:p>
      <w:pPr>
        <w:spacing w:after="0" w:line="95"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transfers to affiliates, members or partners of AKKR and transfers for estate planning purposes so long as the transferring holder retains exclusive voting and dispositive power with respect to the shares transferred. The conversion of Class B common stock to Class A common stock will have the effect, over time, of increasing the relative voting power of those holders of Class B common stock who retain their shares in the long term.</w:t>
      </w:r>
    </w:p>
    <w:p>
      <w:pPr>
        <w:spacing w:after="0" w:line="94" w:lineRule="exact"/>
        <w:rPr>
          <w:sz w:val="20"/>
          <w:szCs w:val="20"/>
          <w:color w:val="auto"/>
        </w:rPr>
      </w:pPr>
    </w:p>
    <w:p>
      <w:pPr>
        <w:ind w:right="200" w:firstLine="494"/>
        <w:spacing w:after="0" w:line="234" w:lineRule="auto"/>
        <w:rPr>
          <w:sz w:val="20"/>
          <w:szCs w:val="20"/>
          <w:color w:val="auto"/>
        </w:rPr>
      </w:pPr>
      <w:r>
        <w:rPr>
          <w:rFonts w:ascii="Arial" w:cs="Arial" w:eastAsia="Arial" w:hAnsi="Arial"/>
          <w:sz w:val="18"/>
          <w:szCs w:val="18"/>
          <w:color w:val="auto"/>
        </w:rPr>
        <w:t>In addition, certain index providers have implemented restrictions on including companies with multiple-class share structures in certain of their indices. The FTSE Russell requires new constituents of its indices to have greater than 5% of the company’s voting rights in the hands of public stockholders, and S&amp;P Dow Jones does not admit companies with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8" w:name="page49"/>
    <w:bookmarkEnd w:id="48"/>
    <w:p>
      <w:pPr>
        <w:spacing w:after="0" w:line="253" w:lineRule="auto"/>
        <w:rPr>
          <w:sz w:val="20"/>
          <w:szCs w:val="20"/>
          <w:color w:val="auto"/>
        </w:rPr>
      </w:pPr>
      <w:r>
        <w:rPr>
          <w:rFonts w:ascii="Arial" w:cs="Arial" w:eastAsia="Arial" w:hAnsi="Arial"/>
          <w:sz w:val="17"/>
          <w:szCs w:val="17"/>
          <w:color w:val="auto"/>
        </w:rPr>
        <w:t>multiple-class share structures to certain of its indices. Affected indices include the Russell 2000 and the S&amp;P 500, S&amp;P MidCap 400 and S&amp;P SmallCap 600, which together make up the S&amp;P Composite 1500. The dual class structure of our common stock makes us ineligible for inclusion in these indices and we cannot assure you that other stock indices will not take similar actions. It is unclear what effect, if any, these policies have on the valuations of publicly traded companies excluded from such indices, but it is possible that they may depress valuations, as compared to similar companies that are included. Further, given the sustained flow of investment funds into passive strategies that seek to track certain indices, exclusion from certain stock indices will likely preclude investment by many of these funds and could make our Class A common stock less attractive to other investors. As a result, the market price of our Class A common stock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AKKR controls us and its interests may conflict with ours or yours in the future.</w:t>
      </w:r>
    </w:p>
    <w:p>
      <w:pPr>
        <w:spacing w:after="0" w:line="126" w:lineRule="exact"/>
        <w:rPr>
          <w:sz w:val="20"/>
          <w:szCs w:val="20"/>
          <w:color w:val="auto"/>
        </w:rPr>
      </w:pPr>
    </w:p>
    <w:p>
      <w:pPr>
        <w:ind w:right="260" w:firstLine="494"/>
        <w:spacing w:after="0" w:line="238" w:lineRule="auto"/>
        <w:rPr>
          <w:sz w:val="20"/>
          <w:szCs w:val="20"/>
          <w:color w:val="auto"/>
        </w:rPr>
      </w:pPr>
      <w:r>
        <w:rPr>
          <w:rFonts w:ascii="Arial" w:cs="Arial" w:eastAsia="Arial" w:hAnsi="Arial"/>
          <w:sz w:val="18"/>
          <w:szCs w:val="18"/>
          <w:color w:val="auto"/>
        </w:rPr>
        <w:t>As of December 31, 2021, AKKR controlled approximately 79.2% of the voting power of our outstanding common stock. As a result, AKKR has the ability to elect all of the members of our board of directors and thereby control our policies and operations, including the appointment of management, future issuances of our Class A common stock or other securities, the payment of dividends, if any, on our Class A common stock, the incurrence of debt by us, amendments to our certificate of incorporation and bylaws, and the entering into extraordinary transactions, and the interests of AKKR may not in all cases be aligned with our or your interests.</w:t>
      </w:r>
    </w:p>
    <w:p>
      <w:pPr>
        <w:spacing w:after="0" w:line="94" w:lineRule="exact"/>
        <w:rPr>
          <w:sz w:val="20"/>
          <w:szCs w:val="20"/>
          <w:color w:val="auto"/>
        </w:rPr>
      </w:pPr>
    </w:p>
    <w:p>
      <w:pPr>
        <w:ind w:right="200" w:firstLine="494"/>
        <w:spacing w:after="0" w:line="237" w:lineRule="auto"/>
        <w:rPr>
          <w:sz w:val="20"/>
          <w:szCs w:val="20"/>
          <w:color w:val="auto"/>
        </w:rPr>
      </w:pPr>
      <w:r>
        <w:rPr>
          <w:rFonts w:ascii="Arial" w:cs="Arial" w:eastAsia="Arial" w:hAnsi="Arial"/>
          <w:sz w:val="18"/>
          <w:szCs w:val="18"/>
          <w:color w:val="auto"/>
        </w:rPr>
        <w:t>AKKR may have an interest in pursuing acquisitions, divestitures and other transactions that, in its judgment, could enhance its investment in us, even though such transactions might involve risks to you. For example, AKKR could cause us to make acquisitions that increase our indebtedness or cause us to sell revenue-generating assets. Moreover, AKKR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Class A common stock as part of a sale of our company and ultimately might affect the market price of our Class A common stock.</w:t>
      </w:r>
    </w:p>
    <w:p>
      <w:pPr>
        <w:spacing w:after="0" w:line="95"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So long as AKKR continues to beneficially own a sufficient number of shares of Class B common stock, even if it beneficially owns significantly less than 50% of the shares of our outstanding common stock, it will continue to be able to effectively control our decisions. For example, if our Class B common stock amounted to 15% of our outstanding common stock, beneficial owners of our Class B common stock (including AKKR), would collectively control approximately 64% of the voting power of our common stock. Moreover, AKKR will continue to have the right to nominate directors to our board of directors under our stockholders agreement for so long as AKKR beneficially owns at least 5% of our outstanding common stock.</w:t>
      </w:r>
    </w:p>
    <w:p>
      <w:pPr>
        <w:spacing w:after="0" w:line="183"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b w:val="1"/>
          <w:bCs w:val="1"/>
          <w:i w:val="1"/>
          <w:iCs w:val="1"/>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88"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AKKR, our controlling stockholder, is in the business of making investments in companies and may from time to time acquire and hold interests in businesses that compete directly or indirectly with us or that would be complementary to our business if we acquired them. Our certificate of incorporation provides that, to the fullest extent permitted by law, none of AKKR or its affiliates, or any of their respective directors, partners, principals, officers, members, managers or employees, including any of the foregoing who serve as our officers or directors (all of whom we refer to as the “Exempted Persons”), has any duty to refrain from engaging directly or indirectly in the same or similar business activities or lines of business as us or any of our affiliates. In addition, to the fullest extent permitted by law, in the event that any Exempted Person is presented with a business opportunity, even if the opportunity is one that we or our affiliates might reasonably be deemed to have pursued or had the ability or desire to pursue if granted the opportunity to do so, such Exempted Person has no duty to communicate or offer such business opportunity to us or any of our affiliates. No Exempted Person will be liable to us, any of our affiliates or our stockholders for breach of any fiduciary or other duty, solely by reason of the fact that any such Exempted Person pursues or acquires such business opportunity, sells, assigns, transfers or directs such business opportunity to another person or fails to present such business opportunity, or information regarding such business opportunity, to us or any of our affiliates. These provisions could create conflicts of interest and have a material adverse effect on our business, results of operations, financial condition and prospects if attractive business opportunities are allocated by AKKR or another Exempted Person to itself, its affiliates or third parties instead of to us.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jc w:val="both"/>
        <w:ind w:right="140"/>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market price or trading volume of our Class A common stock could decline.</w:t>
      </w:r>
    </w:p>
    <w:p>
      <w:pPr>
        <w:spacing w:after="0" w:line="83"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The trading market for our Class A common stock will be influenced in part by the research and reports that securities or industry analysts may publish about us, our business, our market or our competitors. If one or more of the analysts initiate research with an unfavorable rating or downgrade our Class A common stock, provide a more favorable recommendation about our competitors or publish inaccurate or unfavorable research about our business, our Class A common stock price would likely decline. If any analyst who may cover us were to cease coverage of us or fail to regularly publish reports on us, we could lose visibility in the financial markets, which in turn could cause the market price or trading volume of our Class A common stock to decline.</w:t>
      </w:r>
    </w:p>
    <w:p>
      <w:pPr>
        <w:spacing w:after="0" w:line="183"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4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95" w:lineRule="exact"/>
        <w:rPr>
          <w:sz w:val="20"/>
          <w:szCs w:val="20"/>
          <w:color w:val="auto"/>
        </w:rPr>
      </w:pPr>
    </w:p>
    <w:p>
      <w:pPr>
        <w:ind w:left="1020" w:right="6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exemption from the requirement to have our registered independent public accounting firm attest to management’s assessment of our internal control over financial reporting;</w:t>
      </w:r>
    </w:p>
    <w:p>
      <w:pPr>
        <w:spacing w:after="0" w:line="88" w:lineRule="exact"/>
        <w:rPr>
          <w:rFonts w:ascii="Arial" w:cs="Arial" w:eastAsia="Arial" w:hAnsi="Arial"/>
          <w:sz w:val="18"/>
          <w:szCs w:val="18"/>
          <w:color w:val="auto"/>
        </w:rPr>
      </w:pPr>
    </w:p>
    <w:p>
      <w:pPr>
        <w:ind w:left="1020" w:right="40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exemption from compliance with the requirement of the PCAOB regarding the communication of critical audit matters in the auditor’s report on the financial statements;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03" w:lineRule="exact"/>
        <w:rPr>
          <w:rFonts w:ascii="Arial" w:cs="Arial" w:eastAsia="Arial" w:hAnsi="Arial"/>
          <w:sz w:val="18"/>
          <w:szCs w:val="18"/>
          <w:color w:val="auto"/>
        </w:rPr>
      </w:pPr>
    </w:p>
    <w:p>
      <w:pPr>
        <w:ind w:left="1020" w:right="96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exemption from the requirement to hold non-binding advisory votes on executive compensation or golden parachute arrangements.</w:t>
      </w:r>
    </w:p>
    <w:p>
      <w:pPr>
        <w:spacing w:after="0" w:line="89" w:lineRule="exact"/>
        <w:rPr>
          <w:sz w:val="20"/>
          <w:szCs w:val="20"/>
          <w:color w:val="auto"/>
        </w:rPr>
      </w:pPr>
    </w:p>
    <w:p>
      <w:pPr>
        <w:ind w:right="180" w:firstLine="494"/>
        <w:spacing w:after="0" w:line="237" w:lineRule="auto"/>
        <w:rPr>
          <w:sz w:val="20"/>
          <w:szCs w:val="20"/>
          <w:color w:val="auto"/>
        </w:rPr>
      </w:pPr>
      <w:r>
        <w:rPr>
          <w:rFonts w:ascii="Arial" w:cs="Arial" w:eastAsia="Arial" w:hAnsi="Arial"/>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status as an emerging growth company will end as soon as any of the following takes place:</w:t>
      </w:r>
    </w:p>
    <w:p>
      <w:pPr>
        <w:spacing w:after="0" w:line="104"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last day of the fiscal year in which we have at least $1.07 billion in annual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104"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We have elected to take advantage of the “controlled company” exemption to the corporate governance rules for New York Stock Exchange-listed companies, which could make our Class A common stock less attractive to some investors or otherwise harm our stock price.</w:t>
      </w:r>
    </w:p>
    <w:p>
      <w:pPr>
        <w:spacing w:after="0" w:line="83" w:lineRule="exact"/>
        <w:rPr>
          <w:sz w:val="20"/>
          <w:szCs w:val="20"/>
          <w:color w:val="auto"/>
        </w:rPr>
      </w:pPr>
    </w:p>
    <w:p>
      <w:pPr>
        <w:ind w:right="60" w:firstLine="494"/>
        <w:spacing w:after="0" w:line="234" w:lineRule="auto"/>
        <w:rPr>
          <w:sz w:val="20"/>
          <w:szCs w:val="20"/>
          <w:color w:val="auto"/>
        </w:rPr>
      </w:pPr>
      <w:r>
        <w:rPr>
          <w:rFonts w:ascii="Arial" w:cs="Arial" w:eastAsia="Arial" w:hAnsi="Arial"/>
          <w:sz w:val="18"/>
          <w:szCs w:val="18"/>
          <w:color w:val="auto"/>
        </w:rPr>
        <w:t>AKKR controls a majority of the voting power of our outstanding common stock. Because we qualify as a “controlled company” under the corporate governance rules for New York Stock Exchange-listed companies, we are not required to have a majority of our board of directors be independent, nor are we required to have an independent compensation committee or an independent nominating function. In light of our status as a controlled company, in the future we could elect not to have a majority of our board of directors be independent or not to have an independent compensation committee or nominating and corporate governance committee. Accordingly, should the interests of our management and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50" w:name="page51"/>
    <w:bookmarkEnd w:id="50"/>
    <w:p>
      <w:pPr>
        <w:jc w:val="both"/>
        <w:ind w:right="760"/>
        <w:spacing w:after="0"/>
        <w:rPr>
          <w:sz w:val="20"/>
          <w:szCs w:val="20"/>
          <w:color w:val="auto"/>
        </w:rPr>
      </w:pPr>
      <w:r>
        <w:rPr>
          <w:rFonts w:ascii="Arial" w:cs="Arial" w:eastAsia="Arial" w:hAnsi="Arial"/>
          <w:sz w:val="18"/>
          <w:szCs w:val="18"/>
          <w:color w:val="auto"/>
        </w:rPr>
        <w:t>AKKR differ from those of other stockholders, the other stockholders may not have the same protections afforded to stockholders of companies that are subject to all of the corporate governance rules for New York Stock Exchange-listed companies. Our status as a controlled company could make our Class A common stock less attractive to some investors or otherwise harm our stock price.</w:t>
      </w:r>
    </w:p>
    <w:p>
      <w:pPr>
        <w:spacing w:after="0" w:line="18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Future securities issuances could result in significant dilution to our stockholders and impair the market price of our Class A common stock.</w:t>
      </w:r>
    </w:p>
    <w:p>
      <w:pPr>
        <w:spacing w:after="0" w:line="68"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Future issuances of shares of our Class A common stock, including in connection with acquisitions, or the conversion of a substantial number of shares of our Class B common stock, or the perception that these sales or conversions may occur, could depress the market price of our Class A common stock and result in dilution to existing holders of our Class A common stock. Also, to the extent outstanding options to purchase shares of our Class B common stock are exercised or options or other equity-based awards are issued or become vested, there will be further dilution. The amount of dilution could be substantial depending upon the size of the issuances or exercises. Furthermore, we may issue additional equity securities that could have rights senior to those of our Class A common stock.</w:t>
      </w:r>
    </w:p>
    <w:p>
      <w:pPr>
        <w:spacing w:after="0" w:line="18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Washington law could make an acquisition of us difficult, limit attempts by our stockholders to replace or remove our current management and depress the market price of our Class A common stock.</w:t>
      </w:r>
    </w:p>
    <w:p>
      <w:pPr>
        <w:spacing w:after="0" w:line="83"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In addition to AKKR controlling a substantial majority of the voting power of our outstanding common stock, our certificate of incorporation and bylaws contain provisions that could depress the market price of our Class A common stock by acting to discourage, delay or prevent a change of control of our company or changes in our management that the stockholders of our company may deem advantageous. Among other things, these provisions provide that:</w:t>
      </w:r>
    </w:p>
    <w:p>
      <w:pPr>
        <w:spacing w:after="0" w:line="97"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dual class common stock structure, with differing voting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the board of directors;</w:t>
      </w:r>
    </w:p>
    <w:p>
      <w:pPr>
        <w:spacing w:after="0" w:line="103" w:lineRule="exact"/>
        <w:rPr>
          <w:rFonts w:ascii="Arial" w:cs="Arial" w:eastAsia="Arial" w:hAnsi="Arial"/>
          <w:sz w:val="18"/>
          <w:szCs w:val="18"/>
          <w:color w:val="auto"/>
        </w:rPr>
      </w:pPr>
    </w:p>
    <w:p>
      <w:pPr>
        <w:ind w:left="1020" w:right="56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vacancies on the board of directors and any newly created directorships may only be filled by the affirmative vote of a majority of directors then in office, even if less than a quorum;</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each of which stands for election once every three years;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no cumulative voting;</w:t>
      </w:r>
    </w:p>
    <w:p>
      <w:pPr>
        <w:spacing w:after="0" w:line="103" w:lineRule="exact"/>
        <w:rPr>
          <w:rFonts w:ascii="Arial" w:cs="Arial" w:eastAsia="Arial" w:hAnsi="Arial"/>
          <w:sz w:val="18"/>
          <w:szCs w:val="18"/>
          <w:color w:val="auto"/>
        </w:rPr>
      </w:pPr>
    </w:p>
    <w:p>
      <w:pPr>
        <w:ind w:left="1020" w:right="16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of directors may issue “blank check” preferred stock that our board of directors could use to implement a stockholder rights plan;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of directors may adopt, alter or repeal our bylaws;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forum for certain litigation against us is restricted to Delaware; and</w:t>
      </w:r>
    </w:p>
    <w:p>
      <w:pPr>
        <w:spacing w:after="0" w:line="103" w:lineRule="exact"/>
        <w:rPr>
          <w:rFonts w:ascii="Arial" w:cs="Arial" w:eastAsia="Arial" w:hAnsi="Arial"/>
          <w:sz w:val="18"/>
          <w:szCs w:val="18"/>
          <w:color w:val="auto"/>
        </w:rPr>
      </w:pPr>
    </w:p>
    <w:p>
      <w:pPr>
        <w:ind w:left="1020" w:right="16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95" w:lineRule="exact"/>
        <w:rPr>
          <w:sz w:val="20"/>
          <w:szCs w:val="20"/>
          <w:color w:val="auto"/>
        </w:rPr>
      </w:pPr>
    </w:p>
    <w:p>
      <w:pPr>
        <w:ind w:right="540" w:firstLine="494"/>
        <w:spacing w:after="0" w:line="246" w:lineRule="auto"/>
        <w:rPr>
          <w:sz w:val="20"/>
          <w:szCs w:val="20"/>
          <w:color w:val="auto"/>
        </w:rPr>
      </w:pPr>
      <w:r>
        <w:rPr>
          <w:rFonts w:ascii="Arial" w:cs="Arial" w:eastAsia="Arial" w:hAnsi="Arial"/>
          <w:sz w:val="18"/>
          <w:szCs w:val="18"/>
          <w:color w:val="auto"/>
        </w:rPr>
        <w:t>Additional provisions will become effective on such date when AKKR and its affiliates cease to beneficially own in the aggregate, directly or indirectly, at least 50% of the voting power of our capital stock, which, among other things, provide that:</w:t>
      </w:r>
    </w:p>
    <w:p>
      <w:pPr>
        <w:spacing w:after="0" w:line="89"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may not call special meetings of stockholders or act by written consent;</w:t>
      </w:r>
    </w:p>
    <w:p>
      <w:pPr>
        <w:spacing w:after="0" w:line="103"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directors may only be removed from office for cause and with the affirmative vote of at least a majority of the voting power of our outstanding capital stock;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amending certain provisions of our certificate of incorporation and bylaws will be subject to super-majority voting thresholds.</w:t>
      </w:r>
    </w:p>
    <w:p>
      <w:pPr>
        <w:spacing w:after="0" w:line="104" w:lineRule="exact"/>
        <w:rPr>
          <w:sz w:val="20"/>
          <w:szCs w:val="20"/>
          <w:color w:val="auto"/>
        </w:rPr>
      </w:pPr>
    </w:p>
    <w:p>
      <w:pPr>
        <w:ind w:right="300" w:firstLine="494"/>
        <w:spacing w:after="0" w:line="255" w:lineRule="auto"/>
        <w:rPr>
          <w:sz w:val="20"/>
          <w:szCs w:val="20"/>
          <w:color w:val="auto"/>
        </w:rPr>
      </w:pPr>
      <w:r>
        <w:rPr>
          <w:rFonts w:ascii="Arial" w:cs="Arial" w:eastAsia="Arial" w:hAnsi="Arial"/>
          <w:sz w:val="17"/>
          <w:szCs w:val="17"/>
          <w:color w:val="auto"/>
        </w:rPr>
        <w:t>Moreover, our certificate of incorporation contains a provision that provides us with protections similar to Section 203 of the General Corporation Law of the State of Delaware, or the DGCL, and prevents us from engaging in a business combination with certain interested stockholders (excluding AKKR, certain of its direct or indirect transferees and any group as to which AKKR is a party), including a person who owns 15% or more of our voting stock for a period of three years from the date such person acquired such common stock, unless approval from our board of directors or stockholders is obtained prior to the acquisition and subject to other exceptions.</w:t>
      </w:r>
    </w:p>
    <w:p>
      <w:pPr>
        <w:spacing w:after="0" w:line="82"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In addition, because our principal executive offices are located in Washington, the anti-takeover provisions of the Washington Business Corporation Act may apply to us under certain circumstances now or in the future. These provisions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spacing w:after="0" w:line="246" w:lineRule="auto"/>
        <w:rPr>
          <w:sz w:val="20"/>
          <w:szCs w:val="20"/>
          <w:color w:val="auto"/>
        </w:rPr>
      </w:pPr>
      <w:r>
        <w:rPr>
          <w:rFonts w:ascii="Arial" w:cs="Arial" w:eastAsia="Arial" w:hAnsi="Arial"/>
          <w:sz w:val="18"/>
          <w:szCs w:val="18"/>
          <w:color w:val="auto"/>
        </w:rPr>
        <w:t>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89"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Any provision of our certificate of incorporation or bylaws, or under Washington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81"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88"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certificate of incorporation or our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spacing w:after="0" w:line="98"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spacing w:after="0" w:line="94"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100" w:lineRule="exact"/>
        <w:rPr>
          <w:sz w:val="20"/>
          <w:szCs w:val="20"/>
          <w:color w:val="auto"/>
        </w:rPr>
      </w:pPr>
    </w:p>
    <w:p>
      <w:pPr>
        <w:jc w:val="both"/>
        <w:ind w:right="100" w:firstLine="494"/>
        <w:spacing w:after="0" w:line="234" w:lineRule="auto"/>
        <w:rPr>
          <w:sz w:val="20"/>
          <w:szCs w:val="20"/>
          <w:color w:val="auto"/>
        </w:rPr>
      </w:pPr>
      <w:r>
        <w:rPr>
          <w:rFonts w:ascii="Arial" w:cs="Arial" w:eastAsia="Arial" w:hAnsi="Arial"/>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action in other jurisdictions, all of which could harm our results of operations.</w:t>
      </w:r>
    </w:p>
    <w:p>
      <w:pPr>
        <w:spacing w:after="0" w:line="3" w:lineRule="exact"/>
        <w:rPr>
          <w:sz w:val="20"/>
          <w:szCs w:val="20"/>
          <w:color w:val="auto"/>
        </w:rPr>
      </w:pPr>
    </w:p>
    <w:p>
      <w:pPr>
        <w:spacing w:after="0"/>
        <w:rPr>
          <w:rFonts w:ascii="Arial" w:cs="Arial" w:eastAsia="Arial" w:hAnsi="Arial"/>
          <w:sz w:val="18"/>
          <w:szCs w:val="18"/>
          <w:b w:val="1"/>
          <w:bCs w:val="1"/>
          <w:u w:val="single" w:color="auto"/>
          <w:color w:val="auto"/>
        </w:rPr>
      </w:pPr>
      <w:hyperlink w:anchor="page52">
        <w:r>
          <w:rPr>
            <w:rFonts w:ascii="Arial" w:cs="Arial" w:eastAsia="Arial" w:hAnsi="Arial"/>
            <w:sz w:val="18"/>
            <w:szCs w:val="18"/>
            <w:b w:val="1"/>
            <w:bCs w:val="1"/>
            <w:u w:val="single" w:color="auto"/>
            <w:color w:val="auto"/>
          </w:rPr>
          <w:t>Item 1B. Unresolved Staff Comments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059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rFonts w:ascii="Arial" w:cs="Arial" w:eastAsia="Arial" w:hAnsi="Arial"/>
          <w:sz w:val="18"/>
          <w:szCs w:val="18"/>
          <w:b w:val="1"/>
          <w:bCs w:val="1"/>
          <w:u w:val="single" w:color="auto"/>
          <w:color w:val="auto"/>
        </w:rPr>
      </w:pPr>
      <w:hyperlink w:anchor="page52">
        <w:r>
          <w:rPr>
            <w:rFonts w:ascii="Arial" w:cs="Arial" w:eastAsia="Arial" w:hAnsi="Arial"/>
            <w:sz w:val="18"/>
            <w:szCs w:val="18"/>
            <w:b w:val="1"/>
            <w:bCs w:val="1"/>
            <w:u w:val="single" w:color="auto"/>
            <w:color w:val="auto"/>
          </w:rPr>
          <w:t>Item 2. Properties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9588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106"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We are headquartered in Redmond, Washington. We also lease office space in Charlotte, North Carolina, Richmond Hill, Canada (part of the Greater Toronto Area), Blacksburg, Virginia and Cromwell, Connecticut, as well as in Delhi, Gurugram, Punjab and Bangalore, India. The table below sets forth certain information regarding these properties, all of which are leased.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4900" w:type="dxa"/>
            <w:vAlign w:val="bottom"/>
          </w:tcPr>
          <w:p>
            <w:pPr>
              <w:ind w:left="216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2500" w:type="dxa"/>
            <w:vAlign w:val="bottom"/>
          </w:tcPr>
          <w:p>
            <w:pPr>
              <w:ind w:left="1100"/>
              <w:spacing w:after="0"/>
              <w:rPr>
                <w:sz w:val="20"/>
                <w:szCs w:val="20"/>
                <w:color w:val="auto"/>
              </w:rPr>
            </w:pPr>
            <w:r>
              <w:rPr>
                <w:rFonts w:ascii="Arial" w:cs="Arial" w:eastAsia="Arial" w:hAnsi="Arial"/>
                <w:sz w:val="14"/>
                <w:szCs w:val="14"/>
                <w:b w:val="1"/>
                <w:bCs w:val="1"/>
                <w:color w:val="auto"/>
              </w:rPr>
              <w:t>Type</w:t>
            </w:r>
          </w:p>
        </w:tc>
        <w:tc>
          <w:tcPr>
            <w:tcW w:w="120" w:type="dxa"/>
            <w:vAlign w:val="bottom"/>
          </w:tcPr>
          <w:p>
            <w:pPr>
              <w:spacing w:after="0"/>
              <w:rPr>
                <w:sz w:val="14"/>
                <w:szCs w:val="14"/>
                <w:color w:val="auto"/>
              </w:rPr>
            </w:pPr>
          </w:p>
        </w:tc>
        <w:tc>
          <w:tcPr>
            <w:tcW w:w="1420" w:type="dxa"/>
            <w:vAlign w:val="bottom"/>
          </w:tcPr>
          <w:p>
            <w:pPr>
              <w:jc w:val="right"/>
              <w:ind w:right="82"/>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4"/>
                <w:szCs w:val="14"/>
                <w:color w:val="auto"/>
              </w:rPr>
            </w:pPr>
          </w:p>
        </w:tc>
        <w:tc>
          <w:tcPr>
            <w:tcW w:w="2060" w:type="dxa"/>
            <w:vAlign w:val="bottom"/>
          </w:tcPr>
          <w:p>
            <w:pPr>
              <w:jc w:val="right"/>
              <w:ind w:right="733"/>
              <w:spacing w:after="0"/>
              <w:rPr>
                <w:sz w:val="20"/>
                <w:szCs w:val="20"/>
                <w:color w:val="auto"/>
              </w:rPr>
            </w:pPr>
            <w:r>
              <w:rPr>
                <w:rFonts w:ascii="Arial" w:cs="Arial" w:eastAsia="Arial" w:hAnsi="Arial"/>
                <w:sz w:val="14"/>
                <w:szCs w:val="14"/>
                <w:b w:val="1"/>
                <w:bCs w:val="1"/>
                <w:color w:val="auto"/>
              </w:rPr>
              <w:t>Lease</w:t>
            </w:r>
          </w:p>
        </w:tc>
      </w:tr>
      <w:tr>
        <w:trPr>
          <w:trHeight w:val="189"/>
        </w:trPr>
        <w:tc>
          <w:tcPr>
            <w:tcW w:w="4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(approximate)</w:t>
            </w: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Expiration</w:t>
            </w: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Redmond, Washington</w:t>
            </w:r>
          </w:p>
        </w:tc>
        <w:tc>
          <w:tcPr>
            <w:tcW w:w="1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Corporate headquarters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August 30, 2022</w:t>
            </w:r>
          </w:p>
        </w:tc>
      </w:tr>
      <w:tr>
        <w:trPr>
          <w:trHeight w:val="469"/>
        </w:trPr>
        <w:tc>
          <w:tcPr>
            <w:tcW w:w="4900" w:type="dxa"/>
            <w:vAlign w:val="bottom"/>
          </w:tcPr>
          <w:p>
            <w:pPr>
              <w:ind w:left="20"/>
              <w:spacing w:after="0"/>
              <w:rPr>
                <w:sz w:val="20"/>
                <w:szCs w:val="20"/>
                <w:color w:val="auto"/>
              </w:rPr>
            </w:pPr>
            <w:r>
              <w:rPr>
                <w:rFonts w:ascii="Arial" w:cs="Arial" w:eastAsia="Arial" w:hAnsi="Arial"/>
                <w:sz w:val="18"/>
                <w:szCs w:val="18"/>
                <w:color w:val="auto"/>
              </w:rPr>
              <w:t>Charlotte, North Carolina</w:t>
            </w:r>
            <w:r>
              <w:rPr>
                <w:rFonts w:ascii="Arial" w:cs="Arial" w:eastAsia="Arial" w:hAnsi="Arial"/>
                <w:sz w:val="24"/>
                <w:szCs w:val="24"/>
                <w:color w:val="auto"/>
                <w:vertAlign w:val="superscript"/>
              </w:rPr>
              <w:t>(1)</w:t>
            </w:r>
          </w:p>
        </w:tc>
        <w:tc>
          <w:tcPr>
            <w:tcW w:w="1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33,500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March 31, 2022</w:t>
            </w:r>
          </w:p>
        </w:tc>
      </w:tr>
      <w:tr>
        <w:trPr>
          <w:trHeight w:val="340"/>
        </w:trPr>
        <w:tc>
          <w:tcPr>
            <w:tcW w:w="4900" w:type="dxa"/>
            <w:vAlign w:val="bottom"/>
          </w:tcPr>
          <w:p>
            <w:pPr>
              <w:ind w:left="20"/>
              <w:spacing w:after="0"/>
              <w:rPr>
                <w:sz w:val="20"/>
                <w:szCs w:val="20"/>
                <w:color w:val="auto"/>
              </w:rPr>
            </w:pPr>
            <w:r>
              <w:rPr>
                <w:rFonts w:ascii="Arial" w:cs="Arial" w:eastAsia="Arial" w:hAnsi="Arial"/>
                <w:sz w:val="18"/>
                <w:szCs w:val="18"/>
                <w:color w:val="auto"/>
              </w:rPr>
              <w:t>Richmond Hill, Canada</w:t>
            </w:r>
          </w:p>
        </w:tc>
        <w:tc>
          <w:tcPr>
            <w:tcW w:w="1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March 31, 2031</w:t>
            </w:r>
          </w:p>
        </w:tc>
      </w:tr>
      <w:tr>
        <w:trPr>
          <w:trHeight w:val="405"/>
        </w:trPr>
        <w:tc>
          <w:tcPr>
            <w:tcW w:w="4900" w:type="dxa"/>
            <w:vAlign w:val="bottom"/>
          </w:tcPr>
          <w:p>
            <w:pPr>
              <w:ind w:left="20"/>
              <w:spacing w:after="0"/>
              <w:rPr>
                <w:sz w:val="20"/>
                <w:szCs w:val="20"/>
                <w:color w:val="auto"/>
              </w:rPr>
            </w:pPr>
            <w:r>
              <w:rPr>
                <w:rFonts w:ascii="Arial" w:cs="Arial" w:eastAsia="Arial" w:hAnsi="Arial"/>
                <w:sz w:val="18"/>
                <w:szCs w:val="18"/>
                <w:color w:val="auto"/>
              </w:rPr>
              <w:t>Richmond Hill, Canada</w:t>
            </w:r>
          </w:p>
        </w:tc>
        <w:tc>
          <w:tcPr>
            <w:tcW w:w="1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May 31, 2022</w:t>
            </w:r>
          </w:p>
        </w:tc>
      </w:tr>
      <w:tr>
        <w:trPr>
          <w:trHeight w:val="405"/>
        </w:trPr>
        <w:tc>
          <w:tcPr>
            <w:tcW w:w="4900" w:type="dxa"/>
            <w:vAlign w:val="bottom"/>
          </w:tcPr>
          <w:p>
            <w:pPr>
              <w:ind w:left="20"/>
              <w:spacing w:after="0"/>
              <w:rPr>
                <w:sz w:val="20"/>
                <w:szCs w:val="20"/>
                <w:color w:val="auto"/>
              </w:rPr>
            </w:pPr>
            <w:r>
              <w:rPr>
                <w:rFonts w:ascii="Arial" w:cs="Arial" w:eastAsia="Arial" w:hAnsi="Arial"/>
                <w:sz w:val="18"/>
                <w:szCs w:val="18"/>
                <w:color w:val="auto"/>
              </w:rPr>
              <w:t>Blacksburg, Virginia</w:t>
            </w:r>
          </w:p>
        </w:tc>
        <w:tc>
          <w:tcPr>
            <w:tcW w:w="1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January 31, 2022</w:t>
            </w:r>
          </w:p>
        </w:tc>
      </w:tr>
      <w:tr>
        <w:trPr>
          <w:trHeight w:val="405"/>
        </w:trPr>
        <w:tc>
          <w:tcPr>
            <w:tcW w:w="4900" w:type="dxa"/>
            <w:vAlign w:val="bottom"/>
          </w:tcPr>
          <w:p>
            <w:pPr>
              <w:ind w:left="20"/>
              <w:spacing w:after="0"/>
              <w:rPr>
                <w:sz w:val="20"/>
                <w:szCs w:val="20"/>
                <w:color w:val="auto"/>
              </w:rPr>
            </w:pPr>
            <w:r>
              <w:rPr>
                <w:rFonts w:ascii="Arial" w:cs="Arial" w:eastAsia="Arial" w:hAnsi="Arial"/>
                <w:sz w:val="18"/>
                <w:szCs w:val="18"/>
                <w:color w:val="auto"/>
              </w:rPr>
              <w:t>Delhi, India</w:t>
            </w:r>
          </w:p>
        </w:tc>
        <w:tc>
          <w:tcPr>
            <w:tcW w:w="1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October 23, 2028</w:t>
            </w:r>
          </w:p>
        </w:tc>
      </w:tr>
      <w:tr>
        <w:trPr>
          <w:trHeight w:val="404"/>
        </w:trPr>
        <w:tc>
          <w:tcPr>
            <w:tcW w:w="4900" w:type="dxa"/>
            <w:vAlign w:val="bottom"/>
          </w:tcPr>
          <w:p>
            <w:pPr>
              <w:ind w:left="20"/>
              <w:spacing w:after="0"/>
              <w:rPr>
                <w:sz w:val="20"/>
                <w:szCs w:val="20"/>
                <w:color w:val="auto"/>
              </w:rPr>
            </w:pPr>
            <w:r>
              <w:rPr>
                <w:rFonts w:ascii="Arial" w:cs="Arial" w:eastAsia="Arial" w:hAnsi="Arial"/>
                <w:sz w:val="18"/>
                <w:szCs w:val="18"/>
                <w:color w:val="auto"/>
              </w:rPr>
              <w:t>Cromwell, Connecticut</w:t>
            </w:r>
          </w:p>
        </w:tc>
        <w:tc>
          <w:tcPr>
            <w:tcW w:w="1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July 31, 2022</w:t>
            </w: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Gurugram, India</w:t>
            </w:r>
          </w:p>
        </w:tc>
        <w:tc>
          <w:tcPr>
            <w:tcW w:w="1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February 28, 2029</w:t>
            </w:r>
          </w:p>
        </w:tc>
      </w:tr>
      <w:tr>
        <w:trPr>
          <w:trHeight w:val="405"/>
        </w:trPr>
        <w:tc>
          <w:tcPr>
            <w:tcW w:w="4900" w:type="dxa"/>
            <w:vAlign w:val="bottom"/>
          </w:tcPr>
          <w:p>
            <w:pPr>
              <w:ind w:left="20"/>
              <w:spacing w:after="0"/>
              <w:rPr>
                <w:sz w:val="20"/>
                <w:szCs w:val="20"/>
                <w:color w:val="auto"/>
              </w:rPr>
            </w:pPr>
            <w:r>
              <w:rPr>
                <w:rFonts w:ascii="Arial" w:cs="Arial" w:eastAsia="Arial" w:hAnsi="Arial"/>
                <w:sz w:val="18"/>
                <w:szCs w:val="18"/>
                <w:color w:val="auto"/>
              </w:rPr>
              <w:t>Punjab, India</w:t>
            </w:r>
          </w:p>
        </w:tc>
        <w:tc>
          <w:tcPr>
            <w:tcW w:w="1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December 31, 2022</w:t>
            </w:r>
          </w:p>
        </w:tc>
      </w:tr>
      <w:tr>
        <w:trPr>
          <w:trHeight w:val="405"/>
        </w:trPr>
        <w:tc>
          <w:tcPr>
            <w:tcW w:w="4900" w:type="dxa"/>
            <w:vAlign w:val="bottom"/>
          </w:tcPr>
          <w:p>
            <w:pPr>
              <w:ind w:left="20"/>
              <w:spacing w:after="0"/>
              <w:rPr>
                <w:sz w:val="20"/>
                <w:szCs w:val="20"/>
                <w:color w:val="auto"/>
              </w:rPr>
            </w:pPr>
            <w:r>
              <w:rPr>
                <w:rFonts w:ascii="Arial" w:cs="Arial" w:eastAsia="Arial" w:hAnsi="Arial"/>
                <w:sz w:val="18"/>
                <w:szCs w:val="18"/>
                <w:color w:val="auto"/>
              </w:rPr>
              <w:t>Bangalore, India</w:t>
            </w:r>
          </w:p>
        </w:tc>
        <w:tc>
          <w:tcPr>
            <w:tcW w:w="12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April 17,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0" w:lineRule="exact"/>
        <w:rPr>
          <w:sz w:val="20"/>
          <w:szCs w:val="20"/>
          <w:color w:val="auto"/>
        </w:rPr>
      </w:pPr>
    </w:p>
    <w:p>
      <w:pPr>
        <w:ind w:right="80" w:firstLine="8"/>
        <w:spacing w:after="0" w:line="258" w:lineRule="auto"/>
        <w:tabs>
          <w:tab w:leader="none" w:pos="2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signed a new lease for approximately 27,000 square feet in January 2022, with a term that expires sixty months after the lease commencement date, which is expected to be April 1, 2022.</w:t>
      </w:r>
    </w:p>
    <w:p>
      <w:pPr>
        <w:spacing w:after="0" w:line="80"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relocate to alternate facilities. We believe that our facilities are adequate for our needs and believe that we should be able to renew any of the above leases or secure alternative suitable property without an adverse impact on our operations.</w:t>
      </w:r>
    </w:p>
    <w:p>
      <w:pPr>
        <w:spacing w:after="0" w:line="289" w:lineRule="exact"/>
        <w:rPr>
          <w:sz w:val="20"/>
          <w:szCs w:val="20"/>
          <w:color w:val="auto"/>
        </w:rPr>
      </w:pPr>
    </w:p>
    <w:p>
      <w:pPr>
        <w:spacing w:after="0"/>
        <w:rPr>
          <w:rFonts w:ascii="Arial" w:cs="Arial" w:eastAsia="Arial" w:hAnsi="Arial"/>
          <w:sz w:val="18"/>
          <w:szCs w:val="18"/>
          <w:b w:val="1"/>
          <w:bCs w:val="1"/>
          <w:u w:val="single" w:color="auto"/>
          <w:color w:val="auto"/>
        </w:rPr>
      </w:pPr>
      <w:hyperlink w:anchor="page53">
        <w:r>
          <w:rPr>
            <w:rFonts w:ascii="Arial" w:cs="Arial" w:eastAsia="Arial" w:hAnsi="Arial"/>
            <w:sz w:val="18"/>
            <w:szCs w:val="18"/>
            <w:b w:val="1"/>
            <w:bCs w:val="1"/>
            <w:u w:val="single" w:color="auto"/>
            <w:color w:val="auto"/>
          </w:rPr>
          <w:t>Item 3. Legal Proceedings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09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06"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which may include claims relating to contractual disputes, product liability, tort or personal injury, employment, intellectual property or other commercial or regulatory matters. In addition, if current or future government regulations are interpreted or enforced in a manner adverse to us or our business, specifically those with security and privacy laws, we may be subject to enforcement actions, penalties, damages and material limitations on our business. Furthermore, as a public company, we may become subject to stockholder inspection demands under Delaware law and derivative or other similar litigation.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spacing w:after="0" w:line="294" w:lineRule="exact"/>
        <w:rPr>
          <w:sz w:val="20"/>
          <w:szCs w:val="20"/>
          <w:color w:val="auto"/>
        </w:rPr>
      </w:pPr>
    </w:p>
    <w:p>
      <w:pPr>
        <w:spacing w:after="0"/>
        <w:rPr>
          <w:rFonts w:ascii="Arial" w:cs="Arial" w:eastAsia="Arial" w:hAnsi="Arial"/>
          <w:sz w:val="18"/>
          <w:szCs w:val="18"/>
          <w:b w:val="1"/>
          <w:bCs w:val="1"/>
          <w:u w:val="single" w:color="auto"/>
          <w:color w:val="auto"/>
        </w:rPr>
      </w:pPr>
      <w:hyperlink w:anchor="page53">
        <w:r>
          <w:rPr>
            <w:rFonts w:ascii="Arial" w:cs="Arial" w:eastAsia="Arial" w:hAnsi="Arial"/>
            <w:sz w:val="18"/>
            <w:szCs w:val="18"/>
            <w:b w:val="1"/>
            <w:bCs w:val="1"/>
            <w:u w:val="single" w:color="auto"/>
            <w:color w:val="auto"/>
          </w:rPr>
          <w:t>Item 4. Mine Safety Disclosures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708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080"/>
        <w:spacing w:after="0" w:line="443" w:lineRule="auto"/>
        <w:rPr>
          <w:rFonts w:ascii="Arial" w:cs="Arial" w:eastAsia="Arial" w:hAnsi="Arial"/>
          <w:sz w:val="18"/>
          <w:szCs w:val="18"/>
          <w:b w:val="1"/>
          <w:bCs w:val="1"/>
          <w:u w:val="single" w:color="auto"/>
          <w:color w:val="auto"/>
        </w:rPr>
      </w:pPr>
      <w:hyperlink w:anchor="page53">
        <w:r>
          <w:rPr>
            <w:rFonts w:ascii="Arial" w:cs="Arial" w:eastAsia="Arial" w:hAnsi="Arial"/>
            <w:sz w:val="18"/>
            <w:szCs w:val="18"/>
            <w:b w:val="1"/>
            <w:bCs w:val="1"/>
            <w:u w:val="single" w:color="auto"/>
            <w:color w:val="auto"/>
          </w:rPr>
          <w:t>Item 5. Market for Registrant’s Common Equity, Related Stockholder Matters and Issuer Purchases of Equity Securities</w:t>
        </w:r>
      </w:hyperlink>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Market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6450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ind w:right="60" w:firstLine="494"/>
        <w:spacing w:after="0" w:line="246" w:lineRule="auto"/>
        <w:rPr>
          <w:sz w:val="20"/>
          <w:szCs w:val="20"/>
          <w:color w:val="auto"/>
        </w:rPr>
      </w:pPr>
      <w:r>
        <w:rPr>
          <w:rFonts w:ascii="Arial" w:cs="Arial" w:eastAsia="Arial" w:hAnsi="Arial"/>
          <w:sz w:val="18"/>
          <w:szCs w:val="18"/>
          <w:color w:val="auto"/>
        </w:rPr>
        <w:t>Paymentus Holdings, Inc. Class A common stock is listed on the New York Stock Exchange under the ticker symbol “PAY.” There is no established trading market for our Class B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6" w:lineRule="exact"/>
        <w:rPr>
          <w:sz w:val="20"/>
          <w:szCs w:val="20"/>
          <w:color w:val="auto"/>
        </w:rPr>
      </w:pPr>
    </w:p>
    <w:p>
      <w:pPr>
        <w:ind w:right="380" w:firstLine="494"/>
        <w:spacing w:after="0" w:line="238" w:lineRule="auto"/>
        <w:rPr>
          <w:sz w:val="20"/>
          <w:szCs w:val="20"/>
          <w:color w:val="auto"/>
        </w:rPr>
      </w:pPr>
      <w:r>
        <w:rPr>
          <w:rFonts w:ascii="Arial" w:cs="Arial" w:eastAsia="Arial" w:hAnsi="Arial"/>
          <w:sz w:val="18"/>
          <w:szCs w:val="18"/>
          <w:color w:val="auto"/>
        </w:rPr>
        <w:t>As of February 28, 2022, there were 65 holders of record of our Class A common stock and 15 holders of record of our Class B common stock. Because a substantial portion of our shares of Class A common stock are held by brokers and institutions on behalf of stockholders, we are unable to estimate the total number of beneficial owners of our Class A common stock represented by these record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ind w:right="60" w:firstLine="494"/>
        <w:spacing w:after="0" w:line="234"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operating results, financial condition, contractual restrictions and capital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53" w:name="page54"/>
    <w:bookmarkEnd w:id="53"/>
    <w:p>
      <w:pPr>
        <w:ind w:right="720"/>
        <w:spacing w:after="0" w:line="246" w:lineRule="auto"/>
        <w:rPr>
          <w:sz w:val="20"/>
          <w:szCs w:val="20"/>
          <w:color w:val="auto"/>
        </w:rPr>
      </w:pPr>
      <w:r>
        <w:rPr>
          <w:rFonts w:ascii="Arial" w:cs="Arial" w:eastAsia="Arial" w:hAnsi="Arial"/>
          <w:sz w:val="18"/>
          <w:szCs w:val="18"/>
          <w:color w:val="auto"/>
        </w:rPr>
        <w:t>requirements. Our future ability to pay cash dividends on our capital stock may be limited by any future debt instruments or preferred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26"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We filed a registration statement on Form S-1 (File No. 333-255683) for our initial public offering, or IPO, or the Registration Statement, which was declared effective by the SEC on May 25, 2021. On May 28, 2021, we closed the IPO, in which we sold 11,500,000 shares of our Class A common stock, including shares sold in connection with the exercise in full of the underwriters’ option to purchase additional shares, at a price to the public of $21.00 per share for an aggregate offering price of approximately $241.5 million.</w:t>
      </w:r>
    </w:p>
    <w:p>
      <w:pPr>
        <w:spacing w:after="0" w:line="97" w:lineRule="exact"/>
        <w:rPr>
          <w:sz w:val="20"/>
          <w:szCs w:val="20"/>
          <w:color w:val="auto"/>
        </w:rPr>
      </w:pPr>
    </w:p>
    <w:p>
      <w:pPr>
        <w:ind w:right="260" w:firstLine="494"/>
        <w:spacing w:after="0" w:line="246" w:lineRule="auto"/>
        <w:rPr>
          <w:sz w:val="20"/>
          <w:szCs w:val="20"/>
          <w:color w:val="auto"/>
        </w:rPr>
      </w:pPr>
      <w:r>
        <w:rPr>
          <w:rFonts w:ascii="Arial" w:cs="Arial" w:eastAsia="Arial" w:hAnsi="Arial"/>
          <w:sz w:val="18"/>
          <w:szCs w:val="18"/>
          <w:color w:val="auto"/>
        </w:rPr>
        <w:t>Immediately subsequent to the closing of our IPO, entities affiliated with AKKR purchased 2,380,950 shares of our Class A common stock from us at $21.00 per share in a concurrent private placement.</w:t>
      </w:r>
    </w:p>
    <w:p>
      <w:pPr>
        <w:spacing w:after="0" w:line="89"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We used approximately $90.1 million of the net proceeds from the IPO in connection with our acquisitions of Payveris and Finovera in September 2021,</w:t>
      </w:r>
    </w:p>
    <w:p>
      <w:pPr>
        <w:spacing w:after="0" w:line="89" w:lineRule="exact"/>
        <w:rPr>
          <w:sz w:val="20"/>
          <w:szCs w:val="20"/>
          <w:color w:val="auto"/>
        </w:rPr>
      </w:pPr>
    </w:p>
    <w:p>
      <w:pPr>
        <w:jc w:val="both"/>
        <w:ind w:right="200" w:firstLine="494"/>
        <w:spacing w:after="0"/>
        <w:rPr>
          <w:sz w:val="20"/>
          <w:szCs w:val="20"/>
          <w:color w:val="auto"/>
        </w:rPr>
      </w:pPr>
      <w:r>
        <w:rPr>
          <w:rFonts w:ascii="Arial" w:cs="Arial" w:eastAsia="Arial" w:hAnsi="Arial"/>
          <w:sz w:val="18"/>
          <w:szCs w:val="18"/>
          <w:color w:val="auto"/>
        </w:rPr>
        <w:t>No offering proceeds were paid directly or indirectly to any of our directors or officers (or their associates) or persons owning 10% or more of any class of our equity securities or to any other affiliates. There has been no material change in the planned use of proceeds from our IPO as described in the final prospectus dated May 25,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6" w:lineRule="exact"/>
        <w:rPr>
          <w:sz w:val="20"/>
          <w:szCs w:val="20"/>
          <w:color w:val="auto"/>
        </w:rPr>
      </w:pPr>
    </w:p>
    <w:p>
      <w:pPr>
        <w:ind w:right="220" w:firstLine="494"/>
        <w:spacing w:after="0" w:line="246" w:lineRule="auto"/>
        <w:rPr>
          <w:sz w:val="20"/>
          <w:szCs w:val="20"/>
          <w:color w:val="auto"/>
        </w:rPr>
      </w:pPr>
      <w:r>
        <w:rPr>
          <w:rFonts w:ascii="Arial" w:cs="Arial" w:eastAsia="Arial" w:hAnsi="Arial"/>
          <w:sz w:val="18"/>
          <w:szCs w:val="18"/>
          <w:color w:val="auto"/>
        </w:rPr>
        <w:t>All sales of unregistered securities during the fiscal year ended December 31, 2021 have been previously reported in our filings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Except as previously reported in filings with the SEC, there were no repurchases of equity securities during the year ended December 31, 2021. We do not have any publicly announced or other repurchase plans regarding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6" w:lineRule="exact"/>
        <w:rPr>
          <w:sz w:val="20"/>
          <w:szCs w:val="20"/>
          <w:color w:val="auto"/>
        </w:rPr>
      </w:pPr>
    </w:p>
    <w:p>
      <w:pPr>
        <w:ind w:right="200" w:firstLine="494"/>
        <w:spacing w:after="0" w:line="246" w:lineRule="auto"/>
        <w:rPr>
          <w:sz w:val="20"/>
          <w:szCs w:val="20"/>
          <w:color w:val="auto"/>
        </w:rPr>
      </w:pPr>
      <w:r>
        <w:rPr>
          <w:rFonts w:ascii="Arial" w:cs="Arial" w:eastAsia="Arial" w:hAnsi="Arial"/>
          <w:sz w:val="18"/>
          <w:szCs w:val="18"/>
          <w:color w:val="auto"/>
        </w:rPr>
        <w:t>The following graph and table compare the total stockholder return from May 26, 2021, the date on which our Class A common stock commenced trading on NYSE through December 31, 2021, based on an initial investment of $100 in each of:</w:t>
      </w:r>
    </w:p>
    <w:p>
      <w:pPr>
        <w:spacing w:after="0" w:line="84" w:lineRule="exact"/>
        <w:rPr>
          <w:sz w:val="20"/>
          <w:szCs w:val="20"/>
          <w:color w:val="auto"/>
        </w:rPr>
      </w:pPr>
    </w:p>
    <w:p>
      <w:pPr>
        <w:ind w:left="1000" w:hanging="49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Class A common stock;</w:t>
      </w:r>
    </w:p>
    <w:p>
      <w:pPr>
        <w:ind w:left="1000" w:hanging="498"/>
        <w:spacing w:after="0" w:line="234"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Standard and Poor's 500 Stock Index, or S&amp;P 500 Index; and</w:t>
      </w:r>
    </w:p>
    <w:p>
      <w:pPr>
        <w:ind w:left="1000" w:hanging="49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Standard and Poor's 500 Information Technology Index, or S&amp;P Information Technology.</w:t>
      </w:r>
    </w:p>
    <w:p>
      <w:pPr>
        <w:spacing w:after="0" w:line="104" w:lineRule="exact"/>
        <w:rPr>
          <w:sz w:val="20"/>
          <w:szCs w:val="20"/>
          <w:color w:val="auto"/>
        </w:rPr>
      </w:pPr>
    </w:p>
    <w:p>
      <w:pPr>
        <w:ind w:right="140" w:firstLine="494"/>
        <w:spacing w:after="0" w:line="234" w:lineRule="auto"/>
        <w:rPr>
          <w:sz w:val="20"/>
          <w:szCs w:val="20"/>
          <w:color w:val="auto"/>
        </w:rPr>
      </w:pPr>
      <w:r>
        <w:rPr>
          <w:rFonts w:ascii="Arial" w:cs="Arial" w:eastAsia="Arial" w:hAnsi="Arial"/>
          <w:sz w:val="18"/>
          <w:szCs w:val="18"/>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286385</wp:posOffset>
            </wp:positionV>
            <wp:extent cx="6120765" cy="4440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120765"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8"/>
              </w:rPr>
              <w:t>May 26, 2021</w:t>
            </w:r>
          </w:p>
        </w:tc>
        <w:tc>
          <w:tcPr>
            <w:tcW w:w="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May 31, 2021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112"/>
              <w:spacing w:after="0"/>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w w:val="97"/>
              </w:rPr>
              <w:t>July 31, 2021</w:t>
            </w:r>
          </w:p>
        </w:tc>
        <w:tc>
          <w:tcPr>
            <w:tcW w:w="80" w:type="dxa"/>
            <w:vAlign w:val="bottom"/>
          </w:tcPr>
          <w:p>
            <w:pPr>
              <w:spacing w:after="0"/>
              <w:rPr>
                <w:sz w:val="12"/>
                <w:szCs w:val="12"/>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August 31,</w:t>
            </w:r>
          </w:p>
        </w:tc>
        <w:tc>
          <w:tcPr>
            <w:tcW w:w="60" w:type="dxa"/>
            <w:vAlign w:val="bottom"/>
          </w:tcPr>
          <w:p>
            <w:pPr>
              <w:spacing w:after="0"/>
              <w:rPr>
                <w:sz w:val="12"/>
                <w:szCs w:val="12"/>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September</w:t>
            </w:r>
          </w:p>
        </w:tc>
        <w:tc>
          <w:tcPr>
            <w:tcW w:w="60" w:type="dxa"/>
            <w:vAlign w:val="bottom"/>
          </w:tcPr>
          <w:p>
            <w:pPr>
              <w:spacing w:after="0"/>
              <w:rPr>
                <w:sz w:val="12"/>
                <w:szCs w:val="12"/>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October 31,</w:t>
            </w:r>
          </w:p>
        </w:tc>
        <w:tc>
          <w:tcPr>
            <w:tcW w:w="40" w:type="dxa"/>
            <w:vAlign w:val="bottom"/>
          </w:tcPr>
          <w:p>
            <w:pPr>
              <w:spacing w:after="0"/>
              <w:rPr>
                <w:sz w:val="12"/>
                <w:szCs w:val="1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November</w:t>
            </w:r>
          </w:p>
        </w:tc>
        <w:tc>
          <w:tcPr>
            <w:tcW w:w="60" w:type="dxa"/>
            <w:vAlign w:val="bottom"/>
          </w:tcPr>
          <w:p>
            <w:pPr>
              <w:spacing w:after="0"/>
              <w:rPr>
                <w:sz w:val="12"/>
                <w:szCs w:val="12"/>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December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30, 2021</w:t>
            </w: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30, 2021</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98"/>
              </w:rPr>
              <w:t>31, 2021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Paymentus Holdings, Inc.</w:t>
            </w:r>
          </w:p>
        </w:tc>
        <w:tc>
          <w:tcPr>
            <w:tcW w:w="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4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145.18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168.98</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138.04</w:t>
            </w:r>
          </w:p>
        </w:tc>
        <w:tc>
          <w:tcPr>
            <w:tcW w:w="380" w:type="dxa"/>
            <w:vAlign w:val="bottom"/>
            <w:gridSpan w:val="2"/>
            <w:shd w:val="clear" w:color="auto" w:fill="CFF0FC"/>
          </w:tcPr>
          <w:p>
            <w:pPr>
              <w:jc w:val="right"/>
              <w:ind w:right="37"/>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122.09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117.29</w:t>
            </w:r>
          </w:p>
        </w:tc>
        <w:tc>
          <w:tcPr>
            <w:tcW w:w="340" w:type="dxa"/>
            <w:vAlign w:val="bottom"/>
            <w:gridSpan w:val="2"/>
            <w:shd w:val="clear" w:color="auto" w:fill="CFF0FC"/>
          </w:tcPr>
          <w:p>
            <w:pPr>
              <w:jc w:val="right"/>
              <w:ind w:right="17"/>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140.71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166.60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84.08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85.95</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87.91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90.45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86.15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92.11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91.34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S&amp;P Information Technology</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97.08</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103.78</w:t>
            </w:r>
          </w:p>
        </w:tc>
        <w:tc>
          <w:tcPr>
            <w:tcW w:w="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107.74</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111.44</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104.95</w:t>
            </w: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113.48</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118.28</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122.22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We will neither make nor endorse any predictions as to future stock performance or whether the trends depicted in the graph above will continue or change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4" w:lineRule="exact"/>
        <w:rPr>
          <w:sz w:val="20"/>
          <w:szCs w:val="20"/>
          <w:color w:val="auto"/>
        </w:rPr>
      </w:pPr>
    </w:p>
    <w:p>
      <w:pPr>
        <w:ind w:right="100" w:firstLine="499"/>
        <w:spacing w:after="0" w:line="236"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impacts on our business and general economic conditions due to the COVID-19 pandemic, those identified below, those discussed in “Special Note Regarding Forward-Looking Statements” and those discussed in the section titled “Risk Factors” under Part I, Item 1A in this Annual Report on Form 10-K.</w:t>
      </w:r>
    </w:p>
    <w:p>
      <w:pPr>
        <w:spacing w:after="0" w:line="100" w:lineRule="exact"/>
        <w:rPr>
          <w:sz w:val="20"/>
          <w:szCs w:val="20"/>
          <w:color w:val="auto"/>
        </w:rPr>
      </w:pPr>
    </w:p>
    <w:p>
      <w:pPr>
        <w:ind w:right="140" w:firstLine="499"/>
        <w:spacing w:after="0" w:line="234" w:lineRule="auto"/>
        <w:rPr>
          <w:sz w:val="20"/>
          <w:szCs w:val="20"/>
          <w:color w:val="auto"/>
        </w:rPr>
      </w:pPr>
      <w:r>
        <w:rPr>
          <w:rFonts w:ascii="Arial" w:cs="Arial" w:eastAsia="Arial" w:hAnsi="Arial"/>
          <w:sz w:val="18"/>
          <w:szCs w:val="18"/>
          <w:color w:val="auto"/>
        </w:rPr>
        <w:t>A discussion of changes in our results of operations from fiscal year 2019 to fiscal year 2020 and a discussion of our liquidity and capital resources for 2019 has been omitted from this Annual Report but may be found under the heading “Management’s Discussion and Analysis of Financial Condition and Results of Operations—Comparison of the Years Ended December 31, 2019 and 2020” and “—Liquidity and Capital Resources—Historical Cash Flows" in our final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ind w:right="180"/>
        <w:spacing w:after="0" w:line="246" w:lineRule="auto"/>
        <w:rPr>
          <w:sz w:val="20"/>
          <w:szCs w:val="20"/>
          <w:color w:val="auto"/>
        </w:rPr>
      </w:pPr>
      <w:r>
        <w:rPr>
          <w:rFonts w:ascii="Arial" w:cs="Arial" w:eastAsia="Arial" w:hAnsi="Arial"/>
          <w:sz w:val="18"/>
          <w:szCs w:val="18"/>
          <w:color w:val="auto"/>
        </w:rPr>
        <w:t>prospectus dated May 25, 2021 and filed with the SEC on May 26, 2021 pursuant to rule 424(b)(4), which is available free of charge on the SECs website at www.sec.gov and our website at https://ir.paymentus.com/home/default.aspx.</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1,700 biller business and financial institution clients. Our platform was used by approximately 21 million consumers and businesses in North America in December 2021 to pay their bills, make money movements and engage with our clients. We serve billers of all sizes that primarily provide non-discretionary services across a variety of industry verticals, including utilities, financial services, insurance, government, telecommunications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99"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97"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or IPN, which together promote rapid adoption of our platform through partnerships with leading business networks. Through these channels, our platform reaches millions of consumers, driving transaction growth.</w:t>
      </w:r>
    </w:p>
    <w:p>
      <w:pPr>
        <w:spacing w:after="0" w:line="94"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Our revenue is highly visible.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allows us to provide integration, implementation, maintenance and upgrades at no additional cost to billers.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COVID-19 Pandemic</w:t>
      </w:r>
    </w:p>
    <w:p>
      <w:pPr>
        <w:spacing w:after="0" w:line="126" w:lineRule="exact"/>
        <w:rPr>
          <w:sz w:val="20"/>
          <w:szCs w:val="20"/>
          <w:color w:val="auto"/>
        </w:rPr>
      </w:pPr>
    </w:p>
    <w:p>
      <w:pPr>
        <w:ind w:right="60" w:firstLine="499"/>
        <w:spacing w:after="0" w:line="238" w:lineRule="auto"/>
        <w:rPr>
          <w:sz w:val="20"/>
          <w:szCs w:val="20"/>
          <w:color w:val="auto"/>
        </w:rPr>
      </w:pPr>
      <w:r>
        <w:rPr>
          <w:rFonts w:ascii="Arial" w:cs="Arial" w:eastAsia="Arial" w:hAnsi="Arial"/>
          <w:sz w:val="18"/>
          <w:szCs w:val="18"/>
          <w:color w:val="auto"/>
        </w:rPr>
        <w:t>The COVID-19 pandemic, including its variants, and efforts to control its spread have significantly curtailed the movement of people, goods and services in the United States, where we generate substantially all of our revenue, and worldwide, where we are targeting future growth. It has also caused extreme societal, economic and financial market volatility, resulting in business shutdowns and a global economic downturn. The magnitude and duration of the COVID-19 pandemic and the magnitude and duration of its effect on business activity cannot be predicted with any certainty.</w:t>
      </w:r>
    </w:p>
    <w:p>
      <w:pPr>
        <w:spacing w:after="0" w:line="94"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In light of the uncertainty relating to the spread of COVID-19, we have taken precautionary measures intended to reduce the risk of the virus spreading to our employees, billers and partners, and we may take further precautionary measures. In particular, governmental authorities have at times instituted, and in the future may institute, shelter-in-place policies and other restrictions in many jurisdictions in which we operate, including in Redmond, Washington, where our headquarters are located, and Toronto, Canada, Charlotte, North Carolina and Delhi, India, where we maintain significant operations, which policies and restrictions have at times required our employees to work remotely. Even as shelter-in-place policies or other governmental restrictions are lifted, we are taking, and expect to continue to take, a measured and careful approach to having employees return to offices and travel for business. These precautionary measures and policies could negatively impact employee productivity, training and collaboration or otherwise disrupt our business operations. In addition, such restrictions impact certain of our sales efforts, marketing efforts and implementations, adversely affecting the effectiveness of such efforts in some cases and potentially inhibiting future growth.</w:t>
      </w:r>
    </w:p>
    <w:p>
      <w:pPr>
        <w:spacing w:after="0" w:line="98" w:lineRule="exact"/>
        <w:rPr>
          <w:sz w:val="20"/>
          <w:szCs w:val="20"/>
          <w:color w:val="auto"/>
        </w:rPr>
      </w:pPr>
    </w:p>
    <w:p>
      <w:pPr>
        <w:ind w:right="260" w:firstLine="494"/>
        <w:spacing w:after="0" w:line="238" w:lineRule="auto"/>
        <w:rPr>
          <w:sz w:val="20"/>
          <w:szCs w:val="20"/>
          <w:color w:val="auto"/>
        </w:rPr>
      </w:pPr>
      <w:r>
        <w:rPr>
          <w:rFonts w:ascii="Arial" w:cs="Arial" w:eastAsia="Arial" w:hAnsi="Arial"/>
          <w:sz w:val="18"/>
          <w:szCs w:val="18"/>
          <w:color w:val="auto"/>
        </w:rPr>
        <w:t>In addition, the COVID-19 pandemic has disrupted and may continue to disrupt the operations of our billers and partners for an indefinite period of time, which in turn could negatively impact our business and operating results. Widespread remote work arrangements may also negatively impact our billers’ and partners’ operations, and the operations of third-party service providers who perform critical services for us, and, by extension, our operations.</w:t>
      </w:r>
    </w:p>
    <w:p>
      <w:pPr>
        <w:spacing w:after="0" w:line="97"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We will continue to evaluate the nature and extent of the COVID-19 pandemic’s potential impact on our business, operating results and financial condition. See the section titled “Risk Factors—Risks Related to Our Business and Industry—The COVID-19 pandemic, including existing and future variants, could have a material adverse impact on our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right="300"/>
        <w:spacing w:after="0" w:line="246" w:lineRule="auto"/>
        <w:rPr>
          <w:sz w:val="20"/>
          <w:szCs w:val="20"/>
          <w:color w:val="auto"/>
        </w:rPr>
      </w:pPr>
      <w:r>
        <w:rPr>
          <w:rFonts w:ascii="Arial" w:cs="Arial" w:eastAsia="Arial" w:hAnsi="Arial"/>
          <w:sz w:val="18"/>
          <w:szCs w:val="18"/>
          <w:color w:val="auto"/>
        </w:rPr>
        <w:t>employees, billers, partners, consumers and other key stakeholders, which could materially and adversely impact our business, operating results and financial condition.”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We generate substantially all of our revenue from payment transaction fees. Transaction fees are fees collected for each transaction processed through our platform, on either a fixed basis or variable basis based on the transaction value, with the actual fees dependent on type of transaction, payment or transaction channel and industry vertical. However, irrespective of these factors, the transaction fees that we receive are generally consistent across transaction types, payment and transaction channels and industry verticals. We receive such transaction fees directly from billers, financial institutions, partners or, in some cases, from consumers as a convenience fee.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26"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Cost of revenue consists of certain direct costs that are directly attributed to processing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including amortization of intangible assets acquired as part of our acquisitions of other businesses. We expect that cost of revenue will increase in absolute dollars, but it may fluctuate as a percentage of revenue from period to period, as our transaction mix changes and we continue to invest in growing our business across all geographical segments, including through the acquisition of other businesses.</w:t>
      </w:r>
    </w:p>
    <w:p>
      <w:pPr>
        <w:spacing w:after="0" w:line="100"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There are external factors that impact interchange fees, such as the average transaction amount in a particular month or quarter. For example, hot summers and cold winters tend to increase utility bills, and property taxes result in two larger payments per year, each of which increases our interchange cost.</w:t>
      </w:r>
    </w:p>
    <w:p>
      <w:pPr>
        <w:spacing w:after="0" w:line="95" w:lineRule="exact"/>
        <w:rPr>
          <w:sz w:val="20"/>
          <w:szCs w:val="20"/>
          <w:color w:val="auto"/>
        </w:rPr>
      </w:pPr>
    </w:p>
    <w:p>
      <w:pPr>
        <w:jc w:val="both"/>
        <w:ind w:right="220" w:firstLine="494"/>
        <w:spacing w:after="0"/>
        <w:rPr>
          <w:sz w:val="20"/>
          <w:szCs w:val="20"/>
          <w:color w:val="auto"/>
        </w:rPr>
      </w:pPr>
      <w:r>
        <w:rPr>
          <w:rFonts w:ascii="Arial" w:cs="Arial" w:eastAsia="Arial" w:hAnsi="Arial"/>
          <w:sz w:val="18"/>
          <w:szCs w:val="18"/>
          <w:color w:val="auto"/>
        </w:rPr>
        <w:t>Gross profit is equal to our revenue less cost of revenue. Gross profit as a percentage of our revenue is referred to as gross margin. Our gross margin has been and will continue to be affected by a number of factors, including average transaction value, payment type and payments and transactions through our IPN.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22"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as well as amortization of intangible assets acquired as part of our acquisitions of other businesses. We expect our sales and marketing expenses to increase in absolute dollars, but they may fluctuate as a percentage of revenue from period to period.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and other corporate expenses. We expect to incur additional general and administrative expenses as a result of operating as a public company, and to support the growth in our business. We expect that our general and administrative expenses will increase in absolute dollars, but they may fluctuate as a percentage of revenue from period to period. Over the longer term, we expect general and administrative expenses to decrease as a percentage of revenue as we leverage the scale of our business.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left="4120"/>
        <w:spacing w:after="0"/>
        <w:rPr>
          <w:sz w:val="20"/>
          <w:szCs w:val="20"/>
          <w:color w:val="auto"/>
        </w:rPr>
      </w:pPr>
      <w:r>
        <w:rPr>
          <w:rFonts w:ascii="Arial" w:cs="Arial" w:eastAsia="Arial" w:hAnsi="Arial"/>
          <w:sz w:val="18"/>
          <w:szCs w:val="18"/>
          <w:b w:val="1"/>
          <w:bCs w:val="1"/>
          <w:color w:val="auto"/>
        </w:rPr>
        <w:t>Factors Affecting Our Performance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Adoption of Electronic Bill Payment Solutions</w:t>
      </w:r>
    </w:p>
    <w:p>
      <w:pPr>
        <w:spacing w:after="0" w:line="126" w:lineRule="exact"/>
        <w:rPr>
          <w:sz w:val="20"/>
          <w:szCs w:val="20"/>
          <w:color w:val="auto"/>
        </w:rPr>
      </w:pPr>
    </w:p>
    <w:p>
      <w:pPr>
        <w:ind w:right="200" w:firstLine="494"/>
        <w:spacing w:after="0" w:line="238" w:lineRule="auto"/>
        <w:rPr>
          <w:sz w:val="20"/>
          <w:szCs w:val="20"/>
          <w:color w:val="auto"/>
        </w:rPr>
      </w:pPr>
      <w:r>
        <w:rPr>
          <w:rFonts w:ascii="Arial" w:cs="Arial" w:eastAsia="Arial" w:hAnsi="Arial"/>
          <w:sz w:val="18"/>
          <w:szCs w:val="18"/>
          <w:color w:val="auto"/>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 providing us with a greater opportunity to provide next-generation bill and digital payment technology and power more transactions, further fueling our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Billers and Financial Institutions</w:t>
      </w:r>
    </w:p>
    <w:p>
      <w:pPr>
        <w:spacing w:after="0" w:line="126"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Our future growth depends on the continued adoption of our platform by new billers and financial institutions. We intend to continue investing in our efficient go-to-market strategies, increase brand awareness and drive adoption of our platform and products. We had more than 1,700 billers and financial institution clients as of December 31, 2021, including billers of all sizes and across numerous vertical markets and financial institutions of all sizes. Our ability to attract new billers and financial institutions and drive adoption of our platform will depend on a number of factors, including the effectiveness and pricing of our products, offerings of our competitors and the effectiveness of our marketing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Usage of Our Platform with Existing Billers and Financial Institutions</w:t>
      </w:r>
    </w:p>
    <w:p>
      <w:pPr>
        <w:spacing w:after="0" w:line="126"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We believe our large base of existing billers and financial institutions represents a significant opportunity for further consumption of our platform. We believe our solutions create a superior experience for consumers and accelerate revenue realization for billers, which drives increased usage of our platform. We intend to continue investing in this value proposition. Leveraging our platform to capture more transactions from our existing biller and financial institution base is expected to organically drive transaction growth at lower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Partner Base</w:t>
      </w:r>
    </w:p>
    <w:p>
      <w:pPr>
        <w:spacing w:after="0" w:line="126"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expect to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Sales and Marketing</w:t>
      </w:r>
    </w:p>
    <w:p>
      <w:pPr>
        <w:spacing w:after="0" w:line="12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will continue to expand efforts to market our platform through our diversified sales and marketing strategy. We intend to invest in sales and marketing strategies that we believe will drive further brand awareness and preference among our billers, partners and consumers. Given the nature of our biller and partner base, our investment in sales and marketing in a given period may not impact results until subsequent periods. We approach sales and marketing spend strategically to maintain efficient biller and partner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26"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We will continue to invest in our platform and IPN to maintain our position as a leading provider of biller communication and payments. To drive adoption and increase penetration of our platform, we will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Performance and Non-GAAP Measures</w:t>
      </w:r>
    </w:p>
    <w:p>
      <w:pPr>
        <w:spacing w:after="0" w:line="126" w:lineRule="exact"/>
        <w:rPr>
          <w:sz w:val="20"/>
          <w:szCs w:val="20"/>
          <w:color w:val="auto"/>
        </w:rPr>
      </w:pPr>
    </w:p>
    <w:p>
      <w:pPr>
        <w:ind w:right="40" w:firstLine="494"/>
        <w:spacing w:after="0" w:line="248" w:lineRule="auto"/>
        <w:rPr>
          <w:sz w:val="20"/>
          <w:szCs w:val="20"/>
          <w:color w:val="auto"/>
        </w:rPr>
      </w:pPr>
      <w:r>
        <w:rPr>
          <w:rFonts w:ascii="Arial" w:cs="Arial" w:eastAsia="Arial" w:hAnsi="Arial"/>
          <w:sz w:val="17"/>
          <w:szCs w:val="17"/>
          <w:color w:val="auto"/>
        </w:rPr>
        <w:t>We review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Transactions Processed</w:t>
      </w:r>
    </w:p>
    <w:p>
      <w:pPr>
        <w:spacing w:after="0" w:line="32"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6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6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260" w:type="dxa"/>
            <w:vAlign w:val="bottom"/>
            <w:gridSpan w:val="2"/>
            <w:shd w:val="clear" w:color="auto" w:fill="CFF0FC"/>
          </w:tcPr>
          <w:p>
            <w:pPr>
              <w:jc w:val="right"/>
              <w:ind w:right="5268"/>
              <w:spacing w:after="0" w:line="202" w:lineRule="exact"/>
              <w:rPr>
                <w:sz w:val="20"/>
                <w:szCs w:val="20"/>
                <w:color w:val="auto"/>
              </w:rPr>
            </w:pPr>
            <w:r>
              <w:rPr>
                <w:rFonts w:ascii="Arial" w:cs="Arial" w:eastAsia="Arial" w:hAnsi="Arial"/>
                <w:sz w:val="18"/>
                <w:szCs w:val="18"/>
                <w:color w:val="auto"/>
                <w:w w:val="99"/>
              </w:rPr>
              <w:t>Transactions processed</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280.5</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195.0</w:t>
            </w:r>
          </w:p>
        </w:tc>
        <w:tc>
          <w:tcPr>
            <w:tcW w:w="16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146.2</w:t>
            </w:r>
          </w:p>
        </w:tc>
        <w:tc>
          <w:tcPr>
            <w:tcW w:w="6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right="200" w:firstLine="499"/>
        <w:spacing w:after="0" w:line="238"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year ended December 31, 2021 increased approximately 43.8% as compared to 2020. The increase was primarily driven by the addition of new billers and increased transactions from our existing billers.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26" w:lineRule="exact"/>
        <w:rPr>
          <w:sz w:val="20"/>
          <w:szCs w:val="20"/>
          <w:color w:val="auto"/>
        </w:rPr>
      </w:pPr>
    </w:p>
    <w:p>
      <w:pPr>
        <w:jc w:val="both"/>
        <w:ind w:right="400" w:firstLine="494"/>
        <w:spacing w:after="0"/>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122" w:lineRule="exact"/>
        <w:rPr>
          <w:sz w:val="20"/>
          <w:szCs w:val="20"/>
          <w:color w:val="auto"/>
        </w:rPr>
      </w:pPr>
    </w:p>
    <w:p>
      <w:pPr>
        <w:ind w:right="860" w:firstLine="544"/>
        <w:spacing w:after="0" w:line="246"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122" w:lineRule="exact"/>
        <w:rPr>
          <w:sz w:val="20"/>
          <w:szCs w:val="20"/>
          <w:color w:val="auto"/>
        </w:rPr>
      </w:pPr>
    </w:p>
    <w:p>
      <w:pPr>
        <w:ind w:right="320" w:firstLine="494"/>
        <w:spacing w:after="0" w:line="238" w:lineRule="auto"/>
        <w:rPr>
          <w:sz w:val="20"/>
          <w:szCs w:val="20"/>
          <w:color w:val="auto"/>
        </w:rPr>
      </w:pPr>
      <w:r>
        <w:rPr>
          <w:rFonts w:ascii="Arial" w:cs="Arial" w:eastAsia="Arial" w:hAnsi="Arial"/>
          <w:sz w:val="18"/>
          <w:szCs w:val="18"/>
          <w:color w:val="auto"/>
        </w:rPr>
        <w:t>We calculate adjusted EBITDA as net income before other income (expense) (which consists of interest income (expense), net and foreign exchange gain (loss)), depreciation and amortization, income taxes, adjusted to exclude the effects of stock-based compensation expense and certain nonrecurring expenses that management believes are not indicative of ongoing operations, consisting primarily of professional fees and other indirect charges associated with our IPO.</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Free Cash Flow</w:t>
      </w:r>
    </w:p>
    <w:p>
      <w:pPr>
        <w:spacing w:after="0" w:line="122"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and capitalized internal-use software development costs.</w:t>
      </w:r>
    </w:p>
    <w:p>
      <w:pPr>
        <w:spacing w:after="0" w:line="89"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106" w:lineRule="exact"/>
        <w:rPr>
          <w:sz w:val="20"/>
          <w:szCs w:val="20"/>
          <w:color w:val="auto"/>
        </w:rPr>
      </w:pPr>
    </w:p>
    <w:p>
      <w:pPr>
        <w:ind w:right="60" w:firstLine="494"/>
        <w:spacing w:after="0" w:line="234"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consolidated financial statements and related notes included elsewhere in this report and to not rely on any single financial measure to evaluate our business.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9" w:name="page60"/>
    <w:bookmarkEnd w:id="59"/>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6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6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121,380</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92,627</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74,434</w:t>
            </w:r>
          </w:p>
        </w:tc>
        <w:tc>
          <w:tcPr>
            <w:tcW w:w="6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Plus: other cost of revenue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37,098</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27,876</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22,230</w:t>
            </w:r>
          </w:p>
        </w:tc>
        <w:tc>
          <w:tcPr>
            <w:tcW w:w="60" w:type="dxa"/>
            <w:vAlign w:val="bottom"/>
          </w:tcPr>
          <w:p>
            <w:pPr>
              <w:spacing w:after="0"/>
              <w:rPr>
                <w:sz w:val="17"/>
                <w:szCs w:val="17"/>
                <w:color w:val="auto"/>
              </w:rPr>
            </w:pPr>
          </w:p>
        </w:tc>
      </w:tr>
      <w:tr>
        <w:trPr>
          <w:trHeight w:val="236"/>
        </w:trPr>
        <w:tc>
          <w:tcPr>
            <w:tcW w:w="6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Contribution profit</w:t>
            </w: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158,478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120,503</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96,664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-25400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5" w:lineRule="exact"/>
        <w:rPr>
          <w:sz w:val="20"/>
          <w:szCs w:val="20"/>
          <w:color w:val="auto"/>
        </w:rPr>
      </w:pPr>
    </w:p>
    <w:p>
      <w:pPr>
        <w:ind w:firstLine="499"/>
        <w:spacing w:after="0" w:line="237"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including client size, type and industry as well as whether the client is a biller, financial institution or other partner. Contribution profit for the year ended December 31, 2021 increased approximately 31.5% as compared to 2020. The increase was primarily driven by the addition of new billers and increased transactions from our existing billers. For 2021, contribution profit increased at a slower rate than transactions due to continued onboarding of larger clients.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6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121,380</w:t>
            </w:r>
          </w:p>
        </w:tc>
        <w:tc>
          <w:tcPr>
            <w:tcW w:w="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92,627</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74,434</w:t>
            </w:r>
          </w:p>
        </w:tc>
        <w:tc>
          <w:tcPr>
            <w:tcW w:w="6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6,005</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3,513</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2,645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280" w:type="dxa"/>
            <w:vAlign w:val="bottom"/>
          </w:tcPr>
          <w:p>
            <w:pPr>
              <w:ind w:left="20"/>
              <w:spacing w:after="0" w:line="182" w:lineRule="exact"/>
              <w:rPr>
                <w:sz w:val="20"/>
                <w:szCs w:val="20"/>
                <w:color w:val="auto"/>
              </w:rPr>
            </w:pPr>
            <w:r>
              <w:rPr>
                <w:rFonts w:ascii="Arial" w:cs="Arial" w:eastAsia="Arial" w:hAnsi="Arial"/>
                <w:sz w:val="18"/>
                <w:szCs w:val="18"/>
                <w:color w:val="auto"/>
              </w:rPr>
              <w:t>Adjusted gross profit</w:t>
            </w:r>
          </w:p>
        </w:tc>
        <w:tc>
          <w:tcPr>
            <w:tcW w:w="36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127,385</w:t>
            </w:r>
          </w:p>
        </w:tc>
        <w:tc>
          <w:tcPr>
            <w:tcW w:w="4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96,140</w:t>
            </w:r>
          </w:p>
        </w:tc>
        <w:tc>
          <w:tcPr>
            <w:tcW w:w="220" w:type="dxa"/>
            <w:vAlign w:val="bottom"/>
          </w:tcPr>
          <w:p>
            <w:pPr>
              <w:spacing w:after="0"/>
              <w:rPr>
                <w:sz w:val="17"/>
                <w:szCs w:val="17"/>
                <w:color w:val="auto"/>
              </w:rPr>
            </w:pP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77,079</w:t>
            </w:r>
          </w:p>
        </w:tc>
        <w:tc>
          <w:tcPr>
            <w:tcW w:w="60" w:type="dxa"/>
            <w:vAlign w:val="bottom"/>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-159385</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140" w:firstLine="499"/>
        <w:spacing w:after="0"/>
        <w:rPr>
          <w:sz w:val="20"/>
          <w:szCs w:val="20"/>
          <w:color w:val="auto"/>
        </w:rPr>
      </w:pPr>
      <w:r>
        <w:rPr>
          <w:rFonts w:ascii="Arial" w:cs="Arial" w:eastAsia="Arial" w:hAnsi="Arial"/>
          <w:sz w:val="18"/>
          <w:szCs w:val="18"/>
          <w:color w:val="auto"/>
        </w:rPr>
        <w:t>Adjusted gross profit is driven primarily by the same factors that impact gross profit with the exception of excluding the amortization in cost of revenue. The increase in amortization was driven by additional capitalization of software costs as well as amortization of acquired intangibles associated with the acquisition of Payveris and Finovera.</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2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6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9,300</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13,711</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13,697</w:t>
            </w: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Excluding</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(income), net</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(52 )</w:t>
            </w:r>
          </w:p>
        </w:tc>
        <w:tc>
          <w:tcPr>
            <w:tcW w:w="3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(106 )</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1,066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4,653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4,782</w:t>
            </w: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13,295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6,001</w:t>
            </w: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loss (gain)</w:t>
            </w: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1,585</w:t>
            </w: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6"/>
                <w:szCs w:val="16"/>
                <w:color w:val="auto"/>
              </w:rPr>
              <w:t>Other nonrecurring expenses</w:t>
            </w:r>
            <w:r>
              <w:rPr>
                <w:rFonts w:ascii="Arial" w:cs="Arial" w:eastAsia="Arial" w:hAnsi="Arial"/>
                <w:sz w:val="23"/>
                <w:szCs w:val="23"/>
                <w:color w:val="auto"/>
                <w:vertAlign w:val="superscript"/>
              </w:rPr>
              <w:t>(1)</w:t>
            </w: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2,711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6"/>
        </w:trPr>
        <w:tc>
          <w:tcPr>
            <w:tcW w:w="6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Adjusted EBITDA</w:t>
            </w:r>
          </w:p>
        </w:tc>
        <w:tc>
          <w:tcPr>
            <w:tcW w:w="920" w:type="dxa"/>
            <w:vAlign w:val="bottom"/>
            <w:tcBorders>
              <w:top w:val="single" w:sz="8" w:color="auto"/>
              <w:bottom w:val="single" w:sz="8" w:color="auto"/>
            </w:tcBorders>
            <w:shd w:val="clear" w:color="auto" w:fill="CFF0FC"/>
          </w:tcPr>
          <w:p>
            <w:pPr>
              <w:jc w:val="right"/>
              <w:ind w:right="736"/>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29,515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28,491</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25,957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-24765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(1) Other nonrecurring expenses consists of indirect costs incurred associated with completion of our IPO.</w:t>
      </w:r>
    </w:p>
    <w:p>
      <w:pPr>
        <w:spacing w:after="0" w:line="218"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As adjusted EBITDA is a measure of profitability, it would generally be expected to move in line with revenue, contribution profit, gross profit and adjusted gross profit. However, it is essentially flat from 2020 to 2021 due to our investment in sales and marketing and research and development in order to drive future growth of the business as well as the increased costs associated with being a public company and the impact of the Payveris and Finovera acquisitions.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0" w:name="page61"/>
    <w:bookmarkEnd w:id="60"/>
    <w:p>
      <w:pPr>
        <w:ind w:left="500"/>
        <w:spacing w:after="0"/>
        <w:rPr>
          <w:sz w:val="20"/>
          <w:szCs w:val="20"/>
          <w:color w:val="auto"/>
        </w:rPr>
      </w:pPr>
      <w:r>
        <w:rPr>
          <w:rFonts w:ascii="Arial" w:cs="Arial" w:eastAsia="Arial" w:hAnsi="Arial"/>
          <w:sz w:val="18"/>
          <w:szCs w:val="18"/>
          <w:i w:val="1"/>
          <w:iCs w:val="1"/>
          <w:color w:val="auto"/>
        </w:rPr>
        <w:t>Free Cash Flow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6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19,493</w:t>
            </w: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35,620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17,511</w:t>
            </w: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(979 )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(458 )</w:t>
            </w:r>
          </w:p>
        </w:tc>
        <w:tc>
          <w:tcPr>
            <w:tcW w:w="34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(1,040 )</w:t>
            </w: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internal-use software development costs</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(19,300 )</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(14,389 )</w:t>
            </w:r>
          </w:p>
        </w:tc>
        <w:tc>
          <w:tcPr>
            <w:tcW w:w="3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(10,222 )</w:t>
            </w:r>
          </w:p>
        </w:tc>
      </w:tr>
      <w:tr>
        <w:trPr>
          <w:trHeight w:val="20"/>
        </w:trPr>
        <w:tc>
          <w:tcPr>
            <w:tcW w:w="6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280" w:type="dxa"/>
            <w:vAlign w:val="bottom"/>
          </w:tcPr>
          <w:p>
            <w:pPr>
              <w:ind w:left="20"/>
              <w:spacing w:after="0" w:line="196" w:lineRule="exact"/>
              <w:rPr>
                <w:sz w:val="20"/>
                <w:szCs w:val="20"/>
                <w:color w:val="auto"/>
              </w:rPr>
            </w:pPr>
            <w:r>
              <w:rPr>
                <w:rFonts w:ascii="Arial" w:cs="Arial" w:eastAsia="Arial" w:hAnsi="Arial"/>
                <w:sz w:val="18"/>
                <w:szCs w:val="18"/>
                <w:color w:val="auto"/>
              </w:rPr>
              <w:t>Free cash flow</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(786 )</w:t>
            </w:r>
          </w:p>
        </w:tc>
        <w:tc>
          <w:tcPr>
            <w:tcW w:w="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20,773</w:t>
            </w:r>
          </w:p>
        </w:tc>
        <w:tc>
          <w:tcPr>
            <w:tcW w:w="220" w:type="dxa"/>
            <w:vAlign w:val="bottom"/>
          </w:tcPr>
          <w:p>
            <w:pPr>
              <w:spacing w:after="0"/>
              <w:rPr>
                <w:sz w:val="17"/>
                <w:szCs w:val="17"/>
                <w:color w:val="auto"/>
              </w:rPr>
            </w:pP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6,249</w:t>
            </w: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Net cash used in investing activities</w:t>
            </w:r>
            <w:r>
              <w:rPr>
                <w:rFonts w:ascii="Arial" w:cs="Arial" w:eastAsia="Arial" w:hAnsi="Arial"/>
                <w:sz w:val="23"/>
                <w:szCs w:val="23"/>
                <w:color w:val="auto"/>
                <w:vertAlign w:val="superscript"/>
              </w:rPr>
              <w:t>(1)</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(77,809 )</w:t>
            </w:r>
          </w:p>
        </w:tc>
        <w:tc>
          <w:tcPr>
            <w:tcW w:w="3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(15,137 )</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(13,897 )</w:t>
            </w:r>
          </w:p>
        </w:tc>
      </w:tr>
      <w:tr>
        <w:trPr>
          <w:trHeight w:val="217"/>
        </w:trPr>
        <w:tc>
          <w:tcPr>
            <w:tcW w:w="62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213,487</w:t>
            </w: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(1,358 )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-400050</wp:posOffset>
            </wp:positionV>
            <wp:extent cx="6032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-400050</wp:posOffset>
            </wp:positionV>
            <wp:extent cx="5143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-400050</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62" w:lineRule="exact"/>
        <w:rPr>
          <w:sz w:val="20"/>
          <w:szCs w:val="20"/>
          <w:color w:val="auto"/>
        </w:rPr>
      </w:pPr>
    </w:p>
    <w:p>
      <w:pPr>
        <w:ind w:right="40" w:firstLine="8"/>
        <w:spacing w:after="0" w:line="242" w:lineRule="auto"/>
        <w:tabs>
          <w:tab w:leader="none" w:pos="2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cash used in investing activities includes payments for purchases of property and equipment and costs related to capitalized for internal-use software development, which is also included in our calculation of free cash flow.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84"/>
        </w:trPr>
        <w:tc>
          <w:tcPr>
            <w:tcW w:w="6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8"/>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395,524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301,767</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235,778</w:t>
            </w:r>
          </w:p>
        </w:tc>
        <w:tc>
          <w:tcPr>
            <w:tcW w:w="8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274,144</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209,140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161,344</w:t>
            </w:r>
          </w:p>
        </w:tc>
        <w:tc>
          <w:tcPr>
            <w:tcW w:w="80" w:type="dxa"/>
            <w:vAlign w:val="bottom"/>
          </w:tcPr>
          <w:p>
            <w:pPr>
              <w:spacing w:after="0"/>
              <w:rPr>
                <w:sz w:val="17"/>
                <w:szCs w:val="17"/>
                <w:color w:val="auto"/>
              </w:rPr>
            </w:pPr>
          </w:p>
        </w:tc>
      </w:tr>
      <w:tr>
        <w:trPr>
          <w:trHeight w:val="196"/>
        </w:trPr>
        <w:tc>
          <w:tcPr>
            <w:tcW w:w="63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121,380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92,627</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74,434</w:t>
            </w:r>
          </w:p>
        </w:tc>
        <w:tc>
          <w:tcPr>
            <w:tcW w:w="8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34,122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24,510</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17,864</w:t>
            </w:r>
          </w:p>
        </w:tc>
        <w:tc>
          <w:tcPr>
            <w:tcW w:w="80" w:type="dxa"/>
            <w:vAlign w:val="bottom"/>
            <w:shd w:val="clear" w:color="auto" w:fill="CFF0FC"/>
          </w:tcPr>
          <w:p>
            <w:pPr>
              <w:spacing w:after="0"/>
              <w:rPr>
                <w:sz w:val="17"/>
                <w:szCs w:val="17"/>
                <w:color w:val="auto"/>
              </w:rPr>
            </w:pPr>
          </w:p>
        </w:tc>
      </w:tr>
      <w:tr>
        <w:trPr>
          <w:trHeight w:val="203"/>
        </w:trPr>
        <w:tc>
          <w:tcPr>
            <w:tcW w:w="6360" w:type="dxa"/>
            <w:vAlign w:val="bottom"/>
          </w:tcPr>
          <w:p>
            <w:pPr>
              <w:ind w:left="140"/>
              <w:spacing w:after="0" w:line="20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3"/>
                <w:szCs w:val="23"/>
                <w:color w:val="auto"/>
                <w:vertAlign w:val="superscript"/>
              </w:rPr>
              <w:t>(1)</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43,917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31,842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27,989</w:t>
            </w:r>
          </w:p>
        </w:tc>
        <w:tc>
          <w:tcPr>
            <w:tcW w:w="80" w:type="dxa"/>
            <w:vAlign w:val="bottom"/>
          </w:tcPr>
          <w:p>
            <w:pPr>
              <w:spacing w:after="0"/>
              <w:rPr>
                <w:sz w:val="17"/>
                <w:szCs w:val="17"/>
                <w:color w:val="auto"/>
              </w:rPr>
            </w:pPr>
          </w:p>
        </w:tc>
      </w:tr>
      <w:tr>
        <w:trPr>
          <w:trHeight w:val="203"/>
        </w:trPr>
        <w:tc>
          <w:tcPr>
            <w:tcW w:w="63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32,968</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17,847</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10,210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36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111,007</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56,063</w:t>
            </w:r>
          </w:p>
        </w:tc>
        <w:tc>
          <w:tcPr>
            <w:tcW w:w="80" w:type="dxa"/>
            <w:vAlign w:val="bottom"/>
          </w:tcPr>
          <w:p>
            <w:pPr>
              <w:spacing w:after="0"/>
              <w:rPr>
                <w:sz w:val="17"/>
                <w:szCs w:val="17"/>
                <w:color w:val="auto"/>
              </w:rPr>
            </w:pPr>
          </w:p>
        </w:tc>
      </w:tr>
      <w:tr>
        <w:trPr>
          <w:trHeight w:val="196"/>
        </w:trPr>
        <w:tc>
          <w:tcPr>
            <w:tcW w:w="63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10,373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18,428</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18,371</w:t>
            </w:r>
          </w:p>
        </w:tc>
        <w:tc>
          <w:tcPr>
            <w:tcW w:w="8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7"/>
                <w:szCs w:val="17"/>
                <w:color w:val="auto"/>
              </w:rPr>
            </w:pPr>
          </w:p>
        </w:tc>
      </w:tr>
      <w:tr>
        <w:trPr>
          <w:trHeight w:val="203"/>
        </w:trPr>
        <w:tc>
          <w:tcPr>
            <w:tcW w:w="6360" w:type="dxa"/>
            <w:vAlign w:val="bottom"/>
          </w:tcPr>
          <w:p>
            <w:pPr>
              <w:ind w:left="140"/>
              <w:spacing w:after="0" w:line="202" w:lineRule="exact"/>
              <w:rPr>
                <w:sz w:val="20"/>
                <w:szCs w:val="20"/>
                <w:color w:val="auto"/>
              </w:rPr>
            </w:pPr>
            <w:r>
              <w:rPr>
                <w:rFonts w:ascii="Arial" w:cs="Arial" w:eastAsia="Arial" w:hAnsi="Arial"/>
                <w:sz w:val="18"/>
                <w:szCs w:val="18"/>
                <w:color w:val="auto"/>
              </w:rPr>
              <w:t>Foreign exchange (loss) gain</w:t>
            </w:r>
          </w:p>
        </w:tc>
        <w:tc>
          <w:tcPr>
            <w:tcW w:w="340" w:type="dxa"/>
            <w:vAlign w:val="bottom"/>
          </w:tcPr>
          <w:p>
            <w:pPr>
              <w:spacing w:after="0"/>
              <w:rPr>
                <w:sz w:val="17"/>
                <w:szCs w:val="17"/>
                <w:color w:val="auto"/>
              </w:rPr>
            </w:pPr>
          </w:p>
        </w:tc>
        <w:tc>
          <w:tcPr>
            <w:tcW w:w="140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(1 )</w:t>
            </w:r>
          </w:p>
        </w:tc>
        <w:tc>
          <w:tcPr>
            <w:tcW w:w="14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r>
      <w:tr>
        <w:trPr>
          <w:trHeight w:val="196"/>
        </w:trPr>
        <w:tc>
          <w:tcPr>
            <w:tcW w:w="63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10,366</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18,364</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18,479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360" w:type="dxa"/>
            <w:vAlign w:val="bottom"/>
          </w:tcPr>
          <w:p>
            <w:pPr>
              <w:ind w:left="140"/>
              <w:spacing w:after="0" w:line="196" w:lineRule="exact"/>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7"/>
                <w:szCs w:val="17"/>
                <w:color w:val="auto"/>
              </w:rPr>
            </w:pPr>
          </w:p>
        </w:tc>
        <w:tc>
          <w:tcPr>
            <w:tcW w:w="140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(1,066 )</w:t>
            </w:r>
          </w:p>
        </w:tc>
        <w:tc>
          <w:tcPr>
            <w:tcW w:w="140" w:type="dxa"/>
            <w:vAlign w:val="bottom"/>
          </w:tcPr>
          <w:p>
            <w:pPr>
              <w:spacing w:after="0"/>
              <w:rPr>
                <w:sz w:val="17"/>
                <w:szCs w:val="17"/>
                <w:color w:val="auto"/>
              </w:rPr>
            </w:pPr>
          </w:p>
        </w:tc>
        <w:tc>
          <w:tcPr>
            <w:tcW w:w="1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(4,653 )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(4,782 )</w:t>
            </w:r>
          </w:p>
        </w:tc>
      </w:tr>
      <w:tr>
        <w:trPr>
          <w:trHeight w:val="236"/>
        </w:trPr>
        <w:tc>
          <w:tcPr>
            <w:tcW w:w="6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9,300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13,711</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13,697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-1093470</wp:posOffset>
            </wp:positionV>
            <wp:extent cx="603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-1093470</wp:posOffset>
            </wp:positionV>
            <wp:extent cx="5143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-1093470</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-296545</wp:posOffset>
            </wp:positionV>
            <wp:extent cx="603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-296545</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6"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Stock-based compensation expense was allocated in cost of revenue and operating expenses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280" w:type="dxa"/>
            <w:vAlign w:val="bottom"/>
            <w:gridSpan w:val="2"/>
            <w:shd w:val="clear" w:color="auto" w:fill="CFF0FC"/>
          </w:tcPr>
          <w:p>
            <w:pPr>
              <w:jc w:val="right"/>
              <w:ind w:right="79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2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7"/>
                <w:szCs w:val="17"/>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2,339</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1,933</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1,566</w:t>
            </w:r>
          </w:p>
        </w:tc>
        <w:tc>
          <w:tcPr>
            <w:tcW w:w="60" w:type="dxa"/>
            <w:vAlign w:val="bottom"/>
          </w:tcPr>
          <w:p>
            <w:pPr>
              <w:spacing w:after="0"/>
              <w:rPr>
                <w:sz w:val="17"/>
                <w:szCs w:val="17"/>
                <w:color w:val="auto"/>
              </w:rPr>
            </w:pPr>
          </w:p>
        </w:tc>
      </w:tr>
      <w:tr>
        <w:trPr>
          <w:trHeight w:val="236"/>
        </w:trPr>
        <w:tc>
          <w:tcPr>
            <w:tcW w:w="40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stock-based compensation</w:t>
            </w:r>
          </w:p>
        </w:tc>
        <w:tc>
          <w:tcPr>
            <w:tcW w:w="2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9"/>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3,136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1,994</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4060" w:type="dxa"/>
            <w:vAlign w:val="bottom"/>
          </w:tcPr>
          <w:p>
            <w:pPr>
              <w:spacing w:after="0"/>
              <w:rPr>
                <w:sz w:val="24"/>
                <w:szCs w:val="24"/>
                <w:color w:val="auto"/>
              </w:rPr>
            </w:pPr>
          </w:p>
        </w:tc>
        <w:tc>
          <w:tcPr>
            <w:tcW w:w="2300" w:type="dxa"/>
            <w:vAlign w:val="bottom"/>
          </w:tcPr>
          <w:p>
            <w:pPr>
              <w:jc w:val="right"/>
              <w:ind w:right="550"/>
              <w:spacing w:after="0"/>
              <w:rPr>
                <w:sz w:val="20"/>
                <w:szCs w:val="20"/>
                <w:color w:val="auto"/>
              </w:rPr>
            </w:pPr>
            <w:r>
              <w:rPr>
                <w:rFonts w:ascii="Arial" w:cs="Arial" w:eastAsia="Arial" w:hAnsi="Arial"/>
                <w:sz w:val="18"/>
                <w:szCs w:val="18"/>
                <w:color w:val="auto"/>
              </w:rPr>
              <w:t>61</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-367665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-350520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-367665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-350520</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-367665</wp:posOffset>
            </wp:positionV>
            <wp:extent cx="43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-350520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1" w:name="page62"/>
    <w:bookmarkEnd w:id="61"/>
    <w:p>
      <w:pPr>
        <w:ind w:right="180" w:firstLine="494"/>
        <w:spacing w:after="0" w:line="246" w:lineRule="auto"/>
        <w:rPr>
          <w:sz w:val="20"/>
          <w:szCs w:val="20"/>
          <w:color w:val="auto"/>
        </w:rPr>
      </w:pPr>
      <w:r>
        <w:rPr>
          <w:rFonts w:ascii="Arial" w:cs="Arial" w:eastAsia="Arial" w:hAnsi="Arial"/>
          <w:sz w:val="18"/>
          <w:szCs w:val="18"/>
          <w:color w:val="auto"/>
        </w:rPr>
        <w:t>The following table presents the components of our consolidated statements of operations for the periods presented as a percentage of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760" w:type="dxa"/>
            <w:vAlign w:val="bottom"/>
            <w:gridSpan w:val="4"/>
            <w:shd w:val="clear" w:color="auto" w:fill="CFF0FC"/>
          </w:tcPr>
          <w:p>
            <w:pPr>
              <w:jc w:val="right"/>
              <w:ind w:right="159"/>
              <w:spacing w:after="0" w:line="202" w:lineRule="exact"/>
              <w:rPr>
                <w:sz w:val="20"/>
                <w:szCs w:val="20"/>
                <w:color w:val="auto"/>
              </w:rPr>
            </w:pPr>
            <w:r>
              <w:rPr>
                <w:rFonts w:ascii="Arial" w:cs="Arial" w:eastAsia="Arial" w:hAnsi="Arial"/>
                <w:sz w:val="18"/>
                <w:szCs w:val="18"/>
                <w:color w:val="auto"/>
              </w:rPr>
              <w:t>100.0 %</w:t>
            </w:r>
          </w:p>
        </w:tc>
        <w:tc>
          <w:tcPr>
            <w:tcW w:w="1720" w:type="dxa"/>
            <w:vAlign w:val="bottom"/>
            <w:gridSpan w:val="4"/>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100.0 %</w:t>
            </w:r>
          </w:p>
        </w:tc>
        <w:tc>
          <w:tcPr>
            <w:tcW w:w="14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69.3</w:t>
            </w:r>
          </w:p>
        </w:tc>
        <w:tc>
          <w:tcPr>
            <w:tcW w:w="42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Gross profit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30.7</w:t>
            </w:r>
          </w:p>
        </w:tc>
        <w:tc>
          <w:tcPr>
            <w:tcW w:w="4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30.7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4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11.1</w:t>
            </w:r>
          </w:p>
        </w:tc>
        <w:tc>
          <w:tcPr>
            <w:tcW w:w="42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4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28.1</w:t>
            </w:r>
          </w:p>
        </w:tc>
        <w:tc>
          <w:tcPr>
            <w:tcW w:w="42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4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(expense) income, net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40" w:type="dxa"/>
            <w:vAlign w:val="bottom"/>
            <w:gridSpan w:val="3"/>
            <w:shd w:val="clear" w:color="auto" w:fill="CFF0FC"/>
          </w:tcPr>
          <w:p>
            <w:pPr>
              <w:jc w:val="right"/>
              <w:ind w:right="339"/>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80" w:type="dxa"/>
            <w:vAlign w:val="bottom"/>
          </w:tcPr>
          <w:p>
            <w:pPr>
              <w:ind w:left="140"/>
              <w:spacing w:after="0" w:line="202" w:lineRule="exact"/>
              <w:rPr>
                <w:sz w:val="20"/>
                <w:szCs w:val="20"/>
                <w:color w:val="auto"/>
              </w:rPr>
            </w:pPr>
            <w:r>
              <w:rPr>
                <w:rFonts w:ascii="Arial" w:cs="Arial" w:eastAsia="Arial" w:hAnsi="Arial"/>
                <w:sz w:val="18"/>
                <w:szCs w:val="18"/>
                <w:color w:val="auto"/>
              </w:rPr>
              <w:t>Foreign exchange (loss) gain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gridSpan w:val="3"/>
          </w:tcPr>
          <w:p>
            <w:pPr>
              <w:jc w:val="right"/>
              <w:ind w:right="339"/>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4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140"/>
              <w:spacing w:after="0" w:line="196" w:lineRule="exact"/>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gridSpan w:val="3"/>
          </w:tcPr>
          <w:p>
            <w:pPr>
              <w:jc w:val="right"/>
              <w:ind w:right="259"/>
              <w:spacing w:after="0" w:line="196" w:lineRule="exact"/>
              <w:rPr>
                <w:sz w:val="20"/>
                <w:szCs w:val="20"/>
                <w:color w:val="auto"/>
              </w:rPr>
            </w:pPr>
            <w:r>
              <w:rPr>
                <w:rFonts w:ascii="Arial" w:cs="Arial" w:eastAsia="Arial" w:hAnsi="Arial"/>
                <w:sz w:val="18"/>
                <w:szCs w:val="18"/>
                <w:color w:val="auto"/>
                <w:w w:val="90"/>
              </w:rPr>
              <w:t>(0.3 )</w:t>
            </w:r>
          </w:p>
        </w:tc>
        <w:tc>
          <w:tcPr>
            <w:tcW w:w="14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(1.5 )</w:t>
            </w:r>
          </w:p>
        </w:tc>
        <w:tc>
          <w:tcPr>
            <w:tcW w:w="260" w:type="dxa"/>
            <w:vAlign w:val="bottom"/>
          </w:tcPr>
          <w:p>
            <w:pPr>
              <w:spacing w:after="0"/>
              <w:rPr>
                <w:sz w:val="17"/>
                <w:szCs w:val="17"/>
                <w:color w:val="auto"/>
              </w:rPr>
            </w:pPr>
          </w:p>
        </w:tc>
        <w:tc>
          <w:tcPr>
            <w:tcW w:w="1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2.3</w:t>
            </w:r>
          </w:p>
        </w:tc>
        <w:tc>
          <w:tcPr>
            <w:tcW w:w="420" w:type="dxa"/>
            <w:vAlign w:val="bottom"/>
            <w:tcBorders>
              <w:bottom w:val="single" w:sz="8" w:color="CFF0FC"/>
            </w:tcBorders>
            <w:shd w:val="clear" w:color="auto" w:fill="CFF0FC"/>
          </w:tcPr>
          <w:p>
            <w:pPr>
              <w:jc w:val="right"/>
              <w:ind w:right="159"/>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4.6</w:t>
            </w:r>
          </w:p>
        </w:tc>
        <w:tc>
          <w:tcPr>
            <w:tcW w:w="380" w:type="dxa"/>
            <w:vAlign w:val="bottom"/>
            <w:tcBorders>
              <w:bottom w:val="single" w:sz="8" w:color="CFF0FC"/>
            </w:tcBorders>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w:t>
            </w:r>
          </w:p>
        </w:tc>
        <w:tc>
          <w:tcPr>
            <w:tcW w:w="22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13"/>
        </w:trPr>
        <w:tc>
          <w:tcPr>
            <w:tcW w:w="54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ind w:left="500"/>
              <w:spacing w:after="0"/>
              <w:rPr>
                <w:sz w:val="20"/>
                <w:szCs w:val="20"/>
                <w:color w:val="auto"/>
              </w:rPr>
            </w:pPr>
            <w:r>
              <w:rPr>
                <w:rFonts w:ascii="Arial" w:cs="Arial" w:eastAsia="Arial" w:hAnsi="Arial"/>
                <w:sz w:val="18"/>
                <w:szCs w:val="18"/>
                <w:i w:val="1"/>
                <w:iCs w:val="1"/>
                <w:color w:val="auto"/>
              </w:rPr>
              <w:t>Revenue</w:t>
            </w:r>
          </w:p>
        </w:tc>
        <w:tc>
          <w:tcPr>
            <w:tcW w:w="380" w:type="dxa"/>
            <w:vAlign w:val="bottom"/>
          </w:tcPr>
          <w:p>
            <w:pPr>
              <w:spacing w:after="0"/>
              <w:rPr>
                <w:sz w:val="24"/>
                <w:szCs w:val="24"/>
                <w:color w:val="auto"/>
              </w:rPr>
            </w:pPr>
          </w:p>
        </w:tc>
        <w:tc>
          <w:tcPr>
            <w:tcW w:w="3200" w:type="dxa"/>
            <w:vAlign w:val="bottom"/>
            <w:gridSpan w:val="4"/>
            <w:vMerge w:val="restart"/>
          </w:tcPr>
          <w:p>
            <w:pPr>
              <w:jc w:val="right"/>
              <w:ind w:right="836"/>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Amount</w:t>
            </w:r>
          </w:p>
        </w:tc>
        <w:tc>
          <w:tcPr>
            <w:tcW w:w="300" w:type="dxa"/>
            <w:vAlign w:val="bottom"/>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80" w:type="dxa"/>
            <w:vAlign w:val="bottom"/>
            <w:gridSpan w:val="8"/>
          </w:tcPr>
          <w:p>
            <w:pPr>
              <w:jc w:val="right"/>
              <w:ind w:right="1600"/>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395,524</w:t>
            </w:r>
          </w:p>
        </w:tc>
        <w:tc>
          <w:tcPr>
            <w:tcW w:w="920" w:type="dxa"/>
            <w:vAlign w:val="bottom"/>
            <w:gridSpan w:val="2"/>
            <w:shd w:val="clear" w:color="auto" w:fill="CFF0FC"/>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301,767</w:t>
            </w:r>
          </w:p>
        </w:tc>
        <w:tc>
          <w:tcPr>
            <w:tcW w:w="740" w:type="dxa"/>
            <w:vAlign w:val="bottom"/>
            <w:gridSpan w:val="3"/>
            <w:shd w:val="clear" w:color="auto" w:fill="CFF0FC"/>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93,757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-2131060</wp:posOffset>
            </wp:positionV>
            <wp:extent cx="15430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-2131060</wp:posOffset>
            </wp:positionV>
            <wp:extent cx="14605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-2131060</wp:posOffset>
            </wp:positionV>
            <wp:extent cx="14541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-1333500</wp:posOffset>
            </wp:positionV>
            <wp:extent cx="15430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-1333500</wp:posOffset>
            </wp:positionV>
            <wp:extent cx="14605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-1333500</wp:posOffset>
            </wp:positionV>
            <wp:extent cx="1454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-1062355</wp:posOffset>
            </wp:positionV>
            <wp:extent cx="1543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-1045210</wp:posOffset>
            </wp:positionV>
            <wp:extent cx="1543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-1062355</wp:posOffset>
            </wp:positionV>
            <wp:extent cx="1460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-1045210</wp:posOffset>
            </wp:positionV>
            <wp:extent cx="1460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-1062355</wp:posOffset>
            </wp:positionV>
            <wp:extent cx="1454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-1045210</wp:posOffset>
            </wp:positionV>
            <wp:extent cx="1454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95" w:lineRule="exact"/>
        <w:rPr>
          <w:sz w:val="20"/>
          <w:szCs w:val="20"/>
          <w:color w:val="auto"/>
        </w:rPr>
      </w:pPr>
    </w:p>
    <w:p>
      <w:pPr>
        <w:ind w:right="260" w:firstLine="499"/>
        <w:spacing w:after="0" w:line="238"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and increased transactions from our existing billers, offset by a decrease in the revenue we received per transaction on a blended basis. We believe we will continue to add new billers, increase transactions from our existing billers and add new financial institutions, which we expect to further increase our transactions and revenue.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8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000" w:type="dxa"/>
            <w:vAlign w:val="bottom"/>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96"/>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274,144</w:t>
            </w: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209,140</w:t>
            </w: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65,004</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60" w:type="dxa"/>
            <w:vAlign w:val="bottom"/>
            <w:shd w:val="clear" w:color="auto" w:fill="CFF0FC"/>
          </w:tcPr>
          <w:p>
            <w:pPr>
              <w:spacing w:after="0"/>
              <w:rPr>
                <w:sz w:val="17"/>
                <w:szCs w:val="17"/>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121,380</w:t>
            </w:r>
          </w:p>
        </w:tc>
        <w:tc>
          <w:tcPr>
            <w:tcW w:w="480" w:type="dxa"/>
            <w:vAlign w:val="bottom"/>
          </w:tcPr>
          <w:p>
            <w:pPr>
              <w:spacing w:after="0"/>
              <w:rPr>
                <w:sz w:val="17"/>
                <w:szCs w:val="17"/>
                <w:color w:val="auto"/>
              </w:rPr>
            </w:pPr>
          </w:p>
        </w:tc>
        <w:tc>
          <w:tcPr>
            <w:tcW w:w="340" w:type="dxa"/>
            <w:vAlign w:val="bottom"/>
          </w:tcPr>
          <w:p>
            <w:pPr>
              <w:jc w:val="right"/>
              <w:ind w:right="136"/>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92,627</w:t>
            </w:r>
          </w:p>
        </w:tc>
        <w:tc>
          <w:tcPr>
            <w:tcW w:w="4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28,753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tcPr>
          <w:p>
            <w:pPr>
              <w:spacing w:after="0"/>
              <w:rPr>
                <w:sz w:val="17"/>
                <w:szCs w:val="17"/>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30.7 %</w:t>
            </w:r>
          </w:p>
        </w:tc>
        <w:tc>
          <w:tcPr>
            <w:tcW w:w="3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30.7 %</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right="160" w:firstLine="499"/>
        <w:spacing w:after="0" w:line="237"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cost of revenue consists primarily of interchange fees and processor costs as well as other direct and indirect costs associated with making our platform available to our billers. In addition, the increase includes amortization of intangible assets acquired through the Payveris and Finovera acquisitions. The average payment amount of our transactions during the year ended December 31, 2021 increased slightly as compared to the same period in 2020, resulting in increased interchange fees. However, the range of transaction sizes has grown as we have entered into new channels and industry verticals across different markets.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Gross margin was consistent during the year ended December 31, 2021 as compared to the same period in 2020.</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3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69"/>
        </w:trPr>
        <w:tc>
          <w:tcPr>
            <w:tcW w:w="3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74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34,122</w:t>
            </w:r>
          </w:p>
        </w:tc>
        <w:tc>
          <w:tcPr>
            <w:tcW w:w="8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24,510</w:t>
            </w:r>
          </w:p>
        </w:tc>
        <w:tc>
          <w:tcPr>
            <w:tcW w:w="10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9,612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60" w:type="dxa"/>
            <w:vAlign w:val="bottom"/>
          </w:tcPr>
          <w:p>
            <w:pPr>
              <w:spacing w:after="0"/>
              <w:rPr>
                <w:sz w:val="17"/>
                <w:szCs w:val="17"/>
                <w:color w:val="auto"/>
              </w:rPr>
            </w:pPr>
          </w:p>
        </w:tc>
      </w:tr>
      <w:tr>
        <w:trPr>
          <w:trHeight w:val="203"/>
        </w:trPr>
        <w:tc>
          <w:tcPr>
            <w:tcW w:w="37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43,917</w:t>
            </w: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31,842</w:t>
            </w:r>
          </w:p>
        </w:tc>
        <w:tc>
          <w:tcPr>
            <w:tcW w:w="4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12,075</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w:t>
            </w:r>
          </w:p>
        </w:tc>
        <w:tc>
          <w:tcPr>
            <w:tcW w:w="60" w:type="dxa"/>
            <w:vAlign w:val="bottom"/>
            <w:shd w:val="clear" w:color="auto" w:fill="CFF0FC"/>
          </w:tcPr>
          <w:p>
            <w:pPr>
              <w:spacing w:after="0"/>
              <w:rPr>
                <w:sz w:val="17"/>
                <w:szCs w:val="17"/>
                <w:color w:val="auto"/>
              </w:rPr>
            </w:pPr>
          </w:p>
        </w:tc>
      </w:tr>
      <w:tr>
        <w:trPr>
          <w:trHeight w:val="203"/>
        </w:trPr>
        <w:tc>
          <w:tcPr>
            <w:tcW w:w="3740" w:type="dxa"/>
            <w:vAlign w:val="bottom"/>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32,968</w:t>
            </w:r>
          </w:p>
        </w:tc>
        <w:tc>
          <w:tcPr>
            <w:tcW w:w="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17,847</w:t>
            </w:r>
          </w:p>
        </w:tc>
        <w:tc>
          <w:tcPr>
            <w:tcW w:w="4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84.7</w:t>
            </w:r>
          </w:p>
        </w:tc>
        <w:tc>
          <w:tcPr>
            <w:tcW w:w="60" w:type="dxa"/>
            <w:vAlign w:val="bottom"/>
          </w:tcPr>
          <w:p>
            <w:pPr>
              <w:spacing w:after="0"/>
              <w:rPr>
                <w:sz w:val="17"/>
                <w:szCs w:val="17"/>
                <w:color w:val="auto"/>
              </w:rPr>
            </w:pPr>
          </w:p>
        </w:tc>
      </w:tr>
      <w:tr>
        <w:trPr>
          <w:trHeight w:val="183"/>
        </w:trPr>
        <w:tc>
          <w:tcPr>
            <w:tcW w:w="3740" w:type="dxa"/>
            <w:vAlign w:val="bottom"/>
          </w:tcPr>
          <w:p>
            <w:pPr>
              <w:ind w:left="280"/>
              <w:spacing w:after="0" w:line="182" w:lineRule="exact"/>
              <w:rPr>
                <w:sz w:val="20"/>
                <w:szCs w:val="20"/>
                <w:color w:val="auto"/>
              </w:rPr>
            </w:pPr>
            <w:r>
              <w:rPr>
                <w:rFonts w:ascii="Arial" w:cs="Arial" w:eastAsia="Arial" w:hAnsi="Arial"/>
                <w:sz w:val="18"/>
                <w:szCs w:val="18"/>
                <w:color w:val="auto"/>
              </w:rPr>
              <w:t>Total operating expenses</w:t>
            </w:r>
          </w:p>
        </w:tc>
        <w:tc>
          <w:tcPr>
            <w:tcW w:w="36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111,007</w:t>
            </w:r>
          </w:p>
        </w:tc>
        <w:tc>
          <w:tcPr>
            <w:tcW w:w="480" w:type="dxa"/>
            <w:vAlign w:val="bottom"/>
          </w:tcPr>
          <w:p>
            <w:pPr>
              <w:spacing w:after="0"/>
              <w:rPr>
                <w:sz w:val="15"/>
                <w:szCs w:val="15"/>
                <w:color w:val="auto"/>
              </w:rPr>
            </w:pP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74,199</w:t>
            </w:r>
          </w:p>
        </w:tc>
        <w:tc>
          <w:tcPr>
            <w:tcW w:w="460" w:type="dxa"/>
            <w:vAlign w:val="bottom"/>
          </w:tcPr>
          <w:p>
            <w:pPr>
              <w:spacing w:after="0"/>
              <w:rPr>
                <w:sz w:val="15"/>
                <w:szCs w:val="15"/>
                <w:color w:val="auto"/>
              </w:rPr>
            </w:pPr>
          </w:p>
        </w:tc>
        <w:tc>
          <w:tcPr>
            <w:tcW w:w="540" w:type="dxa"/>
            <w:vAlign w:val="bottom"/>
          </w:tcPr>
          <w:p>
            <w:pPr>
              <w:jc w:val="center"/>
              <w:ind w:right="31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36,808</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3740" w:type="dxa"/>
            <w:vAlign w:val="bottom"/>
          </w:tcPr>
          <w:p>
            <w:pPr>
              <w:ind w:left="20"/>
              <w:spacing w:after="0" w:line="196" w:lineRule="exact"/>
              <w:rPr>
                <w:sz w:val="20"/>
                <w:szCs w:val="20"/>
                <w:color w:val="auto"/>
              </w:rPr>
            </w:pPr>
            <w:r>
              <w:rPr>
                <w:rFonts w:ascii="Arial" w:cs="Arial" w:eastAsia="Arial" w:hAnsi="Arial"/>
                <w:sz w:val="18"/>
                <w:szCs w:val="18"/>
                <w:color w:val="auto"/>
              </w:rPr>
              <w:t>Percentage of total revenue</w:t>
            </w:r>
          </w:p>
        </w:tc>
        <w:tc>
          <w:tcPr>
            <w:tcW w:w="15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37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19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8.6 %</w:t>
            </w:r>
          </w:p>
        </w:tc>
        <w:tc>
          <w:tcPr>
            <w:tcW w:w="19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8.1 %</w:t>
            </w:r>
          </w:p>
        </w:tc>
        <w:tc>
          <w:tcPr>
            <w:tcW w:w="16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r>
      <w:tr>
        <w:trPr>
          <w:trHeight w:val="203"/>
        </w:trPr>
        <w:tc>
          <w:tcPr>
            <w:tcW w:w="3740" w:type="dxa"/>
            <w:vAlign w:val="bottom"/>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1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11.1 %</w:t>
            </w:r>
          </w:p>
        </w:tc>
        <w:tc>
          <w:tcPr>
            <w:tcW w:w="1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10.6 %</w:t>
            </w:r>
          </w:p>
        </w:tc>
        <w:tc>
          <w:tcPr>
            <w:tcW w:w="16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37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19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8.4 %</w:t>
            </w:r>
          </w:p>
        </w:tc>
        <w:tc>
          <w:tcPr>
            <w:tcW w:w="19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5.9 %</w:t>
            </w:r>
          </w:p>
        </w:tc>
        <w:tc>
          <w:tcPr>
            <w:tcW w:w="16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Additional contributors to the increased expense were increased hosting costs as we transition from datacenter to the cloud, increased stock-based compensation associated with routine grants to existing employees and additional expense associated with the Payveris and Finovera acquisitions.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22"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Additional contributors to the increased expense were amortization expense related to the identifiable intangible assets from the Payveris and Finovera acquisitions, increased stock-based compensation associated with routine grants to existing employees and additional expense associated with the Payveris and Finovera acquisitions.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180" w:firstLine="494"/>
        <w:spacing w:after="0" w:line="238" w:lineRule="auto"/>
        <w:rPr>
          <w:sz w:val="20"/>
          <w:szCs w:val="20"/>
          <w:color w:val="auto"/>
        </w:rPr>
      </w:pPr>
      <w:r>
        <w:rPr>
          <w:rFonts w:ascii="Arial" w:cs="Arial" w:eastAsia="Arial" w:hAnsi="Arial"/>
          <w:sz w:val="18"/>
          <w:szCs w:val="18"/>
          <w:color w:val="auto"/>
        </w:rPr>
        <w:t>The increase in general and administrative expenses was primarily due to indirect costs incurred associated with completion of our IPO, the increased costs of operating as a public company, including significant increases in our directors and officers insurance premiums, one-time legal and other fees associated with the Payveris and Finovera acquisitions, and increases in employee-related costs, including benefits and stock-based compensation, due to an increase in general and administrative headcount.</w:t>
      </w:r>
    </w:p>
    <w:p>
      <w:pPr>
        <w:spacing w:after="0" w:line="97" w:lineRule="exact"/>
        <w:rPr>
          <w:sz w:val="20"/>
          <w:szCs w:val="20"/>
          <w:color w:val="auto"/>
        </w:rPr>
      </w:pPr>
    </w:p>
    <w:p>
      <w:pPr>
        <w:jc w:val="both"/>
        <w:ind w:right="120" w:firstLine="494"/>
        <w:spacing w:after="0"/>
        <w:rPr>
          <w:sz w:val="20"/>
          <w:szCs w:val="20"/>
          <w:color w:val="auto"/>
        </w:rPr>
      </w:pPr>
      <w:r>
        <w:rPr>
          <w:rFonts w:ascii="Arial" w:cs="Arial" w:eastAsia="Arial" w:hAnsi="Arial"/>
          <w:sz w:val="18"/>
          <w:szCs w:val="18"/>
          <w:color w:val="auto"/>
        </w:rPr>
        <w:t>The increase in general and administrative expenses as a percentage of revenue was primarily due to certain one-time and increased ongoing costs associated with operating as a public company and one-time legal and other fees associated with the Payveris and Finovera acquisitions.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3780" w:type="dxa"/>
            <w:vAlign w:val="bottom"/>
          </w:tcPr>
          <w:p>
            <w:pPr>
              <w:spacing w:after="0"/>
              <w:rPr>
                <w:sz w:val="15"/>
                <w:szCs w:val="15"/>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3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income, net</w:t>
            </w:r>
          </w:p>
        </w:tc>
        <w:tc>
          <w:tcPr>
            <w:tcW w:w="1200" w:type="dxa"/>
            <w:vAlign w:val="bottom"/>
            <w:shd w:val="clear" w:color="auto" w:fill="CFF0FC"/>
          </w:tcPr>
          <w:p>
            <w:pPr>
              <w:jc w:val="right"/>
              <w:ind w:right="102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(6 )</w:t>
            </w:r>
          </w:p>
        </w:tc>
        <w:tc>
          <w:tcPr>
            <w:tcW w:w="960" w:type="dxa"/>
            <w:vAlign w:val="bottom"/>
            <w:shd w:val="clear" w:color="auto" w:fill="CFF0FC"/>
          </w:tcPr>
          <w:p>
            <w:pPr>
              <w:jc w:val="right"/>
              <w:ind w:right="779"/>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999"/>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(58 )</w:t>
            </w:r>
          </w:p>
        </w:tc>
        <w:tc>
          <w:tcPr>
            <w:tcW w:w="4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(111.5 )</w:t>
            </w:r>
          </w:p>
        </w:tc>
      </w:tr>
      <w:tr>
        <w:trPr>
          <w:trHeight w:val="217"/>
        </w:trPr>
        <w:tc>
          <w:tcPr>
            <w:tcW w:w="378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12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(1 )</w:t>
            </w:r>
          </w:p>
        </w:tc>
        <w:tc>
          <w:tcPr>
            <w:tcW w:w="9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(116 )</w:t>
            </w: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(99.1 )</w:t>
            </w:r>
          </w:p>
        </w:tc>
      </w:tr>
    </w:tbl>
    <w:p>
      <w:pPr>
        <w:spacing w:after="0" w:line="201" w:lineRule="exact"/>
        <w:rPr>
          <w:sz w:val="20"/>
          <w:szCs w:val="20"/>
          <w:color w:val="auto"/>
        </w:rPr>
      </w:pPr>
    </w:p>
    <w:p>
      <w:pPr>
        <w:ind w:right="120" w:firstLine="499"/>
        <w:spacing w:after="0" w:line="246" w:lineRule="auto"/>
        <w:rPr>
          <w:sz w:val="20"/>
          <w:szCs w:val="20"/>
          <w:color w:val="auto"/>
        </w:rPr>
      </w:pPr>
      <w:r>
        <w:rPr>
          <w:rFonts w:ascii="Arial" w:cs="Arial" w:eastAsia="Arial" w:hAnsi="Arial"/>
          <w:sz w:val="18"/>
          <w:szCs w:val="18"/>
          <w:color w:val="auto"/>
        </w:rPr>
        <w:t>The decrease in interest income, net was primarily due to interest expense recorded for finance leases offset by interest on the higher cash balance as a result of the IPO.</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r>
      <w:tr>
        <w:trPr>
          <w:trHeight w:val="196"/>
        </w:trPr>
        <w:tc>
          <w:tcPr>
            <w:tcW w:w="3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FF0FC"/>
          </w:tcPr>
          <w:p>
            <w:pPr>
              <w:jc w:val="right"/>
              <w:ind w:right="862"/>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gridSpan w:val="3"/>
            <w:shd w:val="clear" w:color="auto" w:fill="CFF0FC"/>
          </w:tcPr>
          <w:p>
            <w:pPr>
              <w:jc w:val="right"/>
              <w:ind w:right="788"/>
              <w:spacing w:after="0" w:line="202" w:lineRule="exact"/>
              <w:rPr>
                <w:sz w:val="20"/>
                <w:szCs w:val="20"/>
                <w:color w:val="auto"/>
              </w:rPr>
            </w:pPr>
            <w:r>
              <w:rPr>
                <w:rFonts w:ascii="Arial" w:cs="Arial" w:eastAsia="Arial" w:hAnsi="Arial"/>
                <w:sz w:val="18"/>
                <w:szCs w:val="18"/>
                <w:color w:val="auto"/>
              </w:rPr>
              <w:t>(1,066 )   $</w:t>
            </w:r>
          </w:p>
        </w:tc>
        <w:tc>
          <w:tcPr>
            <w:tcW w:w="2060" w:type="dxa"/>
            <w:vAlign w:val="bottom"/>
            <w:gridSpan w:val="3"/>
            <w:shd w:val="clear" w:color="auto" w:fill="CFF0FC"/>
          </w:tcPr>
          <w:p>
            <w:pPr>
              <w:jc w:val="right"/>
              <w:ind w:right="928"/>
              <w:spacing w:after="0" w:line="202" w:lineRule="exact"/>
              <w:rPr>
                <w:sz w:val="20"/>
                <w:szCs w:val="20"/>
                <w:color w:val="auto"/>
              </w:rPr>
            </w:pPr>
            <w:r>
              <w:rPr>
                <w:rFonts w:ascii="Arial" w:cs="Arial" w:eastAsia="Arial" w:hAnsi="Arial"/>
                <w:sz w:val="18"/>
                <w:szCs w:val="18"/>
                <w:color w:val="auto"/>
              </w:rPr>
              <w:t>(4,653 )   $</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3,587</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(77.1 )</w:t>
            </w:r>
          </w:p>
        </w:tc>
      </w:tr>
    </w:tbl>
    <w:p>
      <w:pPr>
        <w:spacing w:after="0" w:line="215" w:lineRule="exact"/>
        <w:rPr>
          <w:sz w:val="20"/>
          <w:szCs w:val="20"/>
          <w:color w:val="auto"/>
        </w:rPr>
      </w:pPr>
    </w:p>
    <w:p>
      <w:pPr>
        <w:ind w:right="260" w:firstLine="499"/>
        <w:spacing w:after="0" w:line="234" w:lineRule="auto"/>
        <w:rPr>
          <w:sz w:val="20"/>
          <w:szCs w:val="20"/>
          <w:color w:val="auto"/>
        </w:rPr>
      </w:pPr>
      <w:r>
        <w:rPr>
          <w:rFonts w:ascii="Arial" w:cs="Arial" w:eastAsia="Arial" w:hAnsi="Arial"/>
          <w:sz w:val="18"/>
          <w:szCs w:val="18"/>
          <w:color w:val="auto"/>
        </w:rPr>
        <w:t>The change in provision for income taxes as well as the decrease in the Company's effective tax rate, which decreased to 10.4% for the year ended December 31, 2021 as compared to 25.3% for the same period in the prior year, was primarily due to discrete tax adjustments related to the deductibility of stock option exercises offset by nondeductible executive compensation and nondeductible IPO costs in connection with the IPO.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26"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As of December 31, 2021, we had $168.4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which primarily consist of employee-related costs. Currently, we do not have any material planned capital expenditures in the next 12 months.</w:t>
      </w:r>
    </w:p>
    <w:p>
      <w:pPr>
        <w:spacing w:after="0" w:line="94"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In September 2021, we completed the acquisitions of Payveris and Finovera for an aggregate purchase price of $158.4 million, comprised of (i) $90.1 million in cash, of which $0.8 million is being held back by us for a period of twenty-four months following the closing of the Finovera transaction, and (ii) 2,657,776 shares of our Class A common stock with a fair value of approximately $68.3 million, of which 2,494 shares of Class A common stock with an approximate value of $0.06 million remains issuable.</w:t>
      </w:r>
    </w:p>
    <w:p>
      <w:pPr>
        <w:spacing w:after="0" w:line="97" w:lineRule="exact"/>
        <w:rPr>
          <w:sz w:val="20"/>
          <w:szCs w:val="20"/>
          <w:color w:val="auto"/>
        </w:rPr>
      </w:pPr>
    </w:p>
    <w:p>
      <w:pPr>
        <w:ind w:right="240" w:firstLine="494"/>
        <w:spacing w:after="0" w:line="238" w:lineRule="auto"/>
        <w:rPr>
          <w:sz w:val="20"/>
          <w:szCs w:val="20"/>
          <w:color w:val="auto"/>
        </w:rPr>
      </w:pPr>
      <w:r>
        <w:rPr>
          <w:rFonts w:ascii="Arial" w:cs="Arial" w:eastAsia="Arial" w:hAnsi="Arial"/>
          <w:sz w:val="18"/>
          <w:szCs w:val="18"/>
          <w:color w:val="auto"/>
        </w:rPr>
        <w:t>In May 2021, we completed our IPO which resulted in aggregate net proceeds of $224.6 million, after underwriting discounts and commissions of $16.9 million. We also received aggregate proceeds of $50.0 million from a private placement completed concurrently with the IPO, and did not pay any underwriting discounts or commissions with respect to the shares that were sold in the concurrent private placement.</w:t>
      </w:r>
    </w:p>
    <w:p>
      <w:pPr>
        <w:spacing w:after="0" w:line="97"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40"/>
              <w:spacing w:after="0" w:line="202" w:lineRule="exact"/>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19,493</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35,620</w:t>
            </w:r>
          </w:p>
        </w:tc>
        <w:tc>
          <w:tcPr>
            <w:tcW w:w="22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17,511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(77,809 )</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(15,137 )</w:t>
            </w: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(13,897 )</w:t>
            </w:r>
          </w:p>
        </w:tc>
        <w:tc>
          <w:tcPr>
            <w:tcW w:w="0" w:type="dxa"/>
            <w:vAlign w:val="bottom"/>
          </w:tcPr>
          <w:p>
            <w:pPr>
              <w:spacing w:after="0"/>
              <w:rPr>
                <w:sz w:val="1"/>
                <w:szCs w:val="1"/>
                <w:color w:val="auto"/>
              </w:rPr>
            </w:pPr>
          </w:p>
        </w:tc>
      </w:tr>
      <w:tr>
        <w:trPr>
          <w:trHeight w:val="203"/>
        </w:trPr>
        <w:tc>
          <w:tcPr>
            <w:tcW w:w="6480" w:type="dxa"/>
            <w:vAlign w:val="bottom"/>
          </w:tcPr>
          <w:p>
            <w:pPr>
              <w:ind w:left="140"/>
              <w:spacing w:after="0" w:line="202" w:lineRule="exact"/>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213,487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(1,358 )</w:t>
            </w: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(857 )</w:t>
            </w: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Effects of foreign exchange on cash, cash equivalents and restricted</w:t>
            </w:r>
          </w:p>
        </w:tc>
        <w:tc>
          <w:tcPr>
            <w:tcW w:w="340" w:type="dxa"/>
            <w:vAlign w:val="bottom"/>
            <w:shd w:val="clear" w:color="auto" w:fill="CFF0FC"/>
          </w:tcPr>
          <w:p>
            <w:pPr>
              <w:spacing w:after="0"/>
              <w:rPr>
                <w:sz w:val="15"/>
                <w:szCs w:val="15"/>
                <w:color w:val="auto"/>
              </w:rPr>
            </w:pPr>
          </w:p>
        </w:tc>
        <w:tc>
          <w:tcPr>
            <w:tcW w:w="1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8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spacing w:after="0"/>
              <w:rPr>
                <w:sz w:val="16"/>
                <w:szCs w:val="16"/>
                <w:color w:val="auto"/>
              </w:rPr>
            </w:pPr>
          </w:p>
        </w:tc>
        <w:tc>
          <w:tcPr>
            <w:tcW w:w="13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155,163</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19,239</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2,793</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-159385</wp:posOffset>
            </wp:positionV>
            <wp:extent cx="6032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-159385</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2" w:lineRule="exact"/>
        <w:rPr>
          <w:sz w:val="20"/>
          <w:szCs w:val="20"/>
          <w:color w:val="auto"/>
        </w:rPr>
      </w:pPr>
    </w:p>
    <w:p>
      <w:pPr>
        <w:ind w:right="300" w:firstLine="494"/>
        <w:spacing w:after="0" w:line="246"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employee-related costs, payments to third parties to fulfill our payment transactions and payments to sales and marketing partners.</w:t>
      </w:r>
    </w:p>
    <w:p>
      <w:pPr>
        <w:spacing w:after="0" w:line="89" w:lineRule="exact"/>
        <w:rPr>
          <w:sz w:val="20"/>
          <w:szCs w:val="20"/>
          <w:color w:val="auto"/>
        </w:rPr>
      </w:pPr>
    </w:p>
    <w:p>
      <w:pPr>
        <w:ind w:right="40" w:firstLine="494"/>
        <w:spacing w:after="0" w:line="234" w:lineRule="auto"/>
        <w:rPr>
          <w:sz w:val="20"/>
          <w:szCs w:val="20"/>
          <w:color w:val="auto"/>
        </w:rPr>
      </w:pPr>
      <w:r>
        <w:rPr>
          <w:rFonts w:ascii="Arial" w:cs="Arial" w:eastAsia="Arial" w:hAnsi="Arial"/>
          <w:sz w:val="18"/>
          <w:szCs w:val="18"/>
          <w:color w:val="auto"/>
        </w:rPr>
        <w:t>Net cash provided by operating activities for the year ended December 31, 2021 was $19.5 million, primarily consisting of our net income of $9.3 million, adjusted for non-cash charges of $ 13.3 million in depreciation and amortization, $2.5 million in non-cash lease expense related to our operating right-of-use assets, $3.1 million in stock-based compensation, $0.7 million in amortization of contract assets recorded as contra revenue related to the recognition of the warrant issued to JPMC Strategic Investments I Corporation, and net cash outflows of $8.7 million provided by changes in our operating assets and liabilities. The main drivers of the changes in operating assets and liabilities includes a $14.7 million increase in accounts and other receivables due to higher sales and relative timing of our cash collections, and increase of $0.8 million in income taxes receivable, net and a $ 2.4 million decrease in operating lease liabilities, due to current period payments on operating leases. These amounts were partially offset by a $7.4 million increase in accounts payable due to the timing of payments, a decrease of $1.3 million in prepaid expenses and an increase of $0.5 million in contract liabilities.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4" w:name="page65"/>
    <w:bookmarkEnd w:id="64"/>
    <w:p>
      <w:pPr>
        <w:ind w:left="500"/>
        <w:spacing w:after="0"/>
        <w:rPr>
          <w:sz w:val="20"/>
          <w:szCs w:val="20"/>
          <w:color w:val="auto"/>
        </w:rPr>
      </w:pPr>
      <w:r>
        <w:rPr>
          <w:rFonts w:ascii="Arial" w:cs="Arial" w:eastAsia="Arial" w:hAnsi="Arial"/>
          <w:sz w:val="18"/>
          <w:szCs w:val="18"/>
          <w:color w:val="auto"/>
        </w:rPr>
        <w:t>Net cash provided by operating activities for the year ended December 31, 2020 was $35.6 million, primarily consisting of our net</w:t>
      </w:r>
    </w:p>
    <w:p>
      <w:pPr>
        <w:spacing w:after="0" w:line="234" w:lineRule="auto"/>
        <w:rPr>
          <w:sz w:val="20"/>
          <w:szCs w:val="20"/>
          <w:color w:val="auto"/>
        </w:rPr>
      </w:pPr>
      <w:r>
        <w:rPr>
          <w:rFonts w:ascii="Arial" w:cs="Arial" w:eastAsia="Arial" w:hAnsi="Arial"/>
          <w:sz w:val="18"/>
          <w:szCs w:val="18"/>
          <w:color w:val="auto"/>
        </w:rPr>
        <w:t>income of $13.7 million, adjusted for non-cash charges of $8.1 million in depreciation and amortization, $2.8 million in noncash lease</w:t>
      </w:r>
    </w:p>
    <w:p>
      <w:pPr>
        <w:spacing w:after="0" w:line="235" w:lineRule="auto"/>
        <w:rPr>
          <w:sz w:val="20"/>
          <w:szCs w:val="20"/>
          <w:color w:val="auto"/>
        </w:rPr>
      </w:pPr>
      <w:r>
        <w:rPr>
          <w:rFonts w:ascii="Arial" w:cs="Arial" w:eastAsia="Arial" w:hAnsi="Arial"/>
          <w:sz w:val="18"/>
          <w:szCs w:val="18"/>
          <w:color w:val="auto"/>
        </w:rPr>
        <w:t>expense related to our operating right-of-use assets, $2.0 million in stock-based compensation, $1.6 million in deferred income taxes, $0.1</w:t>
      </w:r>
    </w:p>
    <w:p>
      <w:pPr>
        <w:spacing w:after="0" w:line="235" w:lineRule="auto"/>
        <w:rPr>
          <w:sz w:val="20"/>
          <w:szCs w:val="20"/>
          <w:color w:val="auto"/>
        </w:rPr>
      </w:pPr>
      <w:r>
        <w:rPr>
          <w:rFonts w:ascii="Arial" w:cs="Arial" w:eastAsia="Arial" w:hAnsi="Arial"/>
          <w:sz w:val="18"/>
          <w:szCs w:val="18"/>
          <w:color w:val="auto"/>
        </w:rPr>
        <w:t>million for provision for credit losses and net cash inflows of $7.3 million provided by changes in our operating assets and liabilities. The main</w:t>
      </w:r>
    </w:p>
    <w:p>
      <w:pPr>
        <w:spacing w:after="0" w:line="235" w:lineRule="auto"/>
        <w:rPr>
          <w:sz w:val="20"/>
          <w:szCs w:val="20"/>
          <w:color w:val="auto"/>
        </w:rPr>
      </w:pPr>
      <w:r>
        <w:rPr>
          <w:rFonts w:ascii="Arial" w:cs="Arial" w:eastAsia="Arial" w:hAnsi="Arial"/>
          <w:sz w:val="18"/>
          <w:szCs w:val="18"/>
          <w:color w:val="auto"/>
        </w:rPr>
        <w:t>drivers of the changes in operating assets and liabilities includes a $14.6 million increase in accounts payable due in part to a change in</w:t>
      </w:r>
    </w:p>
    <w:p>
      <w:pPr>
        <w:spacing w:after="0" w:line="235" w:lineRule="auto"/>
        <w:rPr>
          <w:sz w:val="20"/>
          <w:szCs w:val="20"/>
          <w:color w:val="auto"/>
        </w:rPr>
      </w:pPr>
      <w:r>
        <w:rPr>
          <w:rFonts w:ascii="Arial" w:cs="Arial" w:eastAsia="Arial" w:hAnsi="Arial"/>
          <w:sz w:val="18"/>
          <w:szCs w:val="18"/>
          <w:color w:val="auto"/>
        </w:rPr>
        <w:t>processer payment timing from real-time payments such that the transactions are processed on a monthly cadence where we are invoiced in</w:t>
      </w:r>
    </w:p>
    <w:p>
      <w:pPr>
        <w:spacing w:after="0" w:line="234" w:lineRule="auto"/>
        <w:rPr>
          <w:sz w:val="20"/>
          <w:szCs w:val="20"/>
          <w:color w:val="auto"/>
        </w:rPr>
      </w:pPr>
      <w:r>
        <w:rPr>
          <w:rFonts w:ascii="Arial" w:cs="Arial" w:eastAsia="Arial" w:hAnsi="Arial"/>
          <w:sz w:val="18"/>
          <w:szCs w:val="18"/>
          <w:color w:val="auto"/>
        </w:rPr>
        <w:t>arrears for fees owed, a $2.8 million increase in accrued liabilities due to increased headcount and growth in our business, a decrease of</w:t>
      </w:r>
    </w:p>
    <w:p>
      <w:pPr>
        <w:spacing w:after="0" w:line="235" w:lineRule="auto"/>
        <w:rPr>
          <w:sz w:val="20"/>
          <w:szCs w:val="20"/>
          <w:color w:val="auto"/>
        </w:rPr>
      </w:pPr>
      <w:r>
        <w:rPr>
          <w:rFonts w:ascii="Arial" w:cs="Arial" w:eastAsia="Arial" w:hAnsi="Arial"/>
          <w:sz w:val="18"/>
          <w:szCs w:val="18"/>
          <w:color w:val="auto"/>
        </w:rPr>
        <w:t>$0.8 million in prepaid expenses and other current assets due the amortization of additional insurance premiums, an increase of $0.2 million</w:t>
      </w:r>
    </w:p>
    <w:p>
      <w:pPr>
        <w:spacing w:after="0" w:line="235" w:lineRule="auto"/>
        <w:rPr>
          <w:sz w:val="20"/>
          <w:szCs w:val="20"/>
          <w:color w:val="auto"/>
        </w:rPr>
      </w:pPr>
      <w:r>
        <w:rPr>
          <w:rFonts w:ascii="Arial" w:cs="Arial" w:eastAsia="Arial" w:hAnsi="Arial"/>
          <w:sz w:val="18"/>
          <w:szCs w:val="18"/>
          <w:color w:val="auto"/>
        </w:rPr>
        <w:t>in contract liabilities and a decrease in income tax receivables, net of $0.2 million. These amounts were partially offset by an $8.7 million</w:t>
      </w:r>
    </w:p>
    <w:p>
      <w:pPr>
        <w:spacing w:after="0" w:line="235" w:lineRule="auto"/>
        <w:rPr>
          <w:sz w:val="20"/>
          <w:szCs w:val="20"/>
          <w:color w:val="auto"/>
        </w:rPr>
      </w:pPr>
      <w:r>
        <w:rPr>
          <w:rFonts w:ascii="Arial" w:cs="Arial" w:eastAsia="Arial" w:hAnsi="Arial"/>
          <w:sz w:val="18"/>
          <w:szCs w:val="18"/>
          <w:color w:val="auto"/>
        </w:rPr>
        <w:t>increase in accounts and other receivables due to higher sales and relative timing of our cash collections, and a $2.6 million decrease in</w:t>
      </w:r>
    </w:p>
    <w:p>
      <w:pPr>
        <w:spacing w:after="0"/>
        <w:rPr>
          <w:sz w:val="20"/>
          <w:szCs w:val="20"/>
          <w:color w:val="auto"/>
        </w:rPr>
      </w:pPr>
      <w:r>
        <w:rPr>
          <w:rFonts w:ascii="Arial" w:cs="Arial" w:eastAsia="Arial" w:hAnsi="Arial"/>
          <w:sz w:val="18"/>
          <w:szCs w:val="18"/>
          <w:color w:val="auto"/>
        </w:rPr>
        <w:t>operating lease liabilities.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2" w:lineRule="exact"/>
        <w:rPr>
          <w:sz w:val="20"/>
          <w:szCs w:val="20"/>
          <w:color w:val="auto"/>
        </w:rPr>
      </w:pPr>
    </w:p>
    <w:p>
      <w:pPr>
        <w:ind w:right="420" w:firstLine="494"/>
        <w:spacing w:after="0" w:line="246" w:lineRule="auto"/>
        <w:rPr>
          <w:sz w:val="20"/>
          <w:szCs w:val="20"/>
          <w:color w:val="auto"/>
        </w:rPr>
      </w:pPr>
      <w:r>
        <w:rPr>
          <w:rFonts w:ascii="Arial" w:cs="Arial" w:eastAsia="Arial" w:hAnsi="Arial"/>
          <w:sz w:val="18"/>
          <w:szCs w:val="18"/>
          <w:color w:val="auto"/>
        </w:rPr>
        <w:t>Cash used in our investing activities consists primarily of cash paid for acquisitions, capitalized internal-use software development costs, purchases of property and equipment and intangible assets.</w:t>
      </w:r>
    </w:p>
    <w:p>
      <w:pPr>
        <w:spacing w:after="0" w:line="89" w:lineRule="exact"/>
        <w:rPr>
          <w:sz w:val="20"/>
          <w:szCs w:val="20"/>
          <w:color w:val="auto"/>
        </w:rPr>
      </w:pPr>
    </w:p>
    <w:p>
      <w:pPr>
        <w:jc w:val="both"/>
        <w:ind w:right="60" w:firstLine="494"/>
        <w:spacing w:after="0"/>
        <w:rPr>
          <w:sz w:val="20"/>
          <w:szCs w:val="20"/>
          <w:color w:val="auto"/>
        </w:rPr>
      </w:pPr>
      <w:r>
        <w:rPr>
          <w:rFonts w:ascii="Arial" w:cs="Arial" w:eastAsia="Arial" w:hAnsi="Arial"/>
          <w:sz w:val="18"/>
          <w:szCs w:val="18"/>
          <w:color w:val="auto"/>
        </w:rPr>
        <w:t>Net cash used in investing activities for the year ended December 31, 2021 consisted of $57.4 million of cash paid for acquisitions, net of cash and restricted cash acquired and contingent consideration, $19.3 million of capitalized internal-use software development costs and $1.1 million of purchases of property and equipment and intangible assets.</w:t>
      </w:r>
    </w:p>
    <w:p>
      <w:pPr>
        <w:spacing w:after="0" w:line="95" w:lineRule="exact"/>
        <w:rPr>
          <w:sz w:val="20"/>
          <w:szCs w:val="20"/>
          <w:color w:val="auto"/>
        </w:rPr>
      </w:pPr>
    </w:p>
    <w:p>
      <w:pPr>
        <w:jc w:val="both"/>
        <w:ind w:right="600" w:firstLine="494"/>
        <w:spacing w:after="0"/>
        <w:rPr>
          <w:sz w:val="20"/>
          <w:szCs w:val="20"/>
          <w:color w:val="auto"/>
        </w:rPr>
      </w:pPr>
      <w:r>
        <w:rPr>
          <w:rFonts w:ascii="Arial" w:cs="Arial" w:eastAsia="Arial" w:hAnsi="Arial"/>
          <w:sz w:val="18"/>
          <w:szCs w:val="18"/>
          <w:color w:val="auto"/>
        </w:rPr>
        <w:t>Net cash used in investing activities for the year ended December 31, 2020 consisted of $14.4 million of capitalized internal-use software development costs, $0.5 million of purchases of property and equipment and $0.3 million related to the payment of deferred consideration for an acquisition.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22" w:lineRule="exact"/>
        <w:rPr>
          <w:sz w:val="20"/>
          <w:szCs w:val="20"/>
          <w:color w:val="auto"/>
        </w:rPr>
      </w:pPr>
    </w:p>
    <w:p>
      <w:pPr>
        <w:jc w:val="both"/>
        <w:ind w:right="40" w:firstLine="494"/>
        <w:spacing w:after="0"/>
        <w:rPr>
          <w:sz w:val="20"/>
          <w:szCs w:val="20"/>
          <w:color w:val="auto"/>
        </w:rPr>
      </w:pPr>
      <w:r>
        <w:rPr>
          <w:rFonts w:ascii="Arial" w:cs="Arial" w:eastAsia="Arial" w:hAnsi="Arial"/>
          <w:sz w:val="18"/>
          <w:szCs w:val="18"/>
          <w:color w:val="auto"/>
        </w:rPr>
        <w:t>Cash provided by (used in) financing activities consists primarily of proceeds from the IPO and private placement and option exercises offset by the redemption of the Series A preferred stock, payment of deferred offering costs related to the IPO, changes in financial institution funds in-transit, and payments on capital lease and other financing arrangements and principal payments on debt.</w:t>
      </w:r>
    </w:p>
    <w:p>
      <w:pPr>
        <w:spacing w:after="0" w:line="95"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Net cash provided by financing activities for the year ended December 31, 2021 consisted of proceeds from the IPO of $224.6 million, proceeds from the concurrent private placement of $50.0, an increase in financial institution funds in-transit of $2.0 million, proceeds of $0.8 million from the repayment of a related party loan and proceeds of $0.3 million from the exercise of stock options, offset by $23.0 million for the redemption of the Series A preferred stock, $34.4 million for the payment of dividends on the Series A preferred stock, $4.9 million of payments on finance leases and other financing obligations and $2.0 million of payments of deferred offering costs directly related to our IPO.</w:t>
      </w:r>
    </w:p>
    <w:p>
      <w:pPr>
        <w:spacing w:after="0" w:line="97" w:lineRule="exact"/>
        <w:rPr>
          <w:sz w:val="20"/>
          <w:szCs w:val="20"/>
          <w:color w:val="auto"/>
        </w:rPr>
      </w:pPr>
    </w:p>
    <w:p>
      <w:pPr>
        <w:ind w:right="860" w:firstLine="494"/>
        <w:spacing w:after="0" w:line="246" w:lineRule="auto"/>
        <w:rPr>
          <w:sz w:val="20"/>
          <w:szCs w:val="20"/>
          <w:color w:val="auto"/>
        </w:rPr>
      </w:pPr>
      <w:r>
        <w:rPr>
          <w:rFonts w:ascii="Arial" w:cs="Arial" w:eastAsia="Arial" w:hAnsi="Arial"/>
          <w:sz w:val="18"/>
          <w:szCs w:val="18"/>
          <w:color w:val="auto"/>
        </w:rPr>
        <w:t>Net cash used in financing activities during 2020 consisted of $1.4 million of payments on finance leases and other financing obligations.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in cash as of December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2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3 -5 Years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16"/>
              <w:spacing w:after="0"/>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7"/>
                <w:szCs w:val="17"/>
                <w:color w:val="auto"/>
              </w:rPr>
              <w:t>Operating lease liabilities</w:t>
            </w:r>
            <w:r>
              <w:rPr>
                <w:rFonts w:ascii="Arial" w:cs="Arial" w:eastAsia="Arial" w:hAnsi="Arial"/>
                <w:sz w:val="23"/>
                <w:szCs w:val="23"/>
                <w:color w:val="auto"/>
                <w:vertAlign w:val="superscript"/>
              </w:rPr>
              <w:t>(1)</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8,799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1,705</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2"/>
          </w:tcPr>
          <w:p>
            <w:pPr>
              <w:ind w:left="140"/>
              <w:spacing w:after="0" w:line="202" w:lineRule="exact"/>
              <w:rPr>
                <w:sz w:val="20"/>
                <w:szCs w:val="20"/>
                <w:color w:val="auto"/>
              </w:rPr>
            </w:pPr>
            <w:r>
              <w:rPr>
                <w:rFonts w:ascii="Arial" w:cs="Arial" w:eastAsia="Arial" w:hAnsi="Arial"/>
                <w:sz w:val="17"/>
                <w:szCs w:val="17"/>
                <w:color w:val="auto"/>
              </w:rPr>
              <w:t>Finance lease liabilities</w:t>
            </w:r>
            <w:r>
              <w:rPr>
                <w:rFonts w:ascii="Arial" w:cs="Arial" w:eastAsia="Arial" w:hAnsi="Arial"/>
                <w:sz w:val="23"/>
                <w:szCs w:val="23"/>
                <w:color w:val="auto"/>
                <w:vertAlign w:val="superscript"/>
              </w:rPr>
              <w:t>(2)</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3,946</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1,586</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2,344</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13,122</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3,580</w:t>
            </w:r>
          </w:p>
        </w:tc>
        <w:tc>
          <w:tcPr>
            <w:tcW w:w="3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4,129</w:t>
            </w:r>
          </w:p>
        </w:tc>
        <w:tc>
          <w:tcPr>
            <w:tcW w:w="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1,721</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3,692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-159385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-159385</wp:posOffset>
            </wp:positionV>
            <wp:extent cx="431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-159385</wp:posOffset>
            </wp:positionV>
            <wp:extent cx="431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wp:posOffset>
            </wp:positionV>
            <wp:extent cx="4254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6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operating lease liabilities for our offices and data centers.</w:t>
      </w:r>
    </w:p>
    <w:p>
      <w:pPr>
        <w:ind w:left="1020" w:hanging="503"/>
        <w:spacing w:after="0" w:line="228"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finance lease liabilities for equipment.</w:t>
      </w:r>
    </w:p>
    <w:p>
      <w:pPr>
        <w:ind w:left="1020" w:right="100" w:hanging="503"/>
        <w:spacing w:after="0" w:line="235"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purchase obligations which were not recognized on the balance sheet as of December 31, 2021, related primarily to infrastructure services and IT software and maintenance service costs.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ind w:left="38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ind w:right="60" w:firstLine="499"/>
        <w:spacing w:after="0" w:line="238"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94" w:lineRule="exact"/>
        <w:rPr>
          <w:sz w:val="20"/>
          <w:szCs w:val="20"/>
          <w:color w:val="auto"/>
        </w:rPr>
      </w:pPr>
    </w:p>
    <w:p>
      <w:pPr>
        <w:ind w:right="100" w:firstLine="499"/>
        <w:spacing w:after="0" w:line="238" w:lineRule="auto"/>
        <w:rPr>
          <w:sz w:val="20"/>
          <w:szCs w:val="20"/>
          <w:color w:val="auto"/>
        </w:rPr>
      </w:pPr>
      <w:r>
        <w:rPr>
          <w:rFonts w:ascii="Arial" w:cs="Arial" w:eastAsia="Arial" w:hAnsi="Arial"/>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 critical accounting policies and estimates that we believe have the most significant impact on our consolidated financial statements are described below. See Note 2 to our consolidated financial statements included elsewhere in this Annual Report on Form 10-K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right="60" w:firstLine="499"/>
        <w:spacing w:after="0" w:line="236" w:lineRule="auto"/>
        <w:rPr>
          <w:sz w:val="20"/>
          <w:szCs w:val="20"/>
          <w:color w:val="auto"/>
        </w:rPr>
      </w:pPr>
      <w:r>
        <w:rPr>
          <w:rFonts w:ascii="Arial" w:cs="Arial" w:eastAsia="Arial" w:hAnsi="Arial"/>
          <w:sz w:val="18"/>
          <w:szCs w:val="18"/>
          <w:color w:val="auto"/>
        </w:rPr>
        <w:t>Application of the accounting principles in GAAP related to the measurement and recognition of revenue requires us to make judgments and estimates. Complex arrangements with nonstandard terms and conditions may require significant contract interpretation to determine the appropriate accounting. Specifically, the determination of whether we are a principal to a transaction or an agent can require considerable judgment. We have concluded that we are typically the principal in our payment processing arrangements as we control the service on our platform. We also typically contract directly with our billers and have complete pricing latitude on the processing fees charged to our billers. As such, we bear the credit risk for network fees and transactions charged back to the biller. In circumstances where we have minimum revenue or transaction commitments, determining the appropriate accounting treatment of fixed and variable consideration may require considerable judgement.</w:t>
      </w:r>
    </w:p>
    <w:p>
      <w:pPr>
        <w:spacing w:after="0" w:line="100" w:lineRule="exact"/>
        <w:rPr>
          <w:sz w:val="20"/>
          <w:szCs w:val="20"/>
          <w:color w:val="auto"/>
        </w:rPr>
      </w:pPr>
    </w:p>
    <w:p>
      <w:pPr>
        <w:ind w:firstLine="499"/>
        <w:spacing w:after="0" w:line="238" w:lineRule="auto"/>
        <w:rPr>
          <w:sz w:val="20"/>
          <w:szCs w:val="20"/>
          <w:color w:val="auto"/>
        </w:rPr>
      </w:pPr>
      <w:r>
        <w:rPr>
          <w:rFonts w:ascii="Arial" w:cs="Arial" w:eastAsia="Arial" w:hAnsi="Arial"/>
          <w:sz w:val="18"/>
          <w:szCs w:val="18"/>
          <w:color w:val="auto"/>
        </w:rPr>
        <w:t>We will evaluate our accounts receivable portfolio to determine if an allowance for doubtful accounts is necessary. The development of the allowance for doubtful accounts is based on an expected loss model that considers reasonable and supportable forecasts of future conditions and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94" w:lineRule="exact"/>
        <w:rPr>
          <w:sz w:val="20"/>
          <w:szCs w:val="20"/>
          <w:color w:val="auto"/>
        </w:rPr>
      </w:pPr>
    </w:p>
    <w:p>
      <w:pPr>
        <w:ind w:right="100" w:firstLine="499"/>
        <w:spacing w:after="0"/>
        <w:rPr>
          <w:sz w:val="20"/>
          <w:szCs w:val="20"/>
          <w:color w:val="auto"/>
        </w:rPr>
      </w:pPr>
      <w:r>
        <w:rPr>
          <w:rFonts w:ascii="Arial" w:cs="Arial" w:eastAsia="Arial" w:hAnsi="Arial"/>
          <w:sz w:val="18"/>
          <w:szCs w:val="18"/>
          <w:color w:val="auto"/>
        </w:rPr>
        <w:t>We consider current economic trends when evaluating the adequacy of the allowance for doubtful accounts. If circumstances relating to specific billers change or unanticipated changes occur in the general business environment, our estimate of the recoverability of receivables could be further adjusted.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ind w:firstLine="499"/>
        <w:spacing w:after="0" w:line="236" w:lineRule="auto"/>
        <w:rPr>
          <w:sz w:val="20"/>
          <w:szCs w:val="20"/>
          <w:color w:val="auto"/>
        </w:rPr>
      </w:pPr>
      <w:r>
        <w:rPr>
          <w:rFonts w:ascii="Arial" w:cs="Arial" w:eastAsia="Arial" w:hAnsi="Arial"/>
          <w:sz w:val="18"/>
          <w:szCs w:val="18"/>
          <w:color w:val="auto"/>
        </w:rPr>
        <w:t>Upon acquisition of a company, we determine if the transaction is a business combination, which is accounted for using the acquisition method of accounting. Under the acquisition method, once control is obtained of a business, the assets acquired, and liabilities assumed are recorded at fair value. We use our best estimates and assumptions to assign fair value to the tangible and intangible assets acquired and liabilities assumed at the acquisition date. One of the most significant estimates relates to the determination of the fair value of these assets and liabilities. The determination of the fair values is based on estimates and judgments made by management. Our estimates of fair value are based upon assumptions we believe to be reasonable, but which are inherently uncertain and unpredictable. Measurement period adjustments are reflected at the time identified, up through the conclusion of the measurement period, which is the time at which all information for determination of the values of assets acquired and liabilities assumed is received, and is not to exceed one year from the acquisition date. We may record adjustments to the fair value of these tangible and intangible assets acquired and liabilities assumed, with the corresponding offset to goodwill.</w:t>
      </w:r>
    </w:p>
    <w:p>
      <w:pPr>
        <w:spacing w:after="0" w:line="98" w:lineRule="exact"/>
        <w:rPr>
          <w:sz w:val="20"/>
          <w:szCs w:val="20"/>
          <w:color w:val="auto"/>
        </w:rPr>
      </w:pPr>
    </w:p>
    <w:p>
      <w:pPr>
        <w:ind w:right="80" w:firstLine="499"/>
        <w:spacing w:after="0" w:line="234" w:lineRule="auto"/>
        <w:rPr>
          <w:sz w:val="20"/>
          <w:szCs w:val="20"/>
          <w:color w:val="auto"/>
        </w:rPr>
      </w:pPr>
      <w:r>
        <w:rPr>
          <w:rFonts w:ascii="Arial" w:cs="Arial" w:eastAsia="Arial" w:hAnsi="Arial"/>
          <w:sz w:val="18"/>
          <w:szCs w:val="18"/>
          <w:color w:val="auto"/>
        </w:rPr>
        <w:t>Additionally, uncertain tax positions and tax-related valuation allowances are initially recorded in connection with a business combination as of the acquisition date. We continue to collect information and reevaluate these estimates and assumptions periodically and record any adjustments to preliminary estimates to goodwill, provided we are within the measurement period. If outside of the measurement period, any subsequent adjustments are recorded to the consolidated statement of operations.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26" w:lineRule="exact"/>
        <w:rPr>
          <w:sz w:val="20"/>
          <w:szCs w:val="20"/>
          <w:color w:val="auto"/>
        </w:rPr>
      </w:pPr>
    </w:p>
    <w:p>
      <w:pPr>
        <w:ind w:right="80" w:firstLine="499"/>
        <w:spacing w:after="0" w:line="237" w:lineRule="auto"/>
        <w:rPr>
          <w:sz w:val="20"/>
          <w:szCs w:val="20"/>
          <w:color w:val="auto"/>
        </w:rPr>
      </w:pPr>
      <w:r>
        <w:rPr>
          <w:rFonts w:ascii="Arial" w:cs="Arial" w:eastAsia="Arial" w:hAnsi="Arial"/>
          <w:sz w:val="18"/>
          <w:szCs w:val="18"/>
          <w:color w:val="auto"/>
        </w:rPr>
        <w:t>Internal-use software development costs consist of personnel costs, including related benefits, incurred to develop functionality for our platform, as well as certain upgrades and enhancements that are expected to result in enhanced functionality. We capitalize certain software development costs for new offerings as well as upgrades to our existing software platforms. We amortize these development costs over the estimated useful life of three to five years on a straight-line basis. We believe there are two key estimates within the internal-use capitalized software development balance, which are the determination of the useful life of the software and the determination of the amounts to be capitalized.</w:t>
      </w:r>
    </w:p>
    <w:p>
      <w:pPr>
        <w:spacing w:after="0" w:line="97" w:lineRule="exact"/>
        <w:rPr>
          <w:sz w:val="20"/>
          <w:szCs w:val="20"/>
          <w:color w:val="auto"/>
        </w:rPr>
      </w:pPr>
    </w:p>
    <w:p>
      <w:pPr>
        <w:ind w:firstLine="499"/>
        <w:spacing w:after="0" w:line="236" w:lineRule="auto"/>
        <w:rPr>
          <w:sz w:val="20"/>
          <w:szCs w:val="20"/>
          <w:color w:val="auto"/>
        </w:rPr>
      </w:pPr>
      <w:r>
        <w:rPr>
          <w:rFonts w:ascii="Arial" w:cs="Arial" w:eastAsia="Arial" w:hAnsi="Arial"/>
          <w:sz w:val="18"/>
          <w:szCs w:val="18"/>
          <w:color w:val="auto"/>
        </w:rPr>
        <w:t>We determined that a three to five year life is appropriate for our internal -use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to five years before being significantly replaced or modified to keep up with evolving biller and company needs. While we do not anticipate any significant changes to this three to five year estimate, a change in this estimate could produce a material impact on our financial statements. For example, if we received information that indicated the useful life of all internally developed software was one year rather than three to five, our capitalized software balance would materially decrease and our expense would materially increase.</w:t>
      </w:r>
    </w:p>
    <w:p>
      <w:pPr>
        <w:spacing w:after="0" w:line="100" w:lineRule="exact"/>
        <w:rPr>
          <w:sz w:val="20"/>
          <w:szCs w:val="20"/>
          <w:color w:val="auto"/>
        </w:rPr>
      </w:pPr>
    </w:p>
    <w:p>
      <w:pPr>
        <w:ind w:right="180" w:firstLine="499"/>
        <w:spacing w:after="0" w:line="238" w:lineRule="auto"/>
        <w:rPr>
          <w:sz w:val="20"/>
          <w:szCs w:val="20"/>
          <w:color w:val="auto"/>
        </w:rPr>
      </w:pPr>
      <w:r>
        <w:rPr>
          <w:rFonts w:ascii="Arial" w:cs="Arial" w:eastAsia="Arial" w:hAnsi="Arial"/>
          <w:sz w:val="18"/>
          <w:szCs w:val="18"/>
          <w:color w:val="auto"/>
        </w:rPr>
        <w:t>We determine the amount of internal-use software development costs to be capitalized based on the amount of time spent by our developers on projects. Costs associated with building or significantly enhancing our platforms are capitalized, while costs associated with planning new developments and maintaining our platform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Intangibles</w:t>
      </w:r>
    </w:p>
    <w:p>
      <w:pPr>
        <w:spacing w:after="0" w:line="126" w:lineRule="exact"/>
        <w:rPr>
          <w:sz w:val="20"/>
          <w:szCs w:val="20"/>
          <w:color w:val="auto"/>
        </w:rPr>
      </w:pPr>
    </w:p>
    <w:p>
      <w:pPr>
        <w:ind w:right="120" w:firstLine="499"/>
        <w:spacing w:after="0" w:line="236" w:lineRule="auto"/>
        <w:rPr>
          <w:sz w:val="20"/>
          <w:szCs w:val="20"/>
          <w:color w:val="auto"/>
        </w:rPr>
      </w:pPr>
      <w:r>
        <w:rPr>
          <w:rFonts w:ascii="Arial" w:cs="Arial" w:eastAsia="Arial" w:hAnsi="Arial"/>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and liabilities assumed in an acquired business to allocate purchase price consideration between assets that are depreciated and amortized and goodwill. Impairment testing for assets, other than goodwill requires the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 Our estimates are based upon assumptions that we believe to be reasonable, but which are inherently uncertain and unpredictable. These valuations require the use of management’s assumptions, which do not reflect unanticipated events and circumstances that may occur.</w:t>
      </w:r>
    </w:p>
    <w:p>
      <w:pPr>
        <w:spacing w:after="0" w:line="99" w:lineRule="exact"/>
        <w:rPr>
          <w:sz w:val="20"/>
          <w:szCs w:val="20"/>
          <w:color w:val="auto"/>
        </w:rPr>
      </w:pPr>
    </w:p>
    <w:p>
      <w:pPr>
        <w:ind w:right="60" w:firstLine="499"/>
        <w:spacing w:after="0" w:line="237" w:lineRule="auto"/>
        <w:rPr>
          <w:sz w:val="20"/>
          <w:szCs w:val="20"/>
          <w:color w:val="auto"/>
        </w:rPr>
      </w:pPr>
      <w:r>
        <w:rPr>
          <w:rFonts w:ascii="Arial" w:cs="Arial" w:eastAsia="Arial" w:hAnsi="Arial"/>
          <w:sz w:val="18"/>
          <w:szCs w:val="18"/>
          <w:color w:val="auto"/>
        </w:rPr>
        <w:t>We evaluate goodwill for impairment on an annual basis, or sooner if indicators of impairment exist. Under GAAP, the evaluation of goodwill for impairment allows for a qualitative assessment to be performed. In performing these qualitative assessments, we consider relevant events and conditions, including but not limited to: macroeconomic trends, industry and market conditions, overall financial performance, cost factors, company-specific events, legal and regulatory factors and our market capitalization. If the qualitative assessments indicate that it is more likely than not that the fair value of the reporting unit is less than its carrying amounts, we must perform a quantitative impairment test.</w:t>
      </w:r>
    </w:p>
    <w:p>
      <w:pPr>
        <w:spacing w:after="0" w:line="97" w:lineRule="exact"/>
        <w:rPr>
          <w:sz w:val="20"/>
          <w:szCs w:val="20"/>
          <w:color w:val="auto"/>
        </w:rPr>
      </w:pPr>
    </w:p>
    <w:p>
      <w:pPr>
        <w:ind w:right="160" w:firstLine="499"/>
        <w:spacing w:after="0" w:line="238" w:lineRule="auto"/>
        <w:rPr>
          <w:sz w:val="20"/>
          <w:szCs w:val="20"/>
          <w:color w:val="auto"/>
        </w:rPr>
      </w:pPr>
      <w:r>
        <w:rPr>
          <w:rFonts w:ascii="Arial" w:cs="Arial" w:eastAsia="Arial" w:hAnsi="Arial"/>
          <w:sz w:val="18"/>
          <w:szCs w:val="18"/>
          <w:color w:val="auto"/>
        </w:rPr>
        <w:t>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Measurement of the fair value of a reporting unit is based on one or more of the following fair value measures: amounts at which the unit as a whole could be bought or sold in a current transaction between willing parties, present value techniques of estimated future cash flows, valuation techniques based on multiples of earnings or revenue or a similar performance measure.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120" w:firstLine="499"/>
        <w:spacing w:after="0" w:line="206" w:lineRule="exact"/>
        <w:rPr>
          <w:sz w:val="20"/>
          <w:szCs w:val="20"/>
          <w:color w:val="auto"/>
        </w:rPr>
      </w:pPr>
      <w:r>
        <w:rPr>
          <w:rFonts w:ascii="Arial" w:cs="Arial" w:eastAsia="Arial" w:hAnsi="Arial"/>
          <w:sz w:val="18"/>
          <w:szCs w:val="18"/>
          <w:color w:val="auto"/>
        </w:rPr>
        <w:t>We measure and recognize stock-based compensation expense for all stock-based awards, including grants of restricted stock units, or RSUs, and options to purchase stock granted to employees, outside directors and consultants based on the estimated fair value of the awards on the grant date of the award with the compensation expense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of the award. Forfeitures are accounted for in the period in which they occur.</w:t>
      </w:r>
    </w:p>
    <w:p>
      <w:pPr>
        <w:spacing w:after="0" w:line="97" w:lineRule="exact"/>
        <w:rPr>
          <w:sz w:val="20"/>
          <w:szCs w:val="20"/>
          <w:color w:val="auto"/>
        </w:rPr>
      </w:pPr>
    </w:p>
    <w:p>
      <w:pPr>
        <w:ind w:right="360" w:firstLine="494"/>
        <w:spacing w:after="0" w:line="234" w:lineRule="auto"/>
        <w:rPr>
          <w:sz w:val="20"/>
          <w:szCs w:val="20"/>
          <w:color w:val="auto"/>
        </w:rPr>
      </w:pPr>
      <w:r>
        <w:rPr>
          <w:rFonts w:ascii="Arial" w:cs="Arial" w:eastAsia="Arial" w:hAnsi="Arial"/>
          <w:sz w:val="18"/>
          <w:szCs w:val="18"/>
          <w:color w:val="auto"/>
        </w:rPr>
        <w:t>The fair value of an RSU is measured using the market price of our Class A common stock on the date of grant. We estimate grant date fair value for options using the Black-Scholes option pricing model. The determination of the fair value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7" w:name="page68"/>
    <w:bookmarkEnd w:id="67"/>
    <w:p>
      <w:pPr>
        <w:ind w:right="100"/>
        <w:spacing w:after="0"/>
        <w:rPr>
          <w:sz w:val="20"/>
          <w:szCs w:val="20"/>
          <w:color w:val="auto"/>
        </w:rPr>
      </w:pPr>
      <w:r>
        <w:rPr>
          <w:rFonts w:ascii="Arial" w:cs="Arial" w:eastAsia="Arial" w:hAnsi="Arial"/>
          <w:sz w:val="18"/>
          <w:szCs w:val="18"/>
          <w:color w:val="auto"/>
        </w:rPr>
        <w:t>of options on the date of grant using a Black-Scholes option-pricing model is affected by the estimated fair value of our common stock, as well as assumptions regarding a number of variables that are complex, subjective and generally require significant judgment to determine. If factors change and different assumptions are used, our stock-based compensation expense could be materially different in the future.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valuation assumptions were determined as follows:</w:t>
      </w:r>
    </w:p>
    <w:p>
      <w:pPr>
        <w:spacing w:after="0" w:line="86" w:lineRule="exact"/>
        <w:rPr>
          <w:sz w:val="20"/>
          <w:szCs w:val="20"/>
          <w:color w:val="auto"/>
        </w:rPr>
      </w:pPr>
    </w:p>
    <w:p>
      <w:pPr>
        <w:ind w:right="120" w:firstLine="494"/>
        <w:spacing w:after="0"/>
        <w:rPr>
          <w:sz w:val="20"/>
          <w:szCs w:val="20"/>
          <w:color w:val="auto"/>
        </w:rPr>
      </w:pPr>
      <w:r>
        <w:rPr>
          <w:rFonts w:ascii="Arial" w:cs="Arial" w:eastAsia="Arial" w:hAnsi="Arial"/>
          <w:sz w:val="18"/>
          <w:szCs w:val="18"/>
          <w:i w:val="1"/>
          <w:iCs w:val="1"/>
          <w:color w:val="auto"/>
        </w:rPr>
        <w:t>Fair Value of Underlying Common Stock</w:t>
      </w:r>
      <w:r>
        <w:rPr>
          <w:rFonts w:ascii="Arial" w:cs="Arial" w:eastAsia="Arial" w:hAnsi="Arial"/>
          <w:sz w:val="18"/>
          <w:szCs w:val="18"/>
          <w:color w:val="auto"/>
        </w:rPr>
        <w:t>—Prior to the IPO, our common stock was not yet publicly traded, therefore we estimated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common stock. Our board of directors considered numerous objective and subjective factors to determine the fair value of our common stock at each meeting in which awards are approved. These factors included historical and projected financial information, prospects and risks, company performance, various corporate documents, capitalization and economic and financial market conditions. Management, with its third-party valuation firm, also used other economic, industry and market information obtained from other resources considered reliable</w:t>
      </w:r>
      <w:r>
        <w:rPr>
          <w:rFonts w:ascii="Arial" w:cs="Arial" w:eastAsia="Arial" w:hAnsi="Arial"/>
          <w:sz w:val="19"/>
          <w:szCs w:val="19"/>
          <w:color w:val="auto"/>
        </w:rPr>
        <w:t>.</w:t>
      </w:r>
      <w:r>
        <w:rPr>
          <w:rFonts w:ascii="Arial" w:cs="Arial" w:eastAsia="Arial" w:hAnsi="Arial"/>
          <w:sz w:val="18"/>
          <w:szCs w:val="18"/>
          <w:color w:val="auto"/>
        </w:rPr>
        <w:t xml:space="preserve"> After the IPO, we used the publicly quoted price as reported on the New York Stock Exchange as the fair value of our common stock.</w:t>
      </w:r>
    </w:p>
    <w:p>
      <w:pPr>
        <w:spacing w:after="0" w:line="79" w:lineRule="exact"/>
        <w:rPr>
          <w:sz w:val="20"/>
          <w:szCs w:val="20"/>
          <w:color w:val="auto"/>
        </w:rPr>
      </w:pPr>
    </w:p>
    <w:p>
      <w:pPr>
        <w:ind w:right="620" w:firstLine="494"/>
        <w:spacing w:after="0" w:line="26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life of options granted to employees was determined by using management’s best estimation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activity.</w:t>
      </w:r>
    </w:p>
    <w:p>
      <w:pPr>
        <w:spacing w:after="0" w:line="70" w:lineRule="exact"/>
        <w:rPr>
          <w:sz w:val="20"/>
          <w:szCs w:val="20"/>
          <w:color w:val="auto"/>
        </w:rPr>
      </w:pPr>
    </w:p>
    <w:p>
      <w:pPr>
        <w:ind w:right="340" w:firstLine="494"/>
        <w:spacing w:after="0" w:line="246" w:lineRule="auto"/>
        <w:rPr>
          <w:sz w:val="20"/>
          <w:szCs w:val="20"/>
          <w:color w:val="auto"/>
        </w:rPr>
      </w:pPr>
      <w:r>
        <w:rPr>
          <w:rFonts w:ascii="Arial" w:cs="Arial" w:eastAsia="Arial" w:hAnsi="Arial"/>
          <w:sz w:val="18"/>
          <w:szCs w:val="18"/>
          <w:color w:val="auto"/>
        </w:rPr>
        <w:t>Risk-free Interest Rate—We use a risk-free interest rate in the option valuation model based on U.S. Treasury zero-coupon issues, with remaining terms similar to the expected term of the options.</w:t>
      </w:r>
    </w:p>
    <w:p>
      <w:pPr>
        <w:spacing w:after="0" w:line="71" w:lineRule="exact"/>
        <w:rPr>
          <w:sz w:val="20"/>
          <w:szCs w:val="20"/>
          <w:color w:val="auto"/>
        </w:rPr>
      </w:pPr>
    </w:p>
    <w:p>
      <w:pPr>
        <w:ind w:right="740" w:firstLine="494"/>
        <w:spacing w:after="0" w:line="26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we do not have extensive trading history for our common stock, the expected volatility is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of our publicly traded industry peers utilizing a period of time consistent with our estimate of expected term.</w:t>
      </w:r>
    </w:p>
    <w:p>
      <w:pPr>
        <w:spacing w:after="0" w:line="52" w:lineRule="exact"/>
        <w:rPr>
          <w:sz w:val="20"/>
          <w:szCs w:val="20"/>
          <w:color w:val="auto"/>
        </w:rPr>
      </w:pPr>
    </w:p>
    <w:p>
      <w:pPr>
        <w:jc w:val="both"/>
        <w:ind w:right="220" w:firstLine="494"/>
        <w:spacing w:after="0" w:line="26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do not anticipate paying any cash dividends in the foreseeable future and, therefore, use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 in the option valuation model.</w:t>
      </w:r>
    </w:p>
    <w:p>
      <w:pPr>
        <w:spacing w:after="0" w:line="70" w:lineRule="exact"/>
        <w:rPr>
          <w:sz w:val="20"/>
          <w:szCs w:val="20"/>
          <w:color w:val="auto"/>
        </w:rPr>
      </w:pPr>
    </w:p>
    <w:p>
      <w:pPr>
        <w:jc w:val="both"/>
        <w:ind w:right="200" w:firstLine="494"/>
        <w:spacing w:after="0"/>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are subject to income taxes in the United States and numerous foreign jurisdictions. Significant judgment is required in determining our provision for income taxes and deferred tax assets and liabilities, including evaluating uncertainties in the application of accounting principles and complex tax laws.</w:t>
      </w:r>
    </w:p>
    <w:p>
      <w:pPr>
        <w:spacing w:after="0" w:line="95"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We record a provision for income taxes for the anticipated tax consequences of the reported results of operations using the asset and liability method. Under this method, we recognize deferred tax assets and liabilities for the expected future tax consequences of temporary differences between the carrying amounts for financial reporting purposes and the tax bases of assets and liabilities, as well as for loss and tax credit carryforwards.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spacing w:after="0" w:line="97" w:lineRule="exact"/>
        <w:rPr>
          <w:sz w:val="20"/>
          <w:szCs w:val="20"/>
          <w:color w:val="auto"/>
        </w:rPr>
      </w:pPr>
    </w:p>
    <w:p>
      <w:pPr>
        <w:jc w:val="both"/>
        <w:ind w:right="60" w:firstLine="494"/>
        <w:spacing w:after="0"/>
        <w:rPr>
          <w:sz w:val="20"/>
          <w:szCs w:val="20"/>
          <w:color w:val="auto"/>
        </w:rPr>
      </w:pPr>
      <w:r>
        <w:rPr>
          <w:rFonts w:ascii="Arial" w:cs="Arial" w:eastAsia="Arial" w:hAnsi="Arial"/>
          <w:sz w:val="18"/>
          <w:szCs w:val="18"/>
          <w:color w:val="auto"/>
        </w:rPr>
        <w:t>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risks associated with estimates of future taxable income, in assessing the need for a valuation allowance.</w:t>
      </w:r>
    </w:p>
    <w:p>
      <w:pPr>
        <w:spacing w:after="0" w:line="95"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Our tax positions are subject to income tax audits by multiple tax jurisdictions throughout the world. We recognize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We recognize interest accrued and penalties related to unrecognized tax benefits in income tax expense. We make adjustments to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our financial condition and operating results.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Section 107 of the Jumpstart Our Business Startups Act of 2012, as amended, or the JOBS Act, provides that an “emerging growth company” may take advantage of the extended transition period provided in Section 7(a)(2)(B) of the Securities Act for complying with new or revised accounting standards. In other words, an “emerging growth company” may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 until we are no longer an emerging growth company or until we affirmatively and irrevocably opt out of the extended transition period.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Inflation</w:t>
      </w:r>
    </w:p>
    <w:p>
      <w:pPr>
        <w:spacing w:after="0" w:line="126" w:lineRule="exact"/>
        <w:rPr>
          <w:sz w:val="20"/>
          <w:szCs w:val="20"/>
          <w:color w:val="auto"/>
        </w:rPr>
      </w:pPr>
    </w:p>
    <w:p>
      <w:pPr>
        <w:ind w:right="100" w:firstLine="544"/>
        <w:spacing w:after="0" w:line="238" w:lineRule="auto"/>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through December 31, 2021. However, we may experience higher than expected increases in wages and other compensation costs during 2022 and beyond. If our costs become subject to significant inflationary pressures, we may not be able to fully offset such higher costs through price increases. Our inability or failure to do so could materially adversely affect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480" w:firstLine="494"/>
        <w:spacing w:after="0" w:line="246"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more information regarding recently issued accounting pronouncements.</w:t>
      </w:r>
    </w:p>
    <w:p>
      <w:pPr>
        <w:spacing w:after="0" w:line="283" w:lineRule="exact"/>
        <w:rPr>
          <w:sz w:val="20"/>
          <w:szCs w:val="20"/>
          <w:color w:val="auto"/>
        </w:rPr>
      </w:pPr>
    </w:p>
    <w:p>
      <w:pPr>
        <w:spacing w:after="0"/>
        <w:rPr>
          <w:rFonts w:ascii="Arial" w:cs="Arial" w:eastAsia="Arial" w:hAnsi="Arial"/>
          <w:sz w:val="18"/>
          <w:szCs w:val="18"/>
          <w:b w:val="1"/>
          <w:bCs w:val="1"/>
          <w:u w:val="single" w:color="auto"/>
          <w:color w:val="auto"/>
        </w:rPr>
      </w:pPr>
      <w:hyperlink w:anchor="page69">
        <w:r>
          <w:rPr>
            <w:rFonts w:ascii="Arial" w:cs="Arial" w:eastAsia="Arial" w:hAnsi="Arial"/>
            <w:sz w:val="18"/>
            <w:szCs w:val="18"/>
            <w:b w:val="1"/>
            <w:bCs w:val="1"/>
            <w:u w:val="single" w:color="auto"/>
            <w:color w:val="auto"/>
          </w:rPr>
          <w:t>Item 7A. 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7014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01415" cy="8890"/>
                    </a:xfrm>
                    <a:prstGeom prst="rect">
                      <a:avLst/>
                    </a:prstGeom>
                    <a:noFill/>
                  </pic:spPr>
                </pic:pic>
              </a:graphicData>
            </a:graphic>
          </wp:anchor>
        </w:drawing>
      </w:r>
    </w:p>
    <w:p>
      <w:pPr>
        <w:spacing w:after="0" w:line="214"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Our unrestricted cash and cash equivalents consist of bank deposits and money market funds with original maturities of three months or less. Our cash and cash equivalents are held for working capital purposes. We do not enter into investments for trading or speculative purposes. Our cash equivalents and our investment portfolio are subject to market risk due to changes in interest rates. In addition, we have no variable interest rate indebtedness. As of December 31, 2021, a hypothetical 10% relative change in interest rates would not have had a material impact on the value of our cash equivalents, investment portfolio or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140" w:firstLine="494"/>
        <w:spacing w:after="0" w:line="237" w:lineRule="auto"/>
        <w:rPr>
          <w:sz w:val="20"/>
          <w:szCs w:val="20"/>
          <w:color w:val="auto"/>
        </w:rPr>
      </w:pPr>
      <w:r>
        <w:rPr>
          <w:rFonts w:ascii="Arial" w:cs="Arial" w:eastAsia="Arial" w:hAnsi="Arial"/>
          <w:sz w:val="18"/>
          <w:szCs w:val="18"/>
          <w:color w:val="auto"/>
        </w:rPr>
        <w:t>Certain of our operations are conducted in foreign currencies. While we have generated substantially all of our revenue from billers in the United States, we have foreign currency risks related to revenue denominated in other currencies, such as the Canadian dollar. In addition, we have significant operations outside of the United States,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We do not believe that an immediate 10% increase or decrease in the relative value of the U.S. dollar to other applicable currencies would have a material effect on operating results.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69" w:name="page70"/>
    <w:bookmarkEnd w:id="69"/>
    <w:tbl>
      <w:tblPr>
        <w:tblLayout w:type="fixed"/>
        <w:tblInd w:w="10" w:type="dxa"/>
        <w:tblCellMar>
          <w:top w:w="0" w:type="dxa"/>
          <w:left w:w="0" w:type="dxa"/>
          <w:bottom w:w="0" w:type="dxa"/>
          <w:right w:w="0" w:type="dxa"/>
        </w:tblCellMar>
      </w:tblPr>
      <w:tr>
        <w:trPr>
          <w:trHeight w:val="207"/>
        </w:trPr>
        <w:tc>
          <w:tcPr>
            <w:tcW w:w="9880" w:type="dxa"/>
            <w:vAlign w:val="bottom"/>
            <w:gridSpan w:val="10"/>
          </w:tcPr>
          <w:p>
            <w:pPr>
              <w:spacing w:after="0"/>
              <w:rPr>
                <w:rFonts w:ascii="Arial" w:cs="Arial" w:eastAsia="Arial" w:hAnsi="Arial"/>
                <w:sz w:val="18"/>
                <w:szCs w:val="18"/>
                <w:b w:val="1"/>
                <w:bCs w:val="1"/>
                <w:color w:val="auto"/>
              </w:rPr>
            </w:pPr>
            <w:hyperlink w:anchor="page70">
              <w:r>
                <w:rPr>
                  <w:rFonts w:ascii="Arial" w:cs="Arial" w:eastAsia="Arial" w:hAnsi="Arial"/>
                  <w:sz w:val="18"/>
                  <w:szCs w:val="18"/>
                  <w:b w:val="1"/>
                  <w:bCs w:val="1"/>
                  <w:color w:val="auto"/>
                </w:rPr>
                <w:t>Item 8. Financial Statements</w:t>
              </w:r>
            </w:hyperlink>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20" w:type="dxa"/>
            <w:vAlign w:val="bottom"/>
            <w:tcBorders>
              <w:top w:val="single" w:sz="8" w:color="auto"/>
            </w:tcBorders>
          </w:tcPr>
          <w:p>
            <w:pPr>
              <w:spacing w:after="0"/>
              <w:rPr>
                <w:sz w:val="24"/>
                <w:szCs w:val="24"/>
                <w:color w:val="auto"/>
              </w:rPr>
            </w:pPr>
          </w:p>
        </w:tc>
        <w:tc>
          <w:tcPr>
            <w:tcW w:w="7460" w:type="dxa"/>
            <w:vAlign w:val="bottom"/>
            <w:gridSpan w:val="9"/>
          </w:tcPr>
          <w:p>
            <w:pPr>
              <w:jc w:val="center"/>
              <w:ind w:right="110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880" w:type="dxa"/>
            <w:vAlign w:val="bottom"/>
            <w:gridSpan w:val="10"/>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Report of Independent Registered Public Accounting Firm (PCAOB ID 238)</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9"/>
        </w:trPr>
        <w:tc>
          <w:tcPr>
            <w:tcW w:w="5260" w:type="dxa"/>
            <w:vAlign w:val="bottom"/>
            <w:tcBorders>
              <w:top w:val="single" w:sz="8" w:color="0000FF"/>
              <w:bottom w:val="single" w:sz="8" w:color="0000FF"/>
            </w:tcBorders>
            <w:gridSpan w:val="3"/>
          </w:tcPr>
          <w:p>
            <w:pPr>
              <w:ind w:left="20"/>
              <w:spacing w:after="0" w:line="169"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Consolidated Balance Sheets as of December 31, 2021 and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9"/>
        </w:trPr>
        <w:tc>
          <w:tcPr>
            <w:tcW w:w="9880" w:type="dxa"/>
            <w:vAlign w:val="bottom"/>
            <w:gridSpan w:val="10"/>
          </w:tcPr>
          <w:p>
            <w:pPr>
              <w:ind w:left="20"/>
              <w:spacing w:after="0" w:line="169" w:lineRule="exact"/>
              <w:rPr>
                <w:rFonts w:ascii="Arial" w:cs="Arial" w:eastAsia="Arial" w:hAnsi="Arial"/>
                <w:sz w:val="18"/>
                <w:szCs w:val="18"/>
                <w:color w:val="0000FF"/>
              </w:rPr>
            </w:pPr>
            <w:hyperlink w:anchor="page73">
              <w:r>
                <w:rPr>
                  <w:rFonts w:ascii="Arial" w:cs="Arial" w:eastAsia="Arial" w:hAnsi="Arial"/>
                  <w:sz w:val="18"/>
                  <w:szCs w:val="18"/>
                  <w:color w:val="0000FF"/>
                </w:rPr>
                <w:t>Consolidated Statements of Operations for the Years ended December 31, 2021, 2020 and 2019</w:t>
              </w:r>
            </w:hyperlink>
          </w:p>
        </w:tc>
        <w:tc>
          <w:tcPr>
            <w:tcW w:w="1360" w:type="dxa"/>
            <w:vAlign w:val="bottom"/>
          </w:tcPr>
          <w:p>
            <w:pPr>
              <w:jc w:val="right"/>
              <w:spacing w:after="0" w:line="169"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520" w:type="dxa"/>
            <w:vAlign w:val="bottom"/>
            <w:tcBorders>
              <w:left w:val="single" w:sz="8" w:color="0000EE"/>
            </w:tcBorders>
            <w:gridSpan w:val="2"/>
            <w:shd w:val="clear" w:color="auto" w:fill="0000FF"/>
          </w:tcPr>
          <w:p>
            <w:pPr>
              <w:spacing w:after="0" w:line="20" w:lineRule="exact"/>
              <w:rPr>
                <w:sz w:val="1"/>
                <w:szCs w:val="1"/>
                <w:color w:val="auto"/>
              </w:rPr>
            </w:pPr>
          </w:p>
        </w:tc>
        <w:tc>
          <w:tcPr>
            <w:tcW w:w="41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69"/>
        </w:trPr>
        <w:tc>
          <w:tcPr>
            <w:tcW w:w="9880" w:type="dxa"/>
            <w:vAlign w:val="bottom"/>
            <w:gridSpan w:val="10"/>
          </w:tcPr>
          <w:p>
            <w:pPr>
              <w:ind w:left="20"/>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Consolidated Statements of Comprehensive Income for the Years ended December 31, 2021, 2020 and 2019</w:t>
              </w:r>
            </w:hyperlink>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20" w:type="dxa"/>
            <w:vAlign w:val="bottom"/>
            <w:tcBorders>
              <w:top w:val="single" w:sz="8" w:color="0000FF"/>
            </w:tcBorders>
            <w:gridSpan w:val="9"/>
          </w:tcPr>
          <w:p>
            <w:pPr>
              <w:ind w:left="20"/>
              <w:spacing w:after="0" w:line="169" w:lineRule="exact"/>
              <w:rPr>
                <w:rFonts w:ascii="Arial" w:cs="Arial" w:eastAsia="Arial" w:hAnsi="Arial"/>
                <w:sz w:val="18"/>
                <w:szCs w:val="18"/>
                <w:color w:val="0000FF"/>
              </w:rPr>
            </w:pPr>
            <w:hyperlink w:anchor="page75">
              <w:r>
                <w:rPr>
                  <w:rFonts w:ascii="Arial" w:cs="Arial" w:eastAsia="Arial" w:hAnsi="Arial"/>
                  <w:sz w:val="18"/>
                  <w:szCs w:val="18"/>
                  <w:color w:val="0000FF"/>
                </w:rPr>
                <w:t>Consolidated Statements of Stockholders’ Equity for the Years ended December 31, 2021, 2020 and 2019</w:t>
              </w:r>
            </w:hyperlink>
          </w:p>
        </w:tc>
        <w:tc>
          <w:tcPr>
            <w:tcW w:w="116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69"/>
        </w:trPr>
        <w:tc>
          <w:tcPr>
            <w:tcW w:w="8460" w:type="dxa"/>
            <w:vAlign w:val="bottom"/>
            <w:tcBorders>
              <w:top w:val="single" w:sz="8" w:color="0000FF"/>
            </w:tcBorders>
            <w:gridSpan w:val="8"/>
          </w:tcPr>
          <w:p>
            <w:pPr>
              <w:ind w:left="20"/>
              <w:spacing w:after="0" w:line="169" w:lineRule="exact"/>
              <w:rPr>
                <w:rFonts w:ascii="Arial" w:cs="Arial" w:eastAsia="Arial" w:hAnsi="Arial"/>
                <w:sz w:val="18"/>
                <w:szCs w:val="18"/>
                <w:color w:val="0000FF"/>
              </w:rPr>
            </w:pPr>
            <w:hyperlink w:anchor="page76">
              <w:r>
                <w:rPr>
                  <w:rFonts w:ascii="Arial" w:cs="Arial" w:eastAsia="Arial" w:hAnsi="Arial"/>
                  <w:sz w:val="18"/>
                  <w:szCs w:val="18"/>
                  <w:color w:val="0000FF"/>
                </w:rPr>
                <w:t>Consolidated Statements of Cash Flows for the Years ended December 31, 2021, 2020 and 2019</w:t>
              </w:r>
            </w:hyperlink>
          </w:p>
        </w:tc>
        <w:tc>
          <w:tcPr>
            <w:tcW w:w="1420" w:type="dxa"/>
            <w:vAlign w:val="bottom"/>
            <w:gridSpan w:val="2"/>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69"/>
        </w:trPr>
        <w:tc>
          <w:tcPr>
            <w:tcW w:w="7760" w:type="dxa"/>
            <w:vAlign w:val="bottom"/>
            <w:tcBorders>
              <w:top w:val="single" w:sz="8" w:color="0000FF"/>
            </w:tcBorders>
            <w:gridSpan w:val="7"/>
          </w:tcPr>
          <w:p>
            <w:pPr>
              <w:ind w:left="20"/>
              <w:spacing w:after="0" w:line="169" w:lineRule="exact"/>
              <w:rPr>
                <w:rFonts w:ascii="Arial" w:cs="Arial" w:eastAsia="Arial" w:hAnsi="Arial"/>
                <w:sz w:val="18"/>
                <w:szCs w:val="18"/>
                <w:color w:val="0000FF"/>
              </w:rPr>
            </w:pPr>
            <w:hyperlink w:anchor="page78">
              <w:r>
                <w:rPr>
                  <w:rFonts w:ascii="Arial" w:cs="Arial" w:eastAsia="Arial" w:hAnsi="Arial"/>
                  <w:sz w:val="18"/>
                  <w:szCs w:val="18"/>
                  <w:color w:val="0000FF"/>
                </w:rPr>
                <w:t>Notes to Consolidated Financial Statements</w:t>
              </w:r>
            </w:hyperlink>
          </w:p>
        </w:tc>
        <w:tc>
          <w:tcPr>
            <w:tcW w:w="2120" w:type="dxa"/>
            <w:vAlign w:val="bottom"/>
            <w:gridSpan w:val="3"/>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628"/>
        </w:trPr>
        <w:tc>
          <w:tcPr>
            <w:tcW w:w="3520" w:type="dxa"/>
            <w:vAlign w:val="bottom"/>
            <w:tcBorders>
              <w:top w:val="single" w:sz="8" w:color="0000FF"/>
            </w:tcBorders>
            <w:gridSpan w:val="2"/>
          </w:tcPr>
          <w:p>
            <w:pPr>
              <w:spacing w:after="0"/>
              <w:rPr>
                <w:sz w:val="24"/>
                <w:szCs w:val="24"/>
                <w:color w:val="auto"/>
              </w:rPr>
            </w:pP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70</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70" w:name="page71"/>
    <w:bookmarkEnd w:id="70"/>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Paymentus Holdings, Inc.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consolidated balance sheets of Paymentus Holdings, Inc. and its subsidiaries (the “Company”) as of December 31, 2021 and 2020, and the related consolidated statements of operations, of comprehensive income, of stockholders' equity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Charlotte, North Carolina</w:t>
      </w:r>
    </w:p>
    <w:p>
      <w:pPr>
        <w:spacing w:after="0" w:line="235" w:lineRule="auto"/>
        <w:rPr>
          <w:sz w:val="20"/>
          <w:szCs w:val="20"/>
          <w:color w:val="auto"/>
        </w:rPr>
      </w:pPr>
      <w:r>
        <w:rPr>
          <w:rFonts w:ascii="Arial" w:cs="Arial" w:eastAsia="Arial" w:hAnsi="Arial"/>
          <w:sz w:val="18"/>
          <w:szCs w:val="18"/>
          <w:color w:val="auto"/>
        </w:rPr>
        <w:t>March 3, 2022</w:t>
      </w:r>
    </w:p>
    <w:p>
      <w:pPr>
        <w:spacing w:after="0" w:line="235" w:lineRule="auto"/>
        <w:rPr>
          <w:sz w:val="20"/>
          <w:szCs w:val="20"/>
          <w:color w:val="auto"/>
        </w:rPr>
      </w:pPr>
      <w:r>
        <w:rPr>
          <w:rFonts w:ascii="Arial" w:cs="Arial" w:eastAsia="Arial" w:hAnsi="Arial"/>
          <w:sz w:val="18"/>
          <w:szCs w:val="18"/>
          <w:color w:val="auto"/>
        </w:rPr>
        <w:t>We have served as the Company’s auditor since 2020.</w:t>
      </w: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1" w:name="page72"/>
    <w:bookmarkEnd w:id="71"/>
    <w:p>
      <w:pPr>
        <w:ind w:left="4380"/>
        <w:spacing w:after="0"/>
        <w:rPr>
          <w:sz w:val="20"/>
          <w:szCs w:val="20"/>
          <w:color w:val="auto"/>
        </w:rPr>
      </w:pPr>
      <w:r>
        <w:rPr>
          <w:rFonts w:ascii="Arial" w:cs="Arial" w:eastAsia="Arial" w:hAnsi="Arial"/>
          <w:sz w:val="18"/>
          <w:szCs w:val="18"/>
          <w:color w:val="auto"/>
        </w:rPr>
        <w:t>PAYMENTUS HOLDINGS, INC.</w:t>
      </w:r>
    </w:p>
    <w:p>
      <w:pPr>
        <w:ind w:left="4060"/>
        <w:spacing w:after="0" w:line="219" w:lineRule="auto"/>
        <w:rPr>
          <w:sz w:val="20"/>
          <w:szCs w:val="20"/>
          <w:color w:val="auto"/>
        </w:rPr>
      </w:pPr>
      <w:r>
        <w:rPr>
          <w:rFonts w:ascii="Arial" w:cs="Arial" w:eastAsia="Arial" w:hAnsi="Arial"/>
          <w:sz w:val="18"/>
          <w:szCs w:val="18"/>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772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2021</w:t>
            </w:r>
          </w:p>
        </w:tc>
        <w:tc>
          <w:tcPr>
            <w:tcW w:w="60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608"/>
              <w:spacing w:after="0" w:line="131"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1"/>
                <w:szCs w:val="1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20" w:type="dxa"/>
            <w:vAlign w:val="bottom"/>
            <w:shd w:val="clear" w:color="auto" w:fill="CFF0FC"/>
          </w:tcPr>
          <w:p>
            <w:pPr>
              <w:jc w:val="right"/>
              <w:ind w:right="85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168,386</w:t>
            </w:r>
          </w:p>
        </w:tc>
        <w:tc>
          <w:tcPr>
            <w:tcW w:w="700" w:type="dxa"/>
            <w:vAlign w:val="bottom"/>
            <w:gridSpan w:val="2"/>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46,666</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Restricted funds held for financial institutions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33,443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and other receivables, net of allowance of $102 and $100</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43,935</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28,034</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Income tax receivable</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2,488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8,184</w:t>
            </w:r>
          </w:p>
        </w:tc>
        <w:tc>
          <w:tcPr>
            <w:tcW w:w="2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3,117</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256,436</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79,828</w:t>
            </w:r>
          </w:p>
        </w:tc>
        <w:tc>
          <w:tcPr>
            <w:tcW w:w="60" w:type="dxa"/>
            <w:vAlign w:val="bottom"/>
          </w:tcPr>
          <w:p>
            <w:pPr>
              <w:spacing w:after="0"/>
              <w:rPr>
                <w:sz w:val="14"/>
                <w:szCs w:val="14"/>
                <w:color w:val="auto"/>
              </w:rPr>
            </w:pPr>
          </w:p>
        </w:tc>
      </w:tr>
      <w:tr>
        <w:trPr>
          <w:trHeight w:val="153"/>
        </w:trPr>
        <w:tc>
          <w:tcPr>
            <w:tcW w:w="772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Property and equipment, net of accumulated depreciation and</w:t>
            </w:r>
          </w:p>
        </w:tc>
        <w:tc>
          <w:tcPr>
            <w:tcW w:w="1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1"/>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amortization of $4,791 and $3,760</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2,044</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1,772</w:t>
            </w:r>
          </w:p>
        </w:tc>
        <w:tc>
          <w:tcPr>
            <w:tcW w:w="6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Capitalized internal-use software development costs, net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30,888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20,963</w:t>
            </w: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assets, net</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42,088</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129,413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13,205</w:t>
            </w: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7,703</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8,322</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270</w:t>
            </w:r>
          </w:p>
        </w:tc>
        <w:tc>
          <w:tcPr>
            <w:tcW w:w="6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assets</w:t>
            </w: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4,207</w:t>
            </w:r>
          </w:p>
        </w:tc>
        <w:tc>
          <w:tcPr>
            <w:tcW w:w="2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1020" w:type="dxa"/>
            <w:vAlign w:val="bottom"/>
          </w:tcPr>
          <w:p>
            <w:pPr>
              <w:jc w:val="right"/>
              <w:ind w:right="85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472,942</w:t>
            </w:r>
          </w:p>
        </w:tc>
        <w:tc>
          <w:tcPr>
            <w:tcW w:w="7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124,874</w:t>
            </w:r>
          </w:p>
        </w:tc>
        <w:tc>
          <w:tcPr>
            <w:tcW w:w="6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77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20" w:type="dxa"/>
            <w:vAlign w:val="bottom"/>
            <w:shd w:val="clear" w:color="auto" w:fill="CFF0FC"/>
          </w:tcPr>
          <w:p>
            <w:pPr>
              <w:jc w:val="right"/>
              <w:ind w:right="85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24,748</w:t>
            </w:r>
          </w:p>
        </w:tc>
        <w:tc>
          <w:tcPr>
            <w:tcW w:w="700" w:type="dxa"/>
            <w:vAlign w:val="bottom"/>
            <w:gridSpan w:val="2"/>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16,825</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Accrued liabilities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12,491</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10,201</w:t>
            </w: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Financial institution funds in-transit</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33,443</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Operating lease liabilities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1,456</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3,010</w:t>
            </w: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liabilities</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2,173</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Income tax payable</w:t>
            </w: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60" w:type="dxa"/>
            <w:vAlign w:val="bottom"/>
          </w:tcPr>
          <w:p>
            <w:pPr>
              <w:spacing w:after="0"/>
              <w:rPr>
                <w:sz w:val="15"/>
                <w:szCs w:val="15"/>
                <w:color w:val="auto"/>
              </w:rPr>
            </w:pPr>
          </w:p>
        </w:tc>
      </w:tr>
      <w:tr>
        <w:trPr>
          <w:trHeight w:val="169"/>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74,433</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31,111</w:t>
            </w:r>
          </w:p>
        </w:tc>
        <w:tc>
          <w:tcPr>
            <w:tcW w:w="60" w:type="dxa"/>
            <w:vAlign w:val="bottom"/>
            <w:shd w:val="clear" w:color="auto" w:fill="CFF0FC"/>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3,318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3,499</w:t>
            </w: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 net of current portion</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6,463</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5,476</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1,713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Finance leases and other finance obligations, net of current portion</w:t>
            </w: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883</w:t>
            </w:r>
          </w:p>
        </w:tc>
        <w:tc>
          <w:tcPr>
            <w:tcW w:w="2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0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86,810</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40,498</w:t>
            </w:r>
          </w:p>
        </w:tc>
        <w:tc>
          <w:tcPr>
            <w:tcW w:w="6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9)</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772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Preferred stock, $0.0001 par value per share, 5,000,000 and zero shares authorized as of December 31, 2021 and</w:t>
            </w:r>
          </w:p>
        </w:tc>
        <w:tc>
          <w:tcPr>
            <w:tcW w:w="1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1"/>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2020, respectively, none issued and outstanding as of December 31, 2021 and 2020, respectively</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53"/>
        </w:trPr>
        <w:tc>
          <w:tcPr>
            <w:tcW w:w="7720" w:type="dxa"/>
            <w:vAlign w:val="bottom"/>
          </w:tcPr>
          <w:p>
            <w:pPr>
              <w:ind w:left="200"/>
              <w:spacing w:after="0" w:line="153" w:lineRule="exact"/>
              <w:rPr>
                <w:sz w:val="20"/>
                <w:szCs w:val="20"/>
                <w:color w:val="auto"/>
              </w:rPr>
            </w:pPr>
            <w:r>
              <w:rPr>
                <w:rFonts w:ascii="Arial" w:cs="Arial" w:eastAsia="Arial" w:hAnsi="Arial"/>
                <w:sz w:val="14"/>
                <w:szCs w:val="14"/>
                <w:color w:val="auto"/>
              </w:rPr>
              <w:t>Class A common stock, $0.0001 par value per share, 883,950,000 and zero shares authorized as of December 31,</w:t>
            </w: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2021 and 2020, respectively; 17,251,079 and zero shares issued and outstanding as of December 31, 2021 and</w:t>
            </w: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7720" w:type="dxa"/>
            <w:vAlign w:val="bottom"/>
          </w:tcPr>
          <w:p>
            <w:pPr>
              <w:ind w:left="200"/>
              <w:spacing w:after="0"/>
              <w:rPr>
                <w:sz w:val="20"/>
                <w:szCs w:val="20"/>
                <w:color w:val="auto"/>
              </w:rPr>
            </w:pPr>
            <w:r>
              <w:rPr>
                <w:rFonts w:ascii="Arial" w:cs="Arial" w:eastAsia="Arial" w:hAnsi="Arial"/>
                <w:sz w:val="14"/>
                <w:szCs w:val="14"/>
                <w:color w:val="auto"/>
              </w:rPr>
              <w:t>2020, respectively</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53"/>
        </w:trPr>
        <w:tc>
          <w:tcPr>
            <w:tcW w:w="772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Class B common stock, $0.0001 par value per share, 111,050,000 and zero shares authorized as of December 31,</w:t>
            </w:r>
          </w:p>
        </w:tc>
        <w:tc>
          <w:tcPr>
            <w:tcW w:w="1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2021 and 2020, respectively; 103,388,082 and zero shares issued and outstanding as of December 31, 2021 and</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71"/>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2020, respectively</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53"/>
        </w:trPr>
        <w:tc>
          <w:tcPr>
            <w:tcW w:w="7720" w:type="dxa"/>
            <w:vAlign w:val="bottom"/>
          </w:tcPr>
          <w:p>
            <w:pPr>
              <w:ind w:left="200"/>
              <w:spacing w:after="0" w:line="153" w:lineRule="exact"/>
              <w:rPr>
                <w:sz w:val="20"/>
                <w:szCs w:val="20"/>
                <w:color w:val="auto"/>
              </w:rPr>
            </w:pPr>
            <w:r>
              <w:rPr>
                <w:rFonts w:ascii="Arial" w:cs="Arial" w:eastAsia="Arial" w:hAnsi="Arial"/>
                <w:sz w:val="14"/>
                <w:szCs w:val="14"/>
                <w:color w:val="auto"/>
              </w:rPr>
              <w:t>Series A preferred stock, par value $0.01 per share; zero and 50,000 shares authorized as of December 31, 2021</w:t>
            </w: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and 2020, respectively; zero and 23,333 shares issued as of December 31, 2021 and 2020, respectively; zero and</w:t>
            </w: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7720" w:type="dxa"/>
            <w:vAlign w:val="bottom"/>
          </w:tcPr>
          <w:p>
            <w:pPr>
              <w:ind w:left="200"/>
              <w:spacing w:after="0"/>
              <w:rPr>
                <w:sz w:val="20"/>
                <w:szCs w:val="20"/>
                <w:color w:val="auto"/>
              </w:rPr>
            </w:pPr>
            <w:r>
              <w:rPr>
                <w:rFonts w:ascii="Arial" w:cs="Arial" w:eastAsia="Arial" w:hAnsi="Arial"/>
                <w:sz w:val="14"/>
                <w:szCs w:val="14"/>
                <w:color w:val="auto"/>
              </w:rPr>
              <w:t>23,013 shares outstanding as of December 31, 2021 and 2020, respectively</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53"/>
        </w:trPr>
        <w:tc>
          <w:tcPr>
            <w:tcW w:w="772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Common stock, $0.005 par value per share; zero and 150,000,000 shares authorized as of December 31, 2021</w:t>
            </w:r>
          </w:p>
        </w:tc>
        <w:tc>
          <w:tcPr>
            <w:tcW w:w="1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and 2020, respectively; zero and 104,785,651 shares issued as of December 31, 2021 and 2020, respectively; and</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71"/>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zero and 103,479,239 shares outstanding as of December 31, 2021 and 2020, respectively</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60" w:type="dxa"/>
            <w:vAlign w:val="bottom"/>
            <w:shd w:val="clear" w:color="auto" w:fill="CFF0FC"/>
          </w:tcPr>
          <w:p>
            <w:pPr>
              <w:spacing w:after="0"/>
              <w:rPr>
                <w:sz w:val="14"/>
                <w:szCs w:val="14"/>
                <w:color w:val="auto"/>
              </w:rPr>
            </w:pPr>
          </w:p>
        </w:tc>
      </w:tr>
      <w:tr>
        <w:trPr>
          <w:trHeight w:val="153"/>
        </w:trPr>
        <w:tc>
          <w:tcPr>
            <w:tcW w:w="7720" w:type="dxa"/>
            <w:vAlign w:val="bottom"/>
          </w:tcPr>
          <w:p>
            <w:pPr>
              <w:ind w:left="200"/>
              <w:spacing w:after="0" w:line="153" w:lineRule="exact"/>
              <w:rPr>
                <w:sz w:val="20"/>
                <w:szCs w:val="20"/>
                <w:color w:val="auto"/>
              </w:rPr>
            </w:pPr>
            <w:r>
              <w:rPr>
                <w:rFonts w:ascii="Arial" w:cs="Arial" w:eastAsia="Arial" w:hAnsi="Arial"/>
                <w:sz w:val="14"/>
                <w:szCs w:val="14"/>
                <w:color w:val="auto"/>
              </w:rPr>
              <w:t>Treasury stock at cost, zero and 320 Series A preferred shares; and zero and</w:t>
            </w: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1"/>
        </w:trPr>
        <w:tc>
          <w:tcPr>
            <w:tcW w:w="7720" w:type="dxa"/>
            <w:vAlign w:val="bottom"/>
          </w:tcPr>
          <w:p>
            <w:pPr>
              <w:ind w:left="320"/>
              <w:spacing w:after="0"/>
              <w:rPr>
                <w:sz w:val="20"/>
                <w:szCs w:val="20"/>
                <w:color w:val="auto"/>
              </w:rPr>
            </w:pPr>
            <w:r>
              <w:rPr>
                <w:rFonts w:ascii="Arial" w:cs="Arial" w:eastAsia="Arial" w:hAnsi="Arial"/>
                <w:sz w:val="14"/>
                <w:szCs w:val="14"/>
                <w:color w:val="auto"/>
              </w:rPr>
              <w:t>1,306,412 common shares as of December 31, 2021 and 2020, respectively</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(579 )</w:t>
            </w: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356,017</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29,175</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216</w:t>
            </w:r>
          </w:p>
        </w:tc>
        <w:tc>
          <w:tcPr>
            <w:tcW w:w="6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29,935</w:t>
            </w:r>
          </w:p>
        </w:tc>
        <w:tc>
          <w:tcPr>
            <w:tcW w:w="2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55,047</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stockholders’ equity</w:t>
            </w:r>
          </w:p>
        </w:tc>
        <w:tc>
          <w:tcPr>
            <w:tcW w:w="10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386,132</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84,376</w:t>
            </w:r>
          </w:p>
        </w:tc>
        <w:tc>
          <w:tcPr>
            <w:tcW w:w="60" w:type="dxa"/>
            <w:vAlign w:val="bottom"/>
          </w:tcPr>
          <w:p>
            <w:pPr>
              <w:spacing w:after="0"/>
              <w:rPr>
                <w:sz w:val="14"/>
                <w:szCs w:val="14"/>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02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472,942</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124,874</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-6055360</wp:posOffset>
            </wp:positionV>
            <wp:extent cx="59690"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-6055360</wp:posOffset>
            </wp:positionV>
            <wp:extent cx="68580"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-5156835</wp:posOffset>
            </wp:positionV>
            <wp:extent cx="342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-5156835</wp:posOffset>
            </wp:positionV>
            <wp:extent cx="431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-4162425</wp:posOffset>
            </wp:positionV>
            <wp:extent cx="3429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-4162425</wp:posOffset>
            </wp:positionV>
            <wp:extent cx="431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-2559685</wp:posOffset>
            </wp:positionV>
            <wp:extent cx="3429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-2559685</wp:posOffset>
            </wp:positionV>
            <wp:extent cx="431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-262255</wp:posOffset>
            </wp:positionV>
            <wp:extent cx="342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34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34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4"/>
                <w:szCs w:val="14"/>
                <w:color w:val="auto"/>
              </w:rPr>
            </w:pPr>
          </w:p>
        </w:tc>
      </w:tr>
      <w:tr>
        <w:trPr>
          <w:trHeight w:val="169"/>
        </w:trPr>
        <w:tc>
          <w:tcPr>
            <w:tcW w:w="6600" w:type="dxa"/>
            <w:vAlign w:val="bottom"/>
            <w:shd w:val="clear" w:color="auto" w:fill="CFF0FC"/>
          </w:tcPr>
          <w:p>
            <w:pPr>
              <w:ind w:left="20"/>
              <w:spacing w:after="0" w:line="157" w:lineRule="exact"/>
              <w:rPr>
                <w:sz w:val="20"/>
                <w:szCs w:val="20"/>
                <w:color w:val="auto"/>
              </w:rPr>
            </w:pPr>
            <w:r>
              <w:rPr>
                <w:rFonts w:ascii="Arial" w:cs="Arial" w:eastAsia="Arial" w:hAnsi="Arial"/>
                <w:sz w:val="14"/>
                <w:szCs w:val="14"/>
                <w:color w:val="auto"/>
              </w:rPr>
              <w:t>Revenue</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395,524</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301,767</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235,778</w:t>
            </w:r>
          </w:p>
        </w:tc>
        <w:tc>
          <w:tcPr>
            <w:tcW w:w="60" w:type="dxa"/>
            <w:vAlign w:val="bottom"/>
            <w:shd w:val="clear" w:color="auto" w:fill="CFF0FC"/>
          </w:tcPr>
          <w:p>
            <w:pPr>
              <w:spacing w:after="0"/>
              <w:rPr>
                <w:sz w:val="14"/>
                <w:szCs w:val="14"/>
                <w:color w:val="auto"/>
              </w:rPr>
            </w:pPr>
          </w:p>
        </w:tc>
      </w:tr>
      <w:tr>
        <w:trPr>
          <w:trHeight w:val="176"/>
        </w:trPr>
        <w:tc>
          <w:tcPr>
            <w:tcW w:w="66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274,144</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209,140</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161,344</w:t>
            </w:r>
          </w:p>
        </w:tc>
        <w:tc>
          <w:tcPr>
            <w:tcW w:w="60" w:type="dxa"/>
            <w:vAlign w:val="bottom"/>
          </w:tcPr>
          <w:p>
            <w:pPr>
              <w:spacing w:after="0"/>
              <w:rPr>
                <w:sz w:val="15"/>
                <w:szCs w:val="15"/>
                <w:color w:val="auto"/>
              </w:rPr>
            </w:pPr>
          </w:p>
        </w:tc>
      </w:tr>
      <w:tr>
        <w:trPr>
          <w:trHeight w:val="169"/>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3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121,380</w:t>
            </w:r>
          </w:p>
        </w:tc>
        <w:tc>
          <w:tcPr>
            <w:tcW w:w="2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92,627</w:t>
            </w:r>
          </w:p>
        </w:tc>
        <w:tc>
          <w:tcPr>
            <w:tcW w:w="2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74,434</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34,122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24,510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17,864</w:t>
            </w:r>
          </w:p>
        </w:tc>
        <w:tc>
          <w:tcPr>
            <w:tcW w:w="60" w:type="dxa"/>
            <w:vAlign w:val="bottom"/>
            <w:shd w:val="clear" w:color="auto" w:fill="CFF0FC"/>
          </w:tcPr>
          <w:p>
            <w:pPr>
              <w:spacing w:after="0"/>
              <w:rPr>
                <w:sz w:val="15"/>
                <w:szCs w:val="15"/>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43,917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31,842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27,989</w:t>
            </w:r>
          </w:p>
        </w:tc>
        <w:tc>
          <w:tcPr>
            <w:tcW w:w="60" w:type="dxa"/>
            <w:vAlign w:val="bottom"/>
          </w:tcPr>
          <w:p>
            <w:pPr>
              <w:spacing w:after="0"/>
              <w:rPr>
                <w:sz w:val="15"/>
                <w:szCs w:val="15"/>
                <w:color w:val="auto"/>
              </w:rPr>
            </w:pPr>
          </w:p>
        </w:tc>
      </w:tr>
      <w:tr>
        <w:trPr>
          <w:trHeight w:val="175"/>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32,968</w:t>
            </w: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17,847</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10,210</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60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111,007</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74,199</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56,063</w:t>
            </w:r>
          </w:p>
        </w:tc>
        <w:tc>
          <w:tcPr>
            <w:tcW w:w="60" w:type="dxa"/>
            <w:vAlign w:val="bottom"/>
          </w:tcPr>
          <w:p>
            <w:pPr>
              <w:spacing w:after="0"/>
              <w:rPr>
                <w:sz w:val="14"/>
                <w:szCs w:val="14"/>
                <w:color w:val="auto"/>
              </w:rPr>
            </w:pPr>
          </w:p>
        </w:tc>
      </w:tr>
      <w:tr>
        <w:trPr>
          <w:trHeight w:val="169"/>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10,373</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18,428</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18,371</w:t>
            </w:r>
          </w:p>
        </w:tc>
        <w:tc>
          <w:tcPr>
            <w:tcW w:w="60" w:type="dxa"/>
            <w:vAlign w:val="bottom"/>
            <w:shd w:val="clear" w:color="auto" w:fill="CFF0FC"/>
          </w:tcPr>
          <w:p>
            <w:pPr>
              <w:spacing w:after="0"/>
              <w:rPr>
                <w:sz w:val="14"/>
                <w:szCs w:val="14"/>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color w:val="auto"/>
              </w:rPr>
              <w:t>Other income (loss)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(expense) income, net</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(6 )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60" w:type="dxa"/>
            <w:vAlign w:val="bottom"/>
            <w:shd w:val="clear" w:color="auto" w:fill="CFF0FC"/>
          </w:tcPr>
          <w:p>
            <w:pPr>
              <w:spacing w:after="0"/>
              <w:rPr>
                <w:sz w:val="15"/>
                <w:szCs w:val="15"/>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4"/>
                <w:szCs w:val="14"/>
                <w:color w:val="auto"/>
              </w:rPr>
              <w:t>Foreign exchange (loss) gain</w:t>
            </w:r>
          </w:p>
        </w:tc>
        <w:tc>
          <w:tcPr>
            <w:tcW w:w="32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(1 )</w:t>
            </w:r>
          </w:p>
        </w:tc>
        <w:tc>
          <w:tcPr>
            <w:tcW w:w="3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(116 )</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r>
      <w:tr>
        <w:trPr>
          <w:trHeight w:val="169"/>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before income taxes</w:t>
            </w:r>
          </w:p>
        </w:tc>
        <w:tc>
          <w:tcPr>
            <w:tcW w:w="3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10,366</w:t>
            </w:r>
          </w:p>
        </w:tc>
        <w:tc>
          <w:tcPr>
            <w:tcW w:w="2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18,364</w:t>
            </w:r>
          </w:p>
        </w:tc>
        <w:tc>
          <w:tcPr>
            <w:tcW w:w="2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18,479</w:t>
            </w:r>
          </w:p>
        </w:tc>
        <w:tc>
          <w:tcPr>
            <w:tcW w:w="60" w:type="dxa"/>
            <w:vAlign w:val="bottom"/>
            <w:shd w:val="clear" w:color="auto" w:fill="CFF0FC"/>
          </w:tcPr>
          <w:p>
            <w:pPr>
              <w:spacing w:after="0"/>
              <w:rPr>
                <w:sz w:val="14"/>
                <w:szCs w:val="14"/>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4"/>
                <w:szCs w:val="14"/>
                <w:color w:val="auto"/>
              </w:rPr>
              <w:t>Provision for income taxes</w:t>
            </w:r>
          </w:p>
        </w:tc>
        <w:tc>
          <w:tcPr>
            <w:tcW w:w="32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(1,066 )</w:t>
            </w:r>
          </w:p>
        </w:tc>
        <w:tc>
          <w:tcPr>
            <w:tcW w:w="3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(4,653 )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(4,782 )</w:t>
            </w:r>
          </w:p>
        </w:tc>
      </w:tr>
      <w:tr>
        <w:trPr>
          <w:trHeight w:val="169"/>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income</w:t>
            </w:r>
          </w:p>
        </w:tc>
        <w:tc>
          <w:tcPr>
            <w:tcW w:w="32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9,300</w:t>
            </w:r>
          </w:p>
        </w:tc>
        <w:tc>
          <w:tcPr>
            <w:tcW w:w="2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13,711</w:t>
            </w:r>
          </w:p>
        </w:tc>
        <w:tc>
          <w:tcPr>
            <w:tcW w:w="2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13,697</w:t>
            </w:r>
          </w:p>
        </w:tc>
        <w:tc>
          <w:tcPr>
            <w:tcW w:w="60" w:type="dxa"/>
            <w:vAlign w:val="bottom"/>
            <w:shd w:val="clear" w:color="auto" w:fill="CFF0FC"/>
          </w:tcPr>
          <w:p>
            <w:pPr>
              <w:spacing w:after="0"/>
              <w:rPr>
                <w:sz w:val="14"/>
                <w:szCs w:val="14"/>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Undeclared dividends on Series A preferred stock</w:t>
            </w:r>
          </w:p>
        </w:tc>
        <w:tc>
          <w:tcPr>
            <w:tcW w:w="32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(2,258 )</w:t>
            </w:r>
          </w:p>
        </w:tc>
        <w:tc>
          <w:tcPr>
            <w:tcW w:w="3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(5,186 )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(4,697 )</w:t>
            </w:r>
          </w:p>
        </w:tc>
      </w:tr>
      <w:tr>
        <w:trPr>
          <w:trHeight w:val="209"/>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income attributable to common stock</w:t>
            </w:r>
          </w:p>
        </w:tc>
        <w:tc>
          <w:tcPr>
            <w:tcW w:w="32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8,525</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9,000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6600" w:type="dxa"/>
            <w:vAlign w:val="bottom"/>
          </w:tcPr>
          <w:p>
            <w:pPr>
              <w:ind w:left="200"/>
              <w:spacing w:after="0" w:line="156" w:lineRule="exact"/>
              <w:rPr>
                <w:sz w:val="20"/>
                <w:szCs w:val="20"/>
                <w:color w:val="auto"/>
              </w:rPr>
            </w:pPr>
            <w:r>
              <w:rPr>
                <w:rFonts w:ascii="Arial" w:cs="Arial" w:eastAsia="Arial" w:hAnsi="Arial"/>
                <w:sz w:val="14"/>
                <w:szCs w:val="14"/>
                <w:color w:val="auto"/>
              </w:rPr>
              <w:t>Net income per share attributable to common stock</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0.09</w:t>
            </w:r>
          </w:p>
        </w:tc>
        <w:tc>
          <w:tcPr>
            <w:tcW w:w="60" w:type="dxa"/>
            <w:vAlign w:val="bottom"/>
            <w:shd w:val="clear" w:color="auto" w:fill="CFF0FC"/>
          </w:tcPr>
          <w:p>
            <w:pPr>
              <w:spacing w:after="0"/>
              <w:rPr>
                <w:sz w:val="15"/>
                <w:szCs w:val="15"/>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0.06</w:t>
            </w:r>
          </w:p>
        </w:tc>
        <w:tc>
          <w:tcPr>
            <w:tcW w:w="2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0.08</w:t>
            </w:r>
          </w:p>
        </w:tc>
        <w:tc>
          <w:tcPr>
            <w:tcW w:w="2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0.08</w:t>
            </w:r>
          </w:p>
        </w:tc>
        <w:tc>
          <w:tcPr>
            <w:tcW w:w="60" w:type="dxa"/>
            <w:vAlign w:val="bottom"/>
          </w:tcPr>
          <w:p>
            <w:pPr>
              <w:spacing w:after="0"/>
              <w:rPr>
                <w:sz w:val="15"/>
                <w:szCs w:val="15"/>
                <w:color w:val="auto"/>
              </w:rPr>
            </w:pPr>
          </w:p>
        </w:tc>
      </w:tr>
      <w:tr>
        <w:trPr>
          <w:trHeight w:val="153"/>
        </w:trPr>
        <w:tc>
          <w:tcPr>
            <w:tcW w:w="66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Weighted-average number of shares used to compute net income per share attributable to</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1"/>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6600" w:type="dxa"/>
            <w:vAlign w:val="bottom"/>
          </w:tcPr>
          <w:p>
            <w:pPr>
              <w:ind w:left="38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112,763,261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103,479,239</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103,469,238</w:t>
            </w:r>
          </w:p>
        </w:tc>
        <w:tc>
          <w:tcPr>
            <w:tcW w:w="60" w:type="dxa"/>
            <w:vAlign w:val="bottom"/>
          </w:tcPr>
          <w:p>
            <w:pPr>
              <w:spacing w:after="0"/>
              <w:rPr>
                <w:sz w:val="15"/>
                <w:szCs w:val="15"/>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118,821,925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106,207,883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106,350,473</w:t>
            </w:r>
          </w:p>
        </w:tc>
        <w:tc>
          <w:tcPr>
            <w:tcW w:w="6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-2750820</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-2750820</wp:posOffset>
            </wp:positionV>
            <wp:extent cx="431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-2750820</wp:posOffset>
            </wp:positionV>
            <wp:extent cx="431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-2396490</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-2396490</wp:posOffset>
            </wp:positionV>
            <wp:extent cx="431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-2396490</wp:posOffset>
            </wp:positionV>
            <wp:extent cx="431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-1942465</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-1942465</wp:posOffset>
            </wp:positionV>
            <wp:extent cx="431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-1942465</wp:posOffset>
            </wp:positionV>
            <wp:extent cx="431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-788035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-770890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-788035</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-770890</wp:posOffset>
            </wp:positionV>
            <wp:extent cx="43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-788035</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-770890</wp:posOffset>
            </wp:positionV>
            <wp:extent cx="431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jc w:val="right"/>
              <w:ind w:right="722"/>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9,300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13,711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13,697</w:t>
            </w:r>
          </w:p>
        </w:tc>
        <w:tc>
          <w:tcPr>
            <w:tcW w:w="60" w:type="dxa"/>
            <w:vAlign w:val="bottom"/>
            <w:shd w:val="clear" w:color="auto" w:fill="CFF0FC"/>
          </w:tcPr>
          <w:p>
            <w:pPr>
              <w:spacing w:after="0"/>
              <w:rPr>
                <w:sz w:val="15"/>
                <w:szCs w:val="15"/>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adjustments, net of tax</w:t>
            </w:r>
          </w:p>
        </w:tc>
        <w:tc>
          <w:tcPr>
            <w:tcW w:w="9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(48 )</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60" w:type="dxa"/>
            <w:vAlign w:val="bottom"/>
            <w:shd w:val="clear" w:color="auto" w:fill="CFF0FC"/>
          </w:tcPr>
          <w:p>
            <w:pPr>
              <w:spacing w:after="0"/>
              <w:rPr>
                <w:sz w:val="16"/>
                <w:szCs w:val="16"/>
                <w:color w:val="auto"/>
              </w:rPr>
            </w:pPr>
          </w:p>
        </w:tc>
      </w:tr>
      <w:tr>
        <w:trPr>
          <w:trHeight w:val="183"/>
        </w:trPr>
        <w:tc>
          <w:tcPr>
            <w:tcW w:w="6600" w:type="dxa"/>
            <w:vAlign w:val="bottom"/>
            <w:tcBorders>
              <w:top w:val="single" w:sz="8" w:color="CFF0FC"/>
            </w:tcBorders>
          </w:tcPr>
          <w:p>
            <w:pPr>
              <w:ind w:left="380"/>
              <w:spacing w:after="0" w:line="169" w:lineRule="exact"/>
              <w:rPr>
                <w:sz w:val="20"/>
                <w:szCs w:val="20"/>
                <w:color w:val="auto"/>
              </w:rPr>
            </w:pPr>
            <w:r>
              <w:rPr>
                <w:rFonts w:ascii="Arial" w:cs="Arial" w:eastAsia="Arial" w:hAnsi="Arial"/>
                <w:sz w:val="16"/>
                <w:szCs w:val="16"/>
                <w:color w:val="auto"/>
              </w:rPr>
              <w:t>Comprehensive income</w:t>
            </w:r>
          </w:p>
        </w:tc>
        <w:tc>
          <w:tcPr>
            <w:tcW w:w="900" w:type="dxa"/>
            <w:vAlign w:val="bottom"/>
            <w:tcBorders>
              <w:top w:val="single" w:sz="8" w:color="auto"/>
              <w:bottom w:val="single" w:sz="8" w:color="auto"/>
            </w:tcBorders>
          </w:tcPr>
          <w:p>
            <w:pPr>
              <w:jc w:val="right"/>
              <w:ind w:right="722"/>
              <w:spacing w:after="0" w:line="169"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9,252</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13,778</w:t>
            </w:r>
          </w:p>
        </w:tc>
        <w:tc>
          <w:tcPr>
            <w:tcW w:w="20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13,713</w:t>
            </w:r>
          </w:p>
        </w:tc>
        <w:tc>
          <w:tcPr>
            <w:tcW w:w="60" w:type="dxa"/>
            <w:vAlign w:val="bottom"/>
            <w:tcBorders>
              <w:top w:val="single" w:sz="8" w:color="CFF0FC"/>
            </w:tcBorders>
          </w:tcPr>
          <w:p>
            <w:pPr>
              <w:spacing w:after="0"/>
              <w:rPr>
                <w:sz w:val="15"/>
                <w:szCs w:val="15"/>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-150495</wp:posOffset>
            </wp:positionV>
            <wp:extent cx="603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-150495</wp:posOffset>
            </wp:positionV>
            <wp:extent cx="342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tbl>
      <w:tblPr>
        <w:tblLayout w:type="fixed"/>
        <w:tblInd w:w="0" w:type="dxa"/>
        <w:tblCellMar>
          <w:top w:w="0" w:type="dxa"/>
          <w:left w:w="0" w:type="dxa"/>
          <w:bottom w:w="0" w:type="dxa"/>
          <w:right w:w="0" w:type="dxa"/>
        </w:tblCellMar>
      </w:tblPr>
      <w:tr>
        <w:trPr>
          <w:trHeight w:val="132"/>
        </w:trPr>
        <w:tc>
          <w:tcPr>
            <w:tcW w:w="3000" w:type="dxa"/>
            <w:vAlign w:val="bottom"/>
          </w:tcPr>
          <w:p>
            <w:pPr>
              <w:spacing w:after="0"/>
              <w:rPr>
                <w:sz w:val="11"/>
                <w:szCs w:val="11"/>
                <w:color w:val="auto"/>
              </w:rPr>
            </w:pPr>
          </w:p>
        </w:tc>
        <w:tc>
          <w:tcPr>
            <w:tcW w:w="128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9"/>
              </w:rPr>
              <w:t>Series A</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40"/>
              <w:spacing w:after="0" w:line="132" w:lineRule="exact"/>
              <w:rPr>
                <w:sz w:val="20"/>
                <w:szCs w:val="20"/>
                <w:color w:val="auto"/>
              </w:rPr>
            </w:pPr>
            <w:r>
              <w:rPr>
                <w:rFonts w:ascii="Arial" w:cs="Arial" w:eastAsia="Arial" w:hAnsi="Arial"/>
                <w:sz w:val="14"/>
                <w:szCs w:val="14"/>
                <w:b w:val="1"/>
                <w:bCs w:val="1"/>
                <w:color w:val="auto"/>
              </w:rPr>
              <w:t>Additiona</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8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8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Comprehensive</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auto"/>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w w:val="93"/>
              </w:rPr>
              <w:t>rs’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5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22,972</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103,380,579</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25,496</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27,639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53,206</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Issuance of shares</w:t>
            </w:r>
          </w:p>
        </w:tc>
        <w:tc>
          <w:tcPr>
            <w:tcW w:w="660" w:type="dxa"/>
            <w:vAlign w:val="bottom"/>
          </w:tcPr>
          <w:p>
            <w:pPr>
              <w:jc w:val="right"/>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98,660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1,585</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Related party loan receivable</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13,697</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103,479,239</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27,181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68,604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Stock-based compensation</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top w:val="single" w:sz="8" w:color="CFF0FC"/>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Related party loan receivable</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13,711</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13,711</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660" w:type="dxa"/>
            <w:vAlign w:val="bottom"/>
          </w:tcPr>
          <w:p>
            <w:pPr>
              <w:jc w:val="right"/>
              <w:spacing w:after="0"/>
              <w:rPr>
                <w:sz w:val="20"/>
                <w:szCs w:val="20"/>
                <w:color w:val="auto"/>
              </w:rPr>
            </w:pPr>
            <w:r>
              <w:rPr>
                <w:rFonts w:ascii="Arial" w:cs="Arial" w:eastAsia="Arial" w:hAnsi="Arial"/>
                <w:sz w:val="14"/>
                <w:szCs w:val="14"/>
                <w:color w:val="auto"/>
              </w:rPr>
              <w:t>23,013</w:t>
            </w:r>
          </w:p>
        </w:tc>
        <w:tc>
          <w:tcPr>
            <w:tcW w:w="1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103,479,239</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517</w:t>
            </w:r>
          </w:p>
        </w:tc>
        <w:tc>
          <w:tcPr>
            <w:tcW w:w="1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29,175</w:t>
            </w:r>
          </w:p>
        </w:tc>
        <w:tc>
          <w:tcPr>
            <w:tcW w:w="1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(579 )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55,047</w:t>
            </w:r>
          </w:p>
        </w:tc>
        <w:tc>
          <w:tcPr>
            <w:tcW w:w="1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216</w:t>
            </w:r>
          </w:p>
        </w:tc>
        <w:tc>
          <w:tcPr>
            <w:tcW w:w="14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84,376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00" w:type="dxa"/>
            <w:vAlign w:val="bottom"/>
            <w:shd w:val="clear" w:color="auto" w:fill="CFF0FC"/>
          </w:tcPr>
          <w:p>
            <w:pPr>
              <w:ind w:left="20"/>
              <w:spacing w:after="0" w:line="134" w:lineRule="exact"/>
              <w:rPr>
                <w:sz w:val="20"/>
                <w:szCs w:val="20"/>
                <w:color w:val="auto"/>
              </w:rPr>
            </w:pPr>
            <w:r>
              <w:rPr>
                <w:rFonts w:ascii="Arial" w:cs="Arial" w:eastAsia="Arial" w:hAnsi="Arial"/>
                <w:sz w:val="14"/>
                <w:szCs w:val="14"/>
                <w:color w:val="auto"/>
              </w:rPr>
              <w:t>Issuance of Class A common stock in</w:t>
            </w: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connection with initial public offering and</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private placement, net of offering costs,</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underwriting discounts and commissions</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13,880,950</w:t>
            </w: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Arial" w:cs="Arial" w:eastAsia="Arial" w:hAnsi="Arial"/>
                <w:sz w:val="14"/>
                <w:szCs w:val="14"/>
                <w:color w:val="auto"/>
              </w:rPr>
              <w:t>Conversion of common stock to Class B</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4"/>
                <w:szCs w:val="14"/>
                <w:color w:val="auto"/>
              </w:rPr>
              <w:t>common stock in connection with initial</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rPr>
                <w:sz w:val="20"/>
                <w:szCs w:val="20"/>
                <w:color w:val="auto"/>
              </w:rPr>
            </w:pPr>
            <w:r>
              <w:rPr>
                <w:rFonts w:ascii="Arial" w:cs="Arial" w:eastAsia="Arial" w:hAnsi="Arial"/>
                <w:sz w:val="14"/>
                <w:szCs w:val="14"/>
                <w:color w:val="auto"/>
              </w:rPr>
              <w:t>public offering</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(506 )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0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Redemption of Series A preferred stock in</w:t>
            </w: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connection with initial public offering</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(23,013 )</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(23,013 )</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(34,412 )</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(57,425 )</w:t>
            </w:r>
          </w:p>
        </w:tc>
        <w:tc>
          <w:tcPr>
            <w:tcW w:w="0" w:type="dxa"/>
            <w:vAlign w:val="bottom"/>
          </w:tcPr>
          <w:p>
            <w:pPr>
              <w:spacing w:after="0"/>
              <w:rPr>
                <w:sz w:val="1"/>
                <w:szCs w:val="1"/>
                <w:color w:val="auto"/>
              </w:rPr>
            </w:pP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Issuance of warrant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4,802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Retirement of treasury stock in connection</w:t>
            </w: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with initial public offering</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(579 )</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Arial" w:cs="Arial" w:eastAsia="Arial" w:hAnsi="Arial"/>
                <w:sz w:val="14"/>
                <w:szCs w:val="14"/>
                <w:color w:val="auto"/>
              </w:rPr>
              <w:t>Issuance of Class A common stock for</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rPr>
                <w:sz w:val="20"/>
                <w:szCs w:val="20"/>
                <w:color w:val="auto"/>
              </w:rPr>
            </w:pPr>
            <w:r>
              <w:rPr>
                <w:rFonts w:ascii="Arial" w:cs="Arial" w:eastAsia="Arial" w:hAnsi="Arial"/>
                <w:sz w:val="14"/>
                <w:szCs w:val="14"/>
                <w:color w:val="auto"/>
              </w:rPr>
              <w:t>acquisitions</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2,655,252</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68,229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68,229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Issuance of Class A common stock for stock</w:t>
            </w: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option exercises</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616,220</w:t>
            </w: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Arial" w:cs="Arial" w:eastAsia="Arial" w:hAnsi="Arial"/>
                <w:sz w:val="14"/>
                <w:szCs w:val="14"/>
                <w:color w:val="auto"/>
              </w:rPr>
              <w:t>Issuance of Class B common stock for 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rPr>
                <w:sz w:val="20"/>
                <w:szCs w:val="20"/>
                <w:color w:val="auto"/>
              </w:rPr>
            </w:pPr>
            <w:r>
              <w:rPr>
                <w:rFonts w:ascii="Arial" w:cs="Arial" w:eastAsia="Arial" w:hAnsi="Arial"/>
                <w:sz w:val="14"/>
                <w:szCs w:val="14"/>
                <w:color w:val="auto"/>
              </w:rPr>
              <w:t>option exercises</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7,500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3,136</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3,136</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Repayment of related party loan receivable</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(48 )</w:t>
            </w:r>
          </w:p>
        </w:tc>
        <w:tc>
          <w:tcPr>
            <w:tcW w:w="2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120,639,161</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356,017</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29,935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386,132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-3102610</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-3085465</wp:posOffset>
            </wp:positionV>
            <wp:extent cx="43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-3102610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-3085465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-3102610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-3085465</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-3102610</wp:posOffset>
            </wp:positionV>
            <wp:extent cx="43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-3085465</wp:posOffset>
            </wp:positionV>
            <wp:extent cx="431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-3102610</wp:posOffset>
            </wp:positionV>
            <wp:extent cx="342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-3085465</wp:posOffset>
            </wp:positionV>
            <wp:extent cx="342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-3102610</wp:posOffset>
            </wp:positionV>
            <wp:extent cx="342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-3085465</wp:posOffset>
            </wp:positionV>
            <wp:extent cx="342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-3102610</wp:posOffset>
            </wp:positionV>
            <wp:extent cx="342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-3085465</wp:posOffset>
            </wp:positionV>
            <wp:extent cx="34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-3102610</wp:posOffset>
            </wp:positionV>
            <wp:extent cx="342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-3085465</wp:posOffset>
            </wp:positionV>
            <wp:extent cx="342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-3102610</wp:posOffset>
            </wp:positionV>
            <wp:extent cx="342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-3085465</wp:posOffset>
            </wp:positionV>
            <wp:extent cx="34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-2602230</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-2602230</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-2602230</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-2602230</wp:posOffset>
            </wp:positionV>
            <wp:extent cx="431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-2602230</wp:posOffset>
            </wp:positionV>
            <wp:extent cx="3429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-2602230</wp:posOffset>
            </wp:positionV>
            <wp:extent cx="3429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-2602230</wp:posOffset>
            </wp:positionV>
            <wp:extent cx="3429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-2602230</wp:posOffset>
            </wp:positionV>
            <wp:extent cx="3429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-2602230</wp:posOffset>
            </wp:positionV>
            <wp:extent cx="3429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-24765</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-7620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-24765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342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342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34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34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342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62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66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9,300</w:t>
            </w:r>
          </w:p>
        </w:tc>
        <w:tc>
          <w:tcPr>
            <w:tcW w:w="220" w:type="dxa"/>
            <w:vAlign w:val="bottom"/>
          </w:tcPr>
          <w:p>
            <w:pPr>
              <w:spacing w:after="0"/>
              <w:rPr>
                <w:sz w:val="15"/>
                <w:szCs w:val="15"/>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13,711</w:t>
            </w:r>
          </w:p>
        </w:tc>
        <w:tc>
          <w:tcPr>
            <w:tcW w:w="220" w:type="dxa"/>
            <w:vAlign w:val="bottom"/>
          </w:tcPr>
          <w:p>
            <w:pPr>
              <w:spacing w:after="0"/>
              <w:rPr>
                <w:sz w:val="15"/>
                <w:szCs w:val="15"/>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13,697</w:t>
            </w:r>
          </w:p>
        </w:tc>
        <w:tc>
          <w:tcPr>
            <w:tcW w:w="60" w:type="dxa"/>
            <w:vAlign w:val="bottom"/>
          </w:tcPr>
          <w:p>
            <w:pPr>
              <w:spacing w:after="0"/>
              <w:rPr>
                <w:sz w:val="15"/>
                <w:szCs w:val="15"/>
                <w:color w:val="auto"/>
              </w:rPr>
            </w:pPr>
          </w:p>
        </w:tc>
      </w:tr>
      <w:tr>
        <w:trPr>
          <w:trHeight w:val="145"/>
        </w:trPr>
        <w:tc>
          <w:tcPr>
            <w:tcW w:w="6620" w:type="dxa"/>
            <w:vAlign w:val="bottom"/>
            <w:shd w:val="clear" w:color="auto" w:fill="CFF0FC"/>
          </w:tcPr>
          <w:p>
            <w:pPr>
              <w:ind w:left="20"/>
              <w:spacing w:after="0" w:line="145" w:lineRule="exact"/>
              <w:rPr>
                <w:sz w:val="20"/>
                <w:szCs w:val="20"/>
                <w:color w:val="auto"/>
              </w:rPr>
            </w:pPr>
            <w:r>
              <w:rPr>
                <w:rFonts w:ascii="Arial" w:cs="Arial" w:eastAsia="Arial" w:hAnsi="Arial"/>
                <w:sz w:val="15"/>
                <w:szCs w:val="15"/>
                <w:color w:val="auto"/>
              </w:rPr>
              <w:t>Adjustments to reconcile net income to net cash provided by operating</w:t>
            </w: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79"/>
        </w:trPr>
        <w:tc>
          <w:tcPr>
            <w:tcW w:w="66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activities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13,295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8,069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6,001</w:t>
            </w:r>
          </w:p>
        </w:tc>
        <w:tc>
          <w:tcPr>
            <w:tcW w:w="6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Deferred income taxes</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(660 )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1,638</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1,279</w:t>
            </w:r>
          </w:p>
        </w:tc>
        <w:tc>
          <w:tcPr>
            <w:tcW w:w="60" w:type="dxa"/>
            <w:vAlign w:val="bottom"/>
            <w:shd w:val="clear" w:color="auto" w:fill="CFF0FC"/>
          </w:tcPr>
          <w:p>
            <w:pPr>
              <w:spacing w:after="0"/>
              <w:rPr>
                <w:sz w:val="15"/>
                <w:szCs w:val="15"/>
                <w:color w:val="auto"/>
              </w:rPr>
            </w:pPr>
          </w:p>
        </w:tc>
      </w:tr>
      <w:tr>
        <w:trPr>
          <w:trHeight w:val="176"/>
        </w:trPr>
        <w:tc>
          <w:tcPr>
            <w:tcW w:w="662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3,136</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1,994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1,585</w:t>
            </w:r>
          </w:p>
        </w:tc>
        <w:tc>
          <w:tcPr>
            <w:tcW w:w="6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Non-cash lease expense</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2,497</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r>
        <w:trPr>
          <w:trHeight w:val="176"/>
        </w:trPr>
        <w:tc>
          <w:tcPr>
            <w:tcW w:w="6620" w:type="dxa"/>
            <w:vAlign w:val="bottom"/>
          </w:tcPr>
          <w:p>
            <w:pPr>
              <w:ind w:left="200"/>
              <w:spacing w:after="0"/>
              <w:rPr>
                <w:sz w:val="20"/>
                <w:szCs w:val="20"/>
                <w:color w:val="auto"/>
              </w:rPr>
            </w:pPr>
            <w:r>
              <w:rPr>
                <w:rFonts w:ascii="Arial" w:cs="Arial" w:eastAsia="Arial" w:hAnsi="Arial"/>
                <w:sz w:val="15"/>
                <w:szCs w:val="15"/>
                <w:color w:val="auto"/>
              </w:rPr>
              <w:t>Amortization of contract asset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Provision for credit losses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r>
        <w:trPr>
          <w:trHeight w:val="145"/>
        </w:trPr>
        <w:tc>
          <w:tcPr>
            <w:tcW w:w="6620" w:type="dxa"/>
            <w:vAlign w:val="bottom"/>
          </w:tcPr>
          <w:p>
            <w:pPr>
              <w:ind w:left="200"/>
              <w:spacing w:after="0" w:line="145" w:lineRule="exact"/>
              <w:rPr>
                <w:sz w:val="20"/>
                <w:szCs w:val="20"/>
                <w:color w:val="auto"/>
              </w:rPr>
            </w:pPr>
            <w:r>
              <w:rPr>
                <w:rFonts w:ascii="Arial" w:cs="Arial" w:eastAsia="Arial" w:hAnsi="Arial"/>
                <w:sz w:val="15"/>
                <w:szCs w:val="15"/>
                <w:color w:val="auto"/>
              </w:rPr>
              <w:t>Change in operating assets and liabilities, net of impact of business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9"/>
        </w:trPr>
        <w:tc>
          <w:tcPr>
            <w:tcW w:w="6620" w:type="dxa"/>
            <w:vAlign w:val="bottom"/>
          </w:tcPr>
          <w:p>
            <w:pPr>
              <w:ind w:left="320"/>
              <w:spacing w:after="0"/>
              <w:rPr>
                <w:sz w:val="20"/>
                <w:szCs w:val="20"/>
                <w:color w:val="auto"/>
              </w:rPr>
            </w:pPr>
            <w:r>
              <w:rPr>
                <w:rFonts w:ascii="Arial" w:cs="Arial" w:eastAsia="Arial" w:hAnsi="Arial"/>
                <w:sz w:val="15"/>
                <w:szCs w:val="15"/>
                <w:color w:val="auto"/>
              </w:rPr>
              <w:t>combination</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and other receivables</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(14,736 )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(8,689 )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(5,070 )</w:t>
            </w:r>
          </w:p>
        </w:tc>
      </w:tr>
      <w:tr>
        <w:trPr>
          <w:trHeight w:val="175"/>
        </w:trPr>
        <w:tc>
          <w:tcPr>
            <w:tcW w:w="6620" w:type="dxa"/>
            <w:vAlign w:val="bottom"/>
          </w:tcPr>
          <w:p>
            <w:pPr>
              <w:ind w:left="380"/>
              <w:spacing w:after="0"/>
              <w:rPr>
                <w:sz w:val="20"/>
                <w:szCs w:val="20"/>
                <w:color w:val="auto"/>
              </w:rPr>
            </w:pPr>
            <w:r>
              <w:rPr>
                <w:rFonts w:ascii="Arial" w:cs="Arial" w:eastAsia="Arial" w:hAnsi="Arial"/>
                <w:sz w:val="15"/>
                <w:szCs w:val="15"/>
                <w:color w:val="auto"/>
              </w:rPr>
              <w:t>Prepaid expenses and other current and long-term assets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1,346</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840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208</w:t>
            </w:r>
          </w:p>
        </w:tc>
        <w:tc>
          <w:tcPr>
            <w:tcW w:w="60" w:type="dxa"/>
            <w:vAlign w:val="bottom"/>
          </w:tcPr>
          <w:p>
            <w:pPr>
              <w:spacing w:after="0"/>
              <w:rPr>
                <w:sz w:val="15"/>
                <w:szCs w:val="15"/>
                <w:color w:val="auto"/>
              </w:rPr>
            </w:pP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7,380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14,636</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(596 )</w:t>
            </w:r>
          </w:p>
        </w:tc>
      </w:tr>
      <w:tr>
        <w:trPr>
          <w:trHeight w:val="175"/>
        </w:trPr>
        <w:tc>
          <w:tcPr>
            <w:tcW w:w="6620" w:type="dxa"/>
            <w:vAlign w:val="bottom"/>
          </w:tcPr>
          <w:p>
            <w:pPr>
              <w:ind w:left="380"/>
              <w:spacing w:after="0"/>
              <w:rPr>
                <w:sz w:val="20"/>
                <w:szCs w:val="20"/>
                <w:color w:val="auto"/>
              </w:rPr>
            </w:pPr>
            <w:r>
              <w:rPr>
                <w:rFonts w:ascii="Arial" w:cs="Arial" w:eastAsia="Arial" w:hAnsi="Arial"/>
                <w:sz w:val="15"/>
                <w:szCs w:val="15"/>
                <w:color w:val="auto"/>
              </w:rPr>
              <w:t>Accrued liabilities</w:t>
            </w:r>
          </w:p>
        </w:tc>
        <w:tc>
          <w:tcPr>
            <w:tcW w:w="32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5"/>
                <w:szCs w:val="15"/>
                <w:color w:val="auto"/>
              </w:rPr>
              <w:t>(44 )</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2,759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2,131</w:t>
            </w:r>
          </w:p>
        </w:tc>
        <w:tc>
          <w:tcPr>
            <w:tcW w:w="60" w:type="dxa"/>
            <w:vAlign w:val="bottom"/>
          </w:tcPr>
          <w:p>
            <w:pPr>
              <w:spacing w:after="0"/>
              <w:rPr>
                <w:sz w:val="15"/>
                <w:szCs w:val="15"/>
                <w:color w:val="auto"/>
              </w:rPr>
            </w:pP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Operating lease liabilities</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(2,443 )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(2,641 )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r>
        <w:trPr>
          <w:trHeight w:val="176"/>
        </w:trPr>
        <w:tc>
          <w:tcPr>
            <w:tcW w:w="6620" w:type="dxa"/>
            <w:vAlign w:val="bottom"/>
          </w:tcPr>
          <w:p>
            <w:pPr>
              <w:ind w:left="380"/>
              <w:spacing w:after="0"/>
              <w:rPr>
                <w:sz w:val="20"/>
                <w:szCs w:val="20"/>
                <w:color w:val="auto"/>
              </w:rPr>
            </w:pPr>
            <w:r>
              <w:rPr>
                <w:rFonts w:ascii="Arial" w:cs="Arial" w:eastAsia="Arial" w:hAnsi="Arial"/>
                <w:sz w:val="15"/>
                <w:szCs w:val="15"/>
                <w:color w:val="auto"/>
              </w:rPr>
              <w:t>Contract liabilities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(323 )</w:t>
            </w: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5"/>
                <w:szCs w:val="15"/>
                <w:color w:val="auto"/>
              </w:rPr>
              <w:t>Income taxes receivable, net of payable</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(827 )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(1,401 )</w:t>
            </w:r>
          </w:p>
        </w:tc>
      </w:tr>
      <w:tr>
        <w:trPr>
          <w:trHeight w:val="169"/>
        </w:trPr>
        <w:tc>
          <w:tcPr>
            <w:tcW w:w="6620" w:type="dxa"/>
            <w:vAlign w:val="bottom"/>
            <w:tcBorders>
              <w:top w:val="single" w:sz="8" w:color="CFF0FC"/>
            </w:tcBorders>
          </w:tcPr>
          <w:p>
            <w:pPr>
              <w:ind w:left="380"/>
              <w:spacing w:after="0" w:line="169" w:lineRule="exact"/>
              <w:rPr>
                <w:sz w:val="20"/>
                <w:szCs w:val="20"/>
                <w:color w:val="auto"/>
              </w:rPr>
            </w:pPr>
            <w:r>
              <w:rPr>
                <w:rFonts w:ascii="Arial" w:cs="Arial" w:eastAsia="Arial" w:hAnsi="Arial"/>
                <w:sz w:val="15"/>
                <w:szCs w:val="15"/>
                <w:color w:val="auto"/>
              </w:rPr>
              <w:t>Net cash provided by operating activities</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19,493</w:t>
            </w:r>
          </w:p>
        </w:tc>
        <w:tc>
          <w:tcPr>
            <w:tcW w:w="22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35,620</w:t>
            </w:r>
          </w:p>
        </w:tc>
        <w:tc>
          <w:tcPr>
            <w:tcW w:w="22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17,511</w:t>
            </w:r>
          </w:p>
        </w:tc>
        <w:tc>
          <w:tcPr>
            <w:tcW w:w="60" w:type="dxa"/>
            <w:vAlign w:val="bottom"/>
            <w:tcBorders>
              <w:top w:val="single" w:sz="8" w:color="CFF0FC"/>
            </w:tcBorders>
          </w:tcPr>
          <w:p>
            <w:pPr>
              <w:spacing w:after="0"/>
              <w:rPr>
                <w:sz w:val="14"/>
                <w:szCs w:val="14"/>
                <w:color w:val="auto"/>
              </w:rPr>
            </w:pPr>
          </w:p>
        </w:tc>
      </w:tr>
      <w:tr>
        <w:trPr>
          <w:trHeight w:val="169"/>
        </w:trPr>
        <w:tc>
          <w:tcPr>
            <w:tcW w:w="662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Business combinations, net of cash and restricted cash acquired</w:t>
            </w:r>
          </w:p>
        </w:tc>
        <w:tc>
          <w:tcPr>
            <w:tcW w:w="32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5"/>
                <w:szCs w:val="15"/>
                <w:color w:val="auto"/>
              </w:rPr>
              <w:t>(57,400 )</w:t>
            </w:r>
          </w:p>
        </w:tc>
        <w:tc>
          <w:tcPr>
            <w:tcW w:w="32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Arial" w:cs="Arial" w:eastAsia="Arial" w:hAnsi="Arial"/>
                <w:sz w:val="15"/>
                <w:szCs w:val="15"/>
                <w:color w:val="auto"/>
              </w:rPr>
              <w:t>(290 )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(1,370 )</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 intangible assets acquired</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(130 )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(1,265 )</w:t>
            </w: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Purchases of property and equipment</w:t>
            </w:r>
          </w:p>
        </w:tc>
        <w:tc>
          <w:tcPr>
            <w:tcW w:w="32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5"/>
                <w:szCs w:val="15"/>
                <w:color w:val="auto"/>
              </w:rPr>
              <w:t>(979 )</w:t>
            </w:r>
          </w:p>
        </w:tc>
        <w:tc>
          <w:tcPr>
            <w:tcW w:w="32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Arial" w:cs="Arial" w:eastAsia="Arial" w:hAnsi="Arial"/>
                <w:sz w:val="15"/>
                <w:szCs w:val="15"/>
                <w:color w:val="auto"/>
              </w:rPr>
              <w:t>(458 )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(1,040 )</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Capitalized internal-use software development costs</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(19,300 )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(14,389 )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(10,222 )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6620" w:type="dxa"/>
            <w:vAlign w:val="bottom"/>
          </w:tcPr>
          <w:p>
            <w:pPr>
              <w:ind w:left="380"/>
              <w:spacing w:after="0" w:line="169" w:lineRule="exact"/>
              <w:rPr>
                <w:sz w:val="20"/>
                <w:szCs w:val="20"/>
                <w:color w:val="auto"/>
              </w:rPr>
            </w:pPr>
            <w:r>
              <w:rPr>
                <w:rFonts w:ascii="Arial" w:cs="Arial" w:eastAsia="Arial" w:hAnsi="Arial"/>
                <w:sz w:val="15"/>
                <w:szCs w:val="15"/>
                <w:color w:val="auto"/>
              </w:rPr>
              <w:t>Net cash used in investing activities</w:t>
            </w:r>
          </w:p>
        </w:tc>
        <w:tc>
          <w:tcPr>
            <w:tcW w:w="320" w:type="dxa"/>
            <w:vAlign w:val="bottom"/>
          </w:tcPr>
          <w:p>
            <w:pPr>
              <w:spacing w:after="0"/>
              <w:rPr>
                <w:sz w:val="14"/>
                <w:szCs w:val="14"/>
                <w:color w:val="auto"/>
              </w:rPr>
            </w:pPr>
          </w:p>
        </w:tc>
        <w:tc>
          <w:tcPr>
            <w:tcW w:w="1280" w:type="dxa"/>
            <w:vAlign w:val="bottom"/>
            <w:gridSpan w:val="2"/>
          </w:tcPr>
          <w:p>
            <w:pPr>
              <w:jc w:val="right"/>
              <w:ind w:right="88"/>
              <w:spacing w:after="0" w:line="169" w:lineRule="exact"/>
              <w:rPr>
                <w:sz w:val="20"/>
                <w:szCs w:val="20"/>
                <w:color w:val="auto"/>
              </w:rPr>
            </w:pPr>
            <w:r>
              <w:rPr>
                <w:rFonts w:ascii="Arial" w:cs="Arial" w:eastAsia="Arial" w:hAnsi="Arial"/>
                <w:sz w:val="15"/>
                <w:szCs w:val="15"/>
                <w:color w:val="auto"/>
              </w:rPr>
              <w:t>(77,809 )</w:t>
            </w:r>
          </w:p>
        </w:tc>
        <w:tc>
          <w:tcPr>
            <w:tcW w:w="320" w:type="dxa"/>
            <w:vAlign w:val="bottom"/>
          </w:tcPr>
          <w:p>
            <w:pPr>
              <w:spacing w:after="0"/>
              <w:rPr>
                <w:sz w:val="14"/>
                <w:szCs w:val="14"/>
                <w:color w:val="auto"/>
              </w:rPr>
            </w:pPr>
          </w:p>
        </w:tc>
        <w:tc>
          <w:tcPr>
            <w:tcW w:w="1280" w:type="dxa"/>
            <w:vAlign w:val="bottom"/>
            <w:gridSpan w:val="2"/>
          </w:tcPr>
          <w:p>
            <w:pPr>
              <w:jc w:val="right"/>
              <w:ind w:right="64"/>
              <w:spacing w:after="0" w:line="169" w:lineRule="exact"/>
              <w:rPr>
                <w:sz w:val="20"/>
                <w:szCs w:val="20"/>
                <w:color w:val="auto"/>
              </w:rPr>
            </w:pPr>
            <w:r>
              <w:rPr>
                <w:rFonts w:ascii="Arial" w:cs="Arial" w:eastAsia="Arial" w:hAnsi="Arial"/>
                <w:sz w:val="15"/>
                <w:szCs w:val="15"/>
                <w:color w:val="auto"/>
              </w:rPr>
              <w:t>(15,137 )</w:t>
            </w:r>
          </w:p>
        </w:tc>
        <w:tc>
          <w:tcPr>
            <w:tcW w:w="300" w:type="dxa"/>
            <w:vAlign w:val="bottom"/>
          </w:tcPr>
          <w:p>
            <w:pPr>
              <w:spacing w:after="0"/>
              <w:rPr>
                <w:sz w:val="14"/>
                <w:szCs w:val="14"/>
                <w:color w:val="auto"/>
              </w:rPr>
            </w:pP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(13,897 )</w:t>
            </w:r>
          </w:p>
        </w:tc>
      </w:tr>
      <w:tr>
        <w:trPr>
          <w:trHeight w:val="169"/>
        </w:trPr>
        <w:tc>
          <w:tcPr>
            <w:tcW w:w="662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Proceeds from initial public offering, net of underwriter's discounts and commissions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224,595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private placement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Redemption of Series A preferred stock</w:t>
            </w:r>
          </w:p>
        </w:tc>
        <w:tc>
          <w:tcPr>
            <w:tcW w:w="32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5"/>
                <w:szCs w:val="15"/>
                <w:color w:val="auto"/>
              </w:rPr>
              <w:t>(23,013 )</w:t>
            </w:r>
          </w:p>
        </w:tc>
        <w:tc>
          <w:tcPr>
            <w:tcW w:w="3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 of dividends on Series A preferred stock</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(34,412 )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Proceeds from repayment of related party loan</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813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exercise of stock options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Financial institution funds in-transit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1,984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of deferred offering costs</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(1,961 )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Payments on other financing obligations</w:t>
            </w:r>
          </w:p>
        </w:tc>
        <w:tc>
          <w:tcPr>
            <w:tcW w:w="32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5"/>
                <w:szCs w:val="15"/>
                <w:color w:val="auto"/>
              </w:rPr>
              <w:t>(4,562 )</w:t>
            </w:r>
          </w:p>
        </w:tc>
        <w:tc>
          <w:tcPr>
            <w:tcW w:w="32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Arial" w:cs="Arial" w:eastAsia="Arial" w:hAnsi="Arial"/>
                <w:sz w:val="15"/>
                <w:szCs w:val="15"/>
                <w:color w:val="auto"/>
              </w:rPr>
              <w:t>(1,035 )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(675 )</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on finance leases</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5"/>
                <w:szCs w:val="15"/>
                <w:color w:val="auto"/>
              </w:rPr>
              <w:t>(272 )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(323 )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(196 )</w:t>
            </w: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Proceeds from issuance of common shares</w:t>
            </w:r>
          </w:p>
        </w:tc>
        <w:tc>
          <w:tcPr>
            <w:tcW w:w="32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w:t>
            </w:r>
          </w:p>
        </w:tc>
        <w:tc>
          <w:tcPr>
            <w:tcW w:w="6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issuance of Series A preferred shares</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w:t>
            </w:r>
          </w:p>
        </w:tc>
        <w:tc>
          <w:tcPr>
            <w:tcW w:w="6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Payment on debt assumed in acquisitions</w:t>
            </w:r>
          </w:p>
        </w:tc>
        <w:tc>
          <w:tcPr>
            <w:tcW w:w="32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(86 )</w:t>
            </w:r>
          </w:p>
        </w:tc>
      </w:tr>
      <w:tr>
        <w:trPr>
          <w:trHeight w:val="169"/>
        </w:trPr>
        <w:tc>
          <w:tcPr>
            <w:tcW w:w="662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Net cash provided by (used in) financing activities</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213,487</w:t>
            </w:r>
          </w:p>
        </w:tc>
        <w:tc>
          <w:tcPr>
            <w:tcW w:w="2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(1,358</w:t>
            </w:r>
          </w:p>
        </w:tc>
        <w:tc>
          <w:tcPr>
            <w:tcW w:w="220" w:type="dxa"/>
            <w:vAlign w:val="bottom"/>
            <w:tcBorders>
              <w:bottom w:val="single" w:sz="8" w:color="CFF0FC"/>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(857</w:t>
            </w:r>
          </w:p>
        </w:tc>
        <w:tc>
          <w:tcPr>
            <w:tcW w:w="6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r>
      <w:tr>
        <w:trPr>
          <w:trHeight w:val="169"/>
        </w:trPr>
        <w:tc>
          <w:tcPr>
            <w:tcW w:w="6620" w:type="dxa"/>
            <w:vAlign w:val="bottom"/>
          </w:tcPr>
          <w:p>
            <w:pPr>
              <w:ind w:left="20"/>
              <w:spacing w:after="0" w:line="169" w:lineRule="exact"/>
              <w:rPr>
                <w:sz w:val="20"/>
                <w:szCs w:val="20"/>
                <w:color w:val="auto"/>
              </w:rPr>
            </w:pPr>
            <w:r>
              <w:rPr>
                <w:rFonts w:ascii="Arial" w:cs="Arial" w:eastAsia="Arial" w:hAnsi="Arial"/>
                <w:sz w:val="15"/>
                <w:szCs w:val="15"/>
                <w:color w:val="auto"/>
              </w:rPr>
              <w:t>Foreign currency effect on cash, cash equivalents and restricted cash</w:t>
            </w:r>
          </w:p>
        </w:tc>
        <w:tc>
          <w:tcPr>
            <w:tcW w:w="320" w:type="dxa"/>
            <w:vAlign w:val="bottom"/>
          </w:tcPr>
          <w:p>
            <w:pPr>
              <w:spacing w:after="0"/>
              <w:rPr>
                <w:sz w:val="14"/>
                <w:szCs w:val="14"/>
                <w:color w:val="auto"/>
              </w:rPr>
            </w:pPr>
          </w:p>
        </w:tc>
        <w:tc>
          <w:tcPr>
            <w:tcW w:w="1280" w:type="dxa"/>
            <w:vAlign w:val="bottom"/>
            <w:gridSpan w:val="2"/>
          </w:tcPr>
          <w:p>
            <w:pPr>
              <w:jc w:val="right"/>
              <w:ind w:right="88"/>
              <w:spacing w:after="0" w:line="169" w:lineRule="exact"/>
              <w:rPr>
                <w:sz w:val="20"/>
                <w:szCs w:val="20"/>
                <w:color w:val="auto"/>
              </w:rPr>
            </w:pPr>
            <w:r>
              <w:rPr>
                <w:rFonts w:ascii="Arial" w:cs="Arial" w:eastAsia="Arial" w:hAnsi="Arial"/>
                <w:sz w:val="15"/>
                <w:szCs w:val="15"/>
                <w:color w:val="auto"/>
              </w:rPr>
              <w:t>(8 )</w:t>
            </w:r>
          </w:p>
        </w:tc>
        <w:tc>
          <w:tcPr>
            <w:tcW w:w="3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114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36</w:t>
            </w:r>
          </w:p>
        </w:tc>
        <w:tc>
          <w:tcPr>
            <w:tcW w:w="60" w:type="dxa"/>
            <w:vAlign w:val="bottom"/>
          </w:tcPr>
          <w:p>
            <w:pPr>
              <w:spacing w:after="0"/>
              <w:rPr>
                <w:sz w:val="14"/>
                <w:szCs w:val="14"/>
                <w:color w:val="auto"/>
              </w:rPr>
            </w:pPr>
          </w:p>
        </w:tc>
      </w:tr>
      <w:tr>
        <w:trPr>
          <w:trHeight w:val="169"/>
        </w:trPr>
        <w:tc>
          <w:tcPr>
            <w:tcW w:w="6620" w:type="dxa"/>
            <w:vAlign w:val="bottom"/>
            <w:shd w:val="clear" w:color="auto" w:fill="CFF0FC"/>
          </w:tcPr>
          <w:p>
            <w:pPr>
              <w:ind w:left="380"/>
              <w:spacing w:after="0" w:line="169" w:lineRule="exact"/>
              <w:rPr>
                <w:sz w:val="20"/>
                <w:szCs w:val="20"/>
                <w:color w:val="auto"/>
              </w:rPr>
            </w:pPr>
            <w:r>
              <w:rPr>
                <w:rFonts w:ascii="Arial" w:cs="Arial" w:eastAsia="Arial" w:hAnsi="Arial"/>
                <w:sz w:val="15"/>
                <w:szCs w:val="15"/>
                <w:color w:val="auto"/>
              </w:rPr>
              <w:t>Net increase in cash, cash equivalents and restricted cash</w:t>
            </w: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155,163</w:t>
            </w:r>
          </w:p>
        </w:tc>
        <w:tc>
          <w:tcPr>
            <w:tcW w:w="2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19,239</w:t>
            </w: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2,793</w:t>
            </w:r>
          </w:p>
        </w:tc>
        <w:tc>
          <w:tcPr>
            <w:tcW w:w="60" w:type="dxa"/>
            <w:vAlign w:val="bottom"/>
            <w:shd w:val="clear" w:color="auto" w:fill="CFF0FC"/>
          </w:tcPr>
          <w:p>
            <w:pPr>
              <w:spacing w:after="0"/>
              <w:rPr>
                <w:sz w:val="14"/>
                <w:szCs w:val="14"/>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Beginning of period</w:t>
            </w: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46,666</w:t>
            </w: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27,427</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24,634</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200"/>
              <w:spacing w:after="0" w:line="169" w:lineRule="exact"/>
              <w:rPr>
                <w:sz w:val="20"/>
                <w:szCs w:val="20"/>
                <w:color w:val="auto"/>
              </w:rPr>
            </w:pPr>
            <w:r>
              <w:rPr>
                <w:rFonts w:ascii="Arial" w:cs="Arial" w:eastAsia="Arial" w:hAnsi="Arial"/>
                <w:sz w:val="15"/>
                <w:szCs w:val="15"/>
                <w:color w:val="auto"/>
              </w:rPr>
              <w:t>End of period</w:t>
            </w:r>
          </w:p>
        </w:tc>
        <w:tc>
          <w:tcPr>
            <w:tcW w:w="32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201,829</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46,666</w:t>
            </w: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27,427</w:t>
            </w:r>
          </w:p>
        </w:tc>
        <w:tc>
          <w:tcPr>
            <w:tcW w:w="60" w:type="dxa"/>
            <w:vAlign w:val="bottom"/>
          </w:tcPr>
          <w:p>
            <w:pPr>
              <w:spacing w:after="0"/>
              <w:rPr>
                <w:sz w:val="14"/>
                <w:szCs w:val="14"/>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620" w:type="dxa"/>
            <w:vAlign w:val="bottom"/>
            <w:shd w:val="clear" w:color="auto" w:fill="CFF0FC"/>
          </w:tcPr>
          <w:p>
            <w:pPr>
              <w:ind w:left="20"/>
              <w:spacing w:after="0" w:line="156"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Cash paid for income taxes, net of refunds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2,487</w:t>
            </w:r>
          </w:p>
        </w:tc>
        <w:tc>
          <w:tcPr>
            <w:tcW w:w="220" w:type="dxa"/>
            <w:vAlign w:val="bottom"/>
          </w:tcPr>
          <w:p>
            <w:pPr>
              <w:spacing w:after="0"/>
              <w:rPr>
                <w:sz w:val="15"/>
                <w:szCs w:val="15"/>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2,891</w:t>
            </w:r>
          </w:p>
        </w:tc>
        <w:tc>
          <w:tcPr>
            <w:tcW w:w="220" w:type="dxa"/>
            <w:vAlign w:val="bottom"/>
          </w:tcPr>
          <w:p>
            <w:pPr>
              <w:spacing w:after="0"/>
              <w:rPr>
                <w:sz w:val="15"/>
                <w:szCs w:val="15"/>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4,735</w:t>
            </w:r>
          </w:p>
        </w:tc>
        <w:tc>
          <w:tcPr>
            <w:tcW w:w="60" w:type="dxa"/>
            <w:vAlign w:val="bottom"/>
          </w:tcPr>
          <w:p>
            <w:pPr>
              <w:spacing w:after="0"/>
              <w:rPr>
                <w:sz w:val="15"/>
                <w:szCs w:val="15"/>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Non-cash investing activities: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Fair value of Class A common stock issued for acquisitions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68,229</w:t>
            </w:r>
          </w:p>
        </w:tc>
        <w:tc>
          <w:tcPr>
            <w:tcW w:w="220" w:type="dxa"/>
            <w:vAlign w:val="bottom"/>
          </w:tcPr>
          <w:p>
            <w:pPr>
              <w:spacing w:after="0"/>
              <w:rPr>
                <w:sz w:val="15"/>
                <w:szCs w:val="15"/>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Property and equipment purchases in accounts payable</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268</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60" w:type="dxa"/>
            <w:vAlign w:val="bottom"/>
            <w:shd w:val="clear" w:color="auto" w:fill="CFF0FC"/>
          </w:tcPr>
          <w:p>
            <w:pPr>
              <w:spacing w:after="0"/>
              <w:rPr>
                <w:sz w:val="15"/>
                <w:szCs w:val="15"/>
                <w:color w:val="auto"/>
              </w:rPr>
            </w:pPr>
          </w:p>
        </w:tc>
      </w:tr>
      <w:tr>
        <w:trPr>
          <w:trHeight w:val="145"/>
        </w:trPr>
        <w:tc>
          <w:tcPr>
            <w:tcW w:w="6620" w:type="dxa"/>
            <w:vAlign w:val="bottom"/>
          </w:tcPr>
          <w:p>
            <w:pPr>
              <w:ind w:left="200"/>
              <w:spacing w:after="0" w:line="145" w:lineRule="exact"/>
              <w:rPr>
                <w:sz w:val="20"/>
                <w:szCs w:val="20"/>
                <w:color w:val="auto"/>
              </w:rPr>
            </w:pPr>
            <w:r>
              <w:rPr>
                <w:rFonts w:ascii="Arial" w:cs="Arial" w:eastAsia="Arial" w:hAnsi="Arial"/>
                <w:sz w:val="15"/>
                <w:szCs w:val="15"/>
                <w:color w:val="auto"/>
              </w:rPr>
              <w:t>Business acquisition liability in accrued liabilities and finance leases and other finance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9"/>
        </w:trPr>
        <w:tc>
          <w:tcPr>
            <w:tcW w:w="6620" w:type="dxa"/>
            <w:vAlign w:val="bottom"/>
          </w:tcPr>
          <w:p>
            <w:pPr>
              <w:ind w:left="200"/>
              <w:spacing w:after="0"/>
              <w:rPr>
                <w:sz w:val="20"/>
                <w:szCs w:val="20"/>
                <w:color w:val="auto"/>
              </w:rPr>
            </w:pPr>
            <w:r>
              <w:rPr>
                <w:rFonts w:ascii="Arial" w:cs="Arial" w:eastAsia="Arial" w:hAnsi="Arial"/>
                <w:sz w:val="15"/>
                <w:szCs w:val="15"/>
                <w:color w:val="auto"/>
              </w:rPr>
              <w:t>obligations, net of current portion</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813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290</w:t>
            </w:r>
          </w:p>
        </w:tc>
        <w:tc>
          <w:tcPr>
            <w:tcW w:w="60" w:type="dxa"/>
            <w:vAlign w:val="bottom"/>
          </w:tcPr>
          <w:p>
            <w:pPr>
              <w:spacing w:after="0"/>
              <w:rPr>
                <w:sz w:val="15"/>
                <w:szCs w:val="15"/>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Non-cash financing activities: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Prepaid insurance funded through short-term borrowings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5,756</w:t>
            </w:r>
          </w:p>
        </w:tc>
        <w:tc>
          <w:tcPr>
            <w:tcW w:w="220" w:type="dxa"/>
            <w:vAlign w:val="bottom"/>
          </w:tcPr>
          <w:p>
            <w:pPr>
              <w:spacing w:after="0"/>
              <w:rPr>
                <w:sz w:val="15"/>
                <w:szCs w:val="15"/>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1,389</w:t>
            </w:r>
          </w:p>
        </w:tc>
        <w:tc>
          <w:tcPr>
            <w:tcW w:w="220" w:type="dxa"/>
            <w:vAlign w:val="bottom"/>
          </w:tcPr>
          <w:p>
            <w:pPr>
              <w:spacing w:after="0"/>
              <w:rPr>
                <w:sz w:val="15"/>
                <w:szCs w:val="15"/>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860</w:t>
            </w:r>
          </w:p>
        </w:tc>
        <w:tc>
          <w:tcPr>
            <w:tcW w:w="6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Issuance of warrant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5"/>
                <w:szCs w:val="15"/>
                <w:color w:val="auto"/>
              </w:rPr>
              <w:t>Property and equipment acquired through finance lease liabilities</w:t>
            </w:r>
          </w:p>
        </w:tc>
        <w:tc>
          <w:tcPr>
            <w:tcW w:w="32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814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Intangibles acquired through other financing obligations</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-4419600</wp:posOffset>
            </wp:positionV>
            <wp:extent cx="5143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-4419600</wp:posOffset>
            </wp:positionV>
            <wp:extent cx="514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-4419600</wp:posOffset>
            </wp:positionV>
            <wp:extent cx="431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-3733800</wp:posOffset>
            </wp:positionV>
            <wp:extent cx="514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-3733800</wp:posOffset>
            </wp:positionV>
            <wp:extent cx="5143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-3733800</wp:posOffset>
            </wp:positionV>
            <wp:extent cx="431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-1925320</wp:posOffset>
            </wp:positionV>
            <wp:extent cx="5143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-1925320</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-1925320</wp:posOffset>
            </wp:positionV>
            <wp:extent cx="431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-1462405</wp:posOffset>
            </wp:positionV>
            <wp:extent cx="5143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-1462405</wp:posOffset>
            </wp:positionV>
            <wp:extent cx="5143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-1462405</wp:posOffset>
            </wp:positionV>
            <wp:extent cx="431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color w:val="auto"/>
        </w:rPr>
        <w:t>PAYMENTUS HOLDINGS, INC.</w:t>
      </w:r>
    </w:p>
    <w:p>
      <w:pPr>
        <w:jc w:val="center"/>
        <w:ind w:right="-39"/>
        <w:spacing w:after="0"/>
        <w:rPr>
          <w:sz w:val="20"/>
          <w:szCs w:val="20"/>
          <w:color w:val="auto"/>
        </w:rPr>
      </w:pPr>
      <w:r>
        <w:rPr>
          <w:rFonts w:ascii="Arial" w:cs="Arial" w:eastAsia="Arial" w:hAnsi="Arial"/>
          <w:sz w:val="17"/>
          <w:szCs w:val="17"/>
          <w:color w:val="auto"/>
        </w:rPr>
        <w:t>CONSOLIDATED STATEMENTS OF CASH FLOWS (continued)</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160"/>
          </w:cols>
          <w:pgMar w:left="34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660"/>
        <w:spacing w:after="0" w:line="227" w:lineRule="auto"/>
        <w:rPr>
          <w:sz w:val="20"/>
          <w:szCs w:val="20"/>
          <w:color w:val="auto"/>
        </w:rPr>
      </w:pPr>
      <w:r>
        <w:rPr>
          <w:rFonts w:ascii="Arial" w:cs="Arial" w:eastAsia="Arial" w:hAnsi="Arial"/>
          <w:sz w:val="15"/>
          <w:szCs w:val="15"/>
          <w:b w:val="1"/>
          <w:bCs w:val="1"/>
          <w:color w:val="auto"/>
        </w:rPr>
        <w:t>The below table reconciles cash, cash equivalents, and restricted cash in the consolidated balance sheets to the total of the same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32320" cy="3003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1200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5"/>
          <w:szCs w:val="15"/>
          <w:color w:val="auto"/>
        </w:rPr>
        <w:t>Restricted funds held for financial institutions</w:t>
      </w:r>
    </w:p>
    <w:p>
      <w:pPr>
        <w:spacing w:after="0" w:line="3" w:lineRule="exact"/>
        <w:rPr>
          <w:sz w:val="20"/>
          <w:szCs w:val="20"/>
          <w:color w:val="auto"/>
        </w:rPr>
      </w:pPr>
    </w:p>
    <w:p>
      <w:pPr>
        <w:ind w:firstLine="40"/>
        <w:spacing w:after="0" w:line="231" w:lineRule="auto"/>
        <w:rPr>
          <w:sz w:val="20"/>
          <w:szCs w:val="20"/>
          <w:color w:val="auto"/>
        </w:rPr>
      </w:pPr>
      <w:r>
        <w:rPr>
          <w:rFonts w:ascii="Arial" w:cs="Arial" w:eastAsia="Arial" w:hAnsi="Arial"/>
          <w:sz w:val="15"/>
          <w:szCs w:val="15"/>
          <w:color w:val="auto"/>
        </w:rPr>
        <w:t>Total cash, cash equivalents and restricted cash as shown in the consolidated statements of cash flows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r>
      <w:tr>
        <w:trPr>
          <w:trHeight w:val="198"/>
        </w:trPr>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4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43"/>
        </w:trPr>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168,386</w:t>
            </w: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46,666</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27,427</w:t>
            </w:r>
          </w:p>
        </w:tc>
      </w:tr>
      <w:tr>
        <w:trPr>
          <w:trHeight w:val="179"/>
        </w:trPr>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33,443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77"/>
        </w:trPr>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201,829</w:t>
            </w: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46,666</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27,427</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ectPr>
          <w:pgSz w:w="11900" w:h="16838" w:orient="portrait"/>
          <w:cols w:equalWidth="0" w:num="2">
            <w:col w:w="6260" w:space="340"/>
            <w:col w:w="4560"/>
          </w:cols>
          <w:pgMar w:left="340" w:top="337" w:right="399" w:bottom="1440" w:gutter="0" w:footer="0" w:header="0"/>
          <w:type w:val="continuous"/>
        </w:sectPr>
      </w:pP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37" w:right="399" w:bottom="1440" w:gutter="0" w:footer="0" w:header="0"/>
          <w:type w:val="continuous"/>
        </w:sectPr>
      </w:pPr>
    </w:p>
    <w:bookmarkStart w:id="77" w:name="page78"/>
    <w:bookmarkEnd w:id="77"/>
    <w:p>
      <w:pPr>
        <w:jc w:val="center"/>
        <w:ind w:right="-39"/>
        <w:spacing w:after="0"/>
        <w:rPr>
          <w:sz w:val="20"/>
          <w:szCs w:val="20"/>
          <w:color w:val="auto"/>
        </w:rPr>
      </w:pPr>
      <w:r>
        <w:rPr>
          <w:rFonts w:ascii="Arial" w:cs="Arial" w:eastAsia="Arial" w:hAnsi="Arial"/>
          <w:sz w:val="18"/>
          <w:szCs w:val="18"/>
          <w:color w:val="auto"/>
        </w:rPr>
        <w:t>PAYMENTUS HOLDINGS, INC.</w:t>
      </w: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26"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Richmond Hill, Ontario (Canada), Blacksburg, Virginia, Cromwell, Connecticut, Redmond, Washington and Delhi and Bangalore (India). The Company was headquartered in Charlotte, North Carolina until 2020 when the Company moved its headquarters to Redmond, Washington.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26"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In May 2021, the Company completed its initial public offering (“IPO”), in which the Company issued and sold 11,500,000 shares of its Class A common stock at $21.00 per share, including 1,500,000 shares issued upon the exercise of the underwriters’ option to purchase additional shares. The Company received net proceeds of $224.6 million after deducting underwriting discounts and commissions of $16.9 million. The Company incurred direct offering expenses of $2.0 million.</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IPO:</w:t>
      </w:r>
    </w:p>
    <w:p>
      <w:pPr>
        <w:spacing w:after="0" w:line="104" w:lineRule="exact"/>
        <w:rPr>
          <w:sz w:val="20"/>
          <w:szCs w:val="20"/>
          <w:color w:val="auto"/>
        </w:rPr>
      </w:pPr>
    </w:p>
    <w:p>
      <w:pPr>
        <w:ind w:left="1020" w:right="480" w:hanging="503"/>
        <w:spacing w:after="0" w:line="246"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103,479,239 shares of the Company’s outstanding common stock automatically converted into an equivalent number of shares of Class B common stock on a one-to-one basis; and</w:t>
      </w:r>
    </w:p>
    <w:p>
      <w:pPr>
        <w:spacing w:after="0" w:line="88" w:lineRule="exact"/>
        <w:rPr>
          <w:rFonts w:ascii="Arial" w:cs="Arial" w:eastAsia="Arial" w:hAnsi="Arial"/>
          <w:sz w:val="18"/>
          <w:szCs w:val="18"/>
          <w:color w:val="auto"/>
        </w:rPr>
      </w:pPr>
    </w:p>
    <w:p>
      <w:pPr>
        <w:ind w:left="1020" w:hanging="503"/>
        <w:spacing w:after="0" w:line="238"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entities affiliated with Accel-KKR purchased 2,380,950 shares of the Company’s Class A common stock at $21.00 per share in a concurrent private placement that closed immediately subsequent to the closing of the IPO. The Company received aggregate proceeds of $50.0 million in this concurrent private placement and did not pay underwriting discounts or commissions with respect to the shares of Class A common stock that were sold in the private placement.</w:t>
      </w:r>
    </w:p>
    <w:p>
      <w:pPr>
        <w:spacing w:after="0" w:line="182" w:lineRule="exact"/>
        <w:rPr>
          <w:rFonts w:ascii="Arial" w:cs="Arial" w:eastAsia="Arial" w:hAnsi="Arial"/>
          <w:sz w:val="18"/>
          <w:szCs w:val="18"/>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The accompanying consolidated financial statements and related notes have been prepared in accordance with accounting principles generally accepted in the United States (“GAAP”).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ind w:right="240" w:firstLine="494"/>
        <w:spacing w:after="0" w:line="238" w:lineRule="auto"/>
        <w:rPr>
          <w:sz w:val="20"/>
          <w:szCs w:val="20"/>
          <w:color w:val="auto"/>
        </w:rPr>
      </w:pPr>
      <w:r>
        <w:rPr>
          <w:rFonts w:ascii="Arial" w:cs="Arial" w:eastAsia="Arial" w:hAnsi="Arial"/>
          <w:sz w:val="18"/>
          <w:szCs w:val="18"/>
          <w:color w:val="auto"/>
        </w:rPr>
        <w:t>On May 10, 2021, the Company effected a 5-for-1 forward stock split of its common stock. In connection with the forward stock split, each issued and outstanding share of common stock, automatically and without action on the part of the holders, became five shares of common stock. The par value per share of common stock was not adjusted. All share, per share and related information presented in the consolidated financial statements and accompanying notes have been retroactively adjusted, where applicable, to reflect the impact of the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ind w:right="560" w:firstLine="494"/>
        <w:spacing w:after="0" w:line="246"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balances have been eliminated upon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6"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8" w:name="page79"/>
    <w:bookmarkEnd w:id="78"/>
    <w:p>
      <w:pPr>
        <w:spacing w:after="0" w:line="238" w:lineRule="auto"/>
        <w:rPr>
          <w:sz w:val="20"/>
          <w:szCs w:val="20"/>
          <w:color w:val="auto"/>
        </w:rPr>
      </w:pPr>
      <w:r>
        <w:rPr>
          <w:rFonts w:ascii="Arial" w:cs="Arial" w:eastAsia="Arial" w:hAnsi="Arial"/>
          <w:sz w:val="18"/>
          <w:szCs w:val="18"/>
          <w:color w:val="auto"/>
        </w:rPr>
        <w:t>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right="220" w:firstLine="494"/>
        <w:spacing w:after="0" w:line="23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6"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The reporting currency of the Company is the United States Dollar. The Company’s foreign subsidiaries use the local currency of their respective countries as their functional currency. Assets and liabilities are translated using the exchange rates at the balance sheet date. Revenue and expenses are translated at average exchange rates during the period. Equity transactions are translated using historical exchange rates. The effects of foreign currency translation adjustments are recorded in accumulated other comprehensive income (loss) or (“AOCI”) as a component of stockholders' equity, and related periodic movements are summarized as a line item in the consolidated statements of comprehensive income. Gains and losses from the remeasurement of foreign currency transactions into the functional currency are recognized as foreign exchange gain (loss)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The Company generates revenue primarily from payment transaction fees processed through the Company’s platform. The fees are generated as a percentage of transaction value or a specified fee per transaction. For biller transactions the actual fees are dependent on payment type, payment channel or industry vertical. The payment transaction fees are received directly (i) from billers, who absorb the cost, or from customers in the form of a convenience-type fee, or (ii) from financial institutions. Transaction fees are collected for each completed transaction processed through the platform. The Company also earns other revenue, which primarily consists of maintenance revenue and subscription revenue. Other revenue represented approximately 1.2%, 1.4% and 1.4% of total revenue for the years ended December 31, 2021, 2020 and 2019,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08" w:lineRule="exact"/>
        <w:rPr>
          <w:sz w:val="20"/>
          <w:szCs w:val="20"/>
          <w:color w:val="auto"/>
        </w:rPr>
      </w:pPr>
    </w:p>
    <w:p>
      <w:pPr>
        <w:ind w:right="20" w:firstLine="494"/>
        <w:spacing w:after="0" w:line="224" w:lineRule="auto"/>
        <w:rPr>
          <w:sz w:val="20"/>
          <w:szCs w:val="20"/>
          <w:color w:val="auto"/>
        </w:rPr>
      </w:pPr>
      <w:r>
        <w:rPr>
          <w:rFonts w:ascii="Arial" w:cs="Arial" w:eastAsia="Arial" w:hAnsi="Arial"/>
          <w:sz w:val="18"/>
          <w:szCs w:val="18"/>
          <w:color w:val="auto"/>
        </w:rPr>
        <w:t>Contract assets include unbilled amounts typically resulting from arrangements whereby complete satisfaction of a performance obligation and the right to payment are conditioned on completing additional tasks or services. In addition, the Company recorded a contract asset in connection with a warrant agreement with a customer that was signed in May 2021. Following the guidance in ASC 606, the Company accounts for consideration payable in the form of warrants to a customer as a reduction of the transaction price and therefore, of revenue. The Company has estimated the transaction price related to the revenue for this customer inclusive of the estimated value of the warrants earned and expected to be earned over the term of the contract.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22"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Contract liabilities relate to fees billed in advance of services provided. The terms of the contract normally require the customer to pay a fixed monthly fee for hosting and maintenance, plus a nonrefundable up-front fee for set-up, integration services, and data conversion at contract inception. The non-refundable up-front fees are typically billed in advance of services provided and are recorded as contract liability in the consolidated balance sheets. These fees are amortized ratably over the term of the agreement and recognized as revenue. The fixed monthly fee is for a promised service of hosting and maintenance. These services are provided over the same period and have the same pattern of transfer to the customer as the payment processing services. They are both stand-ready obligations satisfied ratably over the contractual period, and assessed as a single performance obligation. Therefore, they are recognized in the same manner as the variable consideration.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Recognized From the Costs to Obtain a Contract With a Customer</w:t>
      </w:r>
    </w:p>
    <w:p>
      <w:pPr>
        <w:spacing w:after="0" w:line="122" w:lineRule="exact"/>
        <w:rPr>
          <w:sz w:val="20"/>
          <w:szCs w:val="20"/>
          <w:color w:val="auto"/>
        </w:rPr>
      </w:pPr>
    </w:p>
    <w:p>
      <w:pPr>
        <w:ind w:right="780" w:firstLine="494"/>
        <w:spacing w:after="0" w:line="246" w:lineRule="auto"/>
        <w:rPr>
          <w:sz w:val="20"/>
          <w:szCs w:val="20"/>
          <w:color w:val="auto"/>
        </w:rPr>
      </w:pPr>
      <w:r>
        <w:rPr>
          <w:rFonts w:ascii="Arial" w:cs="Arial" w:eastAsia="Arial" w:hAnsi="Arial"/>
          <w:sz w:val="18"/>
          <w:szCs w:val="18"/>
          <w:color w:val="auto"/>
        </w:rPr>
        <w:t>The Company capitalizes certain costs to obtain contracts with customers, including employee sales commissions, when the commission is tied to new sales and is therefore considered an incremental cost of obtaining a customer. At</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79" w:name="page80"/>
    <w:bookmarkEnd w:id="79"/>
    <w:p>
      <w:pPr>
        <w:ind w:right="40"/>
        <w:spacing w:after="0" w:line="237" w:lineRule="auto"/>
        <w:rPr>
          <w:sz w:val="20"/>
          <w:szCs w:val="20"/>
          <w:color w:val="auto"/>
        </w:rPr>
      </w:pPr>
      <w:r>
        <w:rPr>
          <w:rFonts w:ascii="Arial" w:cs="Arial" w:eastAsia="Arial" w:hAnsi="Arial"/>
          <w:sz w:val="18"/>
          <w:szCs w:val="18"/>
          <w:color w:val="auto"/>
        </w:rPr>
        <w:t>contract inception, the Company capitalizes commission costs that the Company expects to recover and that would not have been incurred if the contract had not been obtained. Capitalized costs to obtain contracts of $0.1 million are included in prepaid expenses and other current and long-term assets in the consolidated balance sheets. Some of the Company’s sales compensation paid to the sales force is earned based on the margins earned from the contract over the contract term and is contingent on continued employment with the Company by the salesperson. Sales commissions tied to key operating metrics other than new sales, are not considered incremental costs of obtaining a customer and are expensed in the same period as they are earned, rather than being capitalized. The Company records commission expense within sales and marketing expense in the consolidated statements of operations.</w:t>
      </w:r>
    </w:p>
    <w:p>
      <w:pPr>
        <w:spacing w:after="0" w:line="95" w:lineRule="exact"/>
        <w:rPr>
          <w:sz w:val="20"/>
          <w:szCs w:val="20"/>
          <w:color w:val="auto"/>
        </w:rPr>
      </w:pPr>
    </w:p>
    <w:p>
      <w:pPr>
        <w:ind w:right="20" w:firstLine="544"/>
        <w:spacing w:after="0" w:line="238" w:lineRule="auto"/>
        <w:rPr>
          <w:sz w:val="20"/>
          <w:szCs w:val="20"/>
          <w:color w:val="auto"/>
        </w:rPr>
      </w:pPr>
      <w:r>
        <w:rPr>
          <w:rFonts w:ascii="Arial" w:cs="Arial" w:eastAsia="Arial" w:hAnsi="Arial"/>
          <w:sz w:val="18"/>
          <w:szCs w:val="18"/>
          <w:color w:val="auto"/>
        </w:rPr>
        <w:t>Amortization of capitalized commissions to obtain customer contracts is included in sales and marketing expense in the consolidated statements of operations. The Company utilizes a straight-line method as it best depicts the pattern of transfer of the goods or services to the customer. The Company amortizes these assets over the expected period of benefit, which is typically three to five years. The Company evaluates contract costs for impairment by comparing, on a pooled basis, the expected future net cash flows from underlying customer relationships to the carrying amount of the capitalized contract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Cost of revenue consists primarily of interchange and assessment fees, processing fees and bank settlement fees paid to third-party payment processors and financial institutions, and personnel-related costs associated with the Company’s customer support teams, including salaries, benefits, and bonuses. Cost of revenue also includes an allocation of hosting and datacenter costs for the Company’s infrastructure and platform environment, telecommunication expenses used by sales and customer support teams, a portion of amortization of capitalized internal-use software development costs, and a portion of amortization of intangible assets acquired through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Research and development costs are expensed as incurred, unless they qualify as internal-use software development costs. Research and development expenses consist primarily of employee-related expenses associated with the Company’s research and development staff, including salaries, benefits, stock-based compensation and bonuses.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26" w:lineRule="exact"/>
        <w:rPr>
          <w:sz w:val="20"/>
          <w:szCs w:val="20"/>
          <w:color w:val="auto"/>
        </w:rPr>
      </w:pPr>
    </w:p>
    <w:p>
      <w:pPr>
        <w:ind w:right="640" w:firstLine="494"/>
        <w:spacing w:after="0"/>
        <w:rPr>
          <w:sz w:val="20"/>
          <w:szCs w:val="20"/>
          <w:color w:val="auto"/>
        </w:rPr>
      </w:pPr>
      <w:r>
        <w:rPr>
          <w:rFonts w:ascii="Arial" w:cs="Arial" w:eastAsia="Arial" w:hAnsi="Arial"/>
          <w:sz w:val="18"/>
          <w:szCs w:val="18"/>
          <w:color w:val="auto"/>
        </w:rPr>
        <w:t>Advertising costs are expensed as incurred and are included in sales and marketing expenses in the consolidated statement of operations. These costs were $1.5 million, $0.5 million and $0.2 million for the years ended December 31, 2021, 2020 and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260" w:firstLine="494"/>
        <w:spacing w:after="0"/>
        <w:rPr>
          <w:sz w:val="20"/>
          <w:szCs w:val="20"/>
          <w:color w:val="auto"/>
        </w:rPr>
      </w:pPr>
      <w:r>
        <w:rPr>
          <w:rFonts w:ascii="Arial" w:cs="Arial" w:eastAsia="Arial" w:hAnsi="Arial"/>
          <w:sz w:val="18"/>
          <w:szCs w:val="18"/>
          <w:color w:val="auto"/>
        </w:rPr>
        <w:t>The Company is subject to income taxes in the United States and numerous foreign jurisdictions. Significant judgment is required in determining its provision for income taxes and deferred tax assets and liabilities, including evaluating uncertainties in the application of accounting principles and complex tax laws.</w:t>
      </w:r>
    </w:p>
    <w:p>
      <w:pPr>
        <w:spacing w:after="0" w:line="95"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Company records a provision for income taxes for the anticipated tax consequences of the reported results of operations using the asset and liability method. Under this method, the Company recognizes deferred tax assets and liabilities for the expected future tax consequences of temporary differences between the carrying amounts for financial reporting purposes and the tax bases of assets and liabilities, as well as for loss and tax credit carryforwards.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spacing w:after="0" w:line="97"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 valuation allowance is established if, based upon the available evidence, it is more likely than not that some or all of the deferred tax assets will not be realized. The Company considers all available evidence, both positive and negative, including historical levels of income, expectations and risks associated with estimates of future taxable income in assessing the need for a valuation allowance.</w:t>
      </w:r>
    </w:p>
    <w:p>
      <w:pPr>
        <w:spacing w:after="0" w:line="95"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The Company’s tax positions are subject to income tax audits by multiple tax jurisdictions throughout the world. The Company recognizes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The Company recognizes interest accrued and penalties related to unrecognized tax benefits in income tax expense.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ind w:right="60"/>
        <w:spacing w:after="0" w:line="238" w:lineRule="auto"/>
        <w:rPr>
          <w:sz w:val="20"/>
          <w:szCs w:val="20"/>
          <w:color w:val="auto"/>
        </w:rPr>
      </w:pPr>
      <w:r>
        <w:rPr>
          <w:rFonts w:ascii="Arial" w:cs="Arial" w:eastAsia="Arial" w:hAnsi="Arial"/>
          <w:sz w:val="18"/>
          <w:szCs w:val="18"/>
          <w:color w:val="auto"/>
        </w:rPr>
        <w:t>Company makes adjustments to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the Company’s financial condition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The Company measures and recognizes stock-based compensation expense for all stock-based awards, including grants of restricted stock units ("RSUs") and options to purchase stocks granted to employees, outside directors and consultants based on the estimated fair value of the awards on the grant date of the award. The Company estimates the grant date fair value for options using the Black-Scholes option pricing model. The determination of the grant-date fair value using an option-pricing model is affected by the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an RSU is measured using the market price of the Company's Class A common stock on the date of grant. Compensation cost is recognized on a straight-line basis over the employee requisite service period, which is the stated vesting period of the award, provided that total compensation cost recognized at least equals the pro rata value of the awards that have vested. Forfeitures are accounted for in the period in which they occur. All compensation expense is recorded in operating expenses in the consolidated statements of operations based on the recipient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right="200" w:firstLine="494"/>
        <w:spacing w:after="0" w:line="246" w:lineRule="auto"/>
        <w:rPr>
          <w:sz w:val="20"/>
          <w:szCs w:val="20"/>
          <w:color w:val="auto"/>
        </w:rPr>
      </w:pPr>
      <w:r>
        <w:rPr>
          <w:rFonts w:ascii="Arial" w:cs="Arial" w:eastAsia="Arial" w:hAnsi="Arial"/>
          <w:sz w:val="18"/>
          <w:szCs w:val="18"/>
          <w:color w:val="auto"/>
        </w:rPr>
        <w:t>The Company considers all highly liquid investments with original or remaining maturities of three months or less when purchased to be cash equivalents, which are composed of primarily bank deposits and government issued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26"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forwarding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$47.4 million and $20.5 million as of December 31, 2021 and December 31, 2020,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Funds Held for Financial Institutions and Financial Institution Funds In-Transit</w:t>
      </w:r>
    </w:p>
    <w:p>
      <w:pPr>
        <w:spacing w:after="0" w:line="126" w:lineRule="exact"/>
        <w:rPr>
          <w:sz w:val="20"/>
          <w:szCs w:val="20"/>
          <w:color w:val="auto"/>
        </w:rPr>
      </w:pPr>
    </w:p>
    <w:p>
      <w:pPr>
        <w:ind w:right="80" w:firstLine="494"/>
        <w:spacing w:after="0" w:line="253" w:lineRule="auto"/>
        <w:rPr>
          <w:sz w:val="20"/>
          <w:szCs w:val="20"/>
          <w:color w:val="auto"/>
        </w:rPr>
      </w:pPr>
      <w:r>
        <w:rPr>
          <w:rFonts w:ascii="Arial" w:cs="Arial" w:eastAsia="Arial" w:hAnsi="Arial"/>
          <w:sz w:val="17"/>
          <w:szCs w:val="17"/>
          <w:color w:val="auto"/>
        </w:rPr>
        <w:t>Restricted funds held for financial institutions and the corresponding liability of financial institution funds in-transit represent the timing differences arising between the amounts the Company's sponsor bank receives from the sending financial institutions and the amounts disbursed to the recipient financial institutions. The restricted funds held for financial institutions account is a transaction account maintained at the Company’s sponsor bank for clearing payments from financial institutions (as defined by the U.S. Treasury’s Financial Crimes Enforcement Network) to other financial institutions. Restricted funds held for financial institutions represent restricted cash that, based upon the Company's intent, are restricted solely for satisfying the corresponding obligations to send funds to the various financial institutions.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 customer accounted for more than 10% of revenue for either of the years ended December 31, 2021, 2020 and 2019. One customer accounted for more than 10% of accounts receivable as of December 31, 2021, and no customer accounted for more than 10% of accounts receivable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fair value based on assumptions that market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ind w:right="20"/>
        <w:spacing w:after="0"/>
        <w:rPr>
          <w:sz w:val="20"/>
          <w:szCs w:val="20"/>
          <w:color w:val="auto"/>
        </w:rPr>
      </w:pPr>
      <w:r>
        <w:rPr>
          <w:rFonts w:ascii="Arial" w:cs="Arial" w:eastAsia="Arial" w:hAnsi="Arial"/>
          <w:sz w:val="18"/>
          <w:szCs w:val="18"/>
          <w:color w:val="auto"/>
        </w:rPr>
        <w:t>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95" w:lineRule="exact"/>
        <w:rPr>
          <w:sz w:val="20"/>
          <w:szCs w:val="20"/>
          <w:color w:val="auto"/>
        </w:rPr>
      </w:pPr>
    </w:p>
    <w:p>
      <w:pPr>
        <w:ind w:left="1020" w:right="2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1 inputs - unadjusted quoted prices in active markets for identical assets or liabilities accessible to the reporting entity at the measurement date;</w:t>
      </w:r>
    </w:p>
    <w:p>
      <w:pPr>
        <w:spacing w:after="0" w:line="88"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2 inputs - other than quoted prices included in Level 1 inputs that are observable for the asset or liability, either directly or indirectly, for substantially the full term of the asset or liability; and</w:t>
      </w:r>
    </w:p>
    <w:p>
      <w:pPr>
        <w:spacing w:after="0" w:line="88" w:lineRule="exact"/>
        <w:rPr>
          <w:rFonts w:ascii="Arial" w:cs="Arial" w:eastAsia="Arial" w:hAnsi="Arial"/>
          <w:sz w:val="18"/>
          <w:szCs w:val="18"/>
          <w:color w:val="auto"/>
        </w:rPr>
      </w:pPr>
    </w:p>
    <w:p>
      <w:pPr>
        <w:ind w:left="1020" w:right="16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3 inputs -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95" w:lineRule="exact"/>
        <w:rPr>
          <w:sz w:val="20"/>
          <w:szCs w:val="20"/>
          <w:color w:val="auto"/>
        </w:rPr>
      </w:pPr>
    </w:p>
    <w:p>
      <w:pPr>
        <w:ind w:right="260" w:firstLine="494"/>
        <w:spacing w:after="0" w:line="246" w:lineRule="auto"/>
        <w:rPr>
          <w:sz w:val="20"/>
          <w:szCs w:val="20"/>
          <w:color w:val="auto"/>
        </w:rPr>
      </w:pPr>
      <w:r>
        <w:rPr>
          <w:rFonts w:ascii="Arial" w:cs="Arial" w:eastAsia="Arial" w:hAnsi="Arial"/>
          <w:sz w:val="18"/>
          <w:szCs w:val="18"/>
          <w:color w:val="auto"/>
        </w:rPr>
        <w:t>The carrying amounts reflected in the consolidated balance sheets for accounts receivable, and accounts payable approximate their respective fair values due to the short maturities of those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Other Receivables and Allowance for Credit Losses</w:t>
      </w:r>
    </w:p>
    <w:p>
      <w:pPr>
        <w:spacing w:after="0" w:line="126"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Accounts receivable are recorded at invoiced amounts and do not bear interest. The Company will evaluate its accounts receivable portfolio to determine if an allowance for credit losses is necessary. The development of the allowance for credit losses is based on an expected loss model that considers reasonable and supportable forecasts of future conditions and a review of past due amounts, historical write-off and recovery experience. Past due balances over 90 days and over a specified amount are reviewed individually for collectability and all other balances are reviewed as a portfolio. Account balances are charged off against the allowance after all means of collection have been exhausted and the potential for recovery is considered remote. The Company does not have any off-balance sheet exposure related to its customers. Other receivables included $2.5 million and $2.4 million in rebates related to interchange fees for the years ended December 31, 2021 and 2020, respectively.</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the allowance for credit losses were as follows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Allowance for Credit</w:t>
            </w:r>
          </w:p>
        </w:tc>
      </w:tr>
      <w:tr>
        <w:trPr>
          <w:trHeight w:val="189"/>
        </w:trPr>
        <w:tc>
          <w:tcPr>
            <w:tcW w:w="9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Losses</w:t>
            </w:r>
          </w:p>
        </w:tc>
      </w:tr>
      <w:tr>
        <w:trPr>
          <w:trHeight w:val="196"/>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Charge-offs</w:t>
            </w:r>
          </w:p>
        </w:tc>
        <w:tc>
          <w:tcPr>
            <w:tcW w:w="180" w:type="dxa"/>
            <w:vAlign w:val="bottom"/>
          </w:tcPr>
          <w:p>
            <w:pPr>
              <w:spacing w:after="0"/>
              <w:rPr>
                <w:sz w:val="17"/>
                <w:szCs w:val="17"/>
                <w:color w:val="auto"/>
              </w:rPr>
            </w:pPr>
          </w:p>
        </w:tc>
        <w:tc>
          <w:tcPr>
            <w:tcW w:w="1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Recoveries</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r>
      <w:tr>
        <w:trPr>
          <w:trHeight w:val="19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9260" w:type="dxa"/>
            <w:vAlign w:val="bottom"/>
          </w:tcPr>
          <w:p>
            <w:pPr>
              <w:ind w:left="20"/>
              <w:spacing w:after="0" w:line="196" w:lineRule="exact"/>
              <w:rPr>
                <w:sz w:val="20"/>
                <w:szCs w:val="20"/>
                <w:color w:val="auto"/>
              </w:rPr>
            </w:pPr>
            <w:r>
              <w:rPr>
                <w:rFonts w:ascii="Arial" w:cs="Arial" w:eastAsia="Arial" w:hAnsi="Arial"/>
                <w:sz w:val="18"/>
                <w:szCs w:val="18"/>
                <w:color w:val="auto"/>
              </w:rPr>
              <w:t>Charge-offs</w:t>
            </w:r>
          </w:p>
        </w:tc>
        <w:tc>
          <w:tcPr>
            <w:tcW w:w="180" w:type="dxa"/>
            <w:vAlign w:val="bottom"/>
          </w:tcPr>
          <w:p>
            <w:pPr>
              <w:spacing w:after="0"/>
              <w:rPr>
                <w:sz w:val="17"/>
                <w:szCs w:val="17"/>
                <w:color w:val="auto"/>
              </w:rPr>
            </w:pPr>
          </w:p>
        </w:tc>
        <w:tc>
          <w:tcPr>
            <w:tcW w:w="1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(104 )</w:t>
            </w:r>
          </w:p>
        </w:tc>
      </w:tr>
      <w:tr>
        <w:trPr>
          <w:trHeight w:val="203"/>
        </w:trPr>
        <w:tc>
          <w:tcPr>
            <w:tcW w:w="9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Recoveries</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r>
      <w:tr>
        <w:trPr>
          <w:trHeight w:val="236"/>
        </w:trPr>
        <w:tc>
          <w:tcPr>
            <w:tcW w:w="92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as of December 31, 2021</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-553720</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right="160" w:firstLine="494"/>
        <w:spacing w:after="0" w:line="238" w:lineRule="auto"/>
        <w:rPr>
          <w:sz w:val="20"/>
          <w:szCs w:val="20"/>
          <w:color w:val="auto"/>
        </w:rPr>
      </w:pPr>
      <w:r>
        <w:rPr>
          <w:rFonts w:ascii="Arial" w:cs="Arial" w:eastAsia="Arial" w:hAnsi="Arial"/>
          <w:sz w:val="18"/>
          <w:szCs w:val="18"/>
          <w:color w:val="auto"/>
        </w:rPr>
        <w:t>Deferred offering costs, which consist of direct incremental legal and accounting fees, relating to the Company’s IPO, were initially capitalized and included in prepaid expenses and other current assets on the consolidated balance sheets. Upon consummation of the IPO in May 2021, the Company reclassified $2.0 million of deferred offering costs to additional paid-in capital offsetting the IPO proceeds. There were no material deferred offering costs recorded as of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4"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The Company capitalizes qualifying internal -use software development costs related to its platform</w:t>
      </w:r>
      <w:r>
        <w:rPr>
          <w:rFonts w:ascii="Arial" w:cs="Arial" w:eastAsia="Arial" w:hAnsi="Arial"/>
          <w:sz w:val="18"/>
          <w:szCs w:val="18"/>
          <w:b w:val="1"/>
          <w:bCs w:val="1"/>
          <w:color w:val="auto"/>
        </w:rPr>
        <w:t>.</w:t>
      </w:r>
      <w:r>
        <w:rPr>
          <w:rFonts w:ascii="Arial" w:cs="Arial" w:eastAsia="Arial" w:hAnsi="Arial"/>
          <w:sz w:val="18"/>
          <w:szCs w:val="18"/>
          <w:color w:val="auto"/>
        </w:rPr>
        <w:t xml:space="preserve"> The costs consist of personnel costs (including related benefits) that are incurred during the application development stage, as well as implementation costs incurred to fulfill our contracts with customers as they (1) relate directly to the contract, (2) are expected to generate resources that will be used to satisfy the performance obligation under the contract, and (3) are expected to be recovered through revenues generated under the contract.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ind w:right="240"/>
        <w:spacing w:after="0" w:line="246" w:lineRule="auto"/>
        <w:rPr>
          <w:sz w:val="20"/>
          <w:szCs w:val="20"/>
          <w:color w:val="auto"/>
        </w:rPr>
      </w:pPr>
      <w:r>
        <w:rPr>
          <w:rFonts w:ascii="Arial" w:cs="Arial" w:eastAsia="Arial" w:hAnsi="Arial"/>
          <w:sz w:val="18"/>
          <w:szCs w:val="18"/>
          <w:color w:val="auto"/>
        </w:rPr>
        <w:t>operating activities are expensed as incurred. During the years ended December 31, 2021, 2020 and 2019 the Company capitalized $19.3 million, $14.4 million and $10.2 million in software development costs, respectively.</w:t>
      </w:r>
    </w:p>
    <w:p>
      <w:pPr>
        <w:spacing w:after="0" w:line="89"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Capitalized costs are amortized over the estimated useful life of the software, which management estimated to be a range of three to five years, and are recorded on a straight-line basis, which represents the manner in which the expected benefit will be derived. Amortization expense is recorded in cost of revenue and operating expenses in the consolidated statement of operations aligned with the internal organizations that are the primary beneficiaries of such assets. During the years ended December 31, 2021, 2020 and 2019, the Company recorded $4.9 million, $3.5 million and $2.0 million of amortization expense in cost of revenue, and $4.5 million, $3.0 million and $2.0 million of amortization expense in operating expenses,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right="400" w:firstLine="494"/>
        <w:spacing w:after="0" w:line="246" w:lineRule="auto"/>
        <w:rPr>
          <w:sz w:val="20"/>
          <w:szCs w:val="20"/>
          <w:color w:val="auto"/>
        </w:rPr>
      </w:pPr>
      <w:r>
        <w:rPr>
          <w:rFonts w:ascii="Arial" w:cs="Arial" w:eastAsia="Arial" w:hAnsi="Arial"/>
          <w:sz w:val="18"/>
          <w:szCs w:val="18"/>
          <w:color w:val="auto"/>
        </w:rPr>
        <w:t>Property and equipment, net is stated at cost less accumulated depreciation and amortization. Depreciation is computed using the straight-line method over the estimated useful life of the related asset as follows:</w:t>
      </w:r>
    </w:p>
    <w:p>
      <w:pPr>
        <w:spacing w:after="0" w:line="8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Computer equipment.................................................................. 3 years</w:t>
      </w:r>
    </w:p>
    <w:p>
      <w:pPr>
        <w:spacing w:after="0" w:line="10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Furniture and fixtures ................................................................. 5 years</w:t>
      </w:r>
    </w:p>
    <w:p>
      <w:pPr>
        <w:spacing w:after="0" w:line="10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Automobile ................................................................................. 5 years</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Leasehold improvements are amortized over the shorter of estimated useful life or the remaining lease term. Expenses that improve an asset or extend its remaining useful life are capitalized. Upon retirement or sale, the cost of assets disposed of, and the related accumulated depreciation, is removed from the accounts and any resulting gain or loss is reflected in other income (loss) in the consolidated statements of operations. Costs of maintenance or repairs that do not extend the lives of the respective assets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26"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The purchase price of an acquisition is allocated to the tangible and intangible assets and liabilities assumed based on their estimated fair values at the acquisition dates. The excess of total consideration over the fair values of the assets acquired and the liabilities assumed is recorded as goodwill.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would be recorded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(Including Goodwill and Intangible Assets)</w:t>
      </w:r>
    </w:p>
    <w:p>
      <w:pPr>
        <w:spacing w:after="0" w:line="126"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Long-lived assets with finite lives include property and equipment, capitalized internal-use software development costs, and acquired intangible assets. The Company evaluates long-lived assets, including intangible assets and capitalized internal-use software development costs,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w:t>
      </w:r>
    </w:p>
    <w:p>
      <w:pPr>
        <w:spacing w:after="0" w:line="9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Goodwill is not amortized but rather tested at the reporting unit level for impairment at least annually in the fourth quarter, or more frequently if events or changes in circumstances indicate that goodwill may be impaired. The Company has three reporting units.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See Note 6 for more information regarding the carrying value of goodwill by reporting unit.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performing this qualitative assessment, the Company considers the following circumstances as well as others:</w:t>
      </w:r>
    </w:p>
    <w:p>
      <w:pPr>
        <w:spacing w:after="0" w:line="104" w:lineRule="exact"/>
        <w:rPr>
          <w:sz w:val="20"/>
          <w:szCs w:val="20"/>
          <w:color w:val="auto"/>
        </w:rPr>
      </w:pPr>
    </w:p>
    <w:p>
      <w:pPr>
        <w:ind w:left="1020" w:right="80" w:hanging="503"/>
        <w:spacing w:after="0" w:line="246"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general macroeconomic conditions such as a deterioration in general economic conditions; limitations on accessing capital; or other developments in equity and credit markets;</w:t>
      </w:r>
    </w:p>
    <w:p>
      <w:pPr>
        <w:spacing w:after="0" w:line="84"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industry and market conditions such as a deterioration in the environment in which the</w:t>
      </w:r>
    </w:p>
    <w:p>
      <w:pPr>
        <w:jc w:val="both"/>
        <w:ind w:left="1020" w:right="60"/>
        <w:spacing w:after="0" w:line="246" w:lineRule="auto"/>
        <w:rPr>
          <w:rFonts w:ascii="Arial" w:cs="Arial" w:eastAsia="Arial" w:hAnsi="Arial"/>
          <w:sz w:val="18"/>
          <w:szCs w:val="18"/>
          <w:color w:val="auto"/>
        </w:rPr>
      </w:pPr>
      <w:r>
        <w:rPr>
          <w:rFonts w:ascii="Arial" w:cs="Arial" w:eastAsia="Arial" w:hAnsi="Arial"/>
          <w:sz w:val="18"/>
          <w:szCs w:val="18"/>
          <w:color w:val="auto"/>
        </w:rPr>
        <w:t>Company operates; an increased competitive environment; a decline in market-dependent multiples or metrics (in both absolute terms and relative to peers); a change in the market for an entity’s products or services; or a regulatory or political development;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cost factors that have a negative effect on earnings and cash flows;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Decline in overall financial performance (for both actual and expected performance).</w:t>
      </w:r>
    </w:p>
    <w:p>
      <w:pPr>
        <w:spacing w:after="0" w:line="104"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The Company completed its annual goodwill impairment test as of November 30, 2021 using a qualitative assessment. The Company did not recognize any impairment of goodwill during the years ended December 31, 2021 or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jc w:val="both"/>
        <w:ind w:right="20" w:firstLine="494"/>
        <w:spacing w:after="0"/>
        <w:rPr>
          <w:sz w:val="20"/>
          <w:szCs w:val="20"/>
          <w:color w:val="auto"/>
        </w:rPr>
      </w:pPr>
      <w:r>
        <w:rPr>
          <w:rFonts w:ascii="Arial" w:cs="Arial" w:eastAsia="Arial" w:hAnsi="Arial"/>
          <w:sz w:val="18"/>
          <w:szCs w:val="18"/>
          <w:color w:val="auto"/>
        </w:rPr>
        <w:t>The Company classifies leases as either operating or financing at inception and as necessary at modification. Leased assets represent the Company’s right to use an underlying asset for the lease term and lease liabilities represent its obligation to make lease payments arising from the lease. The Company does not obtain and control its right to use the identified asset until the lease commencement date.</w:t>
      </w:r>
    </w:p>
    <w:p>
      <w:pPr>
        <w:spacing w:after="0" w:line="9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Although it may have a right and an obligation to exchange lease payments for a leased asset from the date of inception, the Company is unlikely to have an obligation to make lease payments before the asset is made available for use; therefore, lease classification, recognition, and measurement are determined at the lease commencement date.</w:t>
      </w:r>
    </w:p>
    <w:p>
      <w:pPr>
        <w:spacing w:after="0" w:line="95"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Company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other than computer equipment leases. For computer equipment leases, the Company has agreements with lease and non-lease components, which are accounted for separately. For these agreements, lease payments are allocated between the lease and non-lease components based on the relative stand-alone price of these components.</w:t>
      </w:r>
    </w:p>
    <w:p>
      <w:pPr>
        <w:spacing w:after="0" w:line="97"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The Company has leases for office facilities, computer equipment, and data centers. The Company’s leases have remaining initial lease terms of less than one year to approximately ten years, some of which include options to extend the leases for up to 4 years, and some of which include options to terminate the leases.</w:t>
      </w:r>
    </w:p>
    <w:p>
      <w:pPr>
        <w:spacing w:after="0" w:line="9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Operating leases are included in operating lease ROU assets, and operating lease liabilities on the Company’s consolidated balance sheets. Operating lease ROU assets and liabilities are recognized at the lease commencement date based on the present value of lease payments over the lease term. As the Company’s leases do not provide an implicit rate, the Company uses the incremental borrowing rate based on the information available at the commencement date in determining the present value of lease payments. The incremental borrowing rate is the rate of interest that the Company would have to pay to borrow an amount equal to the lease payments on a collateralized basis over a similar term and in a similar economic environment. The operating lease ROU asset also includes any initial direct costs, lease payments made prior to lease commencement, and lease incentives received. The Company’s lease terms are the noncancelable period including any rent-free periods provided by the lessor and may include options to extend or terminate the lease when it is reasonably certain that it will exercise that option. At lease inception, and upon modification or remeasurement, the Company estimates the lease term based on its assessment of extension and termination options that are reasonably certain to be exercised. Lease cost for lease payments is recognized on a straight-line basis over the lease term.</w:t>
      </w:r>
    </w:p>
    <w:p>
      <w:pPr>
        <w:spacing w:after="0" w:line="97"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Leased property under finance leases are included in property and equipment, net. Finance lease liabilities are included within accrued liabilities, and finance lease and other finance obligations, net of current portion on the Company’s consolidated balance sheets. Property and equipment under finance leases is generally amortized over the lease term and is included in general and administrative expenses. The interest on the finance lease liabilities is included in interest income, net.</w:t>
      </w:r>
    </w:p>
    <w:p>
      <w:pPr>
        <w:spacing w:after="0" w:line="97"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Judgment is required when determining whether any of the Company’s data center contracts contain a lease. The Company concluded a lease exists when the asset is specifically identifiable, substantially all the economic benefit of the asset is obtained, and the right to direct the use of the asset exists during the term of the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26" w:lineRule="exact"/>
        <w:rPr>
          <w:sz w:val="20"/>
          <w:szCs w:val="20"/>
          <w:color w:val="auto"/>
        </w:rPr>
      </w:pPr>
    </w:p>
    <w:p>
      <w:pPr>
        <w:ind w:right="280" w:firstLine="494"/>
        <w:spacing w:after="0"/>
        <w:rPr>
          <w:sz w:val="20"/>
          <w:szCs w:val="20"/>
          <w:color w:val="auto"/>
        </w:rPr>
      </w:pPr>
      <w:r>
        <w:rPr>
          <w:rFonts w:ascii="Arial" w:cs="Arial" w:eastAsia="Arial" w:hAnsi="Arial"/>
          <w:sz w:val="18"/>
          <w:szCs w:val="18"/>
          <w:color w:val="auto"/>
        </w:rPr>
        <w:t>The Company accounts for treasury stock acquisitions using the cost method. The Company accounts for the retirement of treasury stock by deducting its par value from common stock or Series A preferred stock and reflecting any excess of cost over par value as a deduction from additional paid-in capital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2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w:t>
      </w:r>
    </w:p>
    <w:p>
      <w:pPr>
        <w:jc w:val="center"/>
        <w:ind w:right="160"/>
        <w:spacing w:after="0"/>
        <w:rPr>
          <w:sz w:val="20"/>
          <w:szCs w:val="20"/>
          <w:color w:val="auto"/>
        </w:rPr>
      </w:pPr>
      <w:r>
        <w:rPr>
          <w:rFonts w:ascii="Arial" w:cs="Arial" w:eastAsia="Arial" w:hAnsi="Arial"/>
          <w:sz w:val="17"/>
          <w:szCs w:val="17"/>
          <w:color w:val="auto"/>
        </w:rPr>
        <w:t>Jumpstart Our Business Startups Act of 2012 either (1) within the same periods as those otherwise applicable to public business entities, or</w:t>
      </w:r>
    </w:p>
    <w:p>
      <w:pPr>
        <w:spacing w:after="0" w:line="7" w:lineRule="exact"/>
        <w:rPr>
          <w:sz w:val="20"/>
          <w:szCs w:val="20"/>
          <w:color w:val="auto"/>
        </w:rPr>
      </w:pPr>
    </w:p>
    <w:p>
      <w:pPr>
        <w:ind w:left="5520" w:right="4940" w:hanging="5512"/>
        <w:spacing w:after="0" w:line="371" w:lineRule="auto"/>
        <w:tabs>
          <w:tab w:leader="none" w:pos="2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right="560"/>
        <w:spacing w:after="0" w:line="274" w:lineRule="auto"/>
        <w:rPr>
          <w:sz w:val="20"/>
          <w:szCs w:val="20"/>
          <w:color w:val="auto"/>
        </w:rPr>
      </w:pPr>
      <w:r>
        <w:rPr>
          <w:rFonts w:ascii="Arial" w:cs="Arial" w:eastAsia="Arial" w:hAnsi="Arial"/>
          <w:sz w:val="17"/>
          <w:szCs w:val="17"/>
          <w:color w:val="auto"/>
        </w:rPr>
        <w:t>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26"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eliminating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some exceptions to the general approach in ASC 740, Income Taxes in order to reduce cost and complexity of its application. The guidance is effective for financial statements issued for fiscal years beginning after December 15, 2020, and interim periods within those fiscal years, with early adoption permitted. The Company elected to early adopt this standard on January 1, 2021. Adoption of this standard did not have a material impact on its consolidated financial statements.</w:t>
      </w:r>
    </w:p>
    <w:p>
      <w:pPr>
        <w:spacing w:after="0" w:line="79"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is effective for fiscal years beginning after December 15, 2019, and interim periods within those fiscal years. Early adoption is permitted. The Company adopted this guidance on January 1, 2020. The adoption of this guidance did not have a material impact on the consolidated financial statements and related disclosures.</w:t>
      </w:r>
    </w:p>
    <w:p>
      <w:pPr>
        <w:spacing w:after="0" w:line="76"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a financial asset measured at amortized cost basis to be presented at the net amount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collected, with further clarifications made more recently. For trade receivables, loans, and other financial instruments, the Company will be required to use a forward-looking expected loss model rather than the incurred loss model for recognizing credit losses which reflects losses that are probable. This guidance is effective for financial statements issued for fiscal years beginning after December 15, 2019, and interim periods within those fiscal years. Early adoption is permitted for fiscal years beginning after December 15, 2018, and interim periods within those fiscal years. The Company adopted this guidance on January 1, 2020. The adoption of this guidance did not have a material impact on the consolidated financial statements and related disclosures.</w:t>
      </w:r>
    </w:p>
    <w:p>
      <w:pPr>
        <w:spacing w:after="0" w:line="79"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 (“ASU 2016-02”).</w:t>
      </w:r>
      <w:r>
        <w:rPr>
          <w:rFonts w:ascii="Arial" w:cs="Arial" w:eastAsia="Arial" w:hAnsi="Arial"/>
          <w:sz w:val="18"/>
          <w:szCs w:val="18"/>
          <w:color w:val="auto"/>
        </w:rPr>
        <w:t>The standard requires lessees to recognize the assets and liabilities that arise from leases on the balance sheet. ASU 2016-02 requires the recognition on the balance sheet of a lease liability to make lease payments by lessees and a right-of-use asset representing its right to use the underlying asset for the lease term. The new guidance will also require significant additional disclosure about the amount, timing and uncertainty of cash flows from leases. The new lease guidance is effective for periods beginning after December 15, 2018 for public entities and January 1, 2021 for non-public companies. The Company early adopted this standard beginning January 1, 2020, using the modified retrospective approach as discussed above. For additional information, see Note 7 –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8"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 ("ASU 2021-08")</w:t>
      </w:r>
      <w:r>
        <w:rPr>
          <w:rFonts w:ascii="Arial" w:cs="Arial" w:eastAsia="Arial" w:hAnsi="Arial"/>
          <w:sz w:val="18"/>
          <w:szCs w:val="18"/>
          <w:color w:val="auto"/>
        </w:rPr>
        <w:t>. ASU 2021-08 will require companies to apply the definition of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under ASU 2014-09</w:t>
      </w:r>
      <w:r>
        <w:rPr>
          <w:rFonts w:ascii="Arial" w:cs="Arial" w:eastAsia="Arial" w:hAnsi="Arial"/>
          <w:sz w:val="18"/>
          <w:szCs w:val="18"/>
          <w:i w:val="1"/>
          <w:iCs w:val="1"/>
          <w:color w:val="auto"/>
        </w:rPr>
        <w:t>, Revenue from contracts with customers (“Topic 606”)</w:t>
      </w:r>
      <w:r>
        <w:rPr>
          <w:rFonts w:ascii="Arial" w:cs="Arial" w:eastAsia="Arial" w:hAnsi="Arial"/>
          <w:sz w:val="18"/>
          <w:szCs w:val="18"/>
          <w:color w:val="auto"/>
        </w:rPr>
        <w:t xml:space="preserve">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ASU 2021-08 is effective for fiscal years beginning after December 15, 2022, with early adoption permitted. The Company is currently evaluating the impact of this ASU on its consolidated financial statements.</w:t>
      </w:r>
    </w:p>
    <w:p>
      <w:pPr>
        <w:spacing w:after="0" w:line="174"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Revenue, Performance Obligations and Contract Balances</w:t>
      </w:r>
    </w:p>
    <w:p>
      <w:pPr>
        <w:spacing w:after="0" w:line="234"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Pursuant to ASC 606, the Company evaluates the services promised in contracts with customers at contract inception, and identifies a performance obligation for each promise to transfer a service that is distinct. For the payment transaction services, the promise to the customer is that the Company stands ready to process payment transactions the customer requests on a daily basis over the contract term. Since the timing and quantity of transactions to be processed by Paymentus is not determinable, the Company views payment services to comprise an obligation to stand ready to process as many transactions as the customer requests. Under a stand-ready obligation, the evaluation of the nature of a</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5" w:name="page86"/>
    <w:bookmarkEnd w:id="85"/>
    <w:p>
      <w:pPr>
        <w:ind w:right="500"/>
        <w:spacing w:after="0"/>
        <w:rPr>
          <w:sz w:val="20"/>
          <w:szCs w:val="20"/>
          <w:color w:val="auto"/>
        </w:rPr>
      </w:pPr>
      <w:r>
        <w:rPr>
          <w:rFonts w:ascii="Arial" w:cs="Arial" w:eastAsia="Arial" w:hAnsi="Arial"/>
          <w:sz w:val="18"/>
          <w:szCs w:val="18"/>
          <w:color w:val="auto"/>
        </w:rPr>
        <w:t>performance obligation is focused on each time increment rather than the underlying activities. Therefore, the Company views payment services to comprise a series of distinct days of service that are substantially the same and have the same pattern of transfer to the customer. Accordingly, the promise to stand ready is accounted for as a single-series performance obligation.</w:t>
      </w:r>
    </w:p>
    <w:p>
      <w:pPr>
        <w:spacing w:after="0" w:line="95"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ASC 606 requires that the Company determines for each customer arrangement whether revenue should be recognized at a point in time or over time. Substantially all of the Company’s revenues are recognized over time. The majority of the payment transaction services are priced as a percentage of transaction value or a specified fee per transaction. Given the nature of the promise based on unknown quantities or outcomes of services to be performed over the contract term, the total consideration is determined to be variable consideration. The variable consideration for the Company’s payment service is usage-based and, therefore, it specifically relates to the Company’s efforts to satisfy its payment services obligation. The variability is satisfied each day the service is provided to the customer. The Company directly assigns variable fees to the distinct day of service to which it relates, by considering the services performed each day. Therefore, Paymentus measures revenue for its payment service on a daily basis based on the services that are performed on that day and recognizes revenue once the transaction is complete.</w:t>
      </w:r>
    </w:p>
    <w:p>
      <w:pPr>
        <w:spacing w:after="0" w:line="99"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The initial term of customer contracts is typically between three to five years. Termination provisions vary by customer, however the majority of customers may not terminate their contract early without penalty. Some of the contracts include tiered pricing, based primarily on volume. The fee charged per transaction is adjusted up or down if the volume processed for a specified period is different from prior period defined volumes. The Company has concluded that this volume-based pricing approach does not constitute a future material right since the discount is within a range typically offered to a class of customers with similar volume. In addition, some contracts include prescribed annual or monthly minimums, penalties for early termination, and service level agreements that may affect contractual fees if specific service levels are not achieved. The Company has determined that these processing services represent a stand-ready obligation comprising a series of distinct days of services that are substantially the same and have the same pattern of transfer to the customer.</w:t>
      </w:r>
    </w:p>
    <w:p>
      <w:pPr>
        <w:spacing w:after="0" w:line="100"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Company also has partner agreements, some of which contain guaranteed revenue or transaction minimum commitments and revenue sharing arrangements. Because of these minimum commitments, the Company has to evaluate the agreements to determine the fixed and variable consideration and the amount of revenue to be recognized. For the minimum commitments, the Company records the fixed consideration ratably over the commitment period and the variable consideration to the extent that the Company believes that the variable consideration is not constrained. The revenue recorded for these arrangements is net of any revenue sharing with the customer, which is typically determined based on a calculation of revenue less certain fees incurred by the Company, as defined in the agreement.</w:t>
      </w:r>
    </w:p>
    <w:p>
      <w:pPr>
        <w:spacing w:after="0" w:line="97"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The Company recognizes fees charged to customers primarily on a gross basis as transaction revenue when the Company is the principal in respect of completing a payment transaction. In order to provide payment services, the Company routes and clears each transaction through the applicable payment network. The Company obtains authorization for the transaction and requests funds settlement from the card issuing financial institution through the payment network. When third parties are involved in the transfer of goods or services to customers, the Company considers the nature of each specific promised good or service and applies judgment to determine whether the Company controls the good or service before it is transferred to the customer or whether the Company is acting as an agent of the third party. To determine whether or not the Company controls the good or service before it is transferred to the customer, the Company assesses indicators including whether the Company or the third party is primarily responsible for fulfillment and which party has discretion in determining pricing for the good or service, as well as other considerations. Based on an assessment of these indicators, the Company has concluded that the Company bears primary responsibility for the fulfillment of the payment service with the majority of the customers, contracts directly with customers, controls the product specifications, and defines the value proposal from the Company’s services. The Company therefore bears full margin risk when completing a payment transaction, and on that basis, controls those services prior to being transferred to the customer. The interchange fees charged by the card issuing financial institutions and the fees charged by the payment networks are recognized as transaction expense within cost of revenue in the consolidated statements of operations.</w:t>
      </w:r>
    </w:p>
    <w:p>
      <w:pPr>
        <w:spacing w:after="0" w:line="106"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ASC 606 requires disclosure of the aggregate amount of the transaction price allocated to unsatisfied performance obligations. As permitted by ASC 606, the Company has elected to exclude from this disclosure any contracts with an original duration of one year or less and any variable consideration that meets specified criteria. As described above,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Payment transaction processing revenue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390,703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297,494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232,379</w:t>
            </w:r>
          </w:p>
        </w:tc>
        <w:tc>
          <w:tcPr>
            <w:tcW w:w="60" w:type="dxa"/>
            <w:vAlign w:val="bottom"/>
            <w:shd w:val="clear" w:color="auto" w:fill="CFF0FC"/>
          </w:tcPr>
          <w:p>
            <w:pPr>
              <w:spacing w:after="0"/>
              <w:rPr>
                <w:sz w:val="17"/>
                <w:szCs w:val="17"/>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4,273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3,399</w:t>
            </w:r>
          </w:p>
        </w:tc>
        <w:tc>
          <w:tcPr>
            <w:tcW w:w="60" w:type="dxa"/>
            <w:vAlign w:val="bottom"/>
          </w:tcPr>
          <w:p>
            <w:pPr>
              <w:spacing w:after="0"/>
              <w:rPr>
                <w:sz w:val="17"/>
                <w:szCs w:val="17"/>
                <w:color w:val="auto"/>
              </w:rPr>
            </w:pPr>
          </w:p>
        </w:tc>
      </w:tr>
      <w:tr>
        <w:trPr>
          <w:trHeight w:val="236"/>
        </w:trPr>
        <w:tc>
          <w:tcPr>
            <w:tcW w:w="6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395,524</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301,767</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235,778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2" w:lineRule="exact"/>
        <w:rPr>
          <w:sz w:val="20"/>
          <w:szCs w:val="20"/>
          <w:color w:val="auto"/>
        </w:rPr>
      </w:pPr>
    </w:p>
    <w:p>
      <w:pPr>
        <w:ind w:left="60" w:right="2220" w:firstLine="444"/>
        <w:spacing w:after="0" w:line="227" w:lineRule="auto"/>
        <w:rPr>
          <w:sz w:val="20"/>
          <w:szCs w:val="20"/>
          <w:color w:val="auto"/>
        </w:rPr>
      </w:pPr>
      <w:r>
        <w:rPr>
          <w:rFonts w:ascii="Arial" w:cs="Arial" w:eastAsia="Arial" w:hAnsi="Arial"/>
          <w:sz w:val="18"/>
          <w:szCs w:val="18"/>
          <w:color w:val="auto"/>
        </w:rPr>
        <w:t>ASU Topic 606 requires disclosure of the aggregate amount of the transaction price allocated to unsatisfied performance obligations. The purpose of this disclosure is to provide additional information about the amounts and expected timing of revenue to be recognized from the remaining performance obligations in our existing contracts.</w:t>
      </w:r>
    </w:p>
    <w:p>
      <w:pPr>
        <w:spacing w:after="0" w:line="81" w:lineRule="exact"/>
        <w:rPr>
          <w:sz w:val="20"/>
          <w:szCs w:val="20"/>
          <w:color w:val="auto"/>
        </w:rPr>
      </w:pPr>
    </w:p>
    <w:p>
      <w:pPr>
        <w:ind w:right="320" w:firstLine="494"/>
        <w:spacing w:after="0" w:line="229" w:lineRule="auto"/>
        <w:rPr>
          <w:sz w:val="20"/>
          <w:szCs w:val="20"/>
          <w:color w:val="auto"/>
        </w:rPr>
      </w:pPr>
      <w:r>
        <w:rPr>
          <w:rFonts w:ascii="Arial" w:cs="Arial" w:eastAsia="Arial" w:hAnsi="Arial"/>
          <w:sz w:val="18"/>
          <w:szCs w:val="18"/>
          <w:color w:val="auto"/>
        </w:rPr>
        <w:t>As of December 31, 2021, the aggregate amount of transaction price allocated to performance obligations that are unsatisfied or partially unsatisfied was $3.9 million, which the Company expects to recognize over 90% within the next two years. The timing of revenue recognition within the next year is largely dependent upon the go-live dates of the Company's contracts.</w:t>
      </w:r>
    </w:p>
    <w:p>
      <w:pPr>
        <w:spacing w:after="0" w:line="96" w:lineRule="exact"/>
        <w:rPr>
          <w:sz w:val="20"/>
          <w:szCs w:val="20"/>
          <w:color w:val="auto"/>
        </w:rPr>
      </w:pPr>
    </w:p>
    <w:p>
      <w:pPr>
        <w:ind w:right="540" w:firstLine="494"/>
        <w:spacing w:after="0" w:line="234" w:lineRule="auto"/>
        <w:rPr>
          <w:sz w:val="20"/>
          <w:szCs w:val="20"/>
          <w:color w:val="auto"/>
        </w:rPr>
      </w:pPr>
      <w:r>
        <w:rPr>
          <w:rFonts w:ascii="Arial" w:cs="Arial" w:eastAsia="Arial" w:hAnsi="Arial"/>
          <w:sz w:val="18"/>
          <w:szCs w:val="18"/>
          <w:color w:val="auto"/>
        </w:rPr>
        <w:t>As of December 31, 2021, the Company has contractual rights under its commercial agreements to receive $33.4 million of fixed consideration related to the future minimum revenue or transaction guarantees through March 2026. As</w:t>
      </w:r>
    </w:p>
    <w:p>
      <w:pPr>
        <w:spacing w:after="0" w:line="1" w:lineRule="exact"/>
        <w:rPr>
          <w:sz w:val="20"/>
          <w:szCs w:val="20"/>
          <w:color w:val="auto"/>
        </w:rPr>
      </w:pPr>
    </w:p>
    <w:p>
      <w:pPr>
        <w:ind w:right="80" w:firstLine="50"/>
        <w:spacing w:after="0" w:line="234" w:lineRule="auto"/>
        <w:rPr>
          <w:sz w:val="20"/>
          <w:szCs w:val="20"/>
          <w:color w:val="auto"/>
        </w:rPr>
      </w:pPr>
      <w:r>
        <w:rPr>
          <w:rFonts w:ascii="Arial" w:cs="Arial" w:eastAsia="Arial" w:hAnsi="Arial"/>
          <w:sz w:val="18"/>
          <w:szCs w:val="18"/>
          <w:color w:val="auto"/>
        </w:rPr>
        <w:t>permitted, the Company has elected to exclude from this disclosure any variable consideration that meets specified criteria. Accordingly, the total unsatisfied or partially</w:t>
      </w:r>
    </w:p>
    <w:p>
      <w:pPr>
        <w:spacing w:after="0" w:line="1" w:lineRule="exact"/>
        <w:rPr>
          <w:sz w:val="20"/>
          <w:szCs w:val="20"/>
          <w:color w:val="auto"/>
        </w:rPr>
      </w:pPr>
    </w:p>
    <w:p>
      <w:pPr>
        <w:ind w:left="60" w:right="2860"/>
        <w:spacing w:after="0" w:line="246" w:lineRule="auto"/>
        <w:rPr>
          <w:sz w:val="20"/>
          <w:szCs w:val="20"/>
          <w:color w:val="auto"/>
        </w:rPr>
      </w:pPr>
      <w:r>
        <w:rPr>
          <w:rFonts w:ascii="Arial" w:cs="Arial" w:eastAsia="Arial" w:hAnsi="Arial"/>
          <w:sz w:val="18"/>
          <w:szCs w:val="18"/>
          <w:color w:val="auto"/>
        </w:rPr>
        <w:t>unsatisfied performance obligations related to processing services is significantly higher than the amount disclosed.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00" w:lineRule="exact"/>
        <w:rPr>
          <w:sz w:val="20"/>
          <w:szCs w:val="20"/>
          <w:color w:val="auto"/>
        </w:rPr>
      </w:pPr>
    </w:p>
    <w:p>
      <w:pPr>
        <w:spacing w:after="0" w:line="331" w:lineRule="exact"/>
        <w:rPr>
          <w:sz w:val="20"/>
          <w:szCs w:val="20"/>
          <w:color w:val="auto"/>
        </w:rPr>
      </w:pPr>
    </w:p>
    <w:p>
      <w:pPr>
        <w:ind w:right="180" w:firstLine="494"/>
        <w:spacing w:after="0" w:line="238" w:lineRule="auto"/>
        <w:rPr>
          <w:sz w:val="20"/>
          <w:szCs w:val="20"/>
          <w:color w:val="auto"/>
        </w:rPr>
      </w:pPr>
      <w:r>
        <w:rPr>
          <w:rFonts w:ascii="Arial" w:cs="Arial" w:eastAsia="Arial" w:hAnsi="Arial"/>
          <w:sz w:val="18"/>
          <w:szCs w:val="18"/>
          <w:color w:val="auto"/>
        </w:rPr>
        <w:t>The contract asset balance at December 31, 2021 was $5.6 million of which $1.7 million was included in prepaid expenses and other current assets and $3.9 million was included in other long-term assets in the consolidated balance sheets. There were no contract assets recorded as of December 31, 2020. During the year ended December 31, 2021, the Company reduced revenue and the related contract assets by $0.9 million.</w:t>
      </w:r>
    </w:p>
    <w:p>
      <w:pPr>
        <w:spacing w:after="0" w:line="97"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The Company recorded $3.9 million and $0.6 million of contract liabilities in the consolidated balance sheets as of December 31, 2021 and December 31, 2020, respectively, of which $2.8 million is related to acquisitions during the year ended December 31, 2021 and the remaining related to legacy contracts obtained from prior acquisitions associated with the Company’s insignificant other revenue stream and other payments the Company received in advance for services. The change in the contract liabilities is primarily the result of the Payveris acquisition and timing differences between payment from the customer and the Company’s satisfaction of each performance obligation. The revenue recognized that was included in the contract liabilities balance at the beginning of each of the years ended December 31, 2021 and 2020 was $0.6 million and $0.5 million, respectively.</w:t>
      </w:r>
    </w:p>
    <w:p>
      <w:pPr>
        <w:spacing w:after="0" w:line="181"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Payveris, LLC</w:t>
      </w:r>
    </w:p>
    <w:p>
      <w:pPr>
        <w:spacing w:after="0" w:line="112" w:lineRule="exact"/>
        <w:rPr>
          <w:sz w:val="20"/>
          <w:szCs w:val="20"/>
          <w:color w:val="auto"/>
        </w:rPr>
      </w:pPr>
    </w:p>
    <w:p>
      <w:pPr>
        <w:ind w:right="20" w:firstLine="494"/>
        <w:spacing w:after="0" w:line="223" w:lineRule="auto"/>
        <w:rPr>
          <w:sz w:val="20"/>
          <w:szCs w:val="20"/>
          <w:color w:val="auto"/>
        </w:rPr>
      </w:pPr>
      <w:r>
        <w:rPr>
          <w:rFonts w:ascii="Arial" w:cs="Arial" w:eastAsia="Arial" w:hAnsi="Arial"/>
          <w:sz w:val="18"/>
          <w:szCs w:val="18"/>
          <w:color w:val="auto"/>
        </w:rPr>
        <w:t>On September 1, 2021, the Company completed its acquisition of Payveris, LLC ("Payveris") by acquiring all outstanding equity interests for a total purchase price of approximately $145.5 million, comprised of $85.1 million in cash and 2,364,270 shares of the Company's Class A common stock with a fair value of approximately $60.4 million, of which 2,494 shares of the Company's Class A common stock with an approximate value of $0.06 million are subject to final issuance and is currently recorded in accrued liabilities in the consolidated balance sheets. Payveris is a payments processing company for financial institutions. The acquisition is expected to increase the addressable market opportunity for the Company's existing solutions while also enhancing Payveris’ platform with real-time capabilities, enhanced electronic bill presentment and additional payment options for banks, credit unions and financial institutions of all sizes.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87" w:name="page88"/>
    <w:bookmarkEnd w:id="87"/>
    <w:p>
      <w:pPr>
        <w:ind w:right="140" w:firstLine="494"/>
        <w:spacing w:after="0" w:line="261"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FF0FC"/>
          </w:tcPr>
          <w:p>
            <w:pPr>
              <w:spacing w:after="0"/>
              <w:rPr>
                <w:sz w:val="17"/>
                <w:szCs w:val="17"/>
                <w:color w:val="auto"/>
              </w:rPr>
            </w:pP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80" w:type="dxa"/>
            <w:vAlign w:val="bottom"/>
          </w:tcPr>
          <w:p>
            <w:pPr>
              <w:spacing w:after="0"/>
              <w:rPr>
                <w:sz w:val="17"/>
                <w:szCs w:val="17"/>
                <w:color w:val="auto"/>
              </w:rPr>
            </w:pPr>
          </w:p>
        </w:tc>
      </w:tr>
      <w:tr>
        <w:trPr>
          <w:trHeight w:val="203"/>
        </w:trPr>
        <w:tc>
          <w:tcPr>
            <w:tcW w:w="9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includes software acquired</w:t>
            </w:r>
          </w:p>
        </w:tc>
        <w:tc>
          <w:tcPr>
            <w:tcW w:w="7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38,498</w:t>
            </w:r>
          </w:p>
        </w:tc>
        <w:tc>
          <w:tcPr>
            <w:tcW w:w="80" w:type="dxa"/>
            <w:vAlign w:val="bottom"/>
            <w:shd w:val="clear" w:color="auto" w:fill="CFF0FC"/>
          </w:tcPr>
          <w:p>
            <w:pPr>
              <w:spacing w:after="0"/>
              <w:rPr>
                <w:sz w:val="17"/>
                <w:szCs w:val="17"/>
                <w:color w:val="auto"/>
              </w:rPr>
            </w:pP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7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80" w:type="dxa"/>
            <w:vAlign w:val="bottom"/>
          </w:tcPr>
          <w:p>
            <w:pPr>
              <w:spacing w:after="0"/>
              <w:rPr>
                <w:sz w:val="17"/>
                <w:szCs w:val="17"/>
                <w:color w:val="auto"/>
              </w:rPr>
            </w:pPr>
          </w:p>
        </w:tc>
      </w:tr>
      <w:tr>
        <w:trPr>
          <w:trHeight w:val="203"/>
        </w:trPr>
        <w:tc>
          <w:tcPr>
            <w:tcW w:w="9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7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108,950</w:t>
            </w:r>
          </w:p>
        </w:tc>
        <w:tc>
          <w:tcPr>
            <w:tcW w:w="80" w:type="dxa"/>
            <w:vAlign w:val="bottom"/>
            <w:shd w:val="clear" w:color="auto" w:fill="CFF0FC"/>
          </w:tcPr>
          <w:p>
            <w:pPr>
              <w:spacing w:after="0"/>
              <w:rPr>
                <w:sz w:val="17"/>
                <w:szCs w:val="17"/>
                <w:color w:val="auto"/>
              </w:rPr>
            </w:pP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Restricted funds held for financial institutions</w:t>
            </w:r>
          </w:p>
        </w:tc>
        <w:tc>
          <w:tcPr>
            <w:tcW w:w="7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31,459</w:t>
            </w:r>
          </w:p>
        </w:tc>
        <w:tc>
          <w:tcPr>
            <w:tcW w:w="80" w:type="dxa"/>
            <w:vAlign w:val="bottom"/>
          </w:tcPr>
          <w:p>
            <w:pPr>
              <w:spacing w:after="0"/>
              <w:rPr>
                <w:sz w:val="17"/>
                <w:szCs w:val="17"/>
                <w:color w:val="auto"/>
              </w:rPr>
            </w:pPr>
          </w:p>
        </w:tc>
      </w:tr>
      <w:tr>
        <w:trPr>
          <w:trHeight w:val="203"/>
        </w:trPr>
        <w:tc>
          <w:tcPr>
            <w:tcW w:w="9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Financial institution funds in-transit</w:t>
            </w:r>
          </w:p>
        </w:tc>
        <w:tc>
          <w:tcPr>
            <w:tcW w:w="7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(31,459 )</w:t>
            </w: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(194 )</w:t>
            </w:r>
          </w:p>
        </w:tc>
      </w:tr>
      <w:tr>
        <w:trPr>
          <w:trHeight w:val="203"/>
        </w:trPr>
        <w:tc>
          <w:tcPr>
            <w:tcW w:w="9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(265 )</w:t>
            </w: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(2,805 )</w:t>
            </w:r>
          </w:p>
        </w:tc>
      </w:tr>
      <w:tr>
        <w:trPr>
          <w:trHeight w:val="236"/>
        </w:trPr>
        <w:tc>
          <w:tcPr>
            <w:tcW w:w="91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FF0FC"/>
          </w:tcPr>
          <w:p>
            <w:pPr>
              <w:jc w:val="right"/>
              <w:ind w:right="51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145,524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The purchase price allocation is preliminary. The Company continues to collect information with regard to its estimates and assumptions, including potential liabilities and contingencies. The Company will record adjustments to the fair value of the net assets acquired and goodwill within the twelve months measurement period, if necessary. The Company recorded a measurement period adjustment of $8.5 million during the fourth quarter of 2021 to decrease trademarks and increase goodwill related to the refinement of inputs of the acquisition valuation.</w:t>
      </w:r>
    </w:p>
    <w:p>
      <w:pPr>
        <w:spacing w:after="0" w:line="94" w:lineRule="exact"/>
        <w:rPr>
          <w:sz w:val="20"/>
          <w:szCs w:val="20"/>
          <w:color w:val="auto"/>
        </w:rPr>
      </w:pPr>
    </w:p>
    <w:p>
      <w:pPr>
        <w:ind w:right="580" w:firstLine="494"/>
        <w:spacing w:after="0" w:line="246"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Payveris and the assembled workforce. The goodwill is deductible for income tax purposes.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b w:val="1"/>
                <w:bCs w:val="1"/>
                <w:color w:val="auto"/>
              </w:rPr>
              <w:t>Useful Life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8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26,154</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Trademarks</w:t>
            </w: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3,993</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8,102</w:t>
            </w:r>
          </w:p>
        </w:tc>
        <w:tc>
          <w:tcPr>
            <w:tcW w:w="14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38,249</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-159385</wp:posOffset>
            </wp:positionV>
            <wp:extent cx="431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Finovera, Inc.</w:t>
      </w:r>
    </w:p>
    <w:p>
      <w:pPr>
        <w:spacing w:after="0" w:line="126"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On September 2, 2021, the Company completed its acquisition of Finovera by acquiring all outstanding shares for a total purchase price of approximately $12.9 million, net of cash acquired, comprised of $5.0 million in cash of which $0.8 million is being held back by the Company for a period of twenty-four months following the transaction closing date and is recorded in finance leases and other finance obligations, net of current portion in the consolidated balance sheets, and 293,506 shares of the Company's Class A common stock with a fair value of approximately $7.9 million. Finovera is a bill aggregation technology provider for financial institutions. The acquisition of Finovera is expected to increase the addressable market opportunity for the Company's biller and financial institution solutions by, among other things, increasing the availability of certain bill data.</w:t>
      </w:r>
    </w:p>
    <w:p>
      <w:pPr>
        <w:spacing w:after="0" w:line="95" w:lineRule="exact"/>
        <w:rPr>
          <w:sz w:val="20"/>
          <w:szCs w:val="20"/>
          <w:color w:val="auto"/>
        </w:rPr>
      </w:pPr>
    </w:p>
    <w:p>
      <w:pPr>
        <w:ind w:right="140" w:firstLine="494"/>
        <w:spacing w:after="0" w:line="261"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ectPr>
          <w:pgSz w:w="11900" w:h="16838" w:orient="portrait"/>
          <w:cols w:equalWidth="0" w:num="1">
            <w:col w:w="11240"/>
          </w:cols>
          <w:pgMar w:left="320" w:top="449" w:right="339" w:bottom="1440" w:gutter="0" w:footer="0" w:header="0"/>
        </w:sectPr>
      </w:pP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Accounts receivable</w:t>
      </w:r>
    </w:p>
    <w:p>
      <w:pPr>
        <w:ind w:left="20"/>
        <w:spacing w:after="0" w:line="235" w:lineRule="auto"/>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Prepaid expenses and other</w:t>
      </w:r>
    </w:p>
    <w:p>
      <w:pPr>
        <w:ind w:left="20"/>
        <w:spacing w:after="0" w:line="235" w:lineRule="auto"/>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Accounts payable</w:t>
      </w:r>
    </w:p>
    <w:p>
      <w:pPr>
        <w:ind w:left="2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r>
    </w:tbl>
    <w:p>
      <w:pPr>
        <w:ind w:left="1640"/>
        <w:spacing w:after="0" w:line="234" w:lineRule="auto"/>
        <w:rPr>
          <w:sz w:val="20"/>
          <w:szCs w:val="20"/>
          <w:color w:val="auto"/>
        </w:rPr>
      </w:pPr>
      <w:r>
        <w:rPr>
          <w:rFonts w:ascii="Arial" w:cs="Arial" w:eastAsia="Arial" w:hAnsi="Arial"/>
          <w:sz w:val="18"/>
          <w:szCs w:val="18"/>
          <w:color w:val="auto"/>
        </w:rPr>
        <w:t>267</w:t>
      </w:r>
    </w:p>
    <w:p>
      <w:pPr>
        <w:ind w:left="1500"/>
        <w:spacing w:after="0" w:line="235" w:lineRule="auto"/>
        <w:rPr>
          <w:sz w:val="20"/>
          <w:szCs w:val="20"/>
          <w:color w:val="auto"/>
        </w:rPr>
      </w:pPr>
      <w:r>
        <w:rPr>
          <w:rFonts w:ascii="Arial" w:cs="Arial" w:eastAsia="Arial" w:hAnsi="Arial"/>
          <w:sz w:val="18"/>
          <w:szCs w:val="18"/>
          <w:color w:val="auto"/>
        </w:rPr>
        <w:t>6,048</w:t>
      </w:r>
    </w:p>
    <w:p>
      <w:pPr>
        <w:ind w:left="1740"/>
        <w:spacing w:after="0" w:line="235" w:lineRule="auto"/>
        <w:rPr>
          <w:sz w:val="20"/>
          <w:szCs w:val="20"/>
          <w:color w:val="auto"/>
        </w:rPr>
      </w:pPr>
      <w:r>
        <w:rPr>
          <w:rFonts w:ascii="Arial" w:cs="Arial" w:eastAsia="Arial" w:hAnsi="Arial"/>
          <w:sz w:val="18"/>
          <w:szCs w:val="18"/>
          <w:color w:val="auto"/>
        </w:rPr>
        <w:t>39</w:t>
      </w:r>
    </w:p>
    <w:p>
      <w:pPr>
        <w:ind w:left="1500"/>
        <w:spacing w:after="0" w:line="235" w:lineRule="auto"/>
        <w:rPr>
          <w:sz w:val="20"/>
          <w:szCs w:val="20"/>
          <w:color w:val="auto"/>
        </w:rPr>
      </w:pPr>
      <w:r>
        <w:rPr>
          <w:rFonts w:ascii="Arial" w:cs="Arial" w:eastAsia="Arial" w:hAnsi="Arial"/>
          <w:sz w:val="18"/>
          <w:szCs w:val="18"/>
          <w:color w:val="auto"/>
        </w:rPr>
        <w:t>7,266</w:t>
      </w:r>
    </w:p>
    <w:p>
      <w:pPr>
        <w:jc w:val="right"/>
        <w:spacing w:after="0" w:line="235" w:lineRule="auto"/>
        <w:rPr>
          <w:sz w:val="20"/>
          <w:szCs w:val="20"/>
          <w:color w:val="auto"/>
        </w:rPr>
      </w:pPr>
      <w:r>
        <w:rPr>
          <w:rFonts w:ascii="Arial" w:cs="Arial" w:eastAsia="Arial" w:hAnsi="Arial"/>
          <w:sz w:val="18"/>
          <w:szCs w:val="18"/>
          <w:color w:val="auto"/>
        </w:rPr>
        <w:t>(85 )</w:t>
      </w:r>
    </w:p>
    <w:p>
      <w:pPr>
        <w:jc w:val="right"/>
        <w:spacing w:after="0" w:line="234" w:lineRule="auto"/>
        <w:rPr>
          <w:sz w:val="20"/>
          <w:szCs w:val="20"/>
          <w:color w:val="auto"/>
        </w:rPr>
      </w:pPr>
      <w:r>
        <w:rPr>
          <w:rFonts w:ascii="Arial" w:cs="Arial" w:eastAsia="Arial" w:hAnsi="Arial"/>
          <w:sz w:val="18"/>
          <w:szCs w:val="18"/>
          <w:color w:val="auto"/>
        </w:rPr>
        <w:t>(72 )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12515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1400" w:hanging="1399"/>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12,940</w:t>
      </w:r>
    </w:p>
    <w:p>
      <w:pPr>
        <w:spacing w:after="0" w:line="240" w:lineRule="exact"/>
        <w:rPr>
          <w:sz w:val="20"/>
          <w:szCs w:val="20"/>
          <w:color w:val="auto"/>
        </w:rPr>
      </w:pPr>
    </w:p>
    <w:p>
      <w:pPr>
        <w:sectPr>
          <w:pgSz w:w="11900" w:h="16838" w:orient="portrait"/>
          <w:cols w:equalWidth="0" w:num="2">
            <w:col w:w="8480" w:space="720"/>
            <w:col w:w="2040"/>
          </w:cols>
          <w:pgMar w:left="320" w:top="449" w:right="3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88" w:name="page89"/>
    <w:bookmarkEnd w:id="88"/>
    <w:p>
      <w:pPr>
        <w:ind w:right="700" w:firstLine="494"/>
        <w:spacing w:after="0"/>
        <w:rPr>
          <w:sz w:val="20"/>
          <w:szCs w:val="20"/>
          <w:color w:val="auto"/>
        </w:rPr>
      </w:pPr>
      <w:r>
        <w:rPr>
          <w:rFonts w:ascii="Arial" w:cs="Arial" w:eastAsia="Arial" w:hAnsi="Arial"/>
          <w:sz w:val="18"/>
          <w:szCs w:val="18"/>
          <w:color w:val="auto"/>
        </w:rPr>
        <w:t>The purchase price allocation is preliminary. The Company continues to collect information with regard to its estimates and assumptions, including potential liabilities and contingencies. The Company will record adjustments to the fair value of the net assets acquired and goodwill within the twelve months measurement period, if necessary.</w:t>
      </w:r>
    </w:p>
    <w:p>
      <w:pPr>
        <w:spacing w:after="0" w:line="95" w:lineRule="exact"/>
        <w:rPr>
          <w:sz w:val="20"/>
          <w:szCs w:val="20"/>
          <w:color w:val="auto"/>
        </w:rPr>
      </w:pPr>
    </w:p>
    <w:p>
      <w:pPr>
        <w:ind w:right="580" w:firstLine="494"/>
        <w:spacing w:after="0" w:line="246"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Finovera and the assembled workforce. The goodwill is not deductible for income tax purposes.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b w:val="1"/>
                <w:bCs w:val="1"/>
                <w:color w:val="auto"/>
              </w:rPr>
              <w:t>Useful Life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8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Technology</w:t>
            </w:r>
          </w:p>
        </w:tc>
        <w:tc>
          <w:tcPr>
            <w:tcW w:w="1260" w:type="dxa"/>
            <w:vAlign w:val="bottom"/>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5,155</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893</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FF0FC"/>
          </w:tcPr>
          <w:p>
            <w:pPr>
              <w:jc w:val="right"/>
              <w:ind w:right="1056"/>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6,048</w:t>
            </w:r>
          </w:p>
        </w:tc>
        <w:tc>
          <w:tcPr>
            <w:tcW w:w="2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-25400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431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jc w:val="both"/>
        <w:ind w:right="180" w:firstLine="494"/>
        <w:spacing w:after="0"/>
        <w:rPr>
          <w:sz w:val="20"/>
          <w:szCs w:val="20"/>
          <w:color w:val="auto"/>
        </w:rPr>
      </w:pPr>
      <w:r>
        <w:rPr>
          <w:rFonts w:ascii="Arial" w:cs="Arial" w:eastAsia="Arial" w:hAnsi="Arial"/>
          <w:sz w:val="18"/>
          <w:szCs w:val="18"/>
          <w:color w:val="auto"/>
        </w:rPr>
        <w:t>The revenue and expenses of the acquired businesses have been included in the Company's consolidated financial results since the acquisition date. Revenues and expenses related to these acquisitions and pro forma results of operations have not been presented for the years ended December 31, 2021 and 2020 because the effects of these acquisitions was not material to the Company's overall operations.</w:t>
      </w:r>
    </w:p>
    <w:p>
      <w:pPr>
        <w:spacing w:after="0" w:line="95" w:lineRule="exact"/>
        <w:rPr>
          <w:sz w:val="20"/>
          <w:szCs w:val="20"/>
          <w:color w:val="auto"/>
        </w:rPr>
      </w:pPr>
    </w:p>
    <w:p>
      <w:pPr>
        <w:jc w:val="both"/>
        <w:ind w:right="380" w:firstLine="494"/>
        <w:spacing w:after="0"/>
        <w:rPr>
          <w:sz w:val="20"/>
          <w:szCs w:val="20"/>
          <w:color w:val="auto"/>
        </w:rPr>
      </w:pPr>
      <w:r>
        <w:rPr>
          <w:rFonts w:ascii="Arial" w:cs="Arial" w:eastAsia="Arial" w:hAnsi="Arial"/>
          <w:sz w:val="18"/>
          <w:szCs w:val="18"/>
          <w:color w:val="auto"/>
        </w:rPr>
        <w:t>The Company incurred costs related to these acquisitions of approximately $1.7 million for the year ended December 31, 2021. All acquisition related costs were expensed as incurred and have been recorded in general and administrative expenses in the consolidated statements of operations.</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tab/>
        <w:t>Property and Equipment, Net</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Computer equipment</w:t>
            </w:r>
          </w:p>
        </w:tc>
        <w:tc>
          <w:tcPr>
            <w:tcW w:w="1040" w:type="dxa"/>
            <w:vAlign w:val="bottom"/>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4,934</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4,368</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1,456</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976</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445</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Automobile</w:t>
            </w:r>
          </w:p>
        </w:tc>
        <w:tc>
          <w:tcPr>
            <w:tcW w:w="104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property and equipment</w:t>
            </w:r>
          </w:p>
        </w:tc>
        <w:tc>
          <w:tcPr>
            <w:tcW w:w="10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6,835</w:t>
            </w:r>
          </w:p>
        </w:tc>
        <w:tc>
          <w:tcPr>
            <w:tcW w:w="24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5,532</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(4,791 )</w:t>
            </w:r>
          </w:p>
        </w:tc>
        <w:tc>
          <w:tcPr>
            <w:tcW w:w="50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(3,760 )</w:t>
            </w:r>
          </w:p>
        </w:tc>
      </w:tr>
      <w:tr>
        <w:trPr>
          <w:trHeight w:val="236"/>
        </w:trPr>
        <w:tc>
          <w:tcPr>
            <w:tcW w:w="77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Property and equipment, net</w:t>
            </w:r>
          </w:p>
        </w:tc>
        <w:tc>
          <w:tcPr>
            <w:tcW w:w="1040" w:type="dxa"/>
            <w:vAlign w:val="bottom"/>
            <w:tcBorders>
              <w:top w:val="single" w:sz="8" w:color="auto"/>
              <w:bottom w:val="single" w:sz="8" w:color="auto"/>
            </w:tcBorders>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2,044</w:t>
            </w: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ind w:right="440" w:firstLine="494"/>
        <w:spacing w:after="0" w:line="246" w:lineRule="auto"/>
        <w:rPr>
          <w:sz w:val="20"/>
          <w:szCs w:val="20"/>
          <w:color w:val="auto"/>
        </w:rPr>
      </w:pPr>
      <w:r>
        <w:rPr>
          <w:rFonts w:ascii="Arial" w:cs="Arial" w:eastAsia="Arial" w:hAnsi="Arial"/>
          <w:sz w:val="18"/>
          <w:szCs w:val="18"/>
          <w:color w:val="auto"/>
        </w:rPr>
        <w:t>Depreciation and amortization expense recorded for property and equipment was $1.1 million, $1.0 million and $0.6 million for the years ended December 31, 2021, 2020 and 2019, respectively.</w:t>
      </w:r>
    </w:p>
    <w:p>
      <w:pPr>
        <w:spacing w:after="0" w:line="175"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United</w:t>
            </w:r>
          </w:p>
        </w:tc>
        <w:tc>
          <w:tcPr>
            <w:tcW w:w="300" w:type="dxa"/>
            <w:vAlign w:val="bottom"/>
          </w:tcPr>
          <w:p>
            <w:pPr>
              <w:spacing w:after="0"/>
              <w:rPr>
                <w:sz w:val="14"/>
                <w:szCs w:val="14"/>
                <w:color w:val="auto"/>
              </w:rPr>
            </w:pPr>
          </w:p>
        </w:tc>
        <w:tc>
          <w:tcPr>
            <w:tcW w:w="12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States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2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12,303</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2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12,303</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7"/>
                <w:szCs w:val="17"/>
                <w:color w:val="auto"/>
              </w:rPr>
              <w:t>Goodwill acquired</w:t>
            </w:r>
            <w:r>
              <w:rPr>
                <w:rFonts w:ascii="Arial" w:cs="Arial" w:eastAsia="Arial" w:hAnsi="Arial"/>
                <w:sz w:val="23"/>
                <w:szCs w:val="23"/>
                <w:color w:val="auto"/>
                <w:vertAlign w:val="superscript"/>
              </w:rPr>
              <w:t>(1)</w:t>
            </w: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116,216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116,216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2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96"/>
        </w:trPr>
        <w:tc>
          <w:tcPr>
            <w:tcW w:w="44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b w:val="1"/>
                <w:bCs w:val="1"/>
                <w:color w:val="auto"/>
              </w:rPr>
              <w:t>Balance as of December 31, 2021</w:t>
            </w:r>
          </w:p>
        </w:tc>
        <w:tc>
          <w:tcPr>
            <w:tcW w:w="21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128,519</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894</w:t>
            </w: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129,413</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20" w:type="dxa"/>
            <w:vAlign w:val="bottom"/>
            <w:gridSpan w:val="5"/>
          </w:tcPr>
          <w:p>
            <w:pPr>
              <w:spacing w:after="0" w:line="157" w:lineRule="exact"/>
              <w:rPr>
                <w:sz w:val="20"/>
                <w:szCs w:val="20"/>
                <w:color w:val="auto"/>
              </w:rPr>
            </w:pPr>
            <w:r>
              <w:rPr>
                <w:rFonts w:ascii="Arial" w:cs="Arial" w:eastAsia="Arial" w:hAnsi="Arial"/>
                <w:sz w:val="14"/>
                <w:szCs w:val="14"/>
                <w:color w:val="auto"/>
              </w:rPr>
              <w:t>(1) The goodwill acquired in the year ended December 31, 2021 is related to the Payveris and Finovera acquisitions. See Note 4.</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2"/>
        </w:trPr>
        <w:tc>
          <w:tcPr>
            <w:tcW w:w="4400" w:type="dxa"/>
            <w:vAlign w:val="bottom"/>
          </w:tcPr>
          <w:p>
            <w:pPr>
              <w:spacing w:after="0"/>
              <w:rPr>
                <w:sz w:val="24"/>
                <w:szCs w:val="24"/>
                <w:color w:val="auto"/>
              </w:rPr>
            </w:pPr>
          </w:p>
        </w:tc>
        <w:tc>
          <w:tcPr>
            <w:tcW w:w="2180" w:type="dxa"/>
            <w:vAlign w:val="bottom"/>
          </w:tcPr>
          <w:p>
            <w:pPr>
              <w:jc w:val="right"/>
              <w:ind w:right="77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-664845</wp:posOffset>
            </wp:positionV>
            <wp:extent cx="514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-664845</wp:posOffset>
            </wp:positionV>
            <wp:extent cx="5143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-664845</wp:posOffset>
            </wp:positionV>
            <wp:extent cx="5143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Useful Life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3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980" w:type="dxa"/>
            <w:vAlign w:val="bottom"/>
          </w:tcPr>
          <w:p>
            <w:pPr>
              <w:jc w:val="center"/>
              <w:ind w:right="13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Technology</w:t>
            </w: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20,837</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(8,655</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12,182</w:t>
            </w:r>
          </w:p>
        </w:tc>
        <w:tc>
          <w:tcPr>
            <w:tcW w:w="2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(2,652 )</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33,830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(8,021 )</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25,809</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(456 )</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Trademark</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(533 )</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3,660</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62,405</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(20,317 )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42,088</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Useful Life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3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980" w:type="dxa"/>
            <w:vAlign w:val="bottom"/>
          </w:tcPr>
          <w:p>
            <w:pPr>
              <w:jc w:val="center"/>
              <w:ind w:right="13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Technology</w:t>
            </w: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7,579</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(7,460</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(2,652 )</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(6,782 )</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(355 )</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Non-compete</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(330 )</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Trademark</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(200 )</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18,075</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(17,779</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w:t>
            </w:r>
          </w:p>
        </w:tc>
        <w:tc>
          <w:tcPr>
            <w:tcW w:w="2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-1753870</wp:posOffset>
            </wp:positionV>
            <wp:extent cx="5143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-1753870</wp:posOffset>
            </wp:positionV>
            <wp:extent cx="5143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-1753870</wp:posOffset>
            </wp:positionV>
            <wp:extent cx="431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514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51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431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22"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Amortization expense of intangible assets was $2.9 million, $0.6 million and $1.4 million for the years ended December 31, 2021, 2020 and 2019 respectively.</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future amortization expense is expected to be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74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8,246</w:t>
            </w:r>
          </w:p>
        </w:tc>
        <w:tc>
          <w:tcPr>
            <w:tcW w:w="60" w:type="dxa"/>
            <w:vAlign w:val="bottom"/>
          </w:tcPr>
          <w:p>
            <w:pPr>
              <w:spacing w:after="0"/>
              <w:rPr>
                <w:sz w:val="17"/>
                <w:szCs w:val="17"/>
                <w:color w:val="auto"/>
              </w:rPr>
            </w:pP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7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8,042</w:t>
            </w:r>
          </w:p>
        </w:tc>
        <w:tc>
          <w:tcPr>
            <w:tcW w:w="60" w:type="dxa"/>
            <w:vAlign w:val="bottom"/>
            <w:shd w:val="clear" w:color="auto" w:fill="CFF0FC"/>
          </w:tcPr>
          <w:p>
            <w:pPr>
              <w:spacing w:after="0"/>
              <w:rPr>
                <w:sz w:val="17"/>
                <w:szCs w:val="17"/>
                <w:color w:val="auto"/>
              </w:rPr>
            </w:pP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7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7,658</w:t>
            </w:r>
          </w:p>
        </w:tc>
        <w:tc>
          <w:tcPr>
            <w:tcW w:w="60" w:type="dxa"/>
            <w:vAlign w:val="bottom"/>
          </w:tcPr>
          <w:p>
            <w:pPr>
              <w:spacing w:after="0"/>
              <w:rPr>
                <w:sz w:val="17"/>
                <w:szCs w:val="17"/>
                <w:color w:val="auto"/>
              </w:rPr>
            </w:pP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7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6,156</w:t>
            </w:r>
          </w:p>
        </w:tc>
        <w:tc>
          <w:tcPr>
            <w:tcW w:w="60" w:type="dxa"/>
            <w:vAlign w:val="bottom"/>
            <w:shd w:val="clear" w:color="auto" w:fill="CFF0FC"/>
          </w:tcPr>
          <w:p>
            <w:pPr>
              <w:spacing w:after="0"/>
              <w:rPr>
                <w:sz w:val="17"/>
                <w:szCs w:val="17"/>
                <w:color w:val="auto"/>
              </w:rPr>
            </w:pP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7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60" w:type="dxa"/>
            <w:vAlign w:val="bottom"/>
          </w:tcPr>
          <w:p>
            <w:pPr>
              <w:spacing w:after="0"/>
              <w:rPr>
                <w:sz w:val="17"/>
                <w:szCs w:val="17"/>
                <w:color w:val="auto"/>
              </w:rPr>
            </w:pPr>
          </w:p>
        </w:tc>
      </w:tr>
      <w:tr>
        <w:trPr>
          <w:trHeight w:val="203"/>
        </w:trPr>
        <w:tc>
          <w:tcPr>
            <w:tcW w:w="9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8,717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ind w:left="20"/>
              <w:spacing w:after="0" w:line="196" w:lineRule="exact"/>
              <w:rPr>
                <w:sz w:val="20"/>
                <w:szCs w:val="20"/>
                <w:color w:val="auto"/>
              </w:rPr>
            </w:pPr>
            <w:r>
              <w:rPr>
                <w:rFonts w:ascii="Arial" w:cs="Arial" w:eastAsia="Arial" w:hAnsi="Arial"/>
                <w:sz w:val="18"/>
                <w:szCs w:val="18"/>
                <w:color w:val="auto"/>
              </w:rPr>
              <w:t>Total future amortization expense</w:t>
            </w:r>
          </w:p>
        </w:tc>
        <w:tc>
          <w:tcPr>
            <w:tcW w:w="7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42,088</w:t>
            </w:r>
          </w:p>
        </w:tc>
        <w:tc>
          <w:tcPr>
            <w:tcW w:w="6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5"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34" w:lineRule="exact"/>
        <w:rPr>
          <w:sz w:val="20"/>
          <w:szCs w:val="20"/>
          <w:color w:val="auto"/>
        </w:rPr>
      </w:pPr>
    </w:p>
    <w:p>
      <w:pPr>
        <w:ind w:right="120" w:firstLine="499"/>
        <w:spacing w:after="0" w:line="237" w:lineRule="auto"/>
        <w:rPr>
          <w:sz w:val="20"/>
          <w:szCs w:val="20"/>
          <w:color w:val="auto"/>
        </w:rPr>
      </w:pPr>
      <w:r>
        <w:rPr>
          <w:rFonts w:ascii="Arial" w:cs="Arial" w:eastAsia="Arial" w:hAnsi="Arial"/>
          <w:sz w:val="18"/>
          <w:szCs w:val="18"/>
          <w:color w:val="auto"/>
        </w:rPr>
        <w:t>The Company enters into operating and finance leases, primarily related to rental of office space, equipment and data centers. Both operating and finance leases have remaining lease terms which range from less than one year to ten years, and often include one or more renewal or termination options. These options are not included in the determination of the lease term at commencement unless it is reasonably certain that the Company will exercise the option. During the year ended December 31, 2021, the Company recorded approximately $2.5 million for an additional right-of-use asset and related operating lease liability for an office lease that commenced in April 2021.</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6"/>
                <w:szCs w:val="16"/>
                <w:color w:val="auto"/>
              </w:rPr>
            </w:pPr>
          </w:p>
        </w:tc>
      </w:tr>
      <w:tr>
        <w:trPr>
          <w:trHeight w:val="183"/>
        </w:trPr>
        <w:tc>
          <w:tcPr>
            <w:tcW w:w="7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2,847</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3,026</w:t>
            </w:r>
          </w:p>
        </w:tc>
        <w:tc>
          <w:tcPr>
            <w:tcW w:w="60" w:type="dxa"/>
            <w:vAlign w:val="bottom"/>
            <w:shd w:val="clear" w:color="auto" w:fill="CFF0FC"/>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Depreciation expense</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272</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302</w:t>
            </w:r>
          </w:p>
        </w:tc>
        <w:tc>
          <w:tcPr>
            <w:tcW w:w="6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Interest on finance lease liabilities</w:t>
            </w:r>
          </w:p>
        </w:tc>
        <w:tc>
          <w:tcPr>
            <w:tcW w:w="1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7"/>
                <w:szCs w:val="17"/>
                <w:color w:val="auto"/>
              </w:rPr>
            </w:pPr>
          </w:p>
        </w:tc>
      </w:tr>
      <w:tr>
        <w:trPr>
          <w:trHeight w:val="196"/>
        </w:trPr>
        <w:tc>
          <w:tcPr>
            <w:tcW w:w="74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finance lease cost</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288</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325</w:t>
            </w:r>
          </w:p>
        </w:tc>
        <w:tc>
          <w:tcPr>
            <w:tcW w:w="60" w:type="dxa"/>
            <w:vAlign w:val="bottom"/>
            <w:shd w:val="clear" w:color="auto" w:fill="CFF0FC"/>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1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1,063</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345</w:t>
            </w:r>
          </w:p>
        </w:tc>
        <w:tc>
          <w:tcPr>
            <w:tcW w:w="60" w:type="dxa"/>
            <w:vAlign w:val="bottom"/>
          </w:tcPr>
          <w:p>
            <w:pPr>
              <w:spacing w:after="0"/>
              <w:rPr>
                <w:sz w:val="17"/>
                <w:szCs w:val="17"/>
                <w:color w:val="auto"/>
              </w:rPr>
            </w:pPr>
          </w:p>
        </w:tc>
      </w:tr>
      <w:tr>
        <w:trPr>
          <w:trHeight w:val="236"/>
        </w:trPr>
        <w:tc>
          <w:tcPr>
            <w:tcW w:w="74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10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4,198</w:t>
            </w: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3,696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7440" w:type="dxa"/>
            <w:vAlign w:val="bottom"/>
          </w:tcPr>
          <w:p>
            <w:pPr>
              <w:ind w:left="50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24"/>
                <w:szCs w:val="24"/>
                <w:color w:val="auto"/>
              </w:rPr>
            </w:pPr>
          </w:p>
        </w:tc>
      </w:tr>
      <w:tr>
        <w:trPr>
          <w:trHeight w:val="183"/>
        </w:trPr>
        <w:tc>
          <w:tcPr>
            <w:tcW w:w="7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8"/>
        </w:trPr>
        <w:tc>
          <w:tcPr>
            <w:tcW w:w="74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Cash paid for amounts included in the measurement of lease</w:t>
            </w: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03"/>
        </w:trPr>
        <w:tc>
          <w:tcPr>
            <w:tcW w:w="74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liabilities</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2,755</w:t>
            </w:r>
          </w:p>
        </w:tc>
        <w:tc>
          <w:tcPr>
            <w:tcW w:w="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2,652</w:t>
            </w:r>
          </w:p>
        </w:tc>
        <w:tc>
          <w:tcPr>
            <w:tcW w:w="60" w:type="dxa"/>
            <w:vAlign w:val="bottom"/>
          </w:tcPr>
          <w:p>
            <w:pPr>
              <w:spacing w:after="0"/>
              <w:rPr>
                <w:sz w:val="17"/>
                <w:szCs w:val="17"/>
                <w:color w:val="auto"/>
              </w:rPr>
            </w:pPr>
          </w:p>
        </w:tc>
      </w:tr>
      <w:tr>
        <w:trPr>
          <w:trHeight w:val="203"/>
        </w:trPr>
        <w:tc>
          <w:tcPr>
            <w:tcW w:w="74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cash flows for finance leases</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Financing cash flows for finance leases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323</w:t>
            </w:r>
          </w:p>
        </w:tc>
        <w:tc>
          <w:tcPr>
            <w:tcW w:w="60" w:type="dxa"/>
            <w:vAlign w:val="bottom"/>
          </w:tcPr>
          <w:p>
            <w:pPr>
              <w:spacing w:after="0"/>
              <w:rPr>
                <w:sz w:val="17"/>
                <w:szCs w:val="17"/>
                <w:color w:val="auto"/>
              </w:rPr>
            </w:pPr>
          </w:p>
        </w:tc>
      </w:tr>
      <w:tr>
        <w:trPr>
          <w:trHeight w:val="175"/>
        </w:trPr>
        <w:tc>
          <w:tcPr>
            <w:tcW w:w="74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Right-of-use assets obtained in exchange of operating lease</w:t>
            </w: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74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obligations</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2,550</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7,678</w:t>
            </w:r>
          </w:p>
        </w:tc>
        <w:tc>
          <w:tcPr>
            <w:tcW w:w="60" w:type="dxa"/>
            <w:vAlign w:val="bottom"/>
            <w:shd w:val="clear" w:color="auto" w:fill="CFF0FC"/>
          </w:tcPr>
          <w:p>
            <w:pPr>
              <w:spacing w:after="0"/>
              <w:rPr>
                <w:sz w:val="17"/>
                <w:szCs w:val="17"/>
                <w:color w:val="auto"/>
              </w:rPr>
            </w:pPr>
          </w:p>
        </w:tc>
      </w:tr>
      <w:tr>
        <w:trPr>
          <w:trHeight w:val="175"/>
        </w:trPr>
        <w:tc>
          <w:tcPr>
            <w:tcW w:w="7440" w:type="dxa"/>
            <w:vAlign w:val="bottom"/>
          </w:tcPr>
          <w:p>
            <w:pPr>
              <w:ind w:left="20"/>
              <w:spacing w:after="0" w:line="175" w:lineRule="exact"/>
              <w:rPr>
                <w:sz w:val="20"/>
                <w:szCs w:val="20"/>
                <w:color w:val="auto"/>
              </w:rPr>
            </w:pPr>
            <w:r>
              <w:rPr>
                <w:rFonts w:ascii="Arial" w:cs="Arial" w:eastAsia="Arial" w:hAnsi="Arial"/>
                <w:sz w:val="18"/>
                <w:szCs w:val="18"/>
                <w:color w:val="auto"/>
              </w:rPr>
              <w:t>Property and equipment obtained in exchange of finance lease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814</w:t>
            </w:r>
          </w:p>
        </w:tc>
        <w:tc>
          <w:tcPr>
            <w:tcW w:w="60" w:type="dxa"/>
            <w:vAlign w:val="bottom"/>
          </w:tcPr>
          <w:p>
            <w:pPr>
              <w:spacing w:after="0"/>
              <w:rPr>
                <w:sz w:val="18"/>
                <w:szCs w:val="18"/>
                <w:color w:val="auto"/>
              </w:rPr>
            </w:pPr>
          </w:p>
        </w:tc>
      </w:tr>
      <w:tr>
        <w:trPr>
          <w:trHeight w:val="418"/>
        </w:trPr>
        <w:tc>
          <w:tcPr>
            <w:tcW w:w="8640" w:type="dxa"/>
            <w:vAlign w:val="bottom"/>
            <w:gridSpan w:val="3"/>
          </w:tcPr>
          <w:p>
            <w:pPr>
              <w:ind w:left="50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74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7440" w:type="dxa"/>
            <w:vAlign w:val="bottom"/>
          </w:tcPr>
          <w:p>
            <w:pPr>
              <w:spacing w:after="0"/>
              <w:rPr>
                <w:sz w:val="15"/>
                <w:szCs w:val="15"/>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Finance leases</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4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discount rate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leases</w:t>
            </w:r>
          </w:p>
        </w:tc>
        <w:tc>
          <w:tcPr>
            <w:tcW w:w="1920" w:type="dxa"/>
            <w:vAlign w:val="bottom"/>
            <w:gridSpan w:val="4"/>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2.82 %</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2.98 %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74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920" w:type="dxa"/>
            <w:vAlign w:val="bottom"/>
            <w:gridSpan w:val="4"/>
          </w:tcPr>
          <w:p>
            <w:pPr>
              <w:jc w:val="right"/>
              <w:ind w:right="168"/>
              <w:spacing w:after="0"/>
              <w:rPr>
                <w:sz w:val="20"/>
                <w:szCs w:val="20"/>
                <w:color w:val="auto"/>
              </w:rPr>
            </w:pPr>
            <w:r>
              <w:rPr>
                <w:rFonts w:ascii="Arial" w:cs="Arial" w:eastAsia="Arial" w:hAnsi="Arial"/>
                <w:sz w:val="18"/>
                <w:szCs w:val="18"/>
                <w:color w:val="auto"/>
              </w:rPr>
              <w:t>3.24 %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3.24 %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-3145790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-3128645</wp:posOffset>
            </wp:positionV>
            <wp:extent cx="431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-3145790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-3128645</wp:posOffset>
            </wp:positionV>
            <wp:extent cx="431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1"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The total remaining lease payments under non-cancelable operating and finance leases as of December 31, 2021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80" w:type="dxa"/>
            <w:vAlign w:val="bottom"/>
          </w:tcPr>
          <w:p>
            <w:pPr>
              <w:spacing w:after="0"/>
              <w:rPr>
                <w:sz w:val="16"/>
                <w:szCs w:val="16"/>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1,723</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w:t>
            </w:r>
          </w:p>
        </w:tc>
        <w:tc>
          <w:tcPr>
            <w:tcW w:w="8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843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3,692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minimum lease payments including interest</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8,799</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w:t>
            </w:r>
          </w:p>
        </w:tc>
        <w:tc>
          <w:tcPr>
            <w:tcW w:w="8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7"/>
                <w:szCs w:val="17"/>
                <w:color w:val="auto"/>
              </w:rPr>
            </w:pPr>
          </w:p>
        </w:tc>
        <w:tc>
          <w:tcPr>
            <w:tcW w:w="1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(880 )</w:t>
            </w:r>
          </w:p>
        </w:tc>
        <w:tc>
          <w:tcPr>
            <w:tcW w:w="2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36"/>
        </w:trPr>
        <w:tc>
          <w:tcPr>
            <w:tcW w:w="75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7,919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In January 2022, the Company signed a new lease agreement that commences in April 2022 with a lease term of five years, for a total of $4.5 million in future operating lease payments.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91" w:name="page92"/>
    <w:bookmarkEnd w:id="91"/>
    <w:p>
      <w:pPr>
        <w:spacing w:after="0"/>
        <w:tabs>
          <w:tab w:leader="none" w:pos="380" w:val="left"/>
        </w:tabs>
        <w:rPr>
          <w:sz w:val="20"/>
          <w:szCs w:val="20"/>
          <w:color w:val="auto"/>
        </w:rPr>
      </w:pPr>
      <w:r>
        <w:rPr>
          <w:rFonts w:ascii="Arial" w:cs="Arial" w:eastAsia="Arial" w:hAnsi="Arial"/>
          <w:sz w:val="18"/>
          <w:szCs w:val="18"/>
          <w:b w:val="1"/>
          <w:bCs w:val="1"/>
          <w:color w:val="auto"/>
        </w:rPr>
        <w:t>8.</w:t>
        <w:tab/>
        <w:t>Accrued Liabilities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Payroll and employee-related expenses</w:t>
            </w:r>
          </w:p>
        </w:tc>
        <w:tc>
          <w:tcPr>
            <w:tcW w:w="1040" w:type="dxa"/>
            <w:vAlign w:val="bottom"/>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8,093</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6,474</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Finance leases and other financing obligations</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2,382</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1,132</w:t>
            </w:r>
          </w:p>
        </w:tc>
        <w:tc>
          <w:tcPr>
            <w:tcW w:w="6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liabilities</w:t>
            </w:r>
          </w:p>
        </w:tc>
        <w:tc>
          <w:tcPr>
            <w:tcW w:w="10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2,016</w:t>
            </w:r>
          </w:p>
        </w:tc>
        <w:tc>
          <w:tcPr>
            <w:tcW w:w="2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2,595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40" w:type="dxa"/>
            <w:vAlign w:val="bottom"/>
          </w:tcPr>
          <w:p>
            <w:pPr>
              <w:jc w:val="right"/>
              <w:ind w:right="836"/>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12,491</w:t>
            </w:r>
          </w:p>
        </w:tc>
        <w:tc>
          <w:tcPr>
            <w:tcW w:w="74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10,201</w:t>
            </w:r>
          </w:p>
        </w:tc>
        <w:tc>
          <w:tcPr>
            <w:tcW w:w="6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-159385</wp:posOffset>
            </wp:positionV>
            <wp:extent cx="5143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jc w:val="both"/>
        <w:ind w:right="400" w:firstLine="499"/>
        <w:spacing w:after="0"/>
        <w:rPr>
          <w:sz w:val="20"/>
          <w:szCs w:val="20"/>
          <w:color w:val="auto"/>
        </w:rPr>
      </w:pPr>
      <w:r>
        <w:rPr>
          <w:rFonts w:ascii="Arial" w:cs="Arial" w:eastAsia="Arial" w:hAnsi="Arial"/>
          <w:sz w:val="18"/>
          <w:szCs w:val="18"/>
          <w:color w:val="auto"/>
        </w:rPr>
        <w:t>Finance leases and other financing obligations includes the current portion of finance leases related to the acquisition of computer equipment and short-term insurance premium financing arrangements. Other accrued liabilities includes $ 0.06 million related to Class A common stock issuable for the Payveris acquisition.</w:t>
      </w:r>
    </w:p>
    <w:p>
      <w:pPr>
        <w:spacing w:after="0" w:line="181"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26" w:lineRule="exact"/>
        <w:rPr>
          <w:sz w:val="20"/>
          <w:szCs w:val="20"/>
          <w:color w:val="auto"/>
        </w:rPr>
      </w:pPr>
    </w:p>
    <w:p>
      <w:pPr>
        <w:ind w:right="300" w:firstLine="494"/>
        <w:spacing w:after="0"/>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minimum payments under other non-cancellable agreements as of December 31, 2021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8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840" w:type="dxa"/>
            <w:vAlign w:val="bottom"/>
          </w:tcPr>
          <w:p>
            <w:pPr>
              <w:jc w:val="right"/>
              <w:ind w:right="6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6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1,729</w:t>
            </w:r>
          </w:p>
        </w:tc>
        <w:tc>
          <w:tcPr>
            <w:tcW w:w="6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8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6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84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8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96"/>
        </w:trPr>
        <w:tc>
          <w:tcPr>
            <w:tcW w:w="9140" w:type="dxa"/>
            <w:vAlign w:val="bottom"/>
            <w:tcBorders>
              <w:top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3,946</w:t>
            </w:r>
          </w:p>
        </w:tc>
        <w:tc>
          <w:tcPr>
            <w:tcW w:w="6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26" w:lineRule="exact"/>
        <w:rPr>
          <w:sz w:val="20"/>
          <w:szCs w:val="20"/>
          <w:color w:val="auto"/>
        </w:rPr>
      </w:pPr>
    </w:p>
    <w:p>
      <w:pPr>
        <w:ind w:right="200" w:firstLine="494"/>
        <w:spacing w:after="0"/>
        <w:rPr>
          <w:sz w:val="20"/>
          <w:szCs w:val="20"/>
          <w:color w:val="auto"/>
        </w:rPr>
      </w:pPr>
      <w:r>
        <w:rPr>
          <w:rFonts w:ascii="Arial" w:cs="Arial" w:eastAsia="Arial" w:hAnsi="Arial"/>
          <w:sz w:val="18"/>
          <w:szCs w:val="18"/>
          <w:color w:val="auto"/>
        </w:rPr>
        <w:t>The Company sponsors a 401(k) defined contribution plan covering all eligible U.S. employees. Contributions to the 401(k) plan are discretionary. The Company did not make any matching contributions to the 401(k) plan for the years ended December 31, 2021, 2020 and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26"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Company is involved from time to time in various claims and legal actions arising in the ordinary course of business. While it is not feasible to predict or determine the ultimate outcome of these matters, the Company believes that none of its current legal proceedings will have a material adverse effect on its financial position, results of operations, or cash flows as of and for the years ended December 31, 2021, 2020 and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10.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6" w:lineRule="exact"/>
        <w:rPr>
          <w:sz w:val="20"/>
          <w:szCs w:val="20"/>
          <w:color w:val="auto"/>
        </w:rPr>
      </w:pPr>
    </w:p>
    <w:p>
      <w:pPr>
        <w:jc w:val="both"/>
        <w:ind w:right="200" w:firstLine="494"/>
        <w:spacing w:after="0"/>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5,000,000 shares of undesignated preferred stock with a par value of $0.0001 per share with rights and preferences, including voting rights, designated from time to time by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ind w:right="120" w:firstLine="374"/>
        <w:spacing w:after="0" w:line="237" w:lineRule="auto"/>
        <w:rPr>
          <w:sz w:val="20"/>
          <w:szCs w:val="20"/>
          <w:color w:val="auto"/>
        </w:rPr>
      </w:pPr>
      <w:r>
        <w:rPr>
          <w:rFonts w:ascii="Arial" w:cs="Arial" w:eastAsia="Arial" w:hAnsi="Arial"/>
          <w:sz w:val="18"/>
          <w:szCs w:val="18"/>
          <w:color w:val="auto"/>
        </w:rPr>
        <w:t>The Company has two classes of common stock: Class A common stock and Class B common stock. In connection with the IPO, the Company’s amended and restated certificate of incorporation authorized the issuance of 883,950,000 shares of Class A common stock and 111,050,000 shares of Class B common stock. The shares of Class A common stock and Class B common stock are identical, except with respect to voting and conversion. Each share of Class A common stock is entitled to one vote. Each share of Class B common stock is entitled to ten votes. Class A and Class B common stock have a par value of $0.0001 per share, and are referred to as common stock throughout the notes to the consolidated financial statements, unless otherwise noted. Holders of common stock are entitled to receive any dividends as may be declared from time to time by the board of directors.</w:t>
      </w:r>
    </w:p>
    <w:p>
      <w:pPr>
        <w:spacing w:after="0" w:line="95" w:lineRule="exact"/>
        <w:rPr>
          <w:sz w:val="20"/>
          <w:szCs w:val="20"/>
          <w:color w:val="auto"/>
        </w:rPr>
      </w:pPr>
    </w:p>
    <w:p>
      <w:pPr>
        <w:ind w:right="220" w:firstLine="374"/>
        <w:spacing w:after="0" w:line="237" w:lineRule="auto"/>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automatically convert to Class A common stock upon the following: (i) sale or transfer of such share of Class B common stock; (ii) the death of the Class B common stockholder (or nine months 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26" w:lineRule="exact"/>
        <w:rPr>
          <w:sz w:val="20"/>
          <w:szCs w:val="20"/>
          <w:color w:val="auto"/>
        </w:rPr>
      </w:pPr>
    </w:p>
    <w:p>
      <w:pPr>
        <w:ind w:right="540" w:firstLine="374"/>
        <w:spacing w:after="0"/>
        <w:rPr>
          <w:sz w:val="20"/>
          <w:szCs w:val="20"/>
          <w:color w:val="auto"/>
        </w:rPr>
      </w:pPr>
      <w:r>
        <w:rPr>
          <w:rFonts w:ascii="Arial" w:cs="Arial" w:eastAsia="Arial" w:hAnsi="Arial"/>
          <w:sz w:val="18"/>
          <w:szCs w:val="18"/>
          <w:color w:val="auto"/>
        </w:rPr>
        <w:t>Upon completion of the IPO, the Company used approximately $57.4 million of the net proceeds to redeem all of the issued and outstanding shares of Series A preferred stock (including accrued dividends of $34.4 million). As of December 31, 2021, there were no shares of Series A preferred stock issued and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126"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 xml:space="preserve">On May 13, 2021, the Company entered into a warrant agreement with an affiliate of J.P. Morgan Securities LLC, an underwriter in the IPO, whereas the Company agreed to issue a warrant to such affiliate for up to 509,370 shares of Class A common stock upon completion of the IPO at an exercise price of $18.38 per share. Upon completion of the IPO, 382,027 of the warrant shares had vested and are therefore, exercisable. The vesting of the remaining 127,343 shares of Class A common stock underlying the warrant will be subject to the achievement of certain commercial milestones through December 31, 2025 pursuant to a related commercial agreement. Consistent with classification guidance in ASU Topic 606, the Company accounts for the consideration payable in the form of warrants to a customer as a reduction of the transaction price and, therefore, of revenue as the revenue is earned. The warrant fair value was determined using the Black-Scholes pricing model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100"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During the third quarter of 2021, the Company updated the warrant value recognized based on the expectation that the probability of achievement of certain milestones would be achieved. The increase was recorded using the fair value determined at the time of grant multiplied by the estimated number of remaining warrants expected to vest. This increase was recorded as additional paid-in capital and as a contract asset included in prepaid expenses and other current assets and other long-term assets in the consolidated balance sheets. There were no changes to the valuation in the fourth quarter of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4"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In May 2021, the Company’s board of directors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93" w:name="page94"/>
    <w:bookmarkEnd w:id="93"/>
    <w:p>
      <w:pPr>
        <w:ind w:right="100"/>
        <w:spacing w:after="0" w:line="238" w:lineRule="auto"/>
        <w:rPr>
          <w:sz w:val="20"/>
          <w:szCs w:val="20"/>
          <w:color w:val="auto"/>
        </w:rPr>
      </w:pPr>
      <w:r>
        <w:rPr>
          <w:rFonts w:ascii="Arial" w:cs="Arial" w:eastAsia="Arial" w:hAnsi="Arial"/>
          <w:sz w:val="18"/>
          <w:szCs w:val="18"/>
          <w:color w:val="auto"/>
        </w:rPr>
        <w:t>stock taken together, on the first day of each fiscal year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At December 31, 2021, there were 10,034,803 remaining shares available for the Company to grant under the 2021 Plan. On January 1, 2022, pursuant to the Evergreen Addition, approximately 4.8 million shares of Class A common stock were added to the 2021 Plan issuance reserve.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ind w:right="340" w:firstLine="494"/>
        <w:spacing w:after="0" w:line="246" w:lineRule="auto"/>
        <w:rPr>
          <w:sz w:val="20"/>
          <w:szCs w:val="20"/>
          <w:color w:val="auto"/>
        </w:rPr>
      </w:pPr>
      <w:r>
        <w:rPr>
          <w:rFonts w:ascii="Arial" w:cs="Arial" w:eastAsia="Arial" w:hAnsi="Arial"/>
          <w:sz w:val="18"/>
          <w:szCs w:val="18"/>
          <w:color w:val="auto"/>
        </w:rPr>
        <w:t>A summary of the Company’s option activity during the year ended December 31, 2021 was as follows (in thousands, except share and per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4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right="117"/>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5"/>
                <w:szCs w:val="15"/>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b w:val="1"/>
                <w:bCs w:val="1"/>
                <w:color w:val="auto"/>
              </w:rPr>
              <w:t>Intrinsic</w:t>
            </w:r>
          </w:p>
        </w:tc>
        <w:tc>
          <w:tcPr>
            <w:tcW w:w="60" w:type="dxa"/>
            <w:vAlign w:val="bottom"/>
          </w:tcPr>
          <w:p>
            <w:pPr>
              <w:spacing w:after="0"/>
              <w:rPr>
                <w:sz w:val="15"/>
                <w:szCs w:val="15"/>
                <w:color w:val="auto"/>
              </w:rPr>
            </w:pPr>
          </w:p>
        </w:tc>
      </w:tr>
      <w:tr>
        <w:trPr>
          <w:trHeight w:val="189"/>
        </w:trPr>
        <w:tc>
          <w:tcPr>
            <w:tcW w:w="4360" w:type="dxa"/>
            <w:vAlign w:val="bottom"/>
          </w:tcPr>
          <w:p>
            <w:pPr>
              <w:spacing w:after="0"/>
              <w:rPr>
                <w:sz w:val="16"/>
                <w:szCs w:val="16"/>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6"/>
                <w:szCs w:val="16"/>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Life </w:t>
            </w:r>
            <w:r>
              <w:rPr>
                <w:rFonts w:ascii="Arial" w:cs="Arial" w:eastAsia="Arial" w:hAnsi="Arial"/>
                <w:sz w:val="14"/>
                <w:szCs w:val="14"/>
                <w:b w:val="1"/>
                <w:bCs w:val="1"/>
                <w:i w:val="1"/>
                <w:iCs w:val="1"/>
                <w:color w:val="auto"/>
              </w:rPr>
              <w:t>(years)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r>
      <w:tr>
        <w:trPr>
          <w:trHeight w:val="196"/>
        </w:trPr>
        <w:tc>
          <w:tcPr>
            <w:tcW w:w="4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7,509,210</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4.68</w:t>
            </w:r>
          </w:p>
        </w:tc>
        <w:tc>
          <w:tcPr>
            <w:tcW w:w="24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5.80</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36,580</w:t>
            </w:r>
          </w:p>
        </w:tc>
        <w:tc>
          <w:tcPr>
            <w:tcW w:w="60" w:type="dxa"/>
            <w:vAlign w:val="bottom"/>
            <w:shd w:val="clear" w:color="auto" w:fill="CFF0FC"/>
          </w:tcPr>
          <w:p>
            <w:pPr>
              <w:spacing w:after="0"/>
              <w:rPr>
                <w:sz w:val="17"/>
                <w:szCs w:val="17"/>
                <w:color w:val="auto"/>
              </w:rPr>
            </w:pPr>
          </w:p>
        </w:tc>
      </w:tr>
      <w:tr>
        <w:trPr>
          <w:trHeight w:val="203"/>
        </w:trPr>
        <w:tc>
          <w:tcPr>
            <w:tcW w:w="4360" w:type="dxa"/>
            <w:vAlign w:val="bottom"/>
          </w:tcPr>
          <w:p>
            <w:pPr>
              <w:ind w:left="280"/>
              <w:spacing w:after="0" w:line="202" w:lineRule="exact"/>
              <w:rPr>
                <w:sz w:val="20"/>
                <w:szCs w:val="20"/>
                <w:color w:val="auto"/>
              </w:rPr>
            </w:pPr>
            <w:r>
              <w:rPr>
                <w:rFonts w:ascii="Arial" w:cs="Arial" w:eastAsia="Arial" w:hAnsi="Arial"/>
                <w:sz w:val="18"/>
                <w:szCs w:val="18"/>
                <w:color w:val="auto"/>
              </w:rPr>
              <w:t>Options granted</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67,397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Options exercised</w:t>
            </w:r>
          </w:p>
        </w:tc>
        <w:tc>
          <w:tcPr>
            <w:tcW w:w="18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(623,720 )</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0.51</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360" w:type="dxa"/>
            <w:vAlign w:val="bottom"/>
          </w:tcPr>
          <w:p>
            <w:pPr>
              <w:ind w:left="280"/>
              <w:spacing w:after="0" w:line="202" w:lineRule="exact"/>
              <w:rPr>
                <w:sz w:val="20"/>
                <w:szCs w:val="20"/>
                <w:color w:val="auto"/>
              </w:rPr>
            </w:pPr>
            <w:r>
              <w:rPr>
                <w:rFonts w:ascii="Arial" w:cs="Arial" w:eastAsia="Arial" w:hAnsi="Arial"/>
                <w:sz w:val="18"/>
                <w:szCs w:val="18"/>
                <w:color w:val="auto"/>
              </w:rPr>
              <w:t>Options forfeited</w:t>
            </w:r>
          </w:p>
        </w:tc>
        <w:tc>
          <w:tcPr>
            <w:tcW w:w="1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(104,227 )</w:t>
            </w: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9.02</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4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6,848,660</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5.05</w:t>
            </w:r>
          </w:p>
        </w:tc>
        <w:tc>
          <w:tcPr>
            <w:tcW w:w="17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4.98</w:t>
            </w:r>
          </w:p>
        </w:tc>
        <w:tc>
          <w:tcPr>
            <w:tcW w:w="480" w:type="dxa"/>
            <w:vAlign w:val="bottom"/>
            <w:tcBorders>
              <w:bottom w:val="single" w:sz="8" w:color="CFF0FC"/>
            </w:tcBorders>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204,977</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4360" w:type="dxa"/>
            <w:vAlign w:val="bottom"/>
          </w:tcPr>
          <w:p>
            <w:pPr>
              <w:ind w:left="20"/>
              <w:spacing w:after="0" w:line="182" w:lineRule="exact"/>
              <w:rPr>
                <w:sz w:val="20"/>
                <w:szCs w:val="20"/>
                <w:color w:val="auto"/>
              </w:rPr>
            </w:pPr>
            <w:r>
              <w:rPr>
                <w:rFonts w:ascii="Arial" w:cs="Arial" w:eastAsia="Arial" w:hAnsi="Arial"/>
                <w:sz w:val="18"/>
                <w:szCs w:val="18"/>
                <w:color w:val="auto"/>
              </w:rPr>
              <w:t>Exercisable at December 31, 2021</w:t>
            </w:r>
          </w:p>
        </w:tc>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4,970,855</w:t>
            </w:r>
          </w:p>
        </w:tc>
        <w:tc>
          <w:tcPr>
            <w:tcW w:w="2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3.69</w:t>
            </w:r>
          </w:p>
        </w:tc>
        <w:tc>
          <w:tcPr>
            <w:tcW w:w="17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3.98</w:t>
            </w:r>
          </w:p>
        </w:tc>
        <w:tc>
          <w:tcPr>
            <w:tcW w:w="4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155,520</w:t>
            </w:r>
          </w:p>
        </w:tc>
        <w:tc>
          <w:tcPr>
            <w:tcW w:w="60" w:type="dxa"/>
            <w:vAlign w:val="bottom"/>
          </w:tcPr>
          <w:p>
            <w:pPr>
              <w:spacing w:after="0"/>
              <w:rPr>
                <w:sz w:val="15"/>
                <w:szCs w:val="15"/>
                <w:color w:val="auto"/>
              </w:rPr>
            </w:pPr>
          </w:p>
        </w:tc>
      </w:tr>
      <w:tr>
        <w:trPr>
          <w:trHeight w:val="20"/>
        </w:trPr>
        <w:tc>
          <w:tcPr>
            <w:tcW w:w="43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-179070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-162560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right="40" w:firstLine="499"/>
        <w:spacing w:after="0" w:line="238" w:lineRule="auto"/>
        <w:rPr>
          <w:sz w:val="20"/>
          <w:szCs w:val="20"/>
          <w:color w:val="auto"/>
        </w:rPr>
      </w:pPr>
      <w:r>
        <w:rPr>
          <w:rFonts w:ascii="Arial" w:cs="Arial" w:eastAsia="Arial" w:hAnsi="Arial"/>
          <w:sz w:val="18"/>
          <w:szCs w:val="18"/>
          <w:color w:val="auto"/>
        </w:rPr>
        <w:t>The weighted average grant date fair value of options granted during the years ended December 31, 2021, 2020 and 2019, was $3.38, $3.71 and $2.59, respectively. Aggregate intrinsic value represents the difference between the exercise price of the options and the fair value of the Company’s common stock. The aggregate intrinsic value of options exercised for the year ended December 31, 2021 was $17.8 million. There were no option exercises in the years ended December 31, 2020 and 2019, respectively.</w:t>
      </w:r>
    </w:p>
    <w:p>
      <w:pPr>
        <w:spacing w:after="0" w:line="97"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The fair value of options granted during the years ended December 31, 2021, 2020 and 2019 was estimated using the Black-Scholes option-pricing model with the following weighted-average assumptions: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3"/>
        </w:trPr>
        <w:tc>
          <w:tcPr>
            <w:tcW w:w="6820" w:type="dxa"/>
            <w:vAlign w:val="bottom"/>
          </w:tcPr>
          <w:p>
            <w:pPr>
              <w:spacing w:after="0"/>
              <w:rPr>
                <w:sz w:val="15"/>
                <w:szCs w:val="15"/>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87"/>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0.3 % - 0.8%</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0.3 % - 0.4%</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7"/>
                <w:szCs w:val="17"/>
                <w:color w:val="auto"/>
              </w:rPr>
            </w:pPr>
          </w:p>
        </w:tc>
      </w:tr>
      <w:tr>
        <w:trPr>
          <w:trHeight w:val="217"/>
        </w:trPr>
        <w:tc>
          <w:tcPr>
            <w:tcW w:w="68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gridSpan w:val="2"/>
          </w:tcPr>
          <w:p>
            <w:pPr>
              <w:jc w:val="right"/>
              <w:ind w:right="119"/>
              <w:spacing w:after="0"/>
              <w:rPr>
                <w:sz w:val="20"/>
                <w:szCs w:val="20"/>
                <w:color w:val="auto"/>
              </w:rPr>
            </w:pPr>
            <w:r>
              <w:rPr>
                <w:rFonts w:ascii="Arial" w:cs="Arial" w:eastAsia="Arial" w:hAnsi="Arial"/>
                <w:sz w:val="18"/>
                <w:szCs w:val="18"/>
                <w:color w:val="auto"/>
              </w:rPr>
              <w:t>38.0 %</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50.0 %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29.0 %</w:t>
            </w:r>
          </w:p>
        </w:tc>
      </w:tr>
    </w:tbl>
    <w:p>
      <w:pPr>
        <w:spacing w:after="0" w:line="268" w:lineRule="exact"/>
        <w:rPr>
          <w:sz w:val="20"/>
          <w:szCs w:val="20"/>
          <w:color w:val="auto"/>
        </w:rPr>
      </w:pPr>
    </w:p>
    <w:p>
      <w:pPr>
        <w:jc w:val="both"/>
        <w:ind w:right="180" w:firstLine="494"/>
        <w:spacing w:after="0"/>
        <w:rPr>
          <w:sz w:val="20"/>
          <w:szCs w:val="20"/>
          <w:color w:val="auto"/>
        </w:rPr>
      </w:pPr>
      <w:r>
        <w:rPr>
          <w:rFonts w:ascii="Arial" w:cs="Arial" w:eastAsia="Arial" w:hAnsi="Arial"/>
          <w:sz w:val="18"/>
          <w:szCs w:val="18"/>
          <w:color w:val="auto"/>
        </w:rPr>
        <w:t>The determination of the fair value of stock options on the date of grant using a Black-Scholes option-pricing model is affected by the estimated fair value of the Company’s common stock, as well as assumptions regarding a number of variables that are complex, subjective and generally require significant judgment to determine. The valuation assumptions were determined as follows: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Term</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expected life of options granted to employees was determined by using management’s best estimation of exercise activity.</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Risk-Free Interest Rate</w:t>
      </w:r>
    </w:p>
    <w:p>
      <w:pPr>
        <w:spacing w:after="0" w:line="122"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The Company utilizes a risk-free interest rate in the option valuation model based on U.S. Treasury zero-coupon issues, with remaining terms similar to the expected term of the options.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Volatility</w:t>
      </w:r>
    </w:p>
    <w:p>
      <w:pPr>
        <w:spacing w:after="0" w:line="122"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As the Company does not have an extensive trading history for its common stock, the expected volatility is based on the historical volatility of the Company’s publicly traded industry peers utilizing a period of time consistent with the Company’s estimate of expected term.</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Dividend Yield</w:t>
      </w:r>
    </w:p>
    <w:p>
      <w:pPr>
        <w:spacing w:after="0" w:line="122"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ind w:left="500"/>
        <w:spacing w:after="0"/>
        <w:rPr>
          <w:sz w:val="20"/>
          <w:szCs w:val="20"/>
          <w:color w:val="auto"/>
        </w:rPr>
      </w:pPr>
      <w:r>
        <w:rPr>
          <w:rFonts w:ascii="Arial" w:cs="Arial" w:eastAsia="Arial" w:hAnsi="Arial"/>
          <w:sz w:val="18"/>
          <w:szCs w:val="18"/>
          <w:i w:val="1"/>
          <w:iCs w:val="1"/>
          <w:color w:val="auto"/>
        </w:rPr>
        <w:t>Fair Value of Underlying Common Stock</w:t>
      </w:r>
    </w:p>
    <w:p>
      <w:pPr>
        <w:spacing w:after="0" w:line="122"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 xml:space="preserve">Prior to the initial public offering, the fair value of the shares of common stock underlying stock options was estimated by the Company. The Company prepared the valuations with the assistance of a third-party valuation firm, utilizing approaches and methodologies consistent with the American Institute of Certified Public Accountants Practice Aid,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and information provided by management, including historical and projected financial information, prospects and risks,</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performance, various corporate documents, capitalization, and economic and financial market conditions. Management, with its third-party valuation firm, also utilized other economic, industry, and market information obtained from other resources considered reliable. After the initial public offering, the Company used the publicly quoted price as reported on the New York Stock Exchange as the fair value of its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August 2021, the Company began issuing RSUs to certain employees and nonemployees under the 2021 Plan. A summary of the</w:t>
      </w:r>
    </w:p>
    <w:p>
      <w:pPr>
        <w:spacing w:after="0"/>
        <w:rPr>
          <w:sz w:val="20"/>
          <w:szCs w:val="20"/>
          <w:color w:val="auto"/>
        </w:rPr>
      </w:pPr>
      <w:r>
        <w:rPr>
          <w:rFonts w:ascii="Arial" w:cs="Arial" w:eastAsia="Arial" w:hAnsi="Arial"/>
          <w:sz w:val="18"/>
          <w:szCs w:val="18"/>
          <w:color w:val="auto"/>
        </w:rPr>
        <w:t>Company’s RSU activity during the year ended December 31, 2021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5"/>
                <w:szCs w:val="15"/>
                <w:color w:val="auto"/>
              </w:rPr>
            </w:pPr>
          </w:p>
        </w:tc>
      </w:tr>
      <w:tr>
        <w:trPr>
          <w:trHeight w:val="176"/>
        </w:trPr>
        <w:tc>
          <w:tcPr>
            <w:tcW w:w="7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5"/>
                <w:szCs w:val="15"/>
                <w:color w:val="auto"/>
              </w:rPr>
            </w:pPr>
          </w:p>
        </w:tc>
      </w:tr>
      <w:tr>
        <w:trPr>
          <w:trHeight w:val="176"/>
        </w:trPr>
        <w:tc>
          <w:tcPr>
            <w:tcW w:w="7900" w:type="dxa"/>
            <w:vAlign w:val="bottom"/>
          </w:tcPr>
          <w:p>
            <w:pPr>
              <w:spacing w:after="0"/>
              <w:rPr>
                <w:sz w:val="15"/>
                <w:szCs w:val="15"/>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5"/>
                <w:szCs w:val="15"/>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rPr>
              <w:t>Grant Date</w:t>
            </w:r>
          </w:p>
        </w:tc>
        <w:tc>
          <w:tcPr>
            <w:tcW w:w="60" w:type="dxa"/>
            <w:vAlign w:val="bottom"/>
          </w:tcPr>
          <w:p>
            <w:pPr>
              <w:spacing w:after="0"/>
              <w:rPr>
                <w:sz w:val="15"/>
                <w:szCs w:val="15"/>
                <w:color w:val="auto"/>
              </w:rPr>
            </w:pPr>
          </w:p>
        </w:tc>
      </w:tr>
      <w:tr>
        <w:trPr>
          <w:trHeight w:val="189"/>
        </w:trPr>
        <w:tc>
          <w:tcPr>
            <w:tcW w:w="7900" w:type="dxa"/>
            <w:vAlign w:val="bottom"/>
          </w:tcPr>
          <w:p>
            <w:pPr>
              <w:spacing w:after="0"/>
              <w:rPr>
                <w:sz w:val="16"/>
                <w:szCs w:val="16"/>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RSU's Outstanding</w:t>
            </w: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196"/>
        </w:trPr>
        <w:tc>
          <w:tcPr>
            <w:tcW w:w="7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Awarded and unvested at December 31, 2020</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Awards granted</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537,570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60" w:type="dxa"/>
            <w:vAlign w:val="bottom"/>
          </w:tcPr>
          <w:p>
            <w:pPr>
              <w:spacing w:after="0"/>
              <w:rPr>
                <w:sz w:val="17"/>
                <w:szCs w:val="17"/>
                <w:color w:val="auto"/>
              </w:rPr>
            </w:pPr>
          </w:p>
        </w:tc>
      </w:tr>
      <w:tr>
        <w:trPr>
          <w:trHeight w:val="203"/>
        </w:trPr>
        <w:tc>
          <w:tcPr>
            <w:tcW w:w="79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Awards vested</w:t>
            </w:r>
          </w:p>
        </w:tc>
        <w:tc>
          <w:tcPr>
            <w:tcW w:w="17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Awards forfeited</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(24,933 )</w:t>
            </w: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26.37</w:t>
            </w:r>
          </w:p>
        </w:tc>
        <w:tc>
          <w:tcPr>
            <w:tcW w:w="60" w:type="dxa"/>
            <w:vAlign w:val="bottom"/>
          </w:tcPr>
          <w:p>
            <w:pPr>
              <w:spacing w:after="0"/>
              <w:rPr>
                <w:sz w:val="17"/>
                <w:szCs w:val="17"/>
                <w:color w:val="auto"/>
              </w:rPr>
            </w:pPr>
          </w:p>
        </w:tc>
      </w:tr>
      <w:tr>
        <w:trPr>
          <w:trHeight w:val="236"/>
        </w:trPr>
        <w:tc>
          <w:tcPr>
            <w:tcW w:w="79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Awarded and unvested at December 31, 2021</w:t>
            </w:r>
          </w:p>
        </w:tc>
        <w:tc>
          <w:tcPr>
            <w:tcW w:w="1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512,637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25.93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jc w:val="both"/>
        <w:ind w:right="120" w:firstLine="494"/>
        <w:spacing w:after="0"/>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ranges between four and five years from the date of grant, subject to continued employment for employees and provision of services for nonemployees. No RSUs vested during the year ended December 31, 2021.</w:t>
      </w:r>
    </w:p>
    <w:p>
      <w:pPr>
        <w:spacing w:after="0" w:line="95" w:lineRule="exact"/>
        <w:rPr>
          <w:sz w:val="20"/>
          <w:szCs w:val="20"/>
          <w:color w:val="auto"/>
        </w:rPr>
      </w:pPr>
    </w:p>
    <w:p>
      <w:pPr>
        <w:ind w:right="2080" w:firstLine="494"/>
        <w:spacing w:after="0" w:line="246" w:lineRule="auto"/>
        <w:rPr>
          <w:sz w:val="20"/>
          <w:szCs w:val="20"/>
          <w:color w:val="auto"/>
        </w:rPr>
      </w:pPr>
      <w:r>
        <w:rPr>
          <w:rFonts w:ascii="Arial" w:cs="Arial" w:eastAsia="Arial" w:hAnsi="Arial"/>
          <w:sz w:val="18"/>
          <w:szCs w:val="18"/>
          <w:color w:val="auto"/>
        </w:rPr>
        <w:t>Stock-based compensation expense included in the consolidated statements of operations was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8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6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revenue</w:t>
            </w:r>
          </w:p>
        </w:tc>
        <w:tc>
          <w:tcPr>
            <w:tcW w:w="840" w:type="dxa"/>
            <w:vAlign w:val="bottom"/>
            <w:shd w:val="clear" w:color="auto" w:fill="CFF0FC"/>
          </w:tcPr>
          <w:p>
            <w:pPr>
              <w:jc w:val="right"/>
              <w:ind w:right="636"/>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68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7"/>
                <w:szCs w:val="17"/>
                <w:color w:val="auto"/>
              </w:rPr>
            </w:pPr>
          </w:p>
        </w:tc>
      </w:tr>
      <w:tr>
        <w:trPr>
          <w:trHeight w:val="203"/>
        </w:trPr>
        <w:tc>
          <w:tcPr>
            <w:tcW w:w="6840" w:type="dxa"/>
            <w:vAlign w:val="bottom"/>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r>
      <w:tr>
        <w:trPr>
          <w:trHeight w:val="203"/>
        </w:trPr>
        <w:tc>
          <w:tcPr>
            <w:tcW w:w="68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2,339</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1,933</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840" w:type="dxa"/>
            <w:vAlign w:val="bottom"/>
          </w:tcPr>
          <w:p>
            <w:pPr>
              <w:ind w:left="20"/>
              <w:spacing w:after="0" w:line="182" w:lineRule="exact"/>
              <w:rPr>
                <w:sz w:val="20"/>
                <w:szCs w:val="20"/>
                <w:color w:val="auto"/>
              </w:rPr>
            </w:pPr>
            <w:r>
              <w:rPr>
                <w:rFonts w:ascii="Arial" w:cs="Arial" w:eastAsia="Arial" w:hAnsi="Arial"/>
                <w:sz w:val="18"/>
                <w:szCs w:val="18"/>
                <w:color w:val="auto"/>
              </w:rPr>
              <w:t>Total stock-based compensation</w:t>
            </w:r>
          </w:p>
        </w:tc>
        <w:tc>
          <w:tcPr>
            <w:tcW w:w="840" w:type="dxa"/>
            <w:vAlign w:val="bottom"/>
          </w:tcPr>
          <w:p>
            <w:pPr>
              <w:jc w:val="right"/>
              <w:ind w:right="636"/>
              <w:spacing w:after="0" w:line="18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3,136</w:t>
            </w:r>
          </w:p>
        </w:tc>
        <w:tc>
          <w:tcPr>
            <w:tcW w:w="50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1,994</w:t>
            </w:r>
          </w:p>
        </w:tc>
        <w:tc>
          <w:tcPr>
            <w:tcW w:w="200" w:type="dxa"/>
            <w:vAlign w:val="bottom"/>
          </w:tcPr>
          <w:p>
            <w:pPr>
              <w:spacing w:after="0"/>
              <w:rPr>
                <w:sz w:val="17"/>
                <w:szCs w:val="17"/>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1,585</w:t>
            </w:r>
          </w:p>
        </w:tc>
        <w:tc>
          <w:tcPr>
            <w:tcW w:w="60" w:type="dxa"/>
            <w:vAlign w:val="bottom"/>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-159385</wp:posOffset>
            </wp:positionV>
            <wp:extent cx="431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-159385</wp:posOffset>
            </wp:positionV>
            <wp:extent cx="431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480" w:firstLine="494"/>
        <w:spacing w:after="0" w:line="246" w:lineRule="auto"/>
        <w:rPr>
          <w:sz w:val="20"/>
          <w:szCs w:val="20"/>
          <w:color w:val="auto"/>
        </w:rPr>
      </w:pPr>
      <w:r>
        <w:rPr>
          <w:rFonts w:ascii="Arial" w:cs="Arial" w:eastAsia="Arial" w:hAnsi="Arial"/>
          <w:sz w:val="18"/>
          <w:szCs w:val="18"/>
          <w:color w:val="auto"/>
        </w:rPr>
        <w:t>At December 31, 2021, there was $5.2 million of total unrecognized compensation cost related to unvested stock options granted under the 2012 Equity Incentive Plan, which is expected to be recognized over a remaining weighted-average period of 2.5 years.</w:t>
      </w:r>
    </w:p>
    <w:p>
      <w:pPr>
        <w:spacing w:after="0" w:line="89"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At December 31, 2021, there was $12.4 million of total unrecognized compensation cost related to unvested RSUs granted under the 2021 Plan, which is expected to be recognized over a remaining weighted-average period of 4.3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income before income taxes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33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United States</w:t>
            </w:r>
          </w:p>
        </w:tc>
        <w:tc>
          <w:tcPr>
            <w:tcW w:w="3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7,265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16,548</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16,661</w:t>
            </w:r>
          </w:p>
        </w:tc>
        <w:tc>
          <w:tcPr>
            <w:tcW w:w="60" w:type="dxa"/>
            <w:vAlign w:val="bottom"/>
            <w:shd w:val="clear" w:color="auto" w:fill="CFF0FC"/>
          </w:tcPr>
          <w:p>
            <w:pPr>
              <w:spacing w:after="0"/>
              <w:rPr>
                <w:sz w:val="17"/>
                <w:szCs w:val="17"/>
                <w:color w:val="auto"/>
              </w:rPr>
            </w:pPr>
          </w:p>
        </w:tc>
      </w:tr>
      <w:tr>
        <w:trPr>
          <w:trHeight w:val="203"/>
        </w:trPr>
        <w:tc>
          <w:tcPr>
            <w:tcW w:w="3380" w:type="dxa"/>
            <w:vAlign w:val="bottom"/>
          </w:tcPr>
          <w:p>
            <w:pPr>
              <w:ind w:left="140"/>
              <w:spacing w:after="0" w:line="202" w:lineRule="exact"/>
              <w:rPr>
                <w:sz w:val="20"/>
                <w:szCs w:val="20"/>
                <w:color w:val="auto"/>
              </w:rPr>
            </w:pPr>
            <w:r>
              <w:rPr>
                <w:rFonts w:ascii="Arial" w:cs="Arial" w:eastAsia="Arial" w:hAnsi="Arial"/>
                <w:sz w:val="18"/>
                <w:szCs w:val="18"/>
                <w:color w:val="auto"/>
              </w:rPr>
              <w:t>Foreign</w:t>
            </w:r>
          </w:p>
        </w:tc>
        <w:tc>
          <w:tcPr>
            <w:tcW w:w="3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1,818</w:t>
            </w:r>
          </w:p>
        </w:tc>
        <w:tc>
          <w:tcPr>
            <w:tcW w:w="60" w:type="dxa"/>
            <w:vAlign w:val="bottom"/>
          </w:tcPr>
          <w:p>
            <w:pPr>
              <w:spacing w:after="0"/>
              <w:rPr>
                <w:sz w:val="17"/>
                <w:szCs w:val="17"/>
                <w:color w:val="auto"/>
              </w:rPr>
            </w:pPr>
          </w:p>
        </w:tc>
      </w:tr>
      <w:tr>
        <w:trPr>
          <w:trHeight w:val="236"/>
        </w:trPr>
        <w:tc>
          <w:tcPr>
            <w:tcW w:w="338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Total</w:t>
            </w:r>
          </w:p>
        </w:tc>
        <w:tc>
          <w:tcPr>
            <w:tcW w:w="3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10,366</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18,364</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18,479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07"/>
        </w:trPr>
        <w:tc>
          <w:tcPr>
            <w:tcW w:w="3380" w:type="dxa"/>
            <w:vAlign w:val="bottom"/>
          </w:tcPr>
          <w:p>
            <w:pPr>
              <w:spacing w:after="0"/>
              <w:rPr>
                <w:sz w:val="24"/>
                <w:szCs w:val="24"/>
                <w:color w:val="auto"/>
              </w:rPr>
            </w:pPr>
          </w:p>
        </w:tc>
        <w:tc>
          <w:tcPr>
            <w:tcW w:w="3220" w:type="dxa"/>
            <w:vAlign w:val="bottom"/>
          </w:tcPr>
          <w:p>
            <w:pPr>
              <w:jc w:val="right"/>
              <w:ind w:right="790"/>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338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-427990</wp:posOffset>
            </wp:positionV>
            <wp:extent cx="431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-410845</wp:posOffset>
            </wp:positionV>
            <wp:extent cx="431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-427990</wp:posOffset>
            </wp:positionV>
            <wp:extent cx="431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-410845</wp:posOffset>
            </wp:positionV>
            <wp:extent cx="431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-427990</wp:posOffset>
            </wp:positionV>
            <wp:extent cx="431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-410845</wp:posOffset>
            </wp:positionV>
            <wp:extent cx="431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95" w:name="page96"/>
    <w:bookmarkEnd w:id="95"/>
    <w:p>
      <w:pPr>
        <w:ind w:left="38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6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00" w:type="dxa"/>
            <w:vAlign w:val="bottom"/>
          </w:tcPr>
          <w:p>
            <w:pPr>
              <w:ind w:left="140"/>
              <w:spacing w:after="0" w:line="202" w:lineRule="exact"/>
              <w:rPr>
                <w:sz w:val="20"/>
                <w:szCs w:val="20"/>
                <w:color w:val="auto"/>
              </w:rPr>
            </w:pPr>
            <w:r>
              <w:rPr>
                <w:rFonts w:ascii="Arial" w:cs="Arial" w:eastAsia="Arial" w:hAnsi="Arial"/>
                <w:sz w:val="18"/>
                <w:szCs w:val="18"/>
                <w:color w:val="auto"/>
              </w:rPr>
              <w:t>Domestic</w:t>
            </w:r>
          </w:p>
        </w:tc>
        <w:tc>
          <w:tcPr>
            <w:tcW w:w="900" w:type="dxa"/>
            <w:vAlign w:val="bottom"/>
          </w:tcPr>
          <w:p>
            <w:pPr>
              <w:jc w:val="right"/>
              <w:ind w:right="696"/>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915</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2,485</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3,261</w:t>
            </w:r>
          </w:p>
        </w:tc>
        <w:tc>
          <w:tcPr>
            <w:tcW w:w="6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811</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534</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3,019</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3,502</w:t>
            </w:r>
          </w:p>
        </w:tc>
        <w:tc>
          <w:tcPr>
            <w:tcW w:w="60" w:type="dxa"/>
            <w:vAlign w:val="bottom"/>
          </w:tcPr>
          <w:p>
            <w:pPr>
              <w:spacing w:after="0"/>
              <w:rPr>
                <w:sz w:val="17"/>
                <w:szCs w:val="17"/>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w:t>
            </w: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00" w:type="dxa"/>
            <w:vAlign w:val="bottom"/>
          </w:tcPr>
          <w:p>
            <w:pPr>
              <w:ind w:left="140"/>
              <w:spacing w:after="0" w:line="202" w:lineRule="exact"/>
              <w:rPr>
                <w:sz w:val="20"/>
                <w:szCs w:val="20"/>
                <w:color w:val="auto"/>
              </w:rPr>
            </w:pPr>
            <w:r>
              <w:rPr>
                <w:rFonts w:ascii="Arial" w:cs="Arial" w:eastAsia="Arial" w:hAnsi="Arial"/>
                <w:sz w:val="18"/>
                <w:szCs w:val="18"/>
                <w:color w:val="auto"/>
              </w:rPr>
              <w:t>Domestic</w:t>
            </w:r>
          </w:p>
        </w:tc>
        <w:tc>
          <w:tcPr>
            <w:tcW w:w="900" w:type="dxa"/>
            <w:vAlign w:val="bottom"/>
          </w:tcPr>
          <w:p>
            <w:pPr>
              <w:spacing w:after="0"/>
              <w:rPr>
                <w:sz w:val="17"/>
                <w:szCs w:val="17"/>
                <w:color w:val="auto"/>
              </w:rPr>
            </w:pPr>
          </w:p>
        </w:tc>
        <w:tc>
          <w:tcPr>
            <w:tcW w:w="7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(765 )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1,071</w:t>
            </w:r>
          </w:p>
        </w:tc>
        <w:tc>
          <w:tcPr>
            <w:tcW w:w="6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900" w:type="dxa"/>
            <w:vAlign w:val="bottom"/>
          </w:tcPr>
          <w:p>
            <w:pPr>
              <w:spacing w:after="0"/>
              <w:rPr>
                <w:sz w:val="17"/>
                <w:szCs w:val="17"/>
                <w:color w:val="auto"/>
              </w:rPr>
            </w:pPr>
          </w:p>
        </w:tc>
        <w:tc>
          <w:tcPr>
            <w:tcW w:w="72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(660 )</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1,634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1,280</w:t>
            </w:r>
          </w:p>
        </w:tc>
        <w:tc>
          <w:tcPr>
            <w:tcW w:w="6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Provision for income taxes</w:t>
            </w:r>
          </w:p>
        </w:tc>
        <w:tc>
          <w:tcPr>
            <w:tcW w:w="900" w:type="dxa"/>
            <w:vAlign w:val="bottom"/>
            <w:tcBorders>
              <w:top w:val="single" w:sz="8" w:color="auto"/>
              <w:bottom w:val="single" w:sz="8" w:color="auto"/>
            </w:tcBorders>
            <w:shd w:val="clear" w:color="auto" w:fill="CFF0FC"/>
          </w:tcPr>
          <w:p>
            <w:pPr>
              <w:jc w:val="right"/>
              <w:ind w:right="696"/>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1,066</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4,653</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4,782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-828040</wp:posOffset>
            </wp:positionV>
            <wp:extent cx="5143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-828040</wp:posOffset>
            </wp:positionV>
            <wp:extent cx="431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-828040</wp:posOffset>
            </wp:positionV>
            <wp:extent cx="4318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-296545</wp:posOffset>
            </wp:positionV>
            <wp:extent cx="5143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-296545</wp:posOffset>
            </wp:positionV>
            <wp:extent cx="431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-296545</wp:posOffset>
            </wp:positionV>
            <wp:extent cx="431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5" w:lineRule="exact"/>
        <w:rPr>
          <w:sz w:val="20"/>
          <w:szCs w:val="20"/>
          <w:color w:val="auto"/>
        </w:rPr>
      </w:pPr>
    </w:p>
    <w:p>
      <w:pPr>
        <w:ind w:right="220" w:firstLine="374"/>
        <w:spacing w:after="0" w:line="246" w:lineRule="auto"/>
        <w:rPr>
          <w:sz w:val="20"/>
          <w:szCs w:val="20"/>
          <w:color w:val="auto"/>
        </w:rPr>
      </w:pPr>
      <w:r>
        <w:rPr>
          <w:rFonts w:ascii="Arial" w:cs="Arial" w:eastAsia="Arial" w:hAnsi="Arial"/>
          <w:sz w:val="18"/>
          <w:szCs w:val="18"/>
          <w:color w:val="auto"/>
        </w:rPr>
        <w:t>The effective income tax rate differs from the federal statutory income tax rate applied to the income before provision for income taxes due to the following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3"/>
        </w:trPr>
        <w:tc>
          <w:tcPr>
            <w:tcW w:w="6580" w:type="dxa"/>
            <w:vAlign w:val="bottom"/>
          </w:tcPr>
          <w:p>
            <w:pPr>
              <w:spacing w:after="0"/>
              <w:rPr>
                <w:sz w:val="15"/>
                <w:szCs w:val="15"/>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rate</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500" w:type="dxa"/>
            <w:vAlign w:val="bottom"/>
            <w:shd w:val="clear" w:color="auto" w:fill="CFF0FC"/>
          </w:tcPr>
          <w:p>
            <w:pPr>
              <w:jc w:val="right"/>
              <w:ind w:right="239"/>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6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State taxes</w:t>
            </w:r>
          </w:p>
        </w:tc>
        <w:tc>
          <w:tcPr>
            <w:tcW w:w="164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4.8 %</w:t>
            </w:r>
          </w:p>
        </w:tc>
        <w:tc>
          <w:tcPr>
            <w:tcW w:w="15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4.3 %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Non-deductible executive compensation</w:t>
            </w:r>
          </w:p>
        </w:tc>
        <w:tc>
          <w:tcPr>
            <w:tcW w:w="164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14.3 %</w:t>
            </w:r>
          </w:p>
        </w:tc>
        <w:tc>
          <w:tcPr>
            <w:tcW w:w="15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Non-deductible IPO expenses</w:t>
            </w:r>
          </w:p>
        </w:tc>
        <w:tc>
          <w:tcPr>
            <w:tcW w:w="164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4.5 %</w:t>
            </w:r>
          </w:p>
        </w:tc>
        <w:tc>
          <w:tcPr>
            <w:tcW w:w="15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permanent differences</w:t>
            </w:r>
          </w:p>
        </w:tc>
        <w:tc>
          <w:tcPr>
            <w:tcW w:w="164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0.6 %</w:t>
            </w:r>
          </w:p>
        </w:tc>
        <w:tc>
          <w:tcPr>
            <w:tcW w:w="15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(0.3 )%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0.3 %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Excess tax benefit on stock-based compensation</w:t>
            </w:r>
          </w:p>
        </w:tc>
        <w:tc>
          <w:tcPr>
            <w:tcW w:w="1640" w:type="dxa"/>
            <w:vAlign w:val="bottom"/>
            <w:gridSpan w:val="2"/>
          </w:tcPr>
          <w:p>
            <w:pPr>
              <w:jc w:val="right"/>
              <w:ind w:right="179"/>
              <w:spacing w:after="0" w:line="202" w:lineRule="exact"/>
              <w:rPr>
                <w:sz w:val="20"/>
                <w:szCs w:val="20"/>
                <w:color w:val="auto"/>
              </w:rPr>
            </w:pPr>
            <w:r>
              <w:rPr>
                <w:rFonts w:ascii="Arial" w:cs="Arial" w:eastAsia="Arial" w:hAnsi="Arial"/>
                <w:sz w:val="18"/>
                <w:szCs w:val="18"/>
                <w:color w:val="auto"/>
              </w:rPr>
              <w:t>(41.6 )%</w:t>
            </w:r>
          </w:p>
        </w:tc>
        <w:tc>
          <w:tcPr>
            <w:tcW w:w="15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Difference in prior year tax filings from provision</w:t>
            </w:r>
          </w:p>
        </w:tc>
        <w:tc>
          <w:tcPr>
            <w:tcW w:w="164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4.3 %</w:t>
            </w:r>
          </w:p>
        </w:tc>
        <w:tc>
          <w:tcPr>
            <w:tcW w:w="15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0.1 %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0.1 %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Foreign tax rate differences</w:t>
            </w:r>
          </w:p>
        </w:tc>
        <w:tc>
          <w:tcPr>
            <w:tcW w:w="164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2.5 %</w:t>
            </w:r>
          </w:p>
        </w:tc>
        <w:tc>
          <w:tcPr>
            <w:tcW w:w="15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 %</w:t>
            </w:r>
          </w:p>
        </w:tc>
        <w:tc>
          <w:tcPr>
            <w:tcW w:w="15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0.2 %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0.2 %</w:t>
            </w:r>
          </w:p>
        </w:tc>
      </w:tr>
      <w:tr>
        <w:trPr>
          <w:trHeight w:val="20"/>
        </w:trPr>
        <w:tc>
          <w:tcPr>
            <w:tcW w:w="65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spacing w:after="0"/>
              <w:rPr>
                <w:sz w:val="17"/>
                <w:szCs w:val="17"/>
                <w:color w:val="auto"/>
              </w:rPr>
            </w:pPr>
          </w:p>
        </w:tc>
        <w:tc>
          <w:tcPr>
            <w:tcW w:w="1640" w:type="dxa"/>
            <w:vAlign w:val="bottom"/>
            <w:gridSpan w:val="2"/>
          </w:tcPr>
          <w:p>
            <w:pPr>
              <w:jc w:val="right"/>
              <w:ind w:right="239"/>
              <w:spacing w:after="0" w:line="196" w:lineRule="exact"/>
              <w:rPr>
                <w:sz w:val="20"/>
                <w:szCs w:val="20"/>
                <w:color w:val="auto"/>
              </w:rPr>
            </w:pPr>
            <w:r>
              <w:rPr>
                <w:rFonts w:ascii="Arial" w:cs="Arial" w:eastAsia="Arial" w:hAnsi="Arial"/>
                <w:sz w:val="18"/>
                <w:szCs w:val="18"/>
                <w:color w:val="auto"/>
              </w:rPr>
              <w:t>10.4 %</w:t>
            </w:r>
          </w:p>
        </w:tc>
        <w:tc>
          <w:tcPr>
            <w:tcW w:w="158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25.3 %</w:t>
            </w: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25.9 %</w:t>
            </w:r>
          </w:p>
        </w:tc>
      </w:tr>
      <w:tr>
        <w:trPr>
          <w:trHeight w:val="20"/>
        </w:trPr>
        <w:tc>
          <w:tcPr>
            <w:tcW w:w="6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-159385</wp:posOffset>
            </wp:positionV>
            <wp:extent cx="21399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399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wp:posOffset>
            </wp:positionV>
            <wp:extent cx="20574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-159385</wp:posOffset>
            </wp:positionV>
            <wp:extent cx="14541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95" w:lineRule="exact"/>
        <w:rPr>
          <w:sz w:val="20"/>
          <w:szCs w:val="20"/>
          <w:color w:val="auto"/>
        </w:rPr>
      </w:pPr>
    </w:p>
    <w:p>
      <w:pPr>
        <w:ind w:right="240" w:firstLine="374"/>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at December 31, 2021 and 2020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48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3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8"/>
                <w:szCs w:val="18"/>
                <w:color w:val="auto"/>
              </w:rPr>
              <w:t>Stock-based compensation and other accruals</w:t>
            </w:r>
          </w:p>
        </w:tc>
        <w:tc>
          <w:tcPr>
            <w:tcW w:w="36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1,895</w:t>
            </w:r>
          </w:p>
        </w:tc>
        <w:tc>
          <w:tcPr>
            <w:tcW w:w="24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1,714</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State net operating losses</w:t>
            </w:r>
          </w:p>
        </w:tc>
        <w:tc>
          <w:tcPr>
            <w:tcW w:w="3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3,919</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8"/>
                <w:szCs w:val="18"/>
                <w:color w:val="auto"/>
              </w:rPr>
              <w:t>Foreign tax credit</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lease liabilities</w:t>
            </w:r>
          </w:p>
        </w:tc>
        <w:tc>
          <w:tcPr>
            <w:tcW w:w="3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3,732</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3,521</w:t>
            </w:r>
          </w:p>
        </w:tc>
        <w:tc>
          <w:tcPr>
            <w:tcW w:w="80" w:type="dxa"/>
            <w:vAlign w:val="bottom"/>
            <w:shd w:val="clear" w:color="auto" w:fill="CFF0FC"/>
          </w:tcPr>
          <w:p>
            <w:pPr>
              <w:spacing w:after="0"/>
              <w:rPr>
                <w:sz w:val="17"/>
                <w:szCs w:val="17"/>
                <w:color w:val="auto"/>
              </w:rPr>
            </w:pPr>
          </w:p>
        </w:tc>
      </w:tr>
      <w:tr>
        <w:trPr>
          <w:trHeight w:val="202"/>
        </w:trPr>
        <w:tc>
          <w:tcPr>
            <w:tcW w:w="4880" w:type="dxa"/>
            <w:vAlign w:val="bottom"/>
          </w:tcPr>
          <w:p>
            <w:pPr>
              <w:ind w:left="140"/>
              <w:spacing w:after="0" w:line="202" w:lineRule="exact"/>
              <w:rPr>
                <w:sz w:val="20"/>
                <w:szCs w:val="20"/>
                <w:color w:val="auto"/>
              </w:rPr>
            </w:pPr>
            <w:r>
              <w:rPr>
                <w:rFonts w:ascii="Arial" w:cs="Arial" w:eastAsia="Arial" w:hAnsi="Arial"/>
                <w:sz w:val="18"/>
                <w:szCs w:val="18"/>
                <w:color w:val="auto"/>
              </w:rPr>
              <w:t>Fixed assets</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80" w:type="dxa"/>
            <w:vAlign w:val="bottom"/>
          </w:tcPr>
          <w:p>
            <w:pPr>
              <w:spacing w:after="0"/>
              <w:rPr>
                <w:sz w:val="17"/>
                <w:szCs w:val="17"/>
                <w:color w:val="auto"/>
              </w:rPr>
            </w:pPr>
          </w:p>
        </w:tc>
      </w:tr>
      <w:tr>
        <w:trPr>
          <w:trHeight w:val="203"/>
        </w:trPr>
        <w:tc>
          <w:tcPr>
            <w:tcW w:w="48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Other</w:t>
            </w:r>
          </w:p>
        </w:tc>
        <w:tc>
          <w:tcPr>
            <w:tcW w:w="33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80" w:type="dxa"/>
            <w:vAlign w:val="bottom"/>
          </w:tcPr>
          <w:p>
            <w:pPr>
              <w:ind w:left="140"/>
              <w:spacing w:after="0" w:line="196" w:lineRule="exact"/>
              <w:rPr>
                <w:sz w:val="20"/>
                <w:szCs w:val="20"/>
                <w:color w:val="auto"/>
              </w:rPr>
            </w:pPr>
            <w:r>
              <w:rPr>
                <w:rFonts w:ascii="Arial" w:cs="Arial" w:eastAsia="Arial" w:hAnsi="Arial"/>
                <w:sz w:val="18"/>
                <w:szCs w:val="18"/>
                <w:color w:val="auto"/>
              </w:rPr>
              <w:t>Total deferred tax assets</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10,450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5,550</w:t>
            </w: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Valuation allowance</w:t>
            </w:r>
          </w:p>
        </w:tc>
        <w:tc>
          <w:tcPr>
            <w:tcW w:w="3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(744 )</w:t>
            </w:r>
          </w:p>
        </w:tc>
        <w:tc>
          <w:tcPr>
            <w:tcW w:w="4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196"/>
        </w:trPr>
        <w:tc>
          <w:tcPr>
            <w:tcW w:w="4880" w:type="dxa"/>
            <w:vAlign w:val="bottom"/>
            <w:tcBorders>
              <w:top w:val="single" w:sz="8" w:color="CFF0FC"/>
            </w:tcBorders>
          </w:tcPr>
          <w:p>
            <w:pPr>
              <w:ind w:left="400"/>
              <w:spacing w:after="0" w:line="182" w:lineRule="exact"/>
              <w:rPr>
                <w:sz w:val="20"/>
                <w:szCs w:val="20"/>
                <w:color w:val="auto"/>
              </w:rPr>
            </w:pPr>
            <w:r>
              <w:rPr>
                <w:rFonts w:ascii="Arial" w:cs="Arial" w:eastAsia="Arial" w:hAnsi="Arial"/>
                <w:sz w:val="18"/>
                <w:szCs w:val="18"/>
                <w:color w:val="auto"/>
              </w:rPr>
              <w:t>Net deferred tax assets</w:t>
            </w:r>
          </w:p>
        </w:tc>
        <w:tc>
          <w:tcPr>
            <w:tcW w:w="33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9,706</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5,528</w:t>
            </w:r>
          </w:p>
        </w:tc>
        <w:tc>
          <w:tcPr>
            <w:tcW w:w="80" w:type="dxa"/>
            <w:vAlign w:val="bottom"/>
            <w:tcBorders>
              <w:top w:val="single" w:sz="8" w:color="CFF0FC"/>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8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Deferred tax liabilities:</w:t>
            </w:r>
          </w:p>
        </w:tc>
        <w:tc>
          <w:tcPr>
            <w:tcW w:w="3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8"/>
                <w:szCs w:val="18"/>
                <w:color w:val="auto"/>
              </w:rPr>
              <w:t>Intangible assets</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(9,031 )</w:t>
            </w:r>
          </w:p>
        </w:tc>
        <w:tc>
          <w:tcPr>
            <w:tcW w:w="4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(5,046 )</w:t>
            </w:r>
          </w:p>
        </w:tc>
      </w:tr>
      <w:tr>
        <w:trPr>
          <w:trHeight w:val="203"/>
        </w:trPr>
        <w:tc>
          <w:tcPr>
            <w:tcW w:w="48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Research and development tax credit carry forward</w:t>
            </w:r>
          </w:p>
        </w:tc>
        <w:tc>
          <w:tcPr>
            <w:tcW w:w="3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(36 )</w:t>
            </w: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8"/>
                <w:szCs w:val="18"/>
                <w:color w:val="auto"/>
              </w:rPr>
              <w:t>Fixed assets</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(98 )</w:t>
            </w:r>
          </w:p>
        </w:tc>
        <w:tc>
          <w:tcPr>
            <w:tcW w:w="4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(39 )</w:t>
            </w:r>
          </w:p>
        </w:tc>
      </w:tr>
      <w:tr>
        <w:trPr>
          <w:trHeight w:val="203"/>
        </w:trPr>
        <w:tc>
          <w:tcPr>
            <w:tcW w:w="48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lease right-of-use assets</w:t>
            </w:r>
          </w:p>
        </w:tc>
        <w:tc>
          <w:tcPr>
            <w:tcW w:w="3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(3,602 )</w:t>
            </w:r>
          </w:p>
        </w:tc>
        <w:tc>
          <w:tcPr>
            <w:tcW w:w="4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(3,423 )</w:t>
            </w: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8"/>
                <w:szCs w:val="18"/>
                <w:color w:val="auto"/>
              </w:rPr>
              <w:t>Foregone foreign tax credit</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(130 )</w:t>
            </w:r>
          </w:p>
        </w:tc>
        <w:tc>
          <w:tcPr>
            <w:tcW w:w="4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(213 )</w:t>
            </w:r>
          </w:p>
        </w:tc>
      </w:tr>
      <w:tr>
        <w:trPr>
          <w:trHeight w:val="196"/>
        </w:trPr>
        <w:tc>
          <w:tcPr>
            <w:tcW w:w="48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deferred tax liabilities</w:t>
            </w:r>
          </w:p>
        </w:tc>
        <w:tc>
          <w:tcPr>
            <w:tcW w:w="33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(12,861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(8,757</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880" w:type="dxa"/>
            <w:vAlign w:val="bottom"/>
          </w:tcPr>
          <w:p>
            <w:pPr>
              <w:ind w:left="400"/>
              <w:spacing w:after="0" w:line="182" w:lineRule="exact"/>
              <w:rPr>
                <w:sz w:val="20"/>
                <w:szCs w:val="20"/>
                <w:color w:val="auto"/>
              </w:rPr>
            </w:pPr>
            <w:r>
              <w:rPr>
                <w:rFonts w:ascii="Arial" w:cs="Arial" w:eastAsia="Arial" w:hAnsi="Arial"/>
                <w:sz w:val="18"/>
                <w:szCs w:val="18"/>
                <w:color w:val="auto"/>
              </w:rPr>
              <w:t>Net deferred tax liabilities</w:t>
            </w:r>
          </w:p>
        </w:tc>
        <w:tc>
          <w:tcPr>
            <w:tcW w:w="366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(3,155 )</w:t>
            </w:r>
          </w:p>
        </w:tc>
        <w:tc>
          <w:tcPr>
            <w:tcW w:w="44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(3,229 )</w:t>
            </w:r>
          </w:p>
        </w:tc>
      </w:tr>
      <w:tr>
        <w:trPr>
          <w:trHeight w:val="20"/>
        </w:trPr>
        <w:tc>
          <w:tcPr>
            <w:tcW w:w="4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880" w:type="dxa"/>
            <w:vAlign w:val="bottom"/>
            <w:shd w:val="clear" w:color="auto" w:fill="CFF0FC"/>
          </w:tcPr>
          <w:p>
            <w:pPr>
              <w:spacing w:after="0"/>
              <w:rPr>
                <w:sz w:val="15"/>
                <w:szCs w:val="15"/>
                <w:color w:val="auto"/>
              </w:rPr>
            </w:pPr>
          </w:p>
        </w:tc>
        <w:tc>
          <w:tcPr>
            <w:tcW w:w="3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Reported as:</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Deferred tax asset (non-current)</w:t>
            </w:r>
          </w:p>
        </w:tc>
        <w:tc>
          <w:tcPr>
            <w:tcW w:w="36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8"/>
                <w:szCs w:val="18"/>
                <w:color w:val="auto"/>
              </w:rPr>
              <w:t>Deferred tax liability (non-current)</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(3,318 )</w:t>
            </w:r>
          </w:p>
        </w:tc>
        <w:tc>
          <w:tcPr>
            <w:tcW w:w="4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(3,499 )</w:t>
            </w:r>
          </w:p>
        </w:tc>
      </w:tr>
      <w:tr>
        <w:trPr>
          <w:trHeight w:val="236"/>
        </w:trPr>
        <w:tc>
          <w:tcPr>
            <w:tcW w:w="4880" w:type="dxa"/>
            <w:vAlign w:val="bottom"/>
            <w:tcBorders>
              <w:bottom w:val="single" w:sz="8" w:color="CFF0FC"/>
            </w:tcBorders>
            <w:shd w:val="clear" w:color="auto" w:fill="CFF0FC"/>
          </w:tcPr>
          <w:p>
            <w:pPr>
              <w:ind w:left="400"/>
              <w:spacing w:after="0" w:line="182" w:lineRule="exact"/>
              <w:rPr>
                <w:sz w:val="20"/>
                <w:szCs w:val="20"/>
                <w:color w:val="auto"/>
              </w:rPr>
            </w:pPr>
            <w:r>
              <w:rPr>
                <w:rFonts w:ascii="Arial" w:cs="Arial" w:eastAsia="Arial" w:hAnsi="Arial"/>
                <w:sz w:val="18"/>
                <w:szCs w:val="18"/>
                <w:color w:val="auto"/>
              </w:rPr>
              <w:t>Net deferred tax liabilities</w:t>
            </w:r>
          </w:p>
        </w:tc>
        <w:tc>
          <w:tcPr>
            <w:tcW w:w="33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(3,155</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(3,229</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507"/>
        </w:trPr>
        <w:tc>
          <w:tcPr>
            <w:tcW w:w="4880" w:type="dxa"/>
            <w:vAlign w:val="bottom"/>
          </w:tcPr>
          <w:p>
            <w:pPr>
              <w:spacing w:after="0"/>
              <w:rPr>
                <w:sz w:val="24"/>
                <w:szCs w:val="24"/>
                <w:color w:val="auto"/>
              </w:rPr>
            </w:pPr>
          </w:p>
        </w:tc>
        <w:tc>
          <w:tcPr>
            <w:tcW w:w="3340" w:type="dxa"/>
            <w:vAlign w:val="bottom"/>
          </w:tcPr>
          <w:p>
            <w:pPr>
              <w:jc w:val="right"/>
              <w:ind w:right="241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
        </w:trPr>
        <w:tc>
          <w:tcPr>
            <w:tcW w:w="488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-2576830</wp:posOffset>
            </wp:positionV>
            <wp:extent cx="5143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-2576830</wp:posOffset>
            </wp:positionV>
            <wp:extent cx="5143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-2310765</wp:posOffset>
            </wp:positionV>
            <wp:extent cx="5143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-2310765</wp:posOffset>
            </wp:positionV>
            <wp:extent cx="5143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-1239520</wp:posOffset>
            </wp:positionV>
            <wp:extent cx="5143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-1239520</wp:posOffset>
            </wp:positionV>
            <wp:extent cx="5143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-427990</wp:posOffset>
            </wp:positionV>
            <wp:extent cx="514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-410845</wp:posOffset>
            </wp:positionV>
            <wp:extent cx="51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-427990</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-410845</wp:posOffset>
            </wp:positionV>
            <wp:extent cx="51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ind w:right="180" w:firstLine="374"/>
        <w:spacing w:after="0"/>
        <w:rPr>
          <w:sz w:val="20"/>
          <w:szCs w:val="20"/>
          <w:color w:val="auto"/>
        </w:rPr>
      </w:pPr>
      <w:r>
        <w:rPr>
          <w:rFonts w:ascii="Arial" w:cs="Arial" w:eastAsia="Arial" w:hAnsi="Arial"/>
          <w:sz w:val="18"/>
          <w:szCs w:val="18"/>
          <w:color w:val="auto"/>
        </w:rPr>
        <w:t>The Company provided a valuation allowance against certain excess foreign tax credits as of December 31, 2021 and 2020 as it was more likely than not the Company will not be able to utilize these credits. The Company also provided a valuation allowance against certain acquired state net operating losses that are not more likely than not to be utilized.</w:t>
      </w:r>
    </w:p>
    <w:p>
      <w:pPr>
        <w:spacing w:after="0" w:line="95" w:lineRule="exact"/>
        <w:rPr>
          <w:sz w:val="20"/>
          <w:szCs w:val="20"/>
          <w:color w:val="auto"/>
        </w:rPr>
      </w:pPr>
    </w:p>
    <w:p>
      <w:pPr>
        <w:ind w:firstLine="374"/>
        <w:spacing w:after="0" w:line="237" w:lineRule="auto"/>
        <w:rPr>
          <w:sz w:val="20"/>
          <w:szCs w:val="20"/>
          <w:color w:val="auto"/>
        </w:rPr>
      </w:pPr>
      <w:r>
        <w:rPr>
          <w:rFonts w:ascii="Arial" w:cs="Arial" w:eastAsia="Arial" w:hAnsi="Arial"/>
          <w:sz w:val="18"/>
          <w:szCs w:val="18"/>
          <w:color w:val="auto"/>
        </w:rPr>
        <w:t>As of December 31, 2021, the Company had $15.1 million of federal and $17.7 million of state net operating loss carryforwards available to offset future taxable income. State net operating losses, if not utilized, will begin to expire in 2031. A portion of these losses were acquired in the acquisition of Finovera, and therefore are subject to change of control provisions, which limit the amount of acquired tax attributes that can be utilized in a given tax year. The Company does not expect the change of control limitations to significantly impact our ability to utilize these attributes. Furthermore, the Company had an immaterial amount of non-refundable federal investment tax credits as of December 31,2021 and 2020 in Canada, which are available to reduce future Canadian taxes and, if unused, begin to expire in 2034.</w:t>
      </w:r>
    </w:p>
    <w:p>
      <w:pPr>
        <w:spacing w:after="0" w:line="97" w:lineRule="exact"/>
        <w:rPr>
          <w:sz w:val="20"/>
          <w:szCs w:val="20"/>
          <w:color w:val="auto"/>
        </w:rPr>
      </w:pPr>
    </w:p>
    <w:p>
      <w:pPr>
        <w:ind w:right="20" w:firstLine="374"/>
        <w:spacing w:after="0" w:line="246" w:lineRule="auto"/>
        <w:rPr>
          <w:sz w:val="20"/>
          <w:szCs w:val="20"/>
          <w:color w:val="auto"/>
        </w:rPr>
      </w:pPr>
      <w:r>
        <w:rPr>
          <w:rFonts w:ascii="Arial" w:cs="Arial" w:eastAsia="Arial" w:hAnsi="Arial"/>
          <w:sz w:val="18"/>
          <w:szCs w:val="18"/>
          <w:color w:val="auto"/>
        </w:rPr>
        <w:t>As of December 31, 2021 and 2020, the total amount of unrecognized tax benefits that, if recognized, would impact the effective tax rate was not material.</w:t>
      </w:r>
    </w:p>
    <w:p>
      <w:pPr>
        <w:spacing w:after="0" w:line="89" w:lineRule="exact"/>
        <w:rPr>
          <w:sz w:val="20"/>
          <w:szCs w:val="20"/>
          <w:color w:val="auto"/>
        </w:rPr>
      </w:pPr>
    </w:p>
    <w:p>
      <w:pPr>
        <w:ind w:right="140" w:firstLine="374"/>
        <w:spacing w:after="0" w:line="238" w:lineRule="auto"/>
        <w:rPr>
          <w:sz w:val="20"/>
          <w:szCs w:val="20"/>
          <w:color w:val="auto"/>
        </w:rPr>
      </w:pPr>
      <w:r>
        <w:rPr>
          <w:rFonts w:ascii="Arial" w:cs="Arial" w:eastAsia="Arial" w:hAnsi="Arial"/>
          <w:sz w:val="18"/>
          <w:szCs w:val="18"/>
          <w:color w:val="auto"/>
        </w:rPr>
        <w:t>Interest and penalties related to income tax matters are classified as a component of income tax expense and were immaterial for the years ended December 31, 2021, 2020 and 2019. Although it is reasonably possible that certain unrecognized tax benefits may increase or decrease within the next 12 months due to tax examination changes, settlement activities, or the impact on recognition and measurement considerations related to the results of published tax cases or other similar activities, the Company does not anticipate any significant changes to unrecognized tax benefits over the next 12 months.</w:t>
      </w:r>
    </w:p>
    <w:p>
      <w:pPr>
        <w:spacing w:after="0" w:line="94"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The Company files income tax returns in the U.S. federal jurisdiction, various state jurisdictions, and in various international jurisdictions. The Company’s tax filings remain subject to audits by applicable tax authorities for a certain length of time following the tax year to which those filings relate. Tax years 2018 and forward generally remain open for examination for federal and state tax purposes. Tax years 2017 and forward generally remain open for examination for foreign tax purposes.</w:t>
      </w:r>
    </w:p>
    <w:p>
      <w:pPr>
        <w:spacing w:after="0" w:line="97" w:lineRule="exact"/>
        <w:rPr>
          <w:sz w:val="20"/>
          <w:szCs w:val="20"/>
          <w:color w:val="auto"/>
        </w:rPr>
      </w:pPr>
    </w:p>
    <w:p>
      <w:pPr>
        <w:ind w:right="280" w:firstLine="374"/>
        <w:spacing w:after="0"/>
        <w:rPr>
          <w:sz w:val="20"/>
          <w:szCs w:val="20"/>
          <w:color w:val="auto"/>
        </w:rPr>
      </w:pPr>
      <w:r>
        <w:rPr>
          <w:rFonts w:ascii="Arial" w:cs="Arial" w:eastAsia="Arial" w:hAnsi="Arial"/>
          <w:sz w:val="18"/>
          <w:szCs w:val="18"/>
          <w:color w:val="auto"/>
        </w:rPr>
        <w:t>The Company has not recorded foreign withholding taxes or deferred income tax liabilities related to undistributed earnings of foreign operations of approximately $4.8 million and $2.7 million as of December 31, 2021 and 2020, respectively, since such earnings are considered permanently invested.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 Attributable to Common Stock</w:t>
      </w:r>
    </w:p>
    <w:p>
      <w:pPr>
        <w:spacing w:after="0" w:line="234"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Basic net income per share attributable to common stockholders is computed by deducting the undeclared dividends on the Series A preferred stock from net income to arrive at net income attributable to common stock and dividing the net income attributable to common stockholders by the weighted-average number of shares of common stock outstanding during the period.</w:t>
      </w:r>
    </w:p>
    <w:p>
      <w:pPr>
        <w:spacing w:after="0" w:line="95"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p>
    <w:p>
      <w:pPr>
        <w:spacing w:after="0" w:line="97"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7" w:name="page98"/>
    <w:bookmarkEnd w:id="97"/>
    <w:p>
      <w:pPr>
        <w:ind w:right="300" w:firstLine="494"/>
        <w:spacing w:after="0" w:line="246"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6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40" w:type="dxa"/>
            <w:vAlign w:val="bottom"/>
          </w:tcPr>
          <w:p>
            <w:pPr>
              <w:ind w:left="280"/>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9,300</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13,711</w:t>
            </w:r>
          </w:p>
        </w:tc>
        <w:tc>
          <w:tcPr>
            <w:tcW w:w="20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13,697</w:t>
            </w:r>
          </w:p>
        </w:tc>
        <w:tc>
          <w:tcPr>
            <w:tcW w:w="80" w:type="dxa"/>
            <w:vAlign w:val="bottom"/>
          </w:tcPr>
          <w:p>
            <w:pPr>
              <w:spacing w:after="0"/>
              <w:rPr>
                <w:sz w:val="17"/>
                <w:szCs w:val="17"/>
                <w:color w:val="auto"/>
              </w:rPr>
            </w:pPr>
          </w:p>
        </w:tc>
      </w:tr>
      <w:tr>
        <w:trPr>
          <w:trHeight w:val="203"/>
        </w:trPr>
        <w:tc>
          <w:tcPr>
            <w:tcW w:w="67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Undeclared dividends on Series A preferred stock</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6"/>
              <w:spacing w:after="0" w:line="202" w:lineRule="exact"/>
              <w:rPr>
                <w:sz w:val="20"/>
                <w:szCs w:val="20"/>
                <w:color w:val="auto"/>
              </w:rPr>
            </w:pPr>
            <w:r>
              <w:rPr>
                <w:rFonts w:ascii="Arial" w:cs="Arial" w:eastAsia="Arial" w:hAnsi="Arial"/>
                <w:sz w:val="18"/>
                <w:szCs w:val="18"/>
                <w:color w:val="auto"/>
              </w:rPr>
              <w:t>(2,258 )</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(5,186 )</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(4,697 )</w:t>
            </w:r>
          </w:p>
        </w:tc>
      </w:tr>
      <w:tr>
        <w:trPr>
          <w:trHeight w:val="196"/>
        </w:trPr>
        <w:tc>
          <w:tcPr>
            <w:tcW w:w="674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Net income attributable to common stock</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7,042</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8,525</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9,000</w:t>
            </w:r>
          </w:p>
        </w:tc>
        <w:tc>
          <w:tcPr>
            <w:tcW w:w="80" w:type="dxa"/>
            <w:vAlign w:val="bottom"/>
            <w:tcBorders>
              <w:top w:val="single" w:sz="8" w:color="CFF0FC"/>
            </w:tcBorders>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7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740" w:type="dxa"/>
            <w:vAlign w:val="bottom"/>
          </w:tcPr>
          <w:p>
            <w:pPr>
              <w:ind w:left="280"/>
              <w:spacing w:after="0" w:line="202" w:lineRule="exact"/>
              <w:rPr>
                <w:sz w:val="20"/>
                <w:szCs w:val="20"/>
                <w:color w:val="auto"/>
              </w:rPr>
            </w:pPr>
            <w:r>
              <w:rPr>
                <w:rFonts w:ascii="Arial" w:cs="Arial" w:eastAsia="Arial" w:hAnsi="Arial"/>
                <w:sz w:val="18"/>
                <w:szCs w:val="18"/>
                <w:color w:val="auto"/>
              </w:rPr>
              <w:t>Weighted-average shares of common stock - basic</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112,763,261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103,479,239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103,469,238</w:t>
            </w:r>
          </w:p>
        </w:tc>
        <w:tc>
          <w:tcPr>
            <w:tcW w:w="80" w:type="dxa"/>
            <w:vAlign w:val="bottom"/>
          </w:tcPr>
          <w:p>
            <w:pPr>
              <w:spacing w:after="0"/>
              <w:rPr>
                <w:sz w:val="17"/>
                <w:szCs w:val="17"/>
                <w:color w:val="auto"/>
              </w:rPr>
            </w:pPr>
          </w:p>
        </w:tc>
      </w:tr>
      <w:tr>
        <w:trPr>
          <w:trHeight w:val="203"/>
        </w:trPr>
        <w:tc>
          <w:tcPr>
            <w:tcW w:w="67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Dilutive effect of stock options to purchase common stock</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6,009,890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2,728,644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2,881,235</w:t>
            </w:r>
          </w:p>
        </w:tc>
        <w:tc>
          <w:tcPr>
            <w:tcW w:w="80" w:type="dxa"/>
            <w:vAlign w:val="bottom"/>
            <w:shd w:val="clear" w:color="auto" w:fill="CFF0FC"/>
          </w:tcPr>
          <w:p>
            <w:pPr>
              <w:spacing w:after="0"/>
              <w:rPr>
                <w:sz w:val="17"/>
                <w:szCs w:val="17"/>
                <w:color w:val="auto"/>
              </w:rPr>
            </w:pPr>
          </w:p>
        </w:tc>
      </w:tr>
      <w:tr>
        <w:trPr>
          <w:trHeight w:val="203"/>
        </w:trPr>
        <w:tc>
          <w:tcPr>
            <w:tcW w:w="6740" w:type="dxa"/>
            <w:vAlign w:val="bottom"/>
          </w:tcPr>
          <w:p>
            <w:pPr>
              <w:ind w:left="280"/>
              <w:spacing w:after="0" w:line="202" w:lineRule="exact"/>
              <w:rPr>
                <w:sz w:val="20"/>
                <w:szCs w:val="20"/>
                <w:color w:val="auto"/>
              </w:rPr>
            </w:pPr>
            <w:r>
              <w:rPr>
                <w:rFonts w:ascii="Arial" w:cs="Arial" w:eastAsia="Arial" w:hAnsi="Arial"/>
                <w:sz w:val="18"/>
                <w:szCs w:val="18"/>
                <w:color w:val="auto"/>
              </w:rPr>
              <w:t>Dilutive effect of RSUs</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19,160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7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Dilutive effect of warrants</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29,614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674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Weighted-average shares of common stock - diluted</w:t>
            </w: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118,821,925</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106,207,883</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106,350,473</w:t>
            </w:r>
          </w:p>
        </w:tc>
        <w:tc>
          <w:tcPr>
            <w:tcW w:w="80" w:type="dxa"/>
            <w:vAlign w:val="bottom"/>
            <w:tcBorders>
              <w:top w:val="single" w:sz="8" w:color="CFF0FC"/>
            </w:tcBorders>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7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per share attributable to common stock</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740" w:type="dxa"/>
            <w:vAlign w:val="bottom"/>
          </w:tcPr>
          <w:p>
            <w:pPr>
              <w:ind w:left="28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20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0.09</w:t>
            </w:r>
          </w:p>
        </w:tc>
        <w:tc>
          <w:tcPr>
            <w:tcW w:w="80" w:type="dxa"/>
            <w:vAlign w:val="bottom"/>
          </w:tcPr>
          <w:p>
            <w:pPr>
              <w:spacing w:after="0"/>
              <w:rPr>
                <w:sz w:val="17"/>
                <w:szCs w:val="17"/>
                <w:color w:val="auto"/>
              </w:rPr>
            </w:pPr>
          </w:p>
        </w:tc>
      </w:tr>
      <w:tr>
        <w:trPr>
          <w:trHeight w:val="203"/>
        </w:trPr>
        <w:tc>
          <w:tcPr>
            <w:tcW w:w="67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-1350645</wp:posOffset>
            </wp:positionV>
            <wp:extent cx="6032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-1350645</wp:posOffset>
            </wp:positionV>
            <wp:extent cx="5143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-1350645</wp:posOffset>
            </wp:positionV>
            <wp:extent cx="5143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-544830</wp:posOffset>
            </wp:positionV>
            <wp:extent cx="6032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-544830</wp:posOffset>
            </wp:positionV>
            <wp:extent cx="5143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-544830</wp:posOffset>
            </wp:positionV>
            <wp:extent cx="5143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95" w:lineRule="exact"/>
        <w:rPr>
          <w:sz w:val="20"/>
          <w:szCs w:val="20"/>
          <w:color w:val="auto"/>
        </w:rPr>
      </w:pPr>
    </w:p>
    <w:p>
      <w:pPr>
        <w:ind w:right="460" w:firstLine="494"/>
        <w:spacing w:after="0" w:line="246" w:lineRule="auto"/>
        <w:rPr>
          <w:sz w:val="20"/>
          <w:szCs w:val="20"/>
          <w:color w:val="auto"/>
        </w:rPr>
      </w:pPr>
      <w:r>
        <w:rPr>
          <w:rFonts w:ascii="Arial" w:cs="Arial" w:eastAsia="Arial" w:hAnsi="Arial"/>
          <w:sz w:val="18"/>
          <w:szCs w:val="18"/>
          <w:color w:val="auto"/>
        </w:rPr>
        <w:t>The Company did not have any securities that were excluded from the computation of diluted net income per share attributable to common stock calculations for the periods presented as all options, RSUs and warrants outstanding were considered to be dilutive.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6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387,242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295,761</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230,975</w:t>
            </w:r>
          </w:p>
        </w:tc>
        <w:tc>
          <w:tcPr>
            <w:tcW w:w="60" w:type="dxa"/>
            <w:vAlign w:val="bottom"/>
            <w:shd w:val="clear" w:color="auto" w:fill="CFF0FC"/>
          </w:tcPr>
          <w:p>
            <w:pPr>
              <w:spacing w:after="0"/>
              <w:rPr>
                <w:sz w:val="17"/>
                <w:szCs w:val="17"/>
                <w:color w:val="auto"/>
              </w:rPr>
            </w:pPr>
          </w:p>
        </w:tc>
      </w:tr>
      <w:tr>
        <w:trPr>
          <w:trHeight w:val="202"/>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8,282</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6,006</w:t>
            </w: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4,803</w:t>
            </w:r>
          </w:p>
        </w:tc>
        <w:tc>
          <w:tcPr>
            <w:tcW w:w="60" w:type="dxa"/>
            <w:vAlign w:val="bottom"/>
          </w:tcPr>
          <w:p>
            <w:pPr>
              <w:spacing w:after="0"/>
              <w:rPr>
                <w:sz w:val="17"/>
                <w:szCs w:val="17"/>
                <w:color w:val="auto"/>
              </w:rPr>
            </w:pPr>
          </w:p>
        </w:tc>
      </w:tr>
      <w:tr>
        <w:trPr>
          <w:trHeight w:val="236"/>
        </w:trPr>
        <w:tc>
          <w:tcPr>
            <w:tcW w:w="6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395,524</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301,767</w:t>
            </w:r>
          </w:p>
        </w:tc>
        <w:tc>
          <w:tcPr>
            <w:tcW w:w="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235,778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431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431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431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comprising property and equipment assets, by geographic area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717</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1,456</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1,055</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ind w:right="876"/>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2,044</w:t>
            </w: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1,772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34"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Transactions involving related parties cannot be presumed to be carried out on an arm’s length basis due to the absence of free market forces that naturally exist in business dealings between two or more unrelated entities. Related party transactions may not always be favorable to the Company’s business and may include terms, conditions and agreements that are not necessarily beneficial to or in the best interest of the Company.</w:t>
      </w:r>
    </w:p>
    <w:p>
      <w:pPr>
        <w:spacing w:after="0" w:line="97"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On September 6, 2011, the Company issued a loan to the Company’s Chief Executive Officer for $0.8 million at an interest rate of 2% per annum. The Company recorded the principal amount of $0.8 million as a reduction to additional paid-in capital in the consolidated statements of stockholders’ equity. The Chief Executive Officer and an entity affiliated with him pledged 805 shares of the Company's Series A preferred shares and 1,788,205 common shares as security for the loan. The loan principal and interest were due and payable on September 6, 2026. During the years ended December 31, 2021, 2020 and 2019, the Company recognized an immaterial amount of interest income relating to the loan. At December 31, 2020, the Company had recorded a receivable for accrued interest of $0.2 million, which is included in prepaid expenses and other current assets in the consolidated balance sheets. On March 16, 2021, the Company’s Chief Executive Officer paid in full the loan outstanding in the amount of $0.8 million, plus accrued interest of $0.2 million for a total payment of $1.0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ind w:firstLine="494"/>
        <w:spacing w:after="0" w:line="238" w:lineRule="auto"/>
        <w:rPr>
          <w:sz w:val="20"/>
          <w:szCs w:val="20"/>
          <w:color w:val="auto"/>
        </w:rPr>
      </w:pPr>
      <w:r>
        <w:rPr>
          <w:rFonts w:ascii="Arial" w:cs="Arial" w:eastAsia="Arial" w:hAnsi="Arial"/>
          <w:sz w:val="18"/>
          <w:szCs w:val="18"/>
          <w:color w:val="auto"/>
        </w:rPr>
        <w:t>The wife of the Company’s Chief Executive Officer serves as a vice president for the Company. She received aggregate compensation, inclusive of her base salary and bonus of $0.2 million for her employment with the Company for each of the years ended December 31, 2021, 2020 and 2019. In addition, the son of a member of the Company’s board of directors serves as a vice president of the Company and he received aggregate compensation, inclusive of his base salary and bonus, of $0.3 million, $0.3 million and $0.2 million for his employment with the Company for the years ended December 31, 2021, 2020 and 2019,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auto"/>
        </w:rPr>
      </w:pPr>
      <w:hyperlink w:anchor="page100">
        <w:r>
          <w:rPr>
            <w:rFonts w:ascii="Arial" w:cs="Arial" w:eastAsia="Arial" w:hAnsi="Arial"/>
            <w:sz w:val="18"/>
            <w:szCs w:val="18"/>
            <w:b w:val="1"/>
            <w:bCs w:val="1"/>
            <w:u w:val="single" w:color="auto"/>
            <w:color w:val="auto"/>
          </w:rPr>
          <w:t>Item 9. Changes in and Disagreements with Accountants On Accounting and Financial Disclosure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30733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307330" cy="8890"/>
                    </a:xfrm>
                    <a:prstGeom prst="rect">
                      <a:avLst/>
                    </a:prstGeom>
                    <a:noFill/>
                  </pic:spPr>
                </pic:pic>
              </a:graphicData>
            </a:graphic>
          </wp:anchor>
        </w:drawing>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rFonts w:ascii="Arial" w:cs="Arial" w:eastAsia="Arial" w:hAnsi="Arial"/>
          <w:sz w:val="18"/>
          <w:szCs w:val="18"/>
          <w:b w:val="1"/>
          <w:bCs w:val="1"/>
          <w:u w:val="single" w:color="auto"/>
          <w:color w:val="auto"/>
        </w:rPr>
      </w:pPr>
      <w:hyperlink w:anchor="page100">
        <w:r>
          <w:rPr>
            <w:rFonts w:ascii="Arial" w:cs="Arial" w:eastAsia="Arial" w:hAnsi="Arial"/>
            <w:sz w:val="18"/>
            <w:szCs w:val="18"/>
            <w:b w:val="1"/>
            <w:bCs w:val="1"/>
            <w:u w:val="single" w:color="auto"/>
            <w:color w:val="auto"/>
          </w:rPr>
          <w:t>Item 9A. 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408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97"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and as a result of the material weaknesses in internal control over financial reporting described below, our Chief Executive Officer and Chief Financial Officer concluded that, as of December 31, 2021,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10-K fairly state, in all material respects, our financial position, results of operations and cash flows for the periods presented in conformity with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26"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registered public accounting firm due to a transition period established by SEC rules for newly public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26"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the end of the period covered by this report, our material weaknesses are as follows:</w:t>
      </w:r>
    </w:p>
    <w:p>
      <w:pPr>
        <w:spacing w:after="0" w:line="95" w:lineRule="exact"/>
        <w:rPr>
          <w:sz w:val="20"/>
          <w:szCs w:val="20"/>
          <w:color w:val="auto"/>
        </w:rPr>
      </w:pPr>
    </w:p>
    <w:p>
      <w:pPr>
        <w:ind w:left="1020" w:right="80" w:hanging="503"/>
        <w:spacing w:after="0" w:line="255"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82" w:lineRule="exact"/>
        <w:rPr>
          <w:rFonts w:ascii="Arial" w:cs="Arial" w:eastAsia="Arial" w:hAnsi="Arial"/>
          <w:sz w:val="17"/>
          <w:szCs w:val="17"/>
          <w:color w:val="auto"/>
        </w:rPr>
      </w:pPr>
    </w:p>
    <w:p>
      <w:pPr>
        <w:ind w:left="1020" w:right="120" w:hanging="503"/>
        <w:spacing w:after="0" w:line="23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97" w:lineRule="exact"/>
        <w:rPr>
          <w:sz w:val="20"/>
          <w:szCs w:val="20"/>
          <w:color w:val="auto"/>
        </w:rPr>
      </w:pPr>
    </w:p>
    <w:p>
      <w:pPr>
        <w:ind w:right="260" w:firstLine="494"/>
        <w:spacing w:after="0" w:line="253" w:lineRule="auto"/>
        <w:rPr>
          <w:sz w:val="20"/>
          <w:szCs w:val="20"/>
          <w:color w:val="auto"/>
        </w:rPr>
      </w:pPr>
      <w:r>
        <w:rPr>
          <w:rFonts w:ascii="Arial" w:cs="Arial" w:eastAsia="Arial" w:hAnsi="Arial"/>
          <w:sz w:val="17"/>
          <w:szCs w:val="17"/>
          <w:color w:val="auto"/>
        </w:rPr>
        <w:t>These material weaknesses resulted in misstatements related to capitalized internal-use software development costs, accumulated other comprehensive income, cost of revenue, sales and marketing expenses, research and development expenses, general and administrative expenses, income tax expense, the disclosure of deferred compensation, the classification of revenue, sales and marketing expenses, research and development expenses and general and administrative expenses, the calculation of earnings per share and the disclosure of revenue by geography as of and for the year ended December 31, 2019, which resulted in the restatement of the 2019 consolidated financial statements and a classification adjustment that was recorded to revenue and sales and marketing expenses in the 2020 consolidated financial statements. Additionally, these material weaknesses could result in a misstatement of substantially</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00" w:name="page101"/>
    <w:bookmarkEnd w:id="100"/>
    <w:p>
      <w:pPr>
        <w:ind w:right="160"/>
        <w:spacing w:after="0" w:line="246" w:lineRule="auto"/>
        <w:rPr>
          <w:sz w:val="20"/>
          <w:szCs w:val="20"/>
          <w:color w:val="auto"/>
        </w:rPr>
      </w:pPr>
      <w:r>
        <w:rPr>
          <w:rFonts w:ascii="Arial" w:cs="Arial" w:eastAsia="Arial" w:hAnsi="Arial"/>
          <w:sz w:val="18"/>
          <w:szCs w:val="18"/>
          <w:color w:val="auto"/>
        </w:rPr>
        <w:t>all of our accounts or disclosures that would result in a material misstatement to the annual or interim consolidated financial statements that would not be prevented or detected.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26" w:lineRule="exact"/>
        <w:rPr>
          <w:sz w:val="20"/>
          <w:szCs w:val="20"/>
          <w:color w:val="auto"/>
        </w:rPr>
      </w:pPr>
    </w:p>
    <w:p>
      <w:pPr>
        <w:ind w:right="480" w:firstLine="494"/>
        <w:spacing w:after="0" w:line="261" w:lineRule="auto"/>
        <w:rPr>
          <w:sz w:val="20"/>
          <w:szCs w:val="20"/>
          <w:color w:val="auto"/>
        </w:rPr>
      </w:pPr>
      <w:r>
        <w:rPr>
          <w:rFonts w:ascii="Arial" w:cs="Arial" w:eastAsia="Arial" w:hAnsi="Arial"/>
          <w:sz w:val="17"/>
          <w:szCs w:val="17"/>
          <w:color w:val="auto"/>
        </w:rPr>
        <w:t>We are in process of remediating the material weaknesses described above. In 2020, we implemented a new general ledger accounting system, including the design of permissions within that system which allow for effective restricted access and segregation of duties to govern the preparation and review of journal entries. Additional remediation measures are ongoing and include the following:</w:t>
      </w:r>
    </w:p>
    <w:p>
      <w:pPr>
        <w:spacing w:after="0" w:line="78" w:lineRule="exact"/>
        <w:rPr>
          <w:sz w:val="20"/>
          <w:szCs w:val="20"/>
          <w:color w:val="auto"/>
        </w:rPr>
      </w:pPr>
    </w:p>
    <w:p>
      <w:pPr>
        <w:ind w:left="1020" w:right="140" w:hanging="503"/>
        <w:spacing w:after="0" w:line="24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enhancing and documenting management review controls over the review of journal entries and the identification and review of complex transactions;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continuing to hire additional personnel with public company experience for our accounting and finance function; and</w:t>
      </w:r>
    </w:p>
    <w:p>
      <w:pPr>
        <w:spacing w:after="0" w:line="103"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designing and implementing comprehensive access control protocols for our relevant IT applications to enforce restricted user and privileged access and implementing controls to review the activities for those users who have privileged access.</w:t>
      </w:r>
    </w:p>
    <w:p>
      <w:pPr>
        <w:spacing w:after="0" w:line="8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6" w:lineRule="exact"/>
        <w:rPr>
          <w:sz w:val="20"/>
          <w:szCs w:val="20"/>
          <w:color w:val="auto"/>
        </w:rPr>
      </w:pPr>
    </w:p>
    <w:p>
      <w:pPr>
        <w:jc w:val="both"/>
        <w:ind w:right="20" w:firstLine="494"/>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2021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26"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94" w:lineRule="exact"/>
        <w:rPr>
          <w:sz w:val="20"/>
          <w:szCs w:val="20"/>
          <w:color w:val="auto"/>
        </w:rPr>
      </w:pPr>
    </w:p>
    <w:p>
      <w:pPr>
        <w:spacing w:after="0"/>
        <w:rPr>
          <w:rFonts w:ascii="Arial" w:cs="Arial" w:eastAsia="Arial" w:hAnsi="Arial"/>
          <w:sz w:val="18"/>
          <w:szCs w:val="18"/>
          <w:b w:val="1"/>
          <w:bCs w:val="1"/>
          <w:u w:val="single" w:color="auto"/>
          <w:color w:val="auto"/>
        </w:rPr>
      </w:pPr>
      <w:hyperlink w:anchor="page101">
        <w:r>
          <w:rPr>
            <w:rFonts w:ascii="Arial" w:cs="Arial" w:eastAsia="Arial" w:hAnsi="Arial"/>
            <w:sz w:val="18"/>
            <w:szCs w:val="18"/>
            <w:b w:val="1"/>
            <w:bCs w:val="1"/>
            <w:u w:val="single" w:color="auto"/>
            <w:color w:val="auto"/>
          </w:rPr>
          <w:t>Item 9B. 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408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rFonts w:ascii="Arial" w:cs="Arial" w:eastAsia="Arial" w:hAnsi="Arial"/>
          <w:sz w:val="18"/>
          <w:szCs w:val="18"/>
          <w:b w:val="1"/>
          <w:bCs w:val="1"/>
          <w:u w:val="single" w:color="auto"/>
          <w:color w:val="auto"/>
        </w:rPr>
      </w:pPr>
      <w:hyperlink w:anchor="page101">
        <w:r>
          <w:rPr>
            <w:rFonts w:ascii="Arial" w:cs="Arial" w:eastAsia="Arial" w:hAnsi="Arial"/>
            <w:sz w:val="18"/>
            <w:szCs w:val="18"/>
            <w:b w:val="1"/>
            <w:bCs w:val="1"/>
            <w:u w:val="single" w:color="auto"/>
            <w:color w:val="auto"/>
          </w:rPr>
          <w:t>Item 9C. Disclosure Regarding Foreign Jurisdictions that Prevent Inspections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2087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2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expect to file a definitive proxy statement relating to our 2022 Annual Meeting of Stockholders with the SEC pursuant to Regulation 14A, not later than 120 days after the end of our most recent fiscal year. Accordingly, certain information required by Part III of this Annual Report has been omitted under General Instruction G(3) to Form 10-K. Only the information from the definitive proxy statement that specifically addresses disclosure requirements of Items 10-14 below is incorporated by reference.</w:t>
      </w:r>
    </w:p>
    <w:p>
      <w:pPr>
        <w:spacing w:after="0" w:line="183" w:lineRule="exact"/>
        <w:rPr>
          <w:sz w:val="20"/>
          <w:szCs w:val="20"/>
          <w:color w:val="auto"/>
        </w:rPr>
      </w:pPr>
    </w:p>
    <w:p>
      <w:pPr>
        <w:spacing w:after="0"/>
        <w:rPr>
          <w:rFonts w:ascii="Arial" w:cs="Arial" w:eastAsia="Arial" w:hAnsi="Arial"/>
          <w:sz w:val="18"/>
          <w:szCs w:val="18"/>
          <w:b w:val="1"/>
          <w:bCs w:val="1"/>
          <w:u w:val="single" w:color="auto"/>
          <w:color w:val="auto"/>
        </w:rPr>
      </w:pPr>
      <w:hyperlink w:anchor="page102">
        <w:r>
          <w:rPr>
            <w:rFonts w:ascii="Arial" w:cs="Arial" w:eastAsia="Arial" w:hAnsi="Arial"/>
            <w:sz w:val="18"/>
            <w:szCs w:val="18"/>
            <w:b w:val="1"/>
            <w:bCs w:val="1"/>
            <w:u w:val="single" w:color="auto"/>
            <w:color w:val="auto"/>
          </w:rPr>
          <w:t>Item 10. Directors, Executive Officers and 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52425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524250" cy="8890"/>
                    </a:xfrm>
                    <a:prstGeom prst="rect">
                      <a:avLst/>
                    </a:prstGeom>
                    <a:noFill/>
                  </pic:spPr>
                </pic:pic>
              </a:graphicData>
            </a:graphic>
          </wp:anchor>
        </w:drawing>
      </w:r>
    </w:p>
    <w:p>
      <w:pPr>
        <w:spacing w:after="0" w:line="214"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information required under this Item is incorporated herein by reference to the information set forth in our Proxy Statement for the 2022 Annual Meeting of Stockholders, or the Proxy Statement.</w:t>
      </w:r>
    </w:p>
    <w:p>
      <w:pPr>
        <w:spacing w:after="0" w:line="175" w:lineRule="exact"/>
        <w:rPr>
          <w:sz w:val="20"/>
          <w:szCs w:val="20"/>
          <w:color w:val="auto"/>
        </w:rPr>
      </w:pPr>
    </w:p>
    <w:p>
      <w:pPr>
        <w:spacing w:after="0"/>
        <w:rPr>
          <w:rFonts w:ascii="Arial" w:cs="Arial" w:eastAsia="Arial" w:hAnsi="Arial"/>
          <w:sz w:val="18"/>
          <w:szCs w:val="18"/>
          <w:b w:val="1"/>
          <w:bCs w:val="1"/>
          <w:u w:val="single" w:color="auto"/>
          <w:color w:val="auto"/>
        </w:rPr>
      </w:pPr>
      <w:hyperlink w:anchor="page102">
        <w:r>
          <w:rPr>
            <w:rFonts w:ascii="Arial" w:cs="Arial" w:eastAsia="Arial" w:hAnsi="Arial"/>
            <w:sz w:val="18"/>
            <w:szCs w:val="18"/>
            <w:b w:val="1"/>
            <w:bCs w:val="1"/>
            <w:u w:val="single" w:color="auto"/>
            <w:color w:val="auto"/>
          </w:rPr>
          <w:t>Item 11. 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154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815465" cy="8890"/>
                    </a:xfrm>
                    <a:prstGeom prst="rect">
                      <a:avLst/>
                    </a:prstGeom>
                    <a:noFill/>
                  </pic:spPr>
                </pic:pic>
              </a:graphicData>
            </a:graphic>
          </wp:anchor>
        </w:drawing>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190" w:lineRule="exact"/>
        <w:rPr>
          <w:sz w:val="20"/>
          <w:szCs w:val="20"/>
          <w:color w:val="auto"/>
        </w:rPr>
      </w:pPr>
    </w:p>
    <w:p>
      <w:pPr>
        <w:spacing w:after="0"/>
        <w:rPr>
          <w:rFonts w:ascii="Arial" w:cs="Arial" w:eastAsia="Arial" w:hAnsi="Arial"/>
          <w:sz w:val="18"/>
          <w:szCs w:val="18"/>
          <w:b w:val="1"/>
          <w:bCs w:val="1"/>
          <w:u w:val="single" w:color="auto"/>
          <w:color w:val="auto"/>
        </w:rPr>
      </w:pPr>
      <w:hyperlink w:anchor="page102">
        <w:r>
          <w:rPr>
            <w:rFonts w:ascii="Arial" w:cs="Arial" w:eastAsia="Arial" w:hAnsi="Arial"/>
            <w:sz w:val="18"/>
            <w:szCs w:val="18"/>
            <w:b w:val="1"/>
            <w:bCs w:val="1"/>
            <w:u w:val="single" w:color="auto"/>
            <w:color w:val="auto"/>
          </w:rPr>
          <w:t>Item 12. Security Ownership of Certain Beneficial Owners and Management and Related Shareholder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8985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98515" cy="8890"/>
                    </a:xfrm>
                    <a:prstGeom prst="rect">
                      <a:avLst/>
                    </a:prstGeom>
                    <a:noFill/>
                  </pic:spPr>
                </pic:pic>
              </a:graphicData>
            </a:graphic>
          </wp:anchor>
        </w:drawing>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190" w:lineRule="exact"/>
        <w:rPr>
          <w:sz w:val="20"/>
          <w:szCs w:val="20"/>
          <w:color w:val="auto"/>
        </w:rPr>
      </w:pPr>
    </w:p>
    <w:p>
      <w:pPr>
        <w:spacing w:after="0"/>
        <w:rPr>
          <w:rFonts w:ascii="Arial" w:cs="Arial" w:eastAsia="Arial" w:hAnsi="Arial"/>
          <w:sz w:val="18"/>
          <w:szCs w:val="18"/>
          <w:b w:val="1"/>
          <w:bCs w:val="1"/>
          <w:u w:val="single" w:color="auto"/>
          <w:color w:val="auto"/>
        </w:rPr>
      </w:pPr>
      <w:hyperlink w:anchor="page102">
        <w:r>
          <w:rPr>
            <w:rFonts w:ascii="Arial" w:cs="Arial" w:eastAsia="Arial" w:hAnsi="Arial"/>
            <w:sz w:val="18"/>
            <w:szCs w:val="18"/>
            <w:b w:val="1"/>
            <w:bCs w:val="1"/>
            <w:u w:val="single" w:color="auto"/>
            <w:color w:val="auto"/>
          </w:rPr>
          <w:t>Item 13. Certain Relationships and Related Transactions, and Director Independence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58406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584065" cy="8890"/>
                    </a:xfrm>
                    <a:prstGeom prst="rect">
                      <a:avLst/>
                    </a:prstGeom>
                    <a:noFill/>
                  </pic:spPr>
                </pic:pic>
              </a:graphicData>
            </a:graphic>
          </wp:anchor>
        </w:drawing>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190" w:lineRule="exact"/>
        <w:rPr>
          <w:sz w:val="20"/>
          <w:szCs w:val="20"/>
          <w:color w:val="auto"/>
        </w:rPr>
      </w:pPr>
    </w:p>
    <w:p>
      <w:pPr>
        <w:spacing w:after="0"/>
        <w:rPr>
          <w:rFonts w:ascii="Arial" w:cs="Arial" w:eastAsia="Arial" w:hAnsi="Arial"/>
          <w:sz w:val="18"/>
          <w:szCs w:val="18"/>
          <w:b w:val="1"/>
          <w:bCs w:val="1"/>
          <w:u w:val="single" w:color="auto"/>
          <w:color w:val="auto"/>
        </w:rPr>
      </w:pPr>
      <w:hyperlink w:anchor="page102">
        <w:r>
          <w:rPr>
            <w:rFonts w:ascii="Arial" w:cs="Arial" w:eastAsia="Arial" w:hAnsi="Arial"/>
            <w:sz w:val="18"/>
            <w:szCs w:val="18"/>
            <w:b w:val="1"/>
            <w:bCs w:val="1"/>
            <w:u w:val="single" w:color="auto"/>
            <w:color w:val="auto"/>
          </w:rPr>
          <w:t>Item 14. Principal Accountant Fees and Services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6289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28900" cy="8890"/>
                    </a:xfrm>
                    <a:prstGeom prst="rect">
                      <a:avLst/>
                    </a:prstGeom>
                    <a:noFill/>
                  </pic:spPr>
                </pic:pic>
              </a:graphicData>
            </a:graphic>
          </wp:anchor>
        </w:drawing>
      </w:r>
    </w:p>
    <w:p>
      <w:pPr>
        <w:spacing w:after="0" w:line="214" w:lineRule="exact"/>
        <w:rPr>
          <w:sz w:val="20"/>
          <w:szCs w:val="20"/>
          <w:color w:val="auto"/>
        </w:rPr>
      </w:pPr>
    </w:p>
    <w:p>
      <w:pPr>
        <w:jc w:val="center"/>
        <w:ind w:right="100"/>
        <w:spacing w:after="0" w:line="371" w:lineRule="auto"/>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rFonts w:ascii="Arial" w:cs="Arial" w:eastAsia="Arial" w:hAnsi="Arial"/>
          <w:sz w:val="18"/>
          <w:szCs w:val="18"/>
          <w:b w:val="1"/>
          <w:bCs w:val="1"/>
          <w:u w:val="single" w:color="auto"/>
          <w:color w:val="auto"/>
        </w:rPr>
      </w:pPr>
      <w:hyperlink w:anchor="page103">
        <w:r>
          <w:rPr>
            <w:rFonts w:ascii="Arial" w:cs="Arial" w:eastAsia="Arial" w:hAnsi="Arial"/>
            <w:sz w:val="18"/>
            <w:szCs w:val="18"/>
            <w:b w:val="1"/>
            <w:bCs w:val="1"/>
            <w:u w:val="single" w:color="auto"/>
            <w:color w:val="auto"/>
          </w:rPr>
          <w:t>Item 15. Exhibits and Financial Statement Schedules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8505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5051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Consolidated Financial Statements: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consolidated financial statements are included in Part II, Item 8, "Financial Statements and Supplementary Data."</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Index to Financial Statement Schedules:</w:t>
      </w:r>
    </w:p>
    <w:p>
      <w:pPr>
        <w:spacing w:after="0" w:line="104" w:lineRule="exact"/>
        <w:rPr>
          <w:sz w:val="20"/>
          <w:szCs w:val="20"/>
          <w:color w:val="auto"/>
        </w:rPr>
      </w:pPr>
    </w:p>
    <w:p>
      <w:pPr>
        <w:ind w:left="520" w:right="100" w:firstLine="509"/>
        <w:spacing w:after="0" w:line="246" w:lineRule="auto"/>
        <w:rPr>
          <w:sz w:val="20"/>
          <w:szCs w:val="20"/>
          <w:color w:val="auto"/>
        </w:rPr>
      </w:pPr>
      <w:r>
        <w:rPr>
          <w:rFonts w:ascii="Arial" w:cs="Arial" w:eastAsia="Arial" w:hAnsi="Arial"/>
          <w:sz w:val="18"/>
          <w:szCs w:val="18"/>
          <w:color w:val="auto"/>
        </w:rPr>
        <w:t>All schedules have been omitted because the required information is included in the consolidated financial statements or notes, thereto, or because it is not required.</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 Index to Exhibits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exhibits listed under Part (b)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Incorporated by Reference</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42"/>
        </w:trPr>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Exhibit</w:t>
            </w: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gridSpan w:val="17"/>
            <w:vMerge w:val="restart"/>
          </w:tcPr>
          <w:p>
            <w:pPr>
              <w:ind w:left="240"/>
              <w:spacing w:after="0"/>
              <w:rPr>
                <w:sz w:val="20"/>
                <w:szCs w:val="20"/>
                <w:color w:val="auto"/>
              </w:rPr>
            </w:pPr>
            <w:r>
              <w:rPr>
                <w:rFonts w:ascii="Arial" w:cs="Arial" w:eastAsia="Arial" w:hAnsi="Arial"/>
                <w:sz w:val="16"/>
                <w:szCs w:val="16"/>
                <w:b w:val="1"/>
                <w:bCs w:val="1"/>
                <w:color w:val="auto"/>
              </w:rPr>
              <w:t>Description</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Form</w:t>
            </w:r>
          </w:p>
        </w:tc>
        <w:tc>
          <w:tcPr>
            <w:tcW w:w="132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File No.</w:t>
            </w:r>
          </w:p>
        </w:tc>
        <w:tc>
          <w:tcPr>
            <w:tcW w:w="84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rPr>
              <w:t>Exhibit</w:t>
            </w: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17"/>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55"/>
        </w:trPr>
        <w:tc>
          <w:tcPr>
            <w:tcW w:w="1080" w:type="dxa"/>
            <w:vAlign w:val="bottom"/>
          </w:tcPr>
          <w:p>
            <w:pPr>
              <w:jc w:val="center"/>
              <w:spacing w:after="0" w:line="155" w:lineRule="exact"/>
              <w:rPr>
                <w:sz w:val="20"/>
                <w:szCs w:val="20"/>
                <w:color w:val="auto"/>
              </w:rPr>
            </w:pPr>
            <w:r>
              <w:rPr>
                <w:rFonts w:ascii="Arial" w:cs="Arial" w:eastAsia="Arial" w:hAnsi="Arial"/>
                <w:sz w:val="16"/>
                <w:szCs w:val="16"/>
                <w:color w:val="auto"/>
                <w:w w:val="98"/>
              </w:rPr>
              <w:t>2.1</w:t>
            </w:r>
          </w:p>
        </w:tc>
        <w:tc>
          <w:tcPr>
            <w:tcW w:w="4240" w:type="dxa"/>
            <w:vAlign w:val="bottom"/>
            <w:gridSpan w:val="19"/>
          </w:tcPr>
          <w:p>
            <w:pPr>
              <w:spacing w:after="0" w:line="155" w:lineRule="exact"/>
              <w:rPr>
                <w:rFonts w:ascii="Arial" w:cs="Arial" w:eastAsia="Arial" w:hAnsi="Arial"/>
                <w:sz w:val="16"/>
                <w:szCs w:val="16"/>
                <w:color w:val="0000FF"/>
              </w:rPr>
            </w:pPr>
            <w:hyperlink r:id="rId396">
              <w:r>
                <w:rPr>
                  <w:rFonts w:ascii="Arial" w:cs="Arial" w:eastAsia="Arial" w:hAnsi="Arial"/>
                  <w:sz w:val="16"/>
                  <w:szCs w:val="16"/>
                  <w:color w:val="0000FF"/>
                </w:rPr>
                <w:t>Agreement and Plan of Merger, dated as of August 9,</w:t>
              </w:r>
            </w:hyperlink>
          </w:p>
        </w:tc>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396">
              <w:r>
                <w:rPr>
                  <w:rFonts w:ascii="Arial" w:cs="Arial" w:eastAsia="Arial" w:hAnsi="Arial"/>
                  <w:sz w:val="16"/>
                  <w:szCs w:val="16"/>
                  <w:color w:val="0000FF"/>
                </w:rPr>
                <w:t>2021, by and among Paymentus Holdings, Inc.,</w:t>
              </w:r>
            </w:hyperlink>
          </w:p>
        </w:tc>
        <w:tc>
          <w:tcPr>
            <w:tcW w:w="420" w:type="dxa"/>
            <w:vAlign w:val="bottom"/>
            <w:tcBorders>
              <w:top w:val="single" w:sz="8" w:color="0000FF"/>
            </w:tcBorders>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740" w:type="dxa"/>
            <w:vAlign w:val="bottom"/>
            <w:tcBorders>
              <w:bottom w:val="single" w:sz="8" w:color="0000FF"/>
            </w:tcBorders>
            <w:gridSpan w:val="11"/>
          </w:tcPr>
          <w:p>
            <w:pPr>
              <w:spacing w:after="0" w:line="142" w:lineRule="exact"/>
              <w:rPr>
                <w:rFonts w:ascii="Arial" w:cs="Arial" w:eastAsia="Arial" w:hAnsi="Arial"/>
                <w:sz w:val="16"/>
                <w:szCs w:val="16"/>
                <w:color w:val="0000FF"/>
              </w:rPr>
            </w:pPr>
            <w:hyperlink r:id="rId396">
              <w:r>
                <w:rPr>
                  <w:rFonts w:ascii="Arial" w:cs="Arial" w:eastAsia="Arial" w:hAnsi="Arial"/>
                  <w:sz w:val="16"/>
                  <w:szCs w:val="16"/>
                  <w:color w:val="0000FF"/>
                </w:rPr>
                <w:t>Paymentus Group, Inc., Peacock Merger Sub, LLC,</w:t>
              </w:r>
            </w:hyperlink>
          </w:p>
        </w:tc>
        <w:tc>
          <w:tcPr>
            <w:tcW w:w="50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240" w:type="dxa"/>
            <w:vAlign w:val="bottom"/>
            <w:gridSpan w:val="19"/>
          </w:tcPr>
          <w:p>
            <w:pPr>
              <w:spacing w:after="0" w:line="142" w:lineRule="exact"/>
              <w:rPr>
                <w:rFonts w:ascii="Arial" w:cs="Arial" w:eastAsia="Arial" w:hAnsi="Arial"/>
                <w:sz w:val="16"/>
                <w:szCs w:val="16"/>
                <w:color w:val="0000FF"/>
              </w:rPr>
            </w:pPr>
            <w:hyperlink r:id="rId396">
              <w:r>
                <w:rPr>
                  <w:rFonts w:ascii="Arial" w:cs="Arial" w:eastAsia="Arial" w:hAnsi="Arial"/>
                  <w:sz w:val="16"/>
                  <w:szCs w:val="16"/>
                  <w:color w:val="0000FF"/>
                </w:rPr>
                <w:t>Payveris, LLC and Shareholder Representative Services</w:t>
              </w:r>
            </w:hyperlink>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001-40429</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8"/>
              </w:rPr>
              <w:t>2.1</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rPr>
              <w:t>November 10, 2021</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1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396">
              <w:r>
                <w:rPr>
                  <w:rFonts w:ascii="Arial" w:cs="Arial" w:eastAsia="Arial" w:hAnsi="Arial"/>
                  <w:sz w:val="16"/>
                  <w:szCs w:val="16"/>
                  <w:color w:val="0000FF"/>
                </w:rPr>
                <w:t>LLC, as the equityholders' representative</w:t>
              </w:r>
            </w:hyperlink>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240" w:type="dxa"/>
            <w:vAlign w:val="bottom"/>
            <w:gridSpan w:val="19"/>
          </w:tcPr>
          <w:p>
            <w:pPr>
              <w:spacing w:after="0"/>
              <w:rPr>
                <w:rFonts w:ascii="Arial" w:cs="Arial" w:eastAsia="Arial" w:hAnsi="Arial"/>
                <w:sz w:val="16"/>
                <w:szCs w:val="16"/>
                <w:color w:val="0000FF"/>
              </w:rPr>
            </w:pPr>
            <w:hyperlink r:id="rId397">
              <w:r>
                <w:rPr>
                  <w:rFonts w:ascii="Arial" w:cs="Arial" w:eastAsia="Arial" w:hAnsi="Arial"/>
                  <w:sz w:val="16"/>
                  <w:szCs w:val="16"/>
                  <w:color w:val="0000FF"/>
                </w:rPr>
                <w:t>Amended and Restated Certificate of Incorporation of</w:t>
              </w:r>
            </w:hyperlink>
          </w:p>
        </w:tc>
        <w:tc>
          <w:tcPr>
            <w:tcW w:w="960" w:type="dxa"/>
            <w:vAlign w:val="bottom"/>
          </w:tcPr>
          <w:p>
            <w:pPr>
              <w:jc w:val="center"/>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4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8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397">
              <w:r>
                <w:rPr>
                  <w:rFonts w:ascii="Arial" w:cs="Arial" w:eastAsia="Arial" w:hAnsi="Arial"/>
                  <w:sz w:val="16"/>
                  <w:szCs w:val="16"/>
                  <w:color w:val="0000FF"/>
                </w:rPr>
                <w:t>Paymentus Holdings, Inc.</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240" w:type="dxa"/>
            <w:vAlign w:val="bottom"/>
            <w:gridSpan w:val="19"/>
          </w:tcPr>
          <w:p>
            <w:pPr>
              <w:spacing w:after="0"/>
              <w:rPr>
                <w:rFonts w:ascii="Arial" w:cs="Arial" w:eastAsia="Arial" w:hAnsi="Arial"/>
                <w:sz w:val="16"/>
                <w:szCs w:val="16"/>
                <w:color w:val="0000FF"/>
              </w:rPr>
            </w:pPr>
            <w:hyperlink r:id="rId398">
              <w:r>
                <w:rPr>
                  <w:rFonts w:ascii="Arial" w:cs="Arial" w:eastAsia="Arial" w:hAnsi="Arial"/>
                  <w:sz w:val="16"/>
                  <w:szCs w:val="16"/>
                  <w:color w:val="0000FF"/>
                </w:rPr>
                <w:t>Amended and Restated Bylaws of Paymentus Holdings,</w:t>
              </w:r>
            </w:hyperlink>
          </w:p>
        </w:tc>
        <w:tc>
          <w:tcPr>
            <w:tcW w:w="960" w:type="dxa"/>
            <w:vAlign w:val="bottom"/>
          </w:tcPr>
          <w:p>
            <w:pPr>
              <w:jc w:val="center"/>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54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0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398">
              <w:r>
                <w:rPr>
                  <w:rFonts w:ascii="Arial" w:cs="Arial" w:eastAsia="Arial" w:hAnsi="Arial"/>
                  <w:sz w:val="16"/>
                  <w:szCs w:val="16"/>
                  <w:color w:val="0000FF"/>
                </w:rPr>
                <w:t>Inc.</w:t>
              </w:r>
            </w:hyperlink>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3100" w:type="dxa"/>
            <w:vAlign w:val="bottom"/>
            <w:tcBorders>
              <w:bottom w:val="single" w:sz="8" w:color="0000FF"/>
            </w:tcBorders>
            <w:gridSpan w:val="8"/>
          </w:tcPr>
          <w:p>
            <w:pPr>
              <w:spacing w:after="0"/>
              <w:rPr>
                <w:rFonts w:ascii="Arial" w:cs="Arial" w:eastAsia="Arial" w:hAnsi="Arial"/>
                <w:sz w:val="16"/>
                <w:szCs w:val="16"/>
                <w:color w:val="0000FF"/>
              </w:rPr>
            </w:pPr>
            <w:hyperlink r:id="rId399">
              <w:r>
                <w:rPr>
                  <w:rFonts w:ascii="Arial" w:cs="Arial" w:eastAsia="Arial" w:hAnsi="Arial"/>
                  <w:sz w:val="16"/>
                  <w:szCs w:val="16"/>
                  <w:color w:val="0000FF"/>
                </w:rPr>
                <w:t>Form of Class A Common Stock Certificate</w:t>
              </w:r>
            </w:hyperlink>
          </w:p>
        </w:tc>
        <w:tc>
          <w:tcPr>
            <w:tcW w:w="20" w:type="dxa"/>
            <w:vAlign w:val="bottom"/>
            <w:tcBorders>
              <w:bottom w:val="single" w:sz="8" w:color="0000EE"/>
            </w:tcBorders>
          </w:tcPr>
          <w:p>
            <w:pPr>
              <w:spacing w:after="0"/>
              <w:rPr>
                <w:sz w:val="24"/>
                <w:szCs w:val="24"/>
                <w:color w:val="auto"/>
              </w:rPr>
            </w:pPr>
          </w:p>
        </w:tc>
        <w:tc>
          <w:tcPr>
            <w:tcW w:w="1120" w:type="dxa"/>
            <w:vAlign w:val="bottom"/>
            <w:gridSpan w:val="10"/>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13,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240" w:type="dxa"/>
            <w:vAlign w:val="bottom"/>
            <w:gridSpan w:val="19"/>
          </w:tcPr>
          <w:p>
            <w:pPr>
              <w:spacing w:after="0"/>
              <w:rPr>
                <w:rFonts w:ascii="Arial" w:cs="Arial" w:eastAsia="Arial" w:hAnsi="Arial"/>
                <w:sz w:val="16"/>
                <w:szCs w:val="16"/>
                <w:color w:val="0000FF"/>
              </w:rPr>
            </w:pPr>
            <w:hyperlink r:id="rId400">
              <w:r>
                <w:rPr>
                  <w:rFonts w:ascii="Arial" w:cs="Arial" w:eastAsia="Arial" w:hAnsi="Arial"/>
                  <w:sz w:val="16"/>
                  <w:szCs w:val="16"/>
                  <w:color w:val="0000FF"/>
                </w:rPr>
                <w:t>Registration Rights Agreement, dated as of May 24, 2021,</w:t>
              </w:r>
            </w:hyperlink>
          </w:p>
        </w:tc>
        <w:tc>
          <w:tcPr>
            <w:tcW w:w="960" w:type="dxa"/>
            <w:vAlign w:val="bottom"/>
          </w:tcPr>
          <w:p>
            <w:pPr>
              <w:jc w:val="center"/>
              <w:spacing w:after="0"/>
              <w:rPr>
                <w:sz w:val="20"/>
                <w:szCs w:val="20"/>
                <w:color w:val="auto"/>
              </w:rPr>
            </w:pPr>
            <w:r>
              <w:rPr>
                <w:rFonts w:ascii="Arial" w:cs="Arial" w:eastAsia="Arial" w:hAnsi="Arial"/>
                <w:sz w:val="16"/>
                <w:szCs w:val="16"/>
                <w:color w:val="auto"/>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4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2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400">
              <w:r>
                <w:rPr>
                  <w:rFonts w:ascii="Arial" w:cs="Arial" w:eastAsia="Arial" w:hAnsi="Arial"/>
                  <w:sz w:val="16"/>
                  <w:szCs w:val="16"/>
                  <w:color w:val="0000FF"/>
                </w:rPr>
                <w:t>by and among Paymentus Holdings, Inc. and the other</w:t>
              </w:r>
            </w:hyperlink>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440" w:type="dxa"/>
            <w:vAlign w:val="bottom"/>
            <w:tcBorders>
              <w:top w:val="single" w:sz="8" w:color="0000FF"/>
              <w:bottom w:val="single" w:sz="8" w:color="0000EE"/>
            </w:tcBorders>
            <w:gridSpan w:val="2"/>
          </w:tcPr>
          <w:p>
            <w:pPr>
              <w:spacing w:after="0" w:line="142" w:lineRule="exact"/>
              <w:rPr>
                <w:rFonts w:ascii="Arial" w:cs="Arial" w:eastAsia="Arial" w:hAnsi="Arial"/>
                <w:sz w:val="16"/>
                <w:szCs w:val="16"/>
                <w:color w:val="0000FF"/>
              </w:rPr>
            </w:pPr>
            <w:hyperlink r:id="rId400">
              <w:r>
                <w:rPr>
                  <w:rFonts w:ascii="Arial" w:cs="Arial" w:eastAsia="Arial" w:hAnsi="Arial"/>
                  <w:sz w:val="16"/>
                  <w:szCs w:val="16"/>
                  <w:color w:val="0000FF"/>
                </w:rPr>
                <w:t>signatories thereto</w:t>
              </w:r>
            </w:hyperlink>
          </w:p>
        </w:tc>
        <w:tc>
          <w:tcPr>
            <w:tcW w:w="25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8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760" w:type="dxa"/>
            <w:vAlign w:val="bottom"/>
            <w:tcBorders>
              <w:bottom w:val="single" w:sz="8" w:color="0000FF"/>
            </w:tcBorders>
            <w:gridSpan w:val="3"/>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Description of Securities</w:t>
              </w:r>
            </w:hyperlink>
          </w:p>
        </w:tc>
        <w:tc>
          <w:tcPr>
            <w:tcW w:w="80" w:type="dxa"/>
            <w:vAlign w:val="bottom"/>
            <w:tcBorders>
              <w:bottom w:val="single" w:sz="8" w:color="0000EE"/>
            </w:tcBorders>
          </w:tcPr>
          <w:p>
            <w:pPr>
              <w:spacing w:after="0"/>
              <w:rPr>
                <w:sz w:val="24"/>
                <w:szCs w:val="24"/>
                <w:color w:val="auto"/>
              </w:rPr>
            </w:pPr>
          </w:p>
        </w:tc>
        <w:tc>
          <w:tcPr>
            <w:tcW w:w="2400" w:type="dxa"/>
            <w:vAlign w:val="bottom"/>
            <w:gridSpan w:val="15"/>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4240" w:type="dxa"/>
            <w:vAlign w:val="bottom"/>
            <w:gridSpan w:val="19"/>
          </w:tcPr>
          <w:p>
            <w:pPr>
              <w:spacing w:after="0"/>
              <w:rPr>
                <w:rFonts w:ascii="Arial" w:cs="Arial" w:eastAsia="Arial" w:hAnsi="Arial"/>
                <w:sz w:val="16"/>
                <w:szCs w:val="16"/>
                <w:color w:val="0000FF"/>
              </w:rPr>
            </w:pPr>
            <w:hyperlink r:id="rId401">
              <w:r>
                <w:rPr>
                  <w:rFonts w:ascii="Arial" w:cs="Arial" w:eastAsia="Arial" w:hAnsi="Arial"/>
                  <w:sz w:val="16"/>
                  <w:szCs w:val="16"/>
                  <w:color w:val="0000FF"/>
                </w:rPr>
                <w:t>Form of Director and Officer Indemnification Agreement</w:t>
              </w:r>
            </w:hyperlink>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13,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jc w:val="center"/>
              <w:ind w:right="39"/>
              <w:spacing w:after="0"/>
              <w:rPr>
                <w:sz w:val="20"/>
                <w:szCs w:val="20"/>
                <w:color w:val="auto"/>
              </w:rPr>
            </w:pPr>
            <w:r>
              <w:rPr>
                <w:rFonts w:ascii="Arial" w:cs="Arial" w:eastAsia="Arial" w:hAnsi="Arial"/>
                <w:sz w:val="16"/>
                <w:szCs w:val="16"/>
                <w:color w:val="auto"/>
                <w:w w:val="98"/>
              </w:rPr>
              <w:t>10.2+</w:t>
            </w:r>
          </w:p>
        </w:tc>
        <w:tc>
          <w:tcPr>
            <w:tcW w:w="4060" w:type="dxa"/>
            <w:vAlign w:val="bottom"/>
            <w:tcBorders>
              <w:bottom w:val="single" w:sz="8" w:color="0000FF"/>
            </w:tcBorders>
            <w:gridSpan w:val="15"/>
          </w:tcPr>
          <w:p>
            <w:pPr>
              <w:spacing w:after="0"/>
              <w:rPr>
                <w:rFonts w:ascii="Arial" w:cs="Arial" w:eastAsia="Arial" w:hAnsi="Arial"/>
                <w:sz w:val="16"/>
                <w:szCs w:val="16"/>
                <w:color w:val="0000FF"/>
              </w:rPr>
            </w:pPr>
            <w:hyperlink r:id="rId402">
              <w:r>
                <w:rPr>
                  <w:rFonts w:ascii="Arial" w:cs="Arial" w:eastAsia="Arial" w:hAnsi="Arial"/>
                  <w:sz w:val="16"/>
                  <w:szCs w:val="16"/>
                  <w:color w:val="0000FF"/>
                </w:rPr>
                <w:t>2012 Equity Incentive Plan and related form agreements</w:t>
              </w:r>
            </w:hyperlink>
          </w:p>
        </w:tc>
        <w:tc>
          <w:tcPr>
            <w:tcW w:w="18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rPr>
              <w:t>10.2</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ind w:right="39"/>
              <w:spacing w:after="0"/>
              <w:rPr>
                <w:sz w:val="20"/>
                <w:szCs w:val="20"/>
                <w:color w:val="auto"/>
              </w:rPr>
            </w:pPr>
            <w:r>
              <w:rPr>
                <w:rFonts w:ascii="Arial" w:cs="Arial" w:eastAsia="Arial" w:hAnsi="Arial"/>
                <w:sz w:val="16"/>
                <w:szCs w:val="16"/>
                <w:color w:val="auto"/>
                <w:w w:val="98"/>
              </w:rPr>
              <w:t>10.4+</w:t>
            </w:r>
          </w:p>
        </w:tc>
        <w:tc>
          <w:tcPr>
            <w:tcW w:w="4240" w:type="dxa"/>
            <w:vAlign w:val="bottom"/>
            <w:gridSpan w:val="19"/>
          </w:tcPr>
          <w:p>
            <w:pPr>
              <w:spacing w:after="0"/>
              <w:rPr>
                <w:rFonts w:ascii="Arial" w:cs="Arial" w:eastAsia="Arial" w:hAnsi="Arial"/>
                <w:sz w:val="16"/>
                <w:szCs w:val="16"/>
                <w:color w:val="0000FF"/>
              </w:rPr>
            </w:pPr>
            <w:hyperlink r:id="rId403">
              <w:r>
                <w:rPr>
                  <w:rFonts w:ascii="Arial" w:cs="Arial" w:eastAsia="Arial" w:hAnsi="Arial"/>
                  <w:sz w:val="16"/>
                  <w:szCs w:val="16"/>
                  <w:color w:val="0000FF"/>
                </w:rPr>
                <w:t>Executive Incentive Compensation Plan</w:t>
              </w:r>
            </w:hyperlink>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10.4</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ind w:right="39"/>
              <w:spacing w:after="0"/>
              <w:rPr>
                <w:sz w:val="20"/>
                <w:szCs w:val="20"/>
                <w:color w:val="auto"/>
              </w:rPr>
            </w:pPr>
            <w:r>
              <w:rPr>
                <w:rFonts w:ascii="Arial" w:cs="Arial" w:eastAsia="Arial" w:hAnsi="Arial"/>
                <w:sz w:val="16"/>
                <w:szCs w:val="16"/>
                <w:color w:val="auto"/>
                <w:w w:val="98"/>
              </w:rPr>
              <w:t>10.5+</w:t>
            </w:r>
          </w:p>
        </w:tc>
        <w:tc>
          <w:tcPr>
            <w:tcW w:w="2860" w:type="dxa"/>
            <w:vAlign w:val="bottom"/>
            <w:tcBorders>
              <w:top w:val="single" w:sz="8" w:color="0000FF"/>
            </w:tcBorders>
            <w:gridSpan w:val="6"/>
          </w:tcPr>
          <w:p>
            <w:pPr>
              <w:spacing w:after="0"/>
              <w:rPr>
                <w:rFonts w:ascii="Arial" w:cs="Arial" w:eastAsia="Arial" w:hAnsi="Arial"/>
                <w:sz w:val="16"/>
                <w:szCs w:val="16"/>
                <w:color w:val="0000FF"/>
              </w:rPr>
            </w:pPr>
            <w:hyperlink r:id="rId404">
              <w:r>
                <w:rPr>
                  <w:rFonts w:ascii="Arial" w:cs="Arial" w:eastAsia="Arial" w:hAnsi="Arial"/>
                  <w:sz w:val="16"/>
                  <w:szCs w:val="16"/>
                  <w:color w:val="0000FF"/>
                </w:rPr>
                <w:t>Outside Director Compensation Policy</w:t>
              </w:r>
            </w:hyperlink>
          </w:p>
        </w:tc>
        <w:tc>
          <w:tcPr>
            <w:tcW w:w="1380" w:type="dxa"/>
            <w:vAlign w:val="bottom"/>
            <w:gridSpan w:val="13"/>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rPr>
              <w:t>10.5</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08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right"/>
              <w:ind w:right="418"/>
              <w:spacing w:after="0"/>
              <w:rPr>
                <w:sz w:val="20"/>
                <w:szCs w:val="20"/>
                <w:color w:val="auto"/>
              </w:rPr>
            </w:pPr>
            <w:r>
              <w:rPr>
                <w:rFonts w:ascii="Arial" w:cs="Arial" w:eastAsia="Arial" w:hAnsi="Arial"/>
                <w:sz w:val="18"/>
                <w:szCs w:val="18"/>
                <w:color w:val="auto"/>
              </w:rPr>
              <w:t>103</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Incorporated by Reference</w:t>
            </w:r>
          </w:p>
        </w:tc>
        <w:tc>
          <w:tcPr>
            <w:tcW w:w="1220" w:type="dxa"/>
            <w:vAlign w:val="bottom"/>
            <w:tcBorders>
              <w:bottom w:val="single" w:sz="8" w:color="auto"/>
            </w:tcBorders>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42"/>
        </w:trPr>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vMerge w:val="restart"/>
          </w:tcPr>
          <w:p>
            <w:pPr>
              <w:ind w:left="164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Form</w:t>
            </w:r>
          </w:p>
        </w:tc>
        <w:tc>
          <w:tcPr>
            <w:tcW w:w="11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File No.</w:t>
            </w:r>
          </w:p>
        </w:tc>
        <w:tc>
          <w:tcPr>
            <w:tcW w:w="12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Exhibit</w:t>
            </w:r>
          </w:p>
        </w:tc>
        <w:tc>
          <w:tcPr>
            <w:tcW w:w="12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42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bl>
    <w:p>
      <w:pPr>
        <w:spacing w:after="0" w:line="137" w:lineRule="exact"/>
        <w:rPr>
          <w:sz w:val="20"/>
          <w:szCs w:val="20"/>
          <w:color w:val="auto"/>
        </w:rPr>
      </w:pPr>
    </w:p>
    <w:p>
      <w:pPr>
        <w:sectPr>
          <w:pgSz w:w="11900" w:h="16838" w:orient="portrait"/>
          <w:cols w:equalWidth="0" w:num="1">
            <w:col w:w="11240"/>
          </w:cols>
          <w:pgMar w:left="320" w:top="324" w:right="339" w:bottom="1440" w:gutter="0" w:footer="0" w:header="0"/>
        </w:sectPr>
      </w:pPr>
    </w:p>
    <w:p>
      <w:pPr>
        <w:ind w:left="1180" w:right="220" w:hanging="904"/>
        <w:spacing w:after="0" w:line="232"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407">
        <w:r>
          <w:rPr>
            <w:rFonts w:ascii="Arial" w:cs="Arial" w:eastAsia="Arial" w:hAnsi="Arial"/>
            <w:sz w:val="16"/>
            <w:szCs w:val="16"/>
            <w:u w:val="single" w:color="auto"/>
            <w:color w:val="0000FF"/>
          </w:rPr>
          <w:t>Confirmatory Employment Letter by and between the</w:t>
        </w:r>
      </w:hyperlink>
      <w:r>
        <w:rPr>
          <w:rFonts w:ascii="Arial" w:cs="Arial" w:eastAsia="Arial" w:hAnsi="Arial"/>
          <w:sz w:val="16"/>
          <w:szCs w:val="16"/>
          <w:u w:val="single" w:color="auto"/>
          <w:color w:val="0000FF"/>
        </w:rPr>
        <w:t xml:space="preserve"> </w:t>
      </w:r>
      <w:hyperlink r:id="rId407">
        <w:r>
          <w:rPr>
            <w:rFonts w:ascii="Arial" w:cs="Arial" w:eastAsia="Arial" w:hAnsi="Arial"/>
            <w:sz w:val="16"/>
            <w:szCs w:val="16"/>
            <w:u w:val="single" w:color="auto"/>
            <w:color w:val="0000FF"/>
          </w:rPr>
          <w:t>registrant and Dushyant Sharma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-123825</wp:posOffset>
            </wp:positionV>
            <wp:extent cx="243586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2435860"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-20955</wp:posOffset>
            </wp:positionV>
            <wp:extent cx="14808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110" w:lineRule="exact"/>
        <w:rPr>
          <w:sz w:val="20"/>
          <w:szCs w:val="20"/>
          <w:color w:val="auto"/>
        </w:rPr>
      </w:pPr>
    </w:p>
    <w:p>
      <w:pPr>
        <w:ind w:left="1180" w:right="220" w:hanging="904"/>
        <w:spacing w:after="0" w:line="232"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410">
        <w:r>
          <w:rPr>
            <w:rFonts w:ascii="Arial" w:cs="Arial" w:eastAsia="Arial" w:hAnsi="Arial"/>
            <w:sz w:val="16"/>
            <w:szCs w:val="16"/>
            <w:u w:val="single" w:color="auto"/>
            <w:color w:val="0000FF"/>
          </w:rPr>
          <w:t>Confirmatory Employment Letter by and between the</w:t>
        </w:r>
      </w:hyperlink>
      <w:r>
        <w:rPr>
          <w:rFonts w:ascii="Arial" w:cs="Arial" w:eastAsia="Arial" w:hAnsi="Arial"/>
          <w:sz w:val="16"/>
          <w:szCs w:val="16"/>
          <w:u w:val="single" w:color="auto"/>
          <w:color w:val="0000FF"/>
        </w:rPr>
        <w:t xml:space="preserve"> </w:t>
      </w:r>
      <w:hyperlink r:id="rId410">
        <w:r>
          <w:rPr>
            <w:rFonts w:ascii="Arial" w:cs="Arial" w:eastAsia="Arial" w:hAnsi="Arial"/>
            <w:sz w:val="16"/>
            <w:szCs w:val="16"/>
            <w:u w:val="single" w:color="auto"/>
            <w:color w:val="0000FF"/>
          </w:rPr>
          <w:t>registrant and Matt Parson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-123825</wp:posOffset>
            </wp:positionV>
            <wp:extent cx="24358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243586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-20955</wp:posOffset>
            </wp:positionV>
            <wp:extent cx="12122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110" w:lineRule="exact"/>
        <w:rPr>
          <w:sz w:val="20"/>
          <w:szCs w:val="20"/>
          <w:color w:val="auto"/>
        </w:rPr>
      </w:pPr>
    </w:p>
    <w:p>
      <w:pPr>
        <w:ind w:left="1180" w:right="220" w:hanging="904"/>
        <w:spacing w:after="0" w:line="232"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10.8+</w:t>
      </w:r>
      <w:r>
        <w:rPr>
          <w:sz w:val="20"/>
          <w:szCs w:val="20"/>
          <w:color w:val="auto"/>
        </w:rPr>
        <w:tab/>
      </w:r>
      <w:hyperlink r:id="rId413">
        <w:r>
          <w:rPr>
            <w:rFonts w:ascii="Arial" w:cs="Arial" w:eastAsia="Arial" w:hAnsi="Arial"/>
            <w:sz w:val="16"/>
            <w:szCs w:val="16"/>
            <w:u w:val="single" w:color="auto"/>
            <w:color w:val="0000FF"/>
          </w:rPr>
          <w:t>Confirmatory Employment Letter by and between the</w:t>
        </w:r>
      </w:hyperlink>
      <w:r>
        <w:rPr>
          <w:rFonts w:ascii="Arial" w:cs="Arial" w:eastAsia="Arial" w:hAnsi="Arial"/>
          <w:sz w:val="16"/>
          <w:szCs w:val="16"/>
          <w:u w:val="single" w:color="auto"/>
          <w:color w:val="0000FF"/>
        </w:rPr>
        <w:t xml:space="preserve"> </w:t>
      </w:r>
      <w:hyperlink r:id="rId413">
        <w:r>
          <w:rPr>
            <w:rFonts w:ascii="Arial" w:cs="Arial" w:eastAsia="Arial" w:hAnsi="Arial"/>
            <w:sz w:val="16"/>
            <w:szCs w:val="16"/>
            <w:u w:val="single" w:color="auto"/>
            <w:color w:val="0000FF"/>
          </w:rPr>
          <w:t>registrant and John Morrow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-123825</wp:posOffset>
            </wp:positionV>
            <wp:extent cx="24358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243586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-20955</wp:posOffset>
            </wp:positionV>
            <wp:extent cx="12522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110" w:lineRule="exact"/>
        <w:rPr>
          <w:sz w:val="20"/>
          <w:szCs w:val="20"/>
          <w:color w:val="auto"/>
        </w:rPr>
      </w:pPr>
    </w:p>
    <w:p>
      <w:pPr>
        <w:ind w:left="1180" w:right="220" w:hanging="904"/>
        <w:spacing w:after="0" w:line="232"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10.9+</w:t>
      </w:r>
      <w:r>
        <w:rPr>
          <w:sz w:val="20"/>
          <w:szCs w:val="20"/>
          <w:color w:val="auto"/>
        </w:rPr>
        <w:tab/>
      </w:r>
      <w:hyperlink w:anchor="page114">
        <w:r>
          <w:rPr>
            <w:rFonts w:ascii="Arial" w:cs="Arial" w:eastAsia="Arial" w:hAnsi="Arial"/>
            <w:sz w:val="16"/>
            <w:szCs w:val="16"/>
            <w:u w:val="single" w:color="auto"/>
            <w:color w:val="0000FF"/>
          </w:rPr>
          <w:t>Confirmatory Employment Letter by and between the</w:t>
        </w:r>
      </w:hyperlink>
      <w:r>
        <w:rPr>
          <w:rFonts w:ascii="Arial" w:cs="Arial" w:eastAsia="Arial" w:hAnsi="Arial"/>
          <w:sz w:val="16"/>
          <w:szCs w:val="16"/>
          <w:u w:val="single" w:color="auto"/>
          <w:color w:val="0000FF"/>
        </w:rPr>
        <w:t xml:space="preserve"> </w:t>
      </w:r>
      <w:hyperlink w:anchor="page114">
        <w:r>
          <w:rPr>
            <w:rFonts w:ascii="Arial" w:cs="Arial" w:eastAsia="Arial" w:hAnsi="Arial"/>
            <w:sz w:val="16"/>
            <w:szCs w:val="16"/>
            <w:u w:val="single" w:color="auto"/>
            <w:color w:val="0000FF"/>
          </w:rPr>
          <w:t>registrant and Gerasimos (Jerry) Portocalis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-123825</wp:posOffset>
            </wp:positionV>
            <wp:extent cx="24358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243586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-20955</wp:posOffset>
            </wp:positionV>
            <wp:extent cx="19608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110" w:lineRule="exact"/>
        <w:rPr>
          <w:sz w:val="20"/>
          <w:szCs w:val="20"/>
          <w:color w:val="auto"/>
        </w:rPr>
      </w:pPr>
    </w:p>
    <w:p>
      <w:pPr>
        <w:ind w:left="1180" w:right="200" w:hanging="926"/>
        <w:spacing w:after="0" w:line="232"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418">
        <w:r>
          <w:rPr>
            <w:rFonts w:ascii="Arial" w:cs="Arial" w:eastAsia="Arial" w:hAnsi="Arial"/>
            <w:sz w:val="16"/>
            <w:szCs w:val="16"/>
            <w:u w:val="single" w:color="auto"/>
            <w:color w:val="0000FF"/>
          </w:rPr>
          <w:t>Change in Control and Severance Agreement by and</w:t>
        </w:r>
      </w:hyperlink>
      <w:r>
        <w:rPr>
          <w:rFonts w:ascii="Arial" w:cs="Arial" w:eastAsia="Arial" w:hAnsi="Arial"/>
          <w:sz w:val="16"/>
          <w:szCs w:val="16"/>
          <w:u w:val="single" w:color="auto"/>
          <w:color w:val="0000FF"/>
        </w:rPr>
        <w:t xml:space="preserve"> </w:t>
      </w:r>
      <w:hyperlink r:id="rId418">
        <w:r>
          <w:rPr>
            <w:rFonts w:ascii="Arial" w:cs="Arial" w:eastAsia="Arial" w:hAnsi="Arial"/>
            <w:sz w:val="16"/>
            <w:szCs w:val="16"/>
            <w:u w:val="single" w:color="auto"/>
            <w:color w:val="0000FF"/>
          </w:rPr>
          <w:t>between the registrant and Dushyant Sharma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-123825</wp:posOffset>
            </wp:positionV>
            <wp:extent cx="24472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244729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-20955</wp:posOffset>
            </wp:positionV>
            <wp:extent cx="20701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2070100" cy="8890"/>
                    </a:xfrm>
                    <a:prstGeom prst="rect">
                      <a:avLst/>
                    </a:prstGeom>
                    <a:noFill/>
                  </pic:spPr>
                </pic:pic>
              </a:graphicData>
            </a:graphic>
          </wp:anchor>
        </w:drawing>
      </w:r>
    </w:p>
    <w:p>
      <w:pPr>
        <w:spacing w:after="0" w:line="88" w:lineRule="exact"/>
        <w:rPr>
          <w:sz w:val="20"/>
          <w:szCs w:val="20"/>
          <w:color w:val="auto"/>
        </w:rPr>
      </w:pPr>
    </w:p>
    <w:p>
      <w:pPr>
        <w:ind w:left="26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421">
        <w:r>
          <w:rPr>
            <w:rFonts w:ascii="Arial" w:cs="Arial" w:eastAsia="Arial" w:hAnsi="Arial"/>
            <w:sz w:val="16"/>
            <w:szCs w:val="16"/>
            <w:u w:val="single" w:color="auto"/>
            <w:color w:val="0000FF"/>
          </w:rPr>
          <w:t>Change in Control and Severance Agreement by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-635</wp:posOffset>
            </wp:positionV>
            <wp:extent cx="24472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2447290" cy="8255"/>
                    </a:xfrm>
                    <a:prstGeom prst="rect">
                      <a:avLst/>
                    </a:prstGeom>
                    <a:noFill/>
                  </pic:spPr>
                </pic:pic>
              </a:graphicData>
            </a:graphic>
          </wp:anchor>
        </w:drawing>
      </w:r>
    </w:p>
    <w:p>
      <w:pPr>
        <w:jc w:val="center"/>
        <w:spacing w:after="0"/>
        <w:rPr>
          <w:rFonts w:ascii="Arial" w:cs="Arial" w:eastAsia="Arial" w:hAnsi="Arial"/>
          <w:sz w:val="16"/>
          <w:szCs w:val="16"/>
          <w:u w:val="single" w:color="auto"/>
          <w:color w:val="0000FF"/>
        </w:rPr>
      </w:pPr>
      <w:hyperlink r:id="rId421">
        <w:r>
          <w:rPr>
            <w:rFonts w:ascii="Arial" w:cs="Arial" w:eastAsia="Arial" w:hAnsi="Arial"/>
            <w:sz w:val="16"/>
            <w:szCs w:val="16"/>
            <w:u w:val="single" w:color="auto"/>
            <w:color w:val="0000FF"/>
          </w:rPr>
          <w:t>between the registrant and Matt Parson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-14605</wp:posOffset>
            </wp:positionV>
            <wp:extent cx="18008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98" w:lineRule="exact"/>
        <w:rPr>
          <w:sz w:val="20"/>
          <w:szCs w:val="20"/>
          <w:color w:val="auto"/>
        </w:rPr>
      </w:pPr>
    </w:p>
    <w:p>
      <w:pPr>
        <w:ind w:left="28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424">
        <w:r>
          <w:rPr>
            <w:rFonts w:ascii="Arial" w:cs="Arial" w:eastAsia="Arial" w:hAnsi="Arial"/>
            <w:sz w:val="16"/>
            <w:szCs w:val="16"/>
            <w:u w:val="single" w:color="auto"/>
            <w:color w:val="0000FF"/>
          </w:rPr>
          <w:t>Change in Control and Severance Agreement by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-635</wp:posOffset>
            </wp:positionV>
            <wp:extent cx="24472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2447290" cy="8890"/>
                    </a:xfrm>
                    <a:prstGeom prst="rect">
                      <a:avLst/>
                    </a:prstGeom>
                    <a:noFill/>
                  </pic:spPr>
                </pic:pic>
              </a:graphicData>
            </a:graphic>
          </wp:anchor>
        </w:drawing>
      </w:r>
    </w:p>
    <w:p>
      <w:pPr>
        <w:jc w:val="center"/>
        <w:ind w:left="60"/>
        <w:spacing w:after="0"/>
        <w:rPr>
          <w:rFonts w:ascii="Arial" w:cs="Arial" w:eastAsia="Arial" w:hAnsi="Arial"/>
          <w:sz w:val="16"/>
          <w:szCs w:val="16"/>
          <w:u w:val="single" w:color="auto"/>
          <w:color w:val="0000FF"/>
        </w:rPr>
      </w:pPr>
      <w:hyperlink r:id="rId424">
        <w:r>
          <w:rPr>
            <w:rFonts w:ascii="Arial" w:cs="Arial" w:eastAsia="Arial" w:hAnsi="Arial"/>
            <w:sz w:val="16"/>
            <w:szCs w:val="16"/>
            <w:u w:val="single" w:color="auto"/>
            <w:color w:val="0000FF"/>
          </w:rPr>
          <w:t>between the registrant and John Morrow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-14605</wp:posOffset>
            </wp:positionV>
            <wp:extent cx="18415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1841500" cy="8255"/>
                    </a:xfrm>
                    <a:prstGeom prst="rect">
                      <a:avLst/>
                    </a:prstGeom>
                    <a:noFill/>
                  </pic:spPr>
                </pic:pic>
              </a:graphicData>
            </a:graphic>
          </wp:anchor>
        </w:drawing>
      </w:r>
    </w:p>
    <w:p>
      <w:pPr>
        <w:spacing w:after="0" w:line="120" w:lineRule="exact"/>
        <w:rPr>
          <w:sz w:val="20"/>
          <w:szCs w:val="20"/>
          <w:color w:val="auto"/>
        </w:rPr>
      </w:pPr>
    </w:p>
    <w:p>
      <w:pPr>
        <w:ind w:left="1180" w:hanging="926"/>
        <w:spacing w:after="0" w:line="232"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w:anchor="page118">
        <w:r>
          <w:rPr>
            <w:rFonts w:ascii="Arial" w:cs="Arial" w:eastAsia="Arial" w:hAnsi="Arial"/>
            <w:sz w:val="16"/>
            <w:szCs w:val="16"/>
            <w:u w:val="single" w:color="auto"/>
            <w:color w:val="0000FF"/>
          </w:rPr>
          <w:t>Change in Control and Severance Agreement by and</w:t>
        </w:r>
      </w:hyperlink>
      <w:r>
        <w:rPr>
          <w:rFonts w:ascii="Arial" w:cs="Arial" w:eastAsia="Arial" w:hAnsi="Arial"/>
          <w:sz w:val="16"/>
          <w:szCs w:val="16"/>
          <w:u w:val="single" w:color="auto"/>
          <w:color w:val="0000FF"/>
        </w:rPr>
        <w:t xml:space="preserve"> </w:t>
      </w:r>
      <w:hyperlink w:anchor="page118">
        <w:r>
          <w:rPr>
            <w:rFonts w:ascii="Arial" w:cs="Arial" w:eastAsia="Arial" w:hAnsi="Arial"/>
            <w:sz w:val="16"/>
            <w:szCs w:val="16"/>
            <w:u w:val="single" w:color="auto"/>
            <w:color w:val="0000FF"/>
          </w:rPr>
          <w:t>between the registrant and Gerasimos (Jerry) Portocalis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-123825</wp:posOffset>
            </wp:positionV>
            <wp:extent cx="24472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2447290"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-20955</wp:posOffset>
            </wp:positionV>
            <wp:extent cx="2550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2550160" cy="8255"/>
                    </a:xfrm>
                    <a:prstGeom prst="rect">
                      <a:avLst/>
                    </a:prstGeom>
                    <a:noFill/>
                  </pic:spPr>
                </pic:pic>
              </a:graphicData>
            </a:graphic>
          </wp:anchor>
        </w:drawing>
      </w:r>
    </w:p>
    <w:p>
      <w:pPr>
        <w:spacing w:after="0" w:line="110" w:lineRule="exact"/>
        <w:rPr>
          <w:sz w:val="20"/>
          <w:szCs w:val="20"/>
          <w:color w:val="auto"/>
        </w:rPr>
      </w:pPr>
    </w:p>
    <w:p>
      <w:pPr>
        <w:ind w:left="1180" w:right="60" w:hanging="901"/>
        <w:spacing w:after="0" w:line="225"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429">
        <w:r>
          <w:rPr>
            <w:rFonts w:ascii="Arial" w:cs="Arial" w:eastAsia="Arial" w:hAnsi="Arial"/>
            <w:sz w:val="16"/>
            <w:szCs w:val="16"/>
            <w:u w:val="single" w:color="auto"/>
            <w:color w:val="0000FF"/>
          </w:rPr>
          <w:t>Stockholders Agreement, dated as of May 24, 2021, by</w:t>
        </w:r>
      </w:hyperlink>
      <w:r>
        <w:rPr>
          <w:rFonts w:ascii="Arial" w:cs="Arial" w:eastAsia="Arial" w:hAnsi="Arial"/>
          <w:sz w:val="16"/>
          <w:szCs w:val="16"/>
          <w:u w:val="single" w:color="auto"/>
          <w:color w:val="0000FF"/>
        </w:rPr>
        <w:t xml:space="preserve"> </w:t>
      </w:r>
      <w:hyperlink r:id="rId429">
        <w:r>
          <w:rPr>
            <w:rFonts w:ascii="Arial" w:cs="Arial" w:eastAsia="Arial" w:hAnsi="Arial"/>
            <w:sz w:val="16"/>
            <w:szCs w:val="16"/>
            <w:u w:val="single" w:color="auto"/>
            <w:color w:val="0000FF"/>
          </w:rPr>
          <w:t>and among Paymentus Holdings, Inc. and the other</w:t>
        </w:r>
      </w:hyperlink>
      <w:r>
        <w:rPr>
          <w:rFonts w:ascii="Arial" w:cs="Arial" w:eastAsia="Arial" w:hAnsi="Arial"/>
          <w:sz w:val="16"/>
          <w:szCs w:val="16"/>
          <w:u w:val="single" w:color="auto"/>
          <w:color w:val="0000FF"/>
        </w:rPr>
        <w:t xml:space="preserve"> </w:t>
      </w:r>
      <w:hyperlink r:id="rId429">
        <w:r>
          <w:rPr>
            <w:rFonts w:ascii="Arial" w:cs="Arial" w:eastAsia="Arial" w:hAnsi="Arial"/>
            <w:sz w:val="16"/>
            <w:szCs w:val="16"/>
            <w:u w:val="single" w:color="auto"/>
            <w:color w:val="0000FF"/>
          </w:rPr>
          <w:t>signatories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750570</wp:posOffset>
            </wp:positionH>
            <wp:positionV relativeFrom="paragraph">
              <wp:posOffset>-226060</wp:posOffset>
            </wp:positionV>
            <wp:extent cx="25387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0">
                      <a:extLst>
                        <a:ext uri="{28A0092B-C50C-407E-A947-70E740481C1C}"/>
                      </a:extLst>
                    </a:blip>
                    <a:srcRect/>
                    <a:stretch>
                      <a:fillRect/>
                    </a:stretch>
                  </pic:blipFill>
                  <pic:spPr bwMode="auto">
                    <a:xfrm>
                      <a:off x="0" y="0"/>
                      <a:ext cx="253873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-123190</wp:posOffset>
            </wp:positionV>
            <wp:extent cx="23729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1">
                      <a:extLst>
                        <a:ext uri="{28A0092B-C50C-407E-A947-70E740481C1C}"/>
                      </a:extLst>
                    </a:blip>
                    <a:srcRect/>
                    <a:stretch>
                      <a:fillRect/>
                    </a:stretch>
                  </pic:blipFill>
                  <pic:spPr bwMode="auto">
                    <a:xfrm>
                      <a:off x="0" y="0"/>
                      <a:ext cx="23729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-20320</wp:posOffset>
            </wp:positionV>
            <wp:extent cx="8464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2">
                      <a:extLst>
                        <a:ext uri="{28A0092B-C50C-407E-A947-70E740481C1C}"/>
                      </a:extLst>
                    </a:blip>
                    <a:srcRect/>
                    <a:stretch>
                      <a:fillRect/>
                    </a:stretch>
                  </pic:blipFill>
                  <pic:spPr bwMode="auto">
                    <a:xfrm>
                      <a:off x="0" y="0"/>
                      <a:ext cx="846455" cy="889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333- 255683</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10.6</w:t>
            </w:r>
          </w:p>
        </w:tc>
        <w:tc>
          <w:tcPr>
            <w:tcW w:w="1260" w:type="dxa"/>
            <w:vAlign w:val="bottom"/>
          </w:tcPr>
          <w:p>
            <w:pPr>
              <w:ind w:left="280"/>
              <w:spacing w:after="0"/>
              <w:rPr>
                <w:sz w:val="20"/>
                <w:szCs w:val="20"/>
                <w:color w:val="auto"/>
              </w:rPr>
            </w:pPr>
            <w:r>
              <w:rPr>
                <w:rFonts w:ascii="Arial" w:cs="Arial" w:eastAsia="Arial" w:hAnsi="Arial"/>
                <w:sz w:val="16"/>
                <w:szCs w:val="16"/>
                <w:color w:val="auto"/>
                <w:w w:val="98"/>
              </w:rPr>
              <w:t>May 17, 2021</w:t>
            </w:r>
          </w:p>
        </w:tc>
      </w:tr>
      <w:tr>
        <w:trPr>
          <w:trHeight w:val="486"/>
        </w:trPr>
        <w:tc>
          <w:tcPr>
            <w:tcW w:w="62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333- 255683</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10.7</w:t>
            </w:r>
          </w:p>
        </w:tc>
        <w:tc>
          <w:tcPr>
            <w:tcW w:w="1260" w:type="dxa"/>
            <w:vAlign w:val="bottom"/>
          </w:tcPr>
          <w:p>
            <w:pPr>
              <w:ind w:left="280"/>
              <w:spacing w:after="0"/>
              <w:rPr>
                <w:sz w:val="20"/>
                <w:szCs w:val="20"/>
                <w:color w:val="auto"/>
              </w:rPr>
            </w:pPr>
            <w:r>
              <w:rPr>
                <w:rFonts w:ascii="Arial" w:cs="Arial" w:eastAsia="Arial" w:hAnsi="Arial"/>
                <w:sz w:val="16"/>
                <w:szCs w:val="16"/>
                <w:color w:val="auto"/>
                <w:w w:val="98"/>
              </w:rPr>
              <w:t>May 17, 2021</w:t>
            </w:r>
          </w:p>
        </w:tc>
      </w:tr>
      <w:tr>
        <w:trPr>
          <w:trHeight w:val="486"/>
        </w:trPr>
        <w:tc>
          <w:tcPr>
            <w:tcW w:w="620" w:type="dxa"/>
            <w:vAlign w:val="bottom"/>
          </w:tcPr>
          <w:p>
            <w:pPr>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333- 255683</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10.8</w:t>
            </w:r>
          </w:p>
        </w:tc>
        <w:tc>
          <w:tcPr>
            <w:tcW w:w="1260" w:type="dxa"/>
            <w:vAlign w:val="bottom"/>
          </w:tcPr>
          <w:p>
            <w:pPr>
              <w:ind w:left="280"/>
              <w:spacing w:after="0"/>
              <w:rPr>
                <w:sz w:val="20"/>
                <w:szCs w:val="20"/>
                <w:color w:val="auto"/>
              </w:rPr>
            </w:pPr>
            <w:r>
              <w:rPr>
                <w:rFonts w:ascii="Arial" w:cs="Arial" w:eastAsia="Arial" w:hAnsi="Arial"/>
                <w:sz w:val="16"/>
                <w:szCs w:val="16"/>
                <w:color w:val="auto"/>
                <w:w w:val="98"/>
              </w:rPr>
              <w:t>May 17, 2021</w:t>
            </w:r>
          </w:p>
        </w:tc>
      </w:tr>
    </w:tbl>
    <w:p>
      <w:pPr>
        <w:spacing w:after="0" w:line="291" w:lineRule="exact"/>
        <w:rPr>
          <w:rFonts w:ascii="Arial" w:cs="Arial" w:eastAsia="Arial" w:hAnsi="Arial"/>
          <w:sz w:val="16"/>
          <w:szCs w:val="16"/>
          <w:u w:val="single" w:color="auto"/>
          <w:color w:val="0000FF"/>
        </w:rPr>
      </w:pPr>
    </w:p>
    <w:p>
      <w:pPr>
        <w:jc w:val="right"/>
        <w:ind w:right="580"/>
        <w:spacing w:after="0"/>
        <w:rPr>
          <w:sz w:val="20"/>
          <w:szCs w:val="20"/>
          <w:color w:val="auto"/>
        </w:rPr>
      </w:pPr>
      <w:r>
        <w:rPr>
          <w:rFonts w:ascii="Arial" w:cs="Arial" w:eastAsia="Arial" w:hAnsi="Arial"/>
          <w:sz w:val="16"/>
          <w:szCs w:val="16"/>
          <w:color w:val="auto"/>
        </w:rPr>
        <w:t>X</w:t>
      </w:r>
    </w:p>
    <w:p>
      <w:pPr>
        <w:spacing w:after="0" w:line="302" w:lineRule="exact"/>
        <w:rPr>
          <w:rFonts w:ascii="Arial" w:cs="Arial" w:eastAsia="Arial" w:hAnsi="Arial"/>
          <w:sz w:val="16"/>
          <w:szCs w:val="16"/>
          <w:u w:val="single" w:color="auto"/>
          <w:color w:val="0000FF"/>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20"/>
                <w:szCs w:val="20"/>
                <w:color w:val="auto"/>
              </w:rPr>
            </w:pPr>
            <w:r>
              <w:rPr>
                <w:rFonts w:ascii="Arial" w:cs="Arial" w:eastAsia="Arial" w:hAnsi="Arial"/>
                <w:sz w:val="16"/>
                <w:szCs w:val="16"/>
                <w:color w:val="auto"/>
              </w:rPr>
              <w:t>S-1/A</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rPr>
              <w:t>10.9</w:t>
            </w:r>
          </w:p>
        </w:tc>
        <w:tc>
          <w:tcPr>
            <w:tcW w:w="1240" w:type="dxa"/>
            <w:vAlign w:val="bottom"/>
          </w:tcPr>
          <w:p>
            <w:pPr>
              <w:ind w:left="260"/>
              <w:spacing w:after="0"/>
              <w:rPr>
                <w:sz w:val="20"/>
                <w:szCs w:val="20"/>
                <w:color w:val="auto"/>
              </w:rPr>
            </w:pPr>
            <w:r>
              <w:rPr>
                <w:rFonts w:ascii="Arial" w:cs="Arial" w:eastAsia="Arial" w:hAnsi="Arial"/>
                <w:sz w:val="16"/>
                <w:szCs w:val="16"/>
                <w:color w:val="auto"/>
                <w:w w:val="98"/>
              </w:rPr>
              <w:t>May 17, 2021</w:t>
            </w:r>
          </w:p>
        </w:tc>
      </w:tr>
      <w:tr>
        <w:trPr>
          <w:trHeight w:val="486"/>
        </w:trPr>
        <w:tc>
          <w:tcPr>
            <w:tcW w:w="620" w:type="dxa"/>
            <w:vAlign w:val="bottom"/>
          </w:tcPr>
          <w:p>
            <w:pPr>
              <w:spacing w:after="0"/>
              <w:rPr>
                <w:sz w:val="20"/>
                <w:szCs w:val="20"/>
                <w:color w:val="auto"/>
              </w:rPr>
            </w:pPr>
            <w:r>
              <w:rPr>
                <w:rFonts w:ascii="Arial" w:cs="Arial" w:eastAsia="Arial" w:hAnsi="Arial"/>
                <w:sz w:val="16"/>
                <w:szCs w:val="16"/>
                <w:color w:val="auto"/>
              </w:rPr>
              <w:t>S-1/A</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240" w:type="dxa"/>
            <w:vAlign w:val="bottom"/>
          </w:tcPr>
          <w:p>
            <w:pPr>
              <w:ind w:left="260"/>
              <w:spacing w:after="0"/>
              <w:rPr>
                <w:sz w:val="20"/>
                <w:szCs w:val="20"/>
                <w:color w:val="auto"/>
              </w:rPr>
            </w:pPr>
            <w:r>
              <w:rPr>
                <w:rFonts w:ascii="Arial" w:cs="Arial" w:eastAsia="Arial" w:hAnsi="Arial"/>
                <w:sz w:val="16"/>
                <w:szCs w:val="16"/>
                <w:color w:val="auto"/>
                <w:w w:val="98"/>
              </w:rPr>
              <w:t>May 17, 2021</w:t>
            </w:r>
          </w:p>
        </w:tc>
      </w:tr>
      <w:tr>
        <w:trPr>
          <w:trHeight w:val="486"/>
        </w:trPr>
        <w:tc>
          <w:tcPr>
            <w:tcW w:w="620" w:type="dxa"/>
            <w:vAlign w:val="bottom"/>
          </w:tcPr>
          <w:p>
            <w:pPr>
              <w:spacing w:after="0"/>
              <w:rPr>
                <w:sz w:val="20"/>
                <w:szCs w:val="20"/>
                <w:color w:val="auto"/>
              </w:rPr>
            </w:pPr>
            <w:r>
              <w:rPr>
                <w:rFonts w:ascii="Arial" w:cs="Arial" w:eastAsia="Arial" w:hAnsi="Arial"/>
                <w:sz w:val="16"/>
                <w:szCs w:val="16"/>
                <w:color w:val="auto"/>
              </w:rPr>
              <w:t>S-1/A</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240" w:type="dxa"/>
            <w:vAlign w:val="bottom"/>
          </w:tcPr>
          <w:p>
            <w:pPr>
              <w:ind w:left="260"/>
              <w:spacing w:after="0"/>
              <w:rPr>
                <w:sz w:val="20"/>
                <w:szCs w:val="20"/>
                <w:color w:val="auto"/>
              </w:rPr>
            </w:pPr>
            <w:r>
              <w:rPr>
                <w:rFonts w:ascii="Arial" w:cs="Arial" w:eastAsia="Arial" w:hAnsi="Arial"/>
                <w:sz w:val="16"/>
                <w:szCs w:val="16"/>
                <w:color w:val="auto"/>
                <w:w w:val="98"/>
              </w:rPr>
              <w:t>May 17, 2021</w:t>
            </w:r>
          </w:p>
        </w:tc>
      </w:tr>
    </w:tbl>
    <w:p>
      <w:pPr>
        <w:spacing w:after="0" w:line="291" w:lineRule="exact"/>
        <w:rPr>
          <w:rFonts w:ascii="Arial" w:cs="Arial" w:eastAsia="Arial" w:hAnsi="Arial"/>
          <w:sz w:val="16"/>
          <w:szCs w:val="16"/>
          <w:u w:val="single" w:color="auto"/>
          <w:color w:val="0000FF"/>
        </w:rPr>
      </w:pPr>
    </w:p>
    <w:p>
      <w:pPr>
        <w:jc w:val="right"/>
        <w:ind w:right="580"/>
        <w:spacing w:after="0"/>
        <w:rPr>
          <w:sz w:val="20"/>
          <w:szCs w:val="20"/>
          <w:color w:val="auto"/>
        </w:rPr>
      </w:pPr>
      <w:r>
        <w:rPr>
          <w:rFonts w:ascii="Arial" w:cs="Arial" w:eastAsia="Arial" w:hAnsi="Arial"/>
          <w:sz w:val="16"/>
          <w:szCs w:val="16"/>
          <w:color w:val="auto"/>
        </w:rPr>
        <w:t>X</w:t>
      </w:r>
    </w:p>
    <w:p>
      <w:pPr>
        <w:spacing w:after="0" w:line="302" w:lineRule="exact"/>
        <w:rPr>
          <w:rFonts w:ascii="Arial" w:cs="Arial" w:eastAsia="Arial" w:hAnsi="Arial"/>
          <w:sz w:val="16"/>
          <w:szCs w:val="16"/>
          <w:u w:val="single" w:color="auto"/>
          <w:color w:val="0000FF"/>
        </w:rPr>
      </w:pPr>
    </w:p>
    <w:p>
      <w:pPr>
        <w:ind w:left="80"/>
        <w:spacing w:after="0"/>
        <w:tabs>
          <w:tab w:leader="none" w:pos="880" w:val="left"/>
          <w:tab w:leader="none" w:pos="2120" w:val="left"/>
          <w:tab w:leader="none" w:pos="300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001-40429</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May 28, 2021</w:t>
      </w:r>
    </w:p>
    <w:p>
      <w:pPr>
        <w:spacing w:after="0" w:line="440" w:lineRule="exact"/>
        <w:rPr>
          <w:rFonts w:ascii="Arial" w:cs="Arial" w:eastAsia="Arial" w:hAnsi="Arial"/>
          <w:sz w:val="16"/>
          <w:szCs w:val="16"/>
          <w:u w:val="single" w:color="auto"/>
          <w:color w:val="0000FF"/>
        </w:rPr>
      </w:pPr>
    </w:p>
    <w:p>
      <w:pPr>
        <w:sectPr>
          <w:pgSz w:w="11900" w:h="16838" w:orient="portrait"/>
          <w:cols w:equalWidth="0" w:num="2">
            <w:col w:w="5200" w:space="540"/>
            <w:col w:w="5500"/>
          </w:cols>
          <w:pgMar w:left="320" w:top="324" w:right="339" w:bottom="1440" w:gutter="0" w:footer="0" w:header="0"/>
          <w:type w:val="continuous"/>
        </w:sectPr>
      </w:pPr>
    </w:p>
    <w:tbl>
      <w:tblPr>
        <w:tblLayout w:type="fixed"/>
        <w:tblInd w:w="260" w:type="dxa"/>
        <w:tblCellMar>
          <w:top w:w="0" w:type="dxa"/>
          <w:left w:w="0" w:type="dxa"/>
          <w:bottom w:w="0" w:type="dxa"/>
          <w:right w:w="0" w:type="dxa"/>
        </w:tblCellMar>
      </w:tblPr>
      <w:tr>
        <w:trPr>
          <w:trHeight w:val="184"/>
        </w:trPr>
        <w:tc>
          <w:tcPr>
            <w:tcW w:w="980" w:type="dxa"/>
            <w:vAlign w:val="bottom"/>
          </w:tcPr>
          <w:p>
            <w:pPr>
              <w:jc w:val="right"/>
              <w:ind w:right="479"/>
              <w:spacing w:after="0"/>
              <w:rPr>
                <w:sz w:val="20"/>
                <w:szCs w:val="20"/>
                <w:color w:val="auto"/>
              </w:rPr>
            </w:pPr>
            <w:r>
              <w:rPr>
                <w:rFonts w:ascii="Arial" w:cs="Arial" w:eastAsia="Arial" w:hAnsi="Arial"/>
                <w:sz w:val="16"/>
                <w:szCs w:val="16"/>
                <w:color w:val="auto"/>
                <w:w w:val="99"/>
              </w:rPr>
              <w:t>10.15</w:t>
            </w:r>
          </w:p>
        </w:tc>
        <w:tc>
          <w:tcPr>
            <w:tcW w:w="4040" w:type="dxa"/>
            <w:vAlign w:val="bottom"/>
            <w:gridSpan w:val="20"/>
          </w:tcPr>
          <w:p>
            <w:pPr>
              <w:spacing w:after="0"/>
              <w:rPr>
                <w:rFonts w:ascii="Arial" w:cs="Arial" w:eastAsia="Arial" w:hAnsi="Arial"/>
                <w:sz w:val="16"/>
                <w:szCs w:val="16"/>
                <w:color w:val="0000FF"/>
              </w:rPr>
            </w:pPr>
            <w:hyperlink r:id="rId433">
              <w:r>
                <w:rPr>
                  <w:rFonts w:ascii="Arial" w:cs="Arial" w:eastAsia="Arial" w:hAnsi="Arial"/>
                  <w:sz w:val="16"/>
                  <w:szCs w:val="16"/>
                  <w:color w:val="0000FF"/>
                </w:rPr>
                <w:t>Warrant Agreement, dated as of May 13, 2021, by and</w:t>
              </w:r>
            </w:hyperlink>
          </w:p>
        </w:tc>
        <w:tc>
          <w:tcPr>
            <w:tcW w:w="1080" w:type="dxa"/>
            <w:vAlign w:val="bottom"/>
          </w:tcPr>
          <w:p>
            <w:pPr>
              <w:ind w:left="460"/>
              <w:spacing w:after="0"/>
              <w:rPr>
                <w:sz w:val="20"/>
                <w:szCs w:val="20"/>
                <w:color w:val="auto"/>
              </w:rPr>
            </w:pPr>
            <w:r>
              <w:rPr>
                <w:rFonts w:ascii="Arial" w:cs="Arial" w:eastAsia="Arial" w:hAnsi="Arial"/>
                <w:sz w:val="16"/>
                <w:szCs w:val="16"/>
                <w:color w:val="auto"/>
              </w:rPr>
              <w:t>S-1/A</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333- 255683</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10.14</w:t>
            </w:r>
          </w:p>
        </w:tc>
        <w:tc>
          <w:tcPr>
            <w:tcW w:w="2160" w:type="dxa"/>
            <w:vAlign w:val="bottom"/>
          </w:tcPr>
          <w:p>
            <w:pPr>
              <w:ind w:left="260"/>
              <w:spacing w:after="0"/>
              <w:rPr>
                <w:sz w:val="20"/>
                <w:szCs w:val="20"/>
                <w:color w:val="auto"/>
              </w:rPr>
            </w:pPr>
            <w:r>
              <w:rPr>
                <w:rFonts w:ascii="Arial" w:cs="Arial" w:eastAsia="Arial" w:hAnsi="Arial"/>
                <w:sz w:val="16"/>
                <w:szCs w:val="16"/>
                <w:color w:val="auto"/>
              </w:rPr>
              <w:t>May 17, 2021</w:t>
            </w:r>
          </w:p>
        </w:tc>
      </w:tr>
      <w:tr>
        <w:trPr>
          <w:trHeight w:val="142"/>
        </w:trPr>
        <w:tc>
          <w:tcPr>
            <w:tcW w:w="98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7"/>
              </w:rPr>
            </w:pPr>
            <w:hyperlink r:id="rId433">
              <w:r>
                <w:rPr>
                  <w:rFonts w:ascii="Arial" w:cs="Arial" w:eastAsia="Arial" w:hAnsi="Arial"/>
                  <w:sz w:val="16"/>
                  <w:szCs w:val="16"/>
                  <w:color w:val="0000FF"/>
                  <w:w w:val="97"/>
                </w:rPr>
                <w:t>between the registrant and JPMC Strategic Investments</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rFonts w:ascii="Arial" w:cs="Arial" w:eastAsia="Arial" w:hAnsi="Arial"/>
                <w:sz w:val="10"/>
                <w:szCs w:val="10"/>
                <w:color w:val="0000FF"/>
                <w:w w:val="70"/>
              </w:rPr>
            </w:pPr>
            <w:hyperlink r:id="rId433">
              <w:r>
                <w:rPr>
                  <w:rFonts w:ascii="Arial" w:cs="Arial" w:eastAsia="Arial" w:hAnsi="Arial"/>
                  <w:sz w:val="10"/>
                  <w:szCs w:val="10"/>
                  <w:color w:val="0000FF"/>
                  <w:w w:val="70"/>
                </w:rPr>
                <w:t>I</w:t>
              </w:r>
            </w:hyperlink>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4040" w:type="dxa"/>
            <w:vAlign w:val="bottom"/>
            <w:gridSpan w:val="20"/>
          </w:tcPr>
          <w:p>
            <w:pPr>
              <w:spacing w:after="0" w:line="142" w:lineRule="exact"/>
              <w:rPr>
                <w:rFonts w:ascii="Arial" w:cs="Arial" w:eastAsia="Arial" w:hAnsi="Arial"/>
                <w:sz w:val="16"/>
                <w:szCs w:val="16"/>
                <w:color w:val="0000FF"/>
              </w:rPr>
            </w:pPr>
            <w:hyperlink r:id="rId433">
              <w:r>
                <w:rPr>
                  <w:rFonts w:ascii="Arial" w:cs="Arial" w:eastAsia="Arial" w:hAnsi="Arial"/>
                  <w:sz w:val="16"/>
                  <w:szCs w:val="16"/>
                  <w:color w:val="0000FF"/>
                </w:rPr>
                <w:t>Corporation</w:t>
              </w:r>
            </w:hyperlink>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8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6"/>
                <w:szCs w:val="16"/>
                <w:color w:val="auto"/>
              </w:rPr>
              <w:t>10.16+</w:t>
            </w:r>
          </w:p>
        </w:tc>
        <w:tc>
          <w:tcPr>
            <w:tcW w:w="4040" w:type="dxa"/>
            <w:vAlign w:val="bottom"/>
            <w:gridSpan w:val="20"/>
          </w:tcPr>
          <w:p>
            <w:pPr>
              <w:spacing w:after="0"/>
              <w:rPr>
                <w:rFonts w:ascii="Arial" w:cs="Arial" w:eastAsia="Arial" w:hAnsi="Arial"/>
                <w:sz w:val="16"/>
                <w:szCs w:val="16"/>
                <w:color w:val="0000FF"/>
              </w:rPr>
            </w:pPr>
            <w:hyperlink w:anchor="page131">
              <w:r>
                <w:rPr>
                  <w:rFonts w:ascii="Arial" w:cs="Arial" w:eastAsia="Arial" w:hAnsi="Arial"/>
                  <w:sz w:val="16"/>
                  <w:szCs w:val="16"/>
                  <w:color w:val="0000FF"/>
                </w:rPr>
                <w:t>2021 Equity Incentive Plan</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39"/>
              <w:spacing w:after="0"/>
              <w:rPr>
                <w:sz w:val="20"/>
                <w:szCs w:val="20"/>
                <w:color w:val="auto"/>
              </w:rPr>
            </w:pPr>
            <w:r>
              <w:rPr>
                <w:rFonts w:ascii="Arial" w:cs="Arial" w:eastAsia="Arial" w:hAnsi="Arial"/>
                <w:sz w:val="16"/>
                <w:szCs w:val="16"/>
                <w:color w:val="auto"/>
                <w:w w:val="93"/>
              </w:rPr>
              <w:t>X</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6"/>
                <w:szCs w:val="16"/>
                <w:color w:val="auto"/>
              </w:rPr>
              <w:t>10.17+</w:t>
            </w:r>
          </w:p>
        </w:tc>
        <w:tc>
          <w:tcPr>
            <w:tcW w:w="4040" w:type="dxa"/>
            <w:vAlign w:val="bottom"/>
            <w:gridSpan w:val="20"/>
          </w:tcPr>
          <w:p>
            <w:pPr>
              <w:spacing w:after="0"/>
              <w:rPr>
                <w:rFonts w:ascii="Arial" w:cs="Arial" w:eastAsia="Arial" w:hAnsi="Arial"/>
                <w:sz w:val="16"/>
                <w:szCs w:val="16"/>
                <w:color w:val="0000FF"/>
              </w:rPr>
            </w:pPr>
            <w:hyperlink w:anchor="page152">
              <w:r>
                <w:rPr>
                  <w:rFonts w:ascii="Arial" w:cs="Arial" w:eastAsia="Arial" w:hAnsi="Arial"/>
                  <w:sz w:val="16"/>
                  <w:szCs w:val="16"/>
                  <w:color w:val="0000FF"/>
                </w:rPr>
                <w:t>Form of Stock Option Award Agreement under the 2021</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79"/>
              <w:spacing w:after="0"/>
              <w:rPr>
                <w:sz w:val="20"/>
                <w:szCs w:val="20"/>
                <w:color w:val="auto"/>
              </w:rPr>
            </w:pPr>
            <w:r>
              <w:rPr>
                <w:rFonts w:ascii="Arial" w:cs="Arial" w:eastAsia="Arial" w:hAnsi="Arial"/>
                <w:sz w:val="16"/>
                <w:szCs w:val="16"/>
                <w:color w:val="auto"/>
                <w:w w:val="93"/>
              </w:rPr>
              <w:t>X</w:t>
            </w:r>
          </w:p>
        </w:tc>
      </w:tr>
      <w:tr>
        <w:trPr>
          <w:trHeight w:val="142"/>
        </w:trPr>
        <w:tc>
          <w:tcPr>
            <w:tcW w:w="98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6"/>
              </w:rPr>
            </w:pPr>
            <w:hyperlink w:anchor="page152">
              <w:r>
                <w:rPr>
                  <w:rFonts w:ascii="Arial" w:cs="Arial" w:eastAsia="Arial" w:hAnsi="Arial"/>
                  <w:sz w:val="16"/>
                  <w:szCs w:val="16"/>
                  <w:color w:val="0000FF"/>
                  <w:w w:val="96"/>
                </w:rPr>
                <w:t>Equity Incentive Plan</w:t>
              </w:r>
            </w:hyperlink>
          </w:p>
        </w:tc>
        <w:tc>
          <w:tcPr>
            <w:tcW w:w="2540" w:type="dxa"/>
            <w:vAlign w:val="bottom"/>
            <w:tcBorders>
              <w:top w:val="single" w:sz="8" w:color="0000FF"/>
            </w:tcBorders>
            <w:gridSpan w:val="15"/>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7"/>
                <w:szCs w:val="17"/>
                <w:color w:val="auto"/>
              </w:rPr>
              <w:t>10.18+</w:t>
            </w:r>
          </w:p>
        </w:tc>
        <w:tc>
          <w:tcPr>
            <w:tcW w:w="4040" w:type="dxa"/>
            <w:vAlign w:val="bottom"/>
            <w:gridSpan w:val="20"/>
          </w:tcPr>
          <w:p>
            <w:pPr>
              <w:spacing w:after="0"/>
              <w:rPr>
                <w:rFonts w:ascii="Arial" w:cs="Arial" w:eastAsia="Arial" w:hAnsi="Arial"/>
                <w:sz w:val="16"/>
                <w:szCs w:val="16"/>
                <w:color w:val="0000FF"/>
              </w:rPr>
            </w:pPr>
            <w:hyperlink w:anchor="page179">
              <w:r>
                <w:rPr>
                  <w:rFonts w:ascii="Arial" w:cs="Arial" w:eastAsia="Arial" w:hAnsi="Arial"/>
                  <w:sz w:val="16"/>
                  <w:szCs w:val="16"/>
                  <w:color w:val="0000FF"/>
                </w:rPr>
                <w:t>Form of Restricted Stock Unit Award Agreement under</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79"/>
              <w:spacing w:after="0"/>
              <w:rPr>
                <w:sz w:val="20"/>
                <w:szCs w:val="20"/>
                <w:color w:val="auto"/>
              </w:rPr>
            </w:pPr>
            <w:r>
              <w:rPr>
                <w:rFonts w:ascii="Arial" w:cs="Arial" w:eastAsia="Arial" w:hAnsi="Arial"/>
                <w:sz w:val="17"/>
                <w:szCs w:val="17"/>
                <w:color w:val="auto"/>
                <w:w w:val="87"/>
              </w:rPr>
              <w:t>X</w:t>
            </w:r>
          </w:p>
        </w:tc>
      </w:tr>
      <w:tr>
        <w:trPr>
          <w:trHeight w:val="142"/>
        </w:trPr>
        <w:tc>
          <w:tcPr>
            <w:tcW w:w="98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8"/>
              </w:rPr>
            </w:pPr>
            <w:hyperlink w:anchor="page179">
              <w:r>
                <w:rPr>
                  <w:rFonts w:ascii="Arial" w:cs="Arial" w:eastAsia="Arial" w:hAnsi="Arial"/>
                  <w:sz w:val="16"/>
                  <w:szCs w:val="16"/>
                  <w:color w:val="0000FF"/>
                  <w:w w:val="98"/>
                </w:rPr>
                <w:t>the 2021 Equity Incentive Plan</w:t>
              </w:r>
            </w:hyperlink>
          </w:p>
        </w:tc>
        <w:tc>
          <w:tcPr>
            <w:tcW w:w="176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6"/>
                <w:szCs w:val="16"/>
                <w:color w:val="auto"/>
                <w:w w:val="96"/>
              </w:rPr>
              <w:t>21.1</w:t>
            </w:r>
          </w:p>
        </w:tc>
        <w:tc>
          <w:tcPr>
            <w:tcW w:w="4040" w:type="dxa"/>
            <w:vAlign w:val="bottom"/>
            <w:gridSpan w:val="20"/>
          </w:tcPr>
          <w:p>
            <w:pPr>
              <w:spacing w:after="0"/>
              <w:rPr>
                <w:rFonts w:ascii="Arial" w:cs="Arial" w:eastAsia="Arial" w:hAnsi="Arial"/>
                <w:sz w:val="16"/>
                <w:szCs w:val="16"/>
                <w:color w:val="0000FF"/>
              </w:rPr>
            </w:pPr>
            <w:hyperlink w:anchor="page204">
              <w:r>
                <w:rPr>
                  <w:rFonts w:ascii="Arial" w:cs="Arial" w:eastAsia="Arial" w:hAnsi="Arial"/>
                  <w:sz w:val="16"/>
                  <w:szCs w:val="16"/>
                  <w:color w:val="0000FF"/>
                </w:rPr>
                <w:t>Subsidiaries of the Registrant</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79"/>
              <w:spacing w:after="0"/>
              <w:rPr>
                <w:sz w:val="20"/>
                <w:szCs w:val="20"/>
                <w:color w:val="auto"/>
              </w:rPr>
            </w:pPr>
            <w:r>
              <w:rPr>
                <w:rFonts w:ascii="Arial" w:cs="Arial" w:eastAsia="Arial" w:hAnsi="Arial"/>
                <w:sz w:val="16"/>
                <w:szCs w:val="16"/>
                <w:color w:val="auto"/>
                <w:w w:val="93"/>
              </w:rPr>
              <w:t>X</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6"/>
                <w:szCs w:val="16"/>
                <w:color w:val="auto"/>
                <w:w w:val="96"/>
              </w:rPr>
              <w:t>23.1</w:t>
            </w:r>
          </w:p>
        </w:tc>
        <w:tc>
          <w:tcPr>
            <w:tcW w:w="4040" w:type="dxa"/>
            <w:vAlign w:val="bottom"/>
            <w:gridSpan w:val="20"/>
          </w:tcPr>
          <w:p>
            <w:pPr>
              <w:spacing w:after="0"/>
              <w:rPr>
                <w:rFonts w:ascii="Arial" w:cs="Arial" w:eastAsia="Arial" w:hAnsi="Arial"/>
                <w:sz w:val="16"/>
                <w:szCs w:val="16"/>
                <w:color w:val="0000FF"/>
              </w:rPr>
            </w:pPr>
            <w:hyperlink w:anchor="page205">
              <w:r>
                <w:rPr>
                  <w:rFonts w:ascii="Arial" w:cs="Arial" w:eastAsia="Arial" w:hAnsi="Arial"/>
                  <w:sz w:val="16"/>
                  <w:szCs w:val="16"/>
                  <w:color w:val="0000FF"/>
                </w:rPr>
                <w:t>Consent of PricewaterhouseCoopers LLP, Independent</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79"/>
              <w:spacing w:after="0"/>
              <w:rPr>
                <w:sz w:val="20"/>
                <w:szCs w:val="20"/>
                <w:color w:val="auto"/>
              </w:rPr>
            </w:pPr>
            <w:r>
              <w:rPr>
                <w:rFonts w:ascii="Arial" w:cs="Arial" w:eastAsia="Arial" w:hAnsi="Arial"/>
                <w:sz w:val="16"/>
                <w:szCs w:val="16"/>
                <w:color w:val="auto"/>
                <w:w w:val="93"/>
              </w:rPr>
              <w:t>X</w:t>
            </w:r>
          </w:p>
        </w:tc>
      </w:tr>
      <w:tr>
        <w:trPr>
          <w:trHeight w:val="142"/>
        </w:trPr>
        <w:tc>
          <w:tcPr>
            <w:tcW w:w="980" w:type="dxa"/>
            <w:vAlign w:val="bottom"/>
          </w:tcPr>
          <w:p>
            <w:pPr>
              <w:spacing w:after="0"/>
              <w:rPr>
                <w:sz w:val="12"/>
                <w:szCs w:val="12"/>
                <w:color w:val="auto"/>
              </w:rPr>
            </w:pPr>
          </w:p>
        </w:tc>
        <w:tc>
          <w:tcPr>
            <w:tcW w:w="39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w:anchor="page205">
              <w:r>
                <w:rPr>
                  <w:rFonts w:ascii="Arial" w:cs="Arial" w:eastAsia="Arial" w:hAnsi="Arial"/>
                  <w:sz w:val="16"/>
                  <w:szCs w:val="16"/>
                  <w:color w:val="0000FF"/>
                </w:rPr>
                <w:t>Registered Public Accounting Firm</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6"/>
                <w:szCs w:val="16"/>
                <w:color w:val="auto"/>
                <w:w w:val="96"/>
              </w:rPr>
              <w:t>24.1</w:t>
            </w:r>
          </w:p>
        </w:tc>
        <w:tc>
          <w:tcPr>
            <w:tcW w:w="4040" w:type="dxa"/>
            <w:vAlign w:val="bottom"/>
            <w:gridSpan w:val="20"/>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Power of Attorney (included on the signature page</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79"/>
              <w:spacing w:after="0"/>
              <w:rPr>
                <w:sz w:val="20"/>
                <w:szCs w:val="20"/>
                <w:color w:val="auto"/>
              </w:rPr>
            </w:pPr>
            <w:r>
              <w:rPr>
                <w:rFonts w:ascii="Arial" w:cs="Arial" w:eastAsia="Arial" w:hAnsi="Arial"/>
                <w:sz w:val="16"/>
                <w:szCs w:val="16"/>
                <w:color w:val="auto"/>
                <w:w w:val="93"/>
              </w:rPr>
              <w:t>X</w:t>
            </w:r>
          </w:p>
        </w:tc>
      </w:tr>
      <w:tr>
        <w:trPr>
          <w:trHeight w:val="142"/>
        </w:trPr>
        <w:tc>
          <w:tcPr>
            <w:tcW w:w="98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6"/>
              </w:rPr>
            </w:pPr>
            <w:hyperlink w:anchor="page107">
              <w:r>
                <w:rPr>
                  <w:rFonts w:ascii="Arial" w:cs="Arial" w:eastAsia="Arial" w:hAnsi="Arial"/>
                  <w:sz w:val="16"/>
                  <w:szCs w:val="16"/>
                  <w:color w:val="0000FF"/>
                  <w:w w:val="86"/>
                </w:rPr>
                <w:t>hereto)</w:t>
              </w:r>
            </w:hyperlink>
          </w:p>
        </w:tc>
        <w:tc>
          <w:tcPr>
            <w:tcW w:w="20" w:type="dxa"/>
            <w:vAlign w:val="bottom"/>
            <w:tcBorders>
              <w:top w:val="single" w:sz="8" w:color="0000FF"/>
              <w:bottom w:val="single" w:sz="8" w:color="0000EE"/>
            </w:tcBorders>
          </w:tcPr>
          <w:p>
            <w:pPr>
              <w:spacing w:after="0"/>
              <w:rPr>
                <w:sz w:val="12"/>
                <w:szCs w:val="12"/>
                <w:color w:val="auto"/>
              </w:rPr>
            </w:pPr>
          </w:p>
        </w:tc>
        <w:tc>
          <w:tcPr>
            <w:tcW w:w="3100" w:type="dxa"/>
            <w:vAlign w:val="bottom"/>
            <w:tcBorders>
              <w:top w:val="single" w:sz="8" w:color="0000FF"/>
            </w:tcBorders>
            <w:gridSpan w:val="8"/>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6"/>
                <w:szCs w:val="16"/>
                <w:color w:val="auto"/>
                <w:w w:val="96"/>
              </w:rPr>
              <w:t>31.1</w:t>
            </w:r>
          </w:p>
        </w:tc>
        <w:tc>
          <w:tcPr>
            <w:tcW w:w="4040" w:type="dxa"/>
            <w:vAlign w:val="bottom"/>
            <w:gridSpan w:val="20"/>
          </w:tcPr>
          <w:p>
            <w:pPr>
              <w:spacing w:after="0"/>
              <w:rPr>
                <w:rFonts w:ascii="Arial" w:cs="Arial" w:eastAsia="Arial" w:hAnsi="Arial"/>
                <w:sz w:val="16"/>
                <w:szCs w:val="16"/>
                <w:color w:val="0000FF"/>
              </w:rPr>
            </w:pPr>
            <w:hyperlink w:anchor="page207">
              <w:r>
                <w:rPr>
                  <w:rFonts w:ascii="Arial" w:cs="Arial" w:eastAsia="Arial" w:hAnsi="Arial"/>
                  <w:sz w:val="16"/>
                  <w:szCs w:val="16"/>
                  <w:color w:val="0000FF"/>
                </w:rPr>
                <w:t>Certification of Principal Executive Officer Pursuant to</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79"/>
              <w:spacing w:after="0"/>
              <w:rPr>
                <w:sz w:val="20"/>
                <w:szCs w:val="20"/>
                <w:color w:val="auto"/>
              </w:rPr>
            </w:pPr>
            <w:r>
              <w:rPr>
                <w:rFonts w:ascii="Arial" w:cs="Arial" w:eastAsia="Arial" w:hAnsi="Arial"/>
                <w:sz w:val="16"/>
                <w:szCs w:val="16"/>
                <w:color w:val="auto"/>
                <w:w w:val="93"/>
              </w:rPr>
              <w:t>X</w:t>
            </w:r>
          </w:p>
        </w:tc>
      </w:tr>
      <w:tr>
        <w:trPr>
          <w:trHeight w:val="142"/>
        </w:trPr>
        <w:tc>
          <w:tcPr>
            <w:tcW w:w="98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w:anchor="page207">
              <w:r>
                <w:rPr>
                  <w:rFonts w:ascii="Arial" w:cs="Arial" w:eastAsia="Arial" w:hAnsi="Arial"/>
                  <w:sz w:val="16"/>
                  <w:szCs w:val="16"/>
                  <w:color w:val="0000FF"/>
                </w:rPr>
                <w:t>Rules 13a-14(a) and 15d-14(a) under the Securities</w:t>
              </w:r>
            </w:hyperlink>
          </w:p>
        </w:tc>
        <w:tc>
          <w:tcPr>
            <w:tcW w:w="140" w:type="dxa"/>
            <w:vAlign w:val="bottom"/>
            <w:tcBorders>
              <w:top w:val="single" w:sz="8" w:color="0000FF"/>
            </w:tcBorders>
            <w:gridSpan w:val="3"/>
          </w:tcPr>
          <w:p>
            <w:pPr>
              <w:spacing w:after="0"/>
              <w:rPr>
                <w:sz w:val="12"/>
                <w:szCs w:val="12"/>
                <w:color w:val="auto"/>
              </w:rPr>
            </w:pPr>
          </w:p>
        </w:tc>
        <w:tc>
          <w:tcPr>
            <w:tcW w:w="12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4040" w:type="dxa"/>
            <w:vAlign w:val="bottom"/>
            <w:gridSpan w:val="20"/>
          </w:tcPr>
          <w:p>
            <w:pPr>
              <w:spacing w:after="0" w:line="142" w:lineRule="exact"/>
              <w:rPr>
                <w:rFonts w:ascii="Arial" w:cs="Arial" w:eastAsia="Arial" w:hAnsi="Arial"/>
                <w:sz w:val="16"/>
                <w:szCs w:val="16"/>
                <w:color w:val="0000FF"/>
              </w:rPr>
            </w:pPr>
            <w:hyperlink w:anchor="page207">
              <w:r>
                <w:rPr>
                  <w:rFonts w:ascii="Arial" w:cs="Arial" w:eastAsia="Arial" w:hAnsi="Arial"/>
                  <w:sz w:val="16"/>
                  <w:szCs w:val="16"/>
                  <w:color w:val="0000FF"/>
                </w:rPr>
                <w:t>Exchange Act of 1934, as Adopted Pursuant to Section</w:t>
              </w:r>
            </w:hyperlink>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8"/>
              </w:rPr>
            </w:pPr>
            <w:hyperlink w:anchor="page207">
              <w:r>
                <w:rPr>
                  <w:rFonts w:ascii="Arial" w:cs="Arial" w:eastAsia="Arial" w:hAnsi="Arial"/>
                  <w:sz w:val="16"/>
                  <w:szCs w:val="16"/>
                  <w:color w:val="0000FF"/>
                  <w:w w:val="98"/>
                </w:rPr>
                <w:t>302 of the Sarbanes-Oxley Act of 2002</w:t>
              </w:r>
            </w:hyperlink>
          </w:p>
        </w:tc>
        <w:tc>
          <w:tcPr>
            <w:tcW w:w="1220" w:type="dxa"/>
            <w:vAlign w:val="bottom"/>
            <w:tcBorders>
              <w:top w:val="single" w:sz="8" w:color="0000FF"/>
            </w:tcBorders>
            <w:gridSpan w:val="9"/>
          </w:tcPr>
          <w:p>
            <w:pPr>
              <w:spacing w:after="0"/>
              <w:rPr>
                <w:sz w:val="12"/>
                <w:szCs w:val="12"/>
                <w:color w:val="auto"/>
              </w:rPr>
            </w:pPr>
          </w:p>
        </w:tc>
        <w:tc>
          <w:tcPr>
            <w:tcW w:w="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6"/>
                <w:szCs w:val="16"/>
                <w:color w:val="auto"/>
                <w:w w:val="96"/>
              </w:rPr>
              <w:t>31.2</w:t>
            </w:r>
          </w:p>
        </w:tc>
        <w:tc>
          <w:tcPr>
            <w:tcW w:w="4040" w:type="dxa"/>
            <w:vAlign w:val="bottom"/>
            <w:gridSpan w:val="20"/>
          </w:tcPr>
          <w:p>
            <w:pPr>
              <w:spacing w:after="0"/>
              <w:rPr>
                <w:rFonts w:ascii="Arial" w:cs="Arial" w:eastAsia="Arial" w:hAnsi="Arial"/>
                <w:sz w:val="16"/>
                <w:szCs w:val="16"/>
                <w:color w:val="0000FF"/>
              </w:rPr>
            </w:pPr>
            <w:hyperlink w:anchor="page208">
              <w:r>
                <w:rPr>
                  <w:rFonts w:ascii="Arial" w:cs="Arial" w:eastAsia="Arial" w:hAnsi="Arial"/>
                  <w:sz w:val="16"/>
                  <w:szCs w:val="16"/>
                  <w:color w:val="0000FF"/>
                </w:rPr>
                <w:t>Certification of Principal Financial Officer Pursuant to</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79"/>
              <w:spacing w:after="0"/>
              <w:rPr>
                <w:sz w:val="20"/>
                <w:szCs w:val="20"/>
                <w:color w:val="auto"/>
              </w:rPr>
            </w:pPr>
            <w:r>
              <w:rPr>
                <w:rFonts w:ascii="Arial" w:cs="Arial" w:eastAsia="Arial" w:hAnsi="Arial"/>
                <w:sz w:val="16"/>
                <w:szCs w:val="16"/>
                <w:color w:val="auto"/>
                <w:w w:val="93"/>
              </w:rPr>
              <w:t>X</w:t>
            </w:r>
          </w:p>
        </w:tc>
      </w:tr>
      <w:tr>
        <w:trPr>
          <w:trHeight w:val="142"/>
        </w:trPr>
        <w:tc>
          <w:tcPr>
            <w:tcW w:w="98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w:anchor="page208">
              <w:r>
                <w:rPr>
                  <w:rFonts w:ascii="Arial" w:cs="Arial" w:eastAsia="Arial" w:hAnsi="Arial"/>
                  <w:sz w:val="16"/>
                  <w:szCs w:val="16"/>
                  <w:color w:val="0000FF"/>
                </w:rPr>
                <w:t>Rules 13a-14(a) and 15d-14(a) under the Securities</w:t>
              </w:r>
            </w:hyperlink>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7"/>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4040" w:type="dxa"/>
            <w:vAlign w:val="bottom"/>
            <w:gridSpan w:val="20"/>
          </w:tcPr>
          <w:p>
            <w:pPr>
              <w:spacing w:after="0" w:line="142" w:lineRule="exact"/>
              <w:rPr>
                <w:rFonts w:ascii="Arial" w:cs="Arial" w:eastAsia="Arial" w:hAnsi="Arial"/>
                <w:sz w:val="16"/>
                <w:szCs w:val="16"/>
                <w:color w:val="0000FF"/>
              </w:rPr>
            </w:pPr>
            <w:hyperlink w:anchor="page208">
              <w:r>
                <w:rPr>
                  <w:rFonts w:ascii="Arial" w:cs="Arial" w:eastAsia="Arial" w:hAnsi="Arial"/>
                  <w:sz w:val="16"/>
                  <w:szCs w:val="16"/>
                  <w:color w:val="0000FF"/>
                </w:rPr>
                <w:t>Exchange Act of 1934, as Adopted Pursuant to Section</w:t>
              </w:r>
            </w:hyperlink>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8"/>
              </w:rPr>
            </w:pPr>
            <w:hyperlink w:anchor="page208">
              <w:r>
                <w:rPr>
                  <w:rFonts w:ascii="Arial" w:cs="Arial" w:eastAsia="Arial" w:hAnsi="Arial"/>
                  <w:sz w:val="16"/>
                  <w:szCs w:val="16"/>
                  <w:color w:val="0000FF"/>
                  <w:w w:val="98"/>
                </w:rPr>
                <w:t>302 of the Sarbanes-Oxley Act of 2002</w:t>
              </w:r>
            </w:hyperlink>
          </w:p>
        </w:tc>
        <w:tc>
          <w:tcPr>
            <w:tcW w:w="1220" w:type="dxa"/>
            <w:vAlign w:val="bottom"/>
            <w:tcBorders>
              <w:top w:val="single" w:sz="8" w:color="0000FF"/>
            </w:tcBorders>
            <w:gridSpan w:val="9"/>
          </w:tcPr>
          <w:p>
            <w:pPr>
              <w:spacing w:after="0"/>
              <w:rPr>
                <w:sz w:val="12"/>
                <w:szCs w:val="12"/>
                <w:color w:val="auto"/>
              </w:rPr>
            </w:pPr>
          </w:p>
        </w:tc>
        <w:tc>
          <w:tcPr>
            <w:tcW w:w="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04"/>
        </w:trPr>
        <w:tc>
          <w:tcPr>
            <w:tcW w:w="980" w:type="dxa"/>
            <w:vAlign w:val="bottom"/>
          </w:tcPr>
          <w:p>
            <w:pPr>
              <w:jc w:val="center"/>
              <w:ind w:right="359"/>
              <w:spacing w:after="0"/>
              <w:rPr>
                <w:sz w:val="20"/>
                <w:szCs w:val="20"/>
                <w:color w:val="auto"/>
              </w:rPr>
            </w:pPr>
            <w:r>
              <w:rPr>
                <w:rFonts w:ascii="Arial" w:cs="Arial" w:eastAsia="Arial" w:hAnsi="Arial"/>
                <w:sz w:val="16"/>
                <w:szCs w:val="16"/>
                <w:color w:val="auto"/>
              </w:rPr>
              <w:t>32.1*</w:t>
            </w:r>
          </w:p>
        </w:tc>
        <w:tc>
          <w:tcPr>
            <w:tcW w:w="4040" w:type="dxa"/>
            <w:vAlign w:val="bottom"/>
            <w:gridSpan w:val="20"/>
          </w:tcPr>
          <w:p>
            <w:pPr>
              <w:spacing w:after="0"/>
              <w:rPr>
                <w:rFonts w:ascii="Arial" w:cs="Arial" w:eastAsia="Arial" w:hAnsi="Arial"/>
                <w:sz w:val="16"/>
                <w:szCs w:val="16"/>
                <w:color w:val="0000FF"/>
              </w:rPr>
            </w:pPr>
            <w:hyperlink w:anchor="page209">
              <w:r>
                <w:rPr>
                  <w:rFonts w:ascii="Arial" w:cs="Arial" w:eastAsia="Arial" w:hAnsi="Arial"/>
                  <w:sz w:val="16"/>
                  <w:szCs w:val="16"/>
                  <w:color w:val="0000FF"/>
                </w:rPr>
                <w:t>Certification of Principal Executive Officer Pursuant to 18</w:t>
              </w:r>
            </w:hyperlink>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jc w:val="center"/>
              <w:ind w:left="1979"/>
              <w:spacing w:after="0"/>
              <w:rPr>
                <w:sz w:val="20"/>
                <w:szCs w:val="20"/>
                <w:color w:val="auto"/>
              </w:rPr>
            </w:pPr>
            <w:r>
              <w:rPr>
                <w:rFonts w:ascii="Arial" w:cs="Arial" w:eastAsia="Arial" w:hAnsi="Arial"/>
                <w:sz w:val="16"/>
                <w:szCs w:val="16"/>
                <w:color w:val="auto"/>
                <w:w w:val="93"/>
              </w:rPr>
              <w:t>X</w:t>
            </w:r>
          </w:p>
        </w:tc>
      </w:tr>
      <w:tr>
        <w:trPr>
          <w:trHeight w:val="142"/>
        </w:trPr>
        <w:tc>
          <w:tcPr>
            <w:tcW w:w="980" w:type="dxa"/>
            <w:vAlign w:val="bottom"/>
          </w:tcPr>
          <w:p>
            <w:pPr>
              <w:spacing w:after="0"/>
              <w:rPr>
                <w:sz w:val="12"/>
                <w:szCs w:val="12"/>
                <w:color w:val="auto"/>
              </w:rPr>
            </w:pPr>
          </w:p>
        </w:tc>
        <w:tc>
          <w:tcPr>
            <w:tcW w:w="40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w:anchor="page209">
              <w:r>
                <w:rPr>
                  <w:rFonts w:ascii="Arial" w:cs="Arial" w:eastAsia="Arial" w:hAnsi="Arial"/>
                  <w:sz w:val="16"/>
                  <w:szCs w:val="16"/>
                  <w:color w:val="0000FF"/>
                </w:rPr>
                <w:t>U.S.C. Section 1350, as Adopted Pursuant to Section</w:t>
              </w:r>
            </w:hyperlink>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8"/>
              </w:rPr>
            </w:pPr>
            <w:hyperlink w:anchor="page209">
              <w:r>
                <w:rPr>
                  <w:rFonts w:ascii="Arial" w:cs="Arial" w:eastAsia="Arial" w:hAnsi="Arial"/>
                  <w:sz w:val="16"/>
                  <w:szCs w:val="16"/>
                  <w:color w:val="0000FF"/>
                  <w:w w:val="98"/>
                </w:rPr>
                <w:t>906 of the Sarbanes-Oxley Act of 2002</w:t>
              </w:r>
            </w:hyperlink>
          </w:p>
        </w:tc>
        <w:tc>
          <w:tcPr>
            <w:tcW w:w="1080" w:type="dxa"/>
            <w:vAlign w:val="bottom"/>
            <w:tcBorders>
              <w:top w:val="single" w:sz="8" w:color="0000FF"/>
            </w:tcBorders>
            <w:gridSpan w:val="4"/>
          </w:tcPr>
          <w:p>
            <w:pPr>
              <w:spacing w:after="0"/>
              <w:rPr>
                <w:sz w:val="12"/>
                <w:szCs w:val="12"/>
                <w:color w:val="auto"/>
              </w:rPr>
            </w:pPr>
          </w:p>
        </w:tc>
        <w:tc>
          <w:tcPr>
            <w:tcW w:w="220" w:type="dxa"/>
            <w:vAlign w:val="bottom"/>
            <w:gridSpan w:val="7"/>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tcPr>
          <w:p>
            <w:pPr>
              <w:spacing w:after="0"/>
              <w:rPr>
                <w:sz w:val="12"/>
                <w:szCs w:val="1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Incorporated by Reference</w:t>
            </w:r>
          </w:p>
        </w:tc>
        <w:tc>
          <w:tcPr>
            <w:tcW w:w="1200" w:type="dxa"/>
            <w:vAlign w:val="bottom"/>
            <w:tcBorders>
              <w:bottom w:val="single" w:sz="8" w:color="auto"/>
            </w:tcBorders>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gridSpan w:val="4"/>
            <w:vMerge w:val="restart"/>
          </w:tcPr>
          <w:p>
            <w:pPr>
              <w:ind w:left="1600"/>
              <w:spacing w:after="0"/>
              <w:rPr>
                <w:sz w:val="20"/>
                <w:szCs w:val="20"/>
                <w:color w:val="auto"/>
              </w:rPr>
            </w:pPr>
            <w:r>
              <w:rPr>
                <w:rFonts w:ascii="Arial" w:cs="Arial" w:eastAsia="Arial" w:hAnsi="Arial"/>
                <w:sz w:val="16"/>
                <w:szCs w:val="16"/>
                <w:b w:val="1"/>
                <w:bCs w:val="1"/>
                <w:color w:val="auto"/>
              </w:rPr>
              <w:t>Description</w:t>
            </w:r>
          </w:p>
        </w:tc>
        <w:tc>
          <w:tcPr>
            <w:tcW w:w="120" w:type="dxa"/>
            <w:vAlign w:val="bottom"/>
            <w:vMerge w:val="restart"/>
          </w:tcPr>
          <w:p>
            <w:pPr>
              <w:spacing w:after="0"/>
              <w:rPr>
                <w:sz w:val="14"/>
                <w:szCs w:val="14"/>
                <w:color w:val="auto"/>
              </w:rPr>
            </w:pPr>
          </w:p>
        </w:tc>
        <w:tc>
          <w:tcPr>
            <w:tcW w:w="100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Form</w:t>
            </w:r>
          </w:p>
        </w:tc>
        <w:tc>
          <w:tcPr>
            <w:tcW w:w="112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File No.</w:t>
            </w:r>
          </w:p>
        </w:tc>
        <w:tc>
          <w:tcPr>
            <w:tcW w:w="12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Exhibit</w:t>
            </w:r>
          </w:p>
        </w:tc>
        <w:tc>
          <w:tcPr>
            <w:tcW w:w="1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4"/>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55"/>
        </w:trPr>
        <w:tc>
          <w:tcPr>
            <w:tcW w:w="1040" w:type="dxa"/>
            <w:vAlign w:val="bottom"/>
          </w:tcPr>
          <w:p>
            <w:pPr>
              <w:jc w:val="right"/>
              <w:ind w:right="239"/>
              <w:spacing w:after="0" w:line="155" w:lineRule="exact"/>
              <w:rPr>
                <w:sz w:val="20"/>
                <w:szCs w:val="20"/>
                <w:color w:val="auto"/>
              </w:rPr>
            </w:pPr>
            <w:r>
              <w:rPr>
                <w:rFonts w:ascii="Arial" w:cs="Arial" w:eastAsia="Arial" w:hAnsi="Arial"/>
                <w:sz w:val="16"/>
                <w:szCs w:val="16"/>
                <w:color w:val="auto"/>
              </w:rPr>
              <w:t>32.2*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5"/>
          </w:tcPr>
          <w:p>
            <w:pPr>
              <w:spacing w:after="0" w:line="155" w:lineRule="exact"/>
              <w:rPr>
                <w:rFonts w:ascii="Arial" w:cs="Arial" w:eastAsia="Arial" w:hAnsi="Arial"/>
                <w:sz w:val="16"/>
                <w:szCs w:val="16"/>
                <w:color w:val="0000FF"/>
              </w:rPr>
            </w:pPr>
            <w:hyperlink w:anchor="page210">
              <w:r>
                <w:rPr>
                  <w:rFonts w:ascii="Arial" w:cs="Arial" w:eastAsia="Arial" w:hAnsi="Arial"/>
                  <w:sz w:val="16"/>
                  <w:szCs w:val="16"/>
                  <w:color w:val="0000FF"/>
                </w:rPr>
                <w:t>Certification of Principal Financial Officer Pursuant to 18</w:t>
              </w:r>
            </w:hyperlink>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w:anchor="page210">
              <w:r>
                <w:rPr>
                  <w:rFonts w:ascii="Arial" w:cs="Arial" w:eastAsia="Arial" w:hAnsi="Arial"/>
                  <w:sz w:val="16"/>
                  <w:szCs w:val="16"/>
                  <w:color w:val="0000FF"/>
                </w:rPr>
                <w:t>U.S.C. Section 1350, as Adopted Pursuant to Section</w:t>
              </w:r>
            </w:hyperlink>
          </w:p>
        </w:tc>
        <w:tc>
          <w:tcPr>
            <w:tcW w:w="18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8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210">
              <w:r>
                <w:rPr>
                  <w:rFonts w:ascii="Arial" w:cs="Arial" w:eastAsia="Arial" w:hAnsi="Arial"/>
                  <w:sz w:val="16"/>
                  <w:szCs w:val="16"/>
                  <w:color w:val="0000FF"/>
                </w:rPr>
                <w:t>906 of the Sarbanes-Oxley Act of 2002</w:t>
              </w:r>
            </w:hyperlink>
          </w:p>
        </w:tc>
        <w:tc>
          <w:tcPr>
            <w:tcW w:w="1080" w:type="dxa"/>
            <w:vAlign w:val="bottom"/>
            <w:tcBorders>
              <w:top w:val="single" w:sz="8" w:color="0000FF"/>
            </w:tcBorders>
          </w:tcPr>
          <w:p>
            <w:pPr>
              <w:spacing w:after="0"/>
              <w:rPr>
                <w:sz w:val="12"/>
                <w:szCs w:val="12"/>
                <w:color w:val="auto"/>
              </w:rPr>
            </w:pPr>
          </w:p>
        </w:tc>
        <w:tc>
          <w:tcPr>
            <w:tcW w:w="360" w:type="dxa"/>
            <w:vAlign w:val="bottom"/>
            <w:gridSpan w:val="3"/>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9"/>
        </w:trPr>
        <w:tc>
          <w:tcPr>
            <w:tcW w:w="1040" w:type="dxa"/>
            <w:vAlign w:val="bottom"/>
          </w:tcPr>
          <w:p>
            <w:pPr>
              <w:jc w:val="center"/>
              <w:spacing w:after="0"/>
              <w:rPr>
                <w:sz w:val="20"/>
                <w:szCs w:val="20"/>
                <w:color w:val="auto"/>
              </w:rPr>
            </w:pPr>
            <w:r>
              <w:rPr>
                <w:rFonts w:ascii="Arial" w:cs="Arial" w:eastAsia="Arial" w:hAnsi="Arial"/>
                <w:sz w:val="16"/>
                <w:szCs w:val="16"/>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80"/>
        </w:trPr>
        <w:tc>
          <w:tcPr>
            <w:tcW w:w="104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spacing w:after="0"/>
              <w:rPr>
                <w:sz w:val="20"/>
                <w:szCs w:val="20"/>
                <w:color w:val="auto"/>
              </w:rPr>
            </w:pPr>
            <w:r>
              <w:rPr>
                <w:rFonts w:ascii="Arial" w:cs="Arial" w:eastAsia="Arial" w:hAnsi="Arial"/>
                <w:sz w:val="16"/>
                <w:szCs w:val="16"/>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spacing w:after="0"/>
              <w:rPr>
                <w:sz w:val="20"/>
                <w:szCs w:val="20"/>
                <w:color w:val="auto"/>
              </w:rPr>
            </w:pPr>
            <w:r>
              <w:rPr>
                <w:rFonts w:ascii="Arial" w:cs="Arial" w:eastAsia="Arial" w:hAnsi="Arial"/>
                <w:sz w:val="16"/>
                <w:szCs w:val="16"/>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spacing w:after="0"/>
              <w:rPr>
                <w:sz w:val="20"/>
                <w:szCs w:val="20"/>
                <w:color w:val="auto"/>
              </w:rPr>
            </w:pPr>
            <w:r>
              <w:rPr>
                <w:rFonts w:ascii="Arial" w:cs="Arial" w:eastAsia="Arial" w:hAnsi="Arial"/>
                <w:sz w:val="16"/>
                <w:szCs w:val="16"/>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29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Cover Page Interactive Data File (formatted as Inline</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XBRL and contained in Exhibit 101)</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Where applicable, schedules and exhibits have been omitted pursuant to Item 601(a)(5) of Regulation S-K. The registrant agrees to furnish supplementally a copy of any omitted schedule or exhibit to the U.S. Securities and Exchange Commission upon request.</w:t>
      </w:r>
    </w:p>
    <w:p>
      <w:pPr>
        <w:spacing w:after="0" w:line="8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98" w:lineRule="exact"/>
        <w:rPr>
          <w:sz w:val="20"/>
          <w:szCs w:val="20"/>
          <w:color w:val="auto"/>
        </w:rPr>
      </w:pPr>
    </w:p>
    <w:p>
      <w:pPr>
        <w:ind w:right="160" w:firstLine="8"/>
        <w:spacing w:after="0" w:line="238"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auto"/>
        </w:rPr>
      </w:pPr>
      <w:hyperlink w:anchor="page106">
        <w:r>
          <w:rPr>
            <w:rFonts w:ascii="Arial" w:cs="Arial" w:eastAsia="Arial" w:hAnsi="Arial"/>
            <w:sz w:val="18"/>
            <w:szCs w:val="18"/>
            <w:b w:val="1"/>
            <w:bCs w:val="1"/>
            <w:u w:val="single" w:color="auto"/>
            <w:color w:val="auto"/>
          </w:rPr>
          <w:t>Item 16. Form 10-K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748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3" w:right="1440" w:bottom="1440" w:gutter="0" w:footer="0" w:header="0"/>
        </w:sectPr>
      </w:pPr>
    </w:p>
    <w:bookmarkStart w:id="106" w:name="page107"/>
    <w:bookmarkEnd w:id="106"/>
    <w:p>
      <w:pPr>
        <w:jc w:val="center"/>
        <w:spacing w:after="0"/>
        <w:rPr>
          <w:rFonts w:ascii="Arial" w:cs="Arial" w:eastAsia="Arial" w:hAnsi="Arial"/>
          <w:sz w:val="18"/>
          <w:szCs w:val="18"/>
          <w:b w:val="1"/>
          <w:bCs w:val="1"/>
          <w:u w:val="single" w:color="auto"/>
          <w:color w:val="auto"/>
        </w:rPr>
      </w:pPr>
      <w:hyperlink w:anchor="page107">
        <w:r>
          <w:rPr>
            <w:rFonts w:ascii="Arial" w:cs="Arial" w:eastAsia="Arial" w:hAnsi="Arial"/>
            <w:sz w:val="18"/>
            <w:szCs w:val="18"/>
            <w:b w:val="1"/>
            <w:bCs w:val="1"/>
            <w:u w:val="single" w:color="auto"/>
            <w:color w:val="auto"/>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-5080</wp:posOffset>
            </wp:positionV>
            <wp:extent cx="7404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214" w:lineRule="exact"/>
        <w:rPr>
          <w:sz w:val="20"/>
          <w:szCs w:val="20"/>
          <w:color w:val="auto"/>
        </w:rPr>
      </w:pPr>
    </w:p>
    <w:p>
      <w:pPr>
        <w:ind w:right="580" w:firstLine="50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PAYMENTUS HOLDINGS, INC.</w:t>
            </w:r>
          </w:p>
        </w:tc>
      </w:tr>
      <w:tr>
        <w:trPr>
          <w:trHeight w:val="358"/>
        </w:trPr>
        <w:tc>
          <w:tcPr>
            <w:tcW w:w="3120" w:type="dxa"/>
            <w:vAlign w:val="bottom"/>
          </w:tcPr>
          <w:p>
            <w:pPr>
              <w:spacing w:after="0"/>
              <w:rPr>
                <w:sz w:val="20"/>
                <w:szCs w:val="20"/>
                <w:color w:val="auto"/>
              </w:rPr>
            </w:pPr>
            <w:r>
              <w:rPr>
                <w:rFonts w:ascii="Arial" w:cs="Arial" w:eastAsia="Arial" w:hAnsi="Arial"/>
                <w:sz w:val="18"/>
                <w:szCs w:val="18"/>
                <w:color w:val="auto"/>
              </w:rPr>
              <w:t>Date: March 3, 2022</w:t>
            </w:r>
          </w:p>
        </w:tc>
        <w:tc>
          <w:tcPr>
            <w:tcW w:w="25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By:  /s/ Dushyant Sharma</w:t>
            </w:r>
          </w:p>
        </w:tc>
      </w:tr>
      <w:tr>
        <w:trPr>
          <w:trHeight w:val="168"/>
        </w:trPr>
        <w:tc>
          <w:tcPr>
            <w:tcW w:w="3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40" w:type="dxa"/>
            <w:vAlign w:val="bottom"/>
            <w:tcBorders>
              <w:top w:val="single" w:sz="8" w:color="auto"/>
            </w:tcBorders>
          </w:tcPr>
          <w:p>
            <w:pPr>
              <w:ind w:left="20"/>
              <w:spacing w:after="0" w:line="168" w:lineRule="exact"/>
              <w:rPr>
                <w:sz w:val="20"/>
                <w:szCs w:val="20"/>
                <w:color w:val="auto"/>
              </w:rPr>
            </w:pPr>
            <w:r>
              <w:rPr>
                <w:rFonts w:ascii="Arial" w:cs="Arial" w:eastAsia="Arial" w:hAnsi="Arial"/>
                <w:sz w:val="18"/>
                <w:szCs w:val="18"/>
                <w:color w:val="auto"/>
              </w:rPr>
              <w:t>Dushyant Sharma</w:t>
            </w:r>
          </w:p>
        </w:tc>
      </w:tr>
      <w:tr>
        <w:trPr>
          <w:trHeight w:val="217"/>
        </w:trPr>
        <w:tc>
          <w:tcPr>
            <w:tcW w:w="3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405"/>
        </w:trPr>
        <w:tc>
          <w:tcPr>
            <w:tcW w:w="3120" w:type="dxa"/>
            <w:vAlign w:val="bottom"/>
          </w:tcPr>
          <w:p>
            <w:pPr>
              <w:spacing w:after="0"/>
              <w:rPr>
                <w:sz w:val="24"/>
                <w:szCs w:val="24"/>
                <w:color w:val="auto"/>
              </w:rPr>
            </w:pPr>
          </w:p>
        </w:tc>
        <w:tc>
          <w:tcPr>
            <w:tcW w:w="8100" w:type="dxa"/>
            <w:vAlign w:val="bottom"/>
            <w:gridSpan w:val="3"/>
          </w:tcPr>
          <w:p>
            <w:pPr>
              <w:ind w:left="150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Each person whose signature appears below hereby severally constitutes and appoints each of Dushyant Sharma, Matt Parson and Andrew A. Gerber as his true and lawful attorney-in-fact and agent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each said attorney-in-fact and agent or his substitute or substitutes may lawfully do or cause to be done by virtue hereof.</w:t>
      </w:r>
    </w:p>
    <w:p>
      <w:pPr>
        <w:spacing w:after="0" w:line="189" w:lineRule="exact"/>
        <w:rPr>
          <w:sz w:val="20"/>
          <w:szCs w:val="20"/>
          <w:color w:val="auto"/>
        </w:rPr>
      </w:pPr>
    </w:p>
    <w:p>
      <w:pPr>
        <w:ind w:left="820" w:right="280" w:hanging="581"/>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 w:type="dxa"/>
            <w:vAlign w:val="bottom"/>
          </w:tcPr>
          <w:p>
            <w:pPr>
              <w:spacing w:after="0"/>
              <w:rPr>
                <w:sz w:val="19"/>
                <w:szCs w:val="19"/>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Name</w:t>
            </w:r>
          </w:p>
        </w:tc>
        <w:tc>
          <w:tcPr>
            <w:tcW w:w="474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Title</w:t>
            </w:r>
          </w:p>
        </w:tc>
        <w:tc>
          <w:tcPr>
            <w:tcW w:w="24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Date</w:t>
            </w:r>
          </w:p>
        </w:tc>
        <w:tc>
          <w:tcPr>
            <w:tcW w:w="60" w:type="dxa"/>
            <w:vAlign w:val="bottom"/>
          </w:tcPr>
          <w:p>
            <w:pPr>
              <w:spacing w:after="0"/>
              <w:rPr>
                <w:sz w:val="19"/>
                <w:szCs w:val="19"/>
                <w:color w:val="auto"/>
              </w:rPr>
            </w:pPr>
          </w:p>
        </w:tc>
      </w:tr>
      <w:tr>
        <w:trPr>
          <w:trHeight w:val="182"/>
        </w:trPr>
        <w:tc>
          <w:tcPr>
            <w:tcW w:w="80" w:type="dxa"/>
            <w:vAlign w:val="bottom"/>
          </w:tcPr>
          <w:p>
            <w:pPr>
              <w:spacing w:after="0"/>
              <w:rPr>
                <w:sz w:val="15"/>
                <w:szCs w:val="15"/>
                <w:color w:val="auto"/>
              </w:rPr>
            </w:pPr>
          </w:p>
        </w:tc>
        <w:tc>
          <w:tcPr>
            <w:tcW w:w="392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/s/Dushyant Sharma</w:t>
            </w:r>
          </w:p>
        </w:tc>
        <w:tc>
          <w:tcPr>
            <w:tcW w:w="4740" w:type="dxa"/>
            <w:vAlign w:val="bottom"/>
          </w:tcPr>
          <w:p>
            <w:pPr>
              <w:ind w:left="20"/>
              <w:spacing w:after="0" w:line="182" w:lineRule="exact"/>
              <w:rPr>
                <w:sz w:val="20"/>
                <w:szCs w:val="20"/>
                <w:color w:val="auto"/>
              </w:rPr>
            </w:pPr>
            <w:r>
              <w:rPr>
                <w:rFonts w:ascii="Arial" w:cs="Arial" w:eastAsia="Arial" w:hAnsi="Arial"/>
                <w:sz w:val="18"/>
                <w:szCs w:val="18"/>
                <w:color w:val="auto"/>
              </w:rPr>
              <w:t>Chairman, President, and Chief Executive Officer</w:t>
            </w:r>
          </w:p>
        </w:tc>
        <w:tc>
          <w:tcPr>
            <w:tcW w:w="2440" w:type="dxa"/>
            <w:vAlign w:val="bottom"/>
          </w:tcPr>
          <w:p>
            <w:pPr>
              <w:jc w:val="center"/>
              <w:ind w:left="230"/>
              <w:spacing w:after="0" w:line="182" w:lineRule="exact"/>
              <w:rPr>
                <w:sz w:val="20"/>
                <w:szCs w:val="20"/>
                <w:color w:val="auto"/>
              </w:rPr>
            </w:pPr>
            <w:r>
              <w:rPr>
                <w:rFonts w:ascii="Arial" w:cs="Arial" w:eastAsia="Arial" w:hAnsi="Arial"/>
                <w:sz w:val="18"/>
                <w:szCs w:val="18"/>
                <w:color w:val="auto"/>
              </w:rPr>
              <w:t>March 3, 2022</w:t>
            </w:r>
          </w:p>
        </w:tc>
        <w:tc>
          <w:tcPr>
            <w:tcW w:w="60" w:type="dxa"/>
            <w:vAlign w:val="bottom"/>
          </w:tcPr>
          <w:p>
            <w:pPr>
              <w:spacing w:after="0"/>
              <w:rPr>
                <w:sz w:val="15"/>
                <w:szCs w:val="15"/>
                <w:color w:val="auto"/>
              </w:rPr>
            </w:pPr>
          </w:p>
        </w:tc>
      </w:tr>
      <w:tr>
        <w:trPr>
          <w:trHeight w:val="211"/>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9"/>
              </w:rPr>
              <w:t>Dushyant Sharma</w:t>
            </w:r>
          </w:p>
        </w:tc>
        <w:tc>
          <w:tcPr>
            <w:tcW w:w="4740" w:type="dxa"/>
            <w:vAlign w:val="bottom"/>
          </w:tcPr>
          <w:p>
            <w:pPr>
              <w:ind w:left="20"/>
              <w:spacing w:after="0" w:line="197" w:lineRule="exact"/>
              <w:rPr>
                <w:sz w:val="20"/>
                <w:szCs w:val="20"/>
                <w:color w:val="auto"/>
              </w:rPr>
            </w:pPr>
            <w:r>
              <w:rPr>
                <w:rFonts w:ascii="Arial" w:cs="Arial" w:eastAsia="Arial" w:hAnsi="Arial"/>
                <w:sz w:val="18"/>
                <w:szCs w:val="18"/>
                <w:color w:val="auto"/>
              </w:rPr>
              <w:t>(Principle Executive Officer)</w:t>
            </w: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49"/>
        </w:trPr>
        <w:tc>
          <w:tcPr>
            <w:tcW w:w="8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Matt Parson</w:t>
            </w:r>
          </w:p>
        </w:tc>
        <w:tc>
          <w:tcPr>
            <w:tcW w:w="4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jc w:val="center"/>
              <w:ind w:left="230"/>
              <w:spacing w:after="0"/>
              <w:rPr>
                <w:sz w:val="20"/>
                <w:szCs w:val="20"/>
                <w:color w:val="auto"/>
              </w:rPr>
            </w:pPr>
            <w:r>
              <w:rPr>
                <w:rFonts w:ascii="Arial" w:cs="Arial" w:eastAsia="Arial" w:hAnsi="Arial"/>
                <w:sz w:val="18"/>
                <w:szCs w:val="18"/>
                <w:color w:val="auto"/>
              </w:rPr>
              <w:t>March 3, 2022</w:t>
            </w:r>
          </w:p>
        </w:tc>
        <w:tc>
          <w:tcPr>
            <w:tcW w:w="60" w:type="dxa"/>
            <w:vAlign w:val="bottom"/>
          </w:tcPr>
          <w:p>
            <w:pPr>
              <w:spacing w:after="0"/>
              <w:rPr>
                <w:sz w:val="24"/>
                <w:szCs w:val="24"/>
                <w:color w:val="auto"/>
              </w:rPr>
            </w:pPr>
          </w:p>
        </w:tc>
      </w:tr>
      <w:tr>
        <w:trPr>
          <w:trHeight w:val="211"/>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rPr>
              <w:t>Matt Parson</w:t>
            </w:r>
          </w:p>
        </w:tc>
        <w:tc>
          <w:tcPr>
            <w:tcW w:w="4740" w:type="dxa"/>
            <w:vAlign w:val="bottom"/>
          </w:tcPr>
          <w:p>
            <w:pPr>
              <w:ind w:left="20"/>
              <w:spacing w:after="0" w:line="197" w:lineRule="exact"/>
              <w:rPr>
                <w:sz w:val="20"/>
                <w:szCs w:val="20"/>
                <w:color w:val="auto"/>
              </w:rPr>
            </w:pPr>
            <w:r>
              <w:rPr>
                <w:rFonts w:ascii="Arial" w:cs="Arial" w:eastAsia="Arial" w:hAnsi="Arial"/>
                <w:sz w:val="18"/>
                <w:szCs w:val="18"/>
                <w:color w:val="auto"/>
              </w:rPr>
              <w:t>(Principle Financial and Accounting Officer)</w:t>
            </w: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0"/>
        </w:trPr>
        <w:tc>
          <w:tcPr>
            <w:tcW w:w="8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Ingram</w:t>
            </w:r>
          </w:p>
        </w:tc>
        <w:tc>
          <w:tcPr>
            <w:tcW w:w="4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30"/>
              <w:spacing w:after="0"/>
              <w:rPr>
                <w:sz w:val="20"/>
                <w:szCs w:val="20"/>
                <w:color w:val="auto"/>
              </w:rPr>
            </w:pPr>
            <w:r>
              <w:rPr>
                <w:rFonts w:ascii="Arial" w:cs="Arial" w:eastAsia="Arial" w:hAnsi="Arial"/>
                <w:sz w:val="18"/>
                <w:szCs w:val="18"/>
                <w:color w:val="auto"/>
              </w:rPr>
              <w:t>March 3, 2022</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9"/>
              </w:rPr>
              <w:t>William Ingram</w:t>
            </w:r>
          </w:p>
        </w:tc>
        <w:tc>
          <w:tcPr>
            <w:tcW w:w="4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0"/>
        </w:trPr>
        <w:tc>
          <w:tcPr>
            <w:tcW w:w="8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Jason Klein</w:t>
            </w:r>
          </w:p>
        </w:tc>
        <w:tc>
          <w:tcPr>
            <w:tcW w:w="4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30"/>
              <w:spacing w:after="0"/>
              <w:rPr>
                <w:sz w:val="20"/>
                <w:szCs w:val="20"/>
                <w:color w:val="auto"/>
              </w:rPr>
            </w:pPr>
            <w:r>
              <w:rPr>
                <w:rFonts w:ascii="Arial" w:cs="Arial" w:eastAsia="Arial" w:hAnsi="Arial"/>
                <w:sz w:val="18"/>
                <w:szCs w:val="18"/>
                <w:color w:val="auto"/>
              </w:rPr>
              <w:t>March 3, 2022</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rPr>
              <w:t>Jason Klein</w:t>
            </w:r>
          </w:p>
        </w:tc>
        <w:tc>
          <w:tcPr>
            <w:tcW w:w="4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0"/>
        </w:trPr>
        <w:tc>
          <w:tcPr>
            <w:tcW w:w="8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Adam Malinowski</w:t>
            </w:r>
          </w:p>
        </w:tc>
        <w:tc>
          <w:tcPr>
            <w:tcW w:w="4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30"/>
              <w:spacing w:after="0"/>
              <w:rPr>
                <w:sz w:val="20"/>
                <w:szCs w:val="20"/>
                <w:color w:val="auto"/>
              </w:rPr>
            </w:pPr>
            <w:r>
              <w:rPr>
                <w:rFonts w:ascii="Arial" w:cs="Arial" w:eastAsia="Arial" w:hAnsi="Arial"/>
                <w:sz w:val="18"/>
                <w:szCs w:val="18"/>
                <w:color w:val="auto"/>
              </w:rPr>
              <w:t>March 3, 2022</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9"/>
              </w:rPr>
              <w:t>Adam Malinowski</w:t>
            </w:r>
          </w:p>
        </w:tc>
        <w:tc>
          <w:tcPr>
            <w:tcW w:w="4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0"/>
        </w:trPr>
        <w:tc>
          <w:tcPr>
            <w:tcW w:w="8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Robert Palumbo</w:t>
            </w:r>
          </w:p>
        </w:tc>
        <w:tc>
          <w:tcPr>
            <w:tcW w:w="4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30"/>
              <w:spacing w:after="0"/>
              <w:rPr>
                <w:sz w:val="20"/>
                <w:szCs w:val="20"/>
                <w:color w:val="auto"/>
              </w:rPr>
            </w:pPr>
            <w:r>
              <w:rPr>
                <w:rFonts w:ascii="Arial" w:cs="Arial" w:eastAsia="Arial" w:hAnsi="Arial"/>
                <w:sz w:val="18"/>
                <w:szCs w:val="18"/>
                <w:color w:val="auto"/>
              </w:rPr>
              <w:t>March 3, 2022</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9"/>
              </w:rPr>
              <w:t>Robert Palumbo</w:t>
            </w:r>
          </w:p>
        </w:tc>
        <w:tc>
          <w:tcPr>
            <w:tcW w:w="4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0"/>
        </w:trPr>
        <w:tc>
          <w:tcPr>
            <w:tcW w:w="8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Gary Trainor</w:t>
            </w:r>
          </w:p>
        </w:tc>
        <w:tc>
          <w:tcPr>
            <w:tcW w:w="4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30"/>
              <w:spacing w:after="0"/>
              <w:rPr>
                <w:sz w:val="20"/>
                <w:szCs w:val="20"/>
                <w:color w:val="auto"/>
              </w:rPr>
            </w:pPr>
            <w:r>
              <w:rPr>
                <w:rFonts w:ascii="Arial" w:cs="Arial" w:eastAsia="Arial" w:hAnsi="Arial"/>
                <w:sz w:val="18"/>
                <w:szCs w:val="18"/>
                <w:color w:val="auto"/>
              </w:rPr>
              <w:t>March 3, 2022</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8"/>
              </w:rPr>
              <w:t>Gary Trainor</w:t>
            </w:r>
          </w:p>
        </w:tc>
        <w:tc>
          <w:tcPr>
            <w:tcW w:w="4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688"/>
        </w:trPr>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740" w:type="dxa"/>
            <w:vAlign w:val="bottom"/>
          </w:tcPr>
          <w:p>
            <w:pPr>
              <w:ind w:left="1480"/>
              <w:spacing w:after="0"/>
              <w:rPr>
                <w:sz w:val="20"/>
                <w:szCs w:val="20"/>
                <w:color w:val="auto"/>
              </w:rPr>
            </w:pPr>
            <w:r>
              <w:rPr>
                <w:rFonts w:ascii="Arial" w:cs="Arial" w:eastAsia="Arial" w:hAnsi="Arial"/>
                <w:sz w:val="18"/>
                <w:szCs w:val="18"/>
                <w:color w:val="auto"/>
              </w:rPr>
              <w:t>107</w:t>
            </w: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5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REGISTERED PURSUANT TO SECTION 12 OF THE</w:t>
      </w:r>
    </w:p>
    <w:p>
      <w:pPr>
        <w:ind w:left="3960"/>
        <w:spacing w:after="0"/>
        <w:rPr>
          <w:sz w:val="20"/>
          <w:szCs w:val="20"/>
          <w:color w:val="auto"/>
        </w:rPr>
      </w:pPr>
      <w:r>
        <w:rPr>
          <w:rFonts w:ascii="Arial" w:cs="Arial" w:eastAsia="Arial" w:hAnsi="Arial"/>
          <w:sz w:val="18"/>
          <w:szCs w:val="18"/>
          <w:b w:val="1"/>
          <w:bCs w:val="1"/>
          <w:color w:val="auto"/>
        </w:rPr>
        <w:t>SECURITIES EXCHANGE ACT OF 1934</w:t>
      </w:r>
    </w:p>
    <w:p>
      <w:pPr>
        <w:spacing w:after="0" w:line="21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Paymentus Holdings, Inc. has one class of securities registered under Section 12 of the Securities Exchange Act of 1934, as amended: our Class A common stock, $0.0001 par value per share.</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general terms and provisions of our common stock are summarized below. This summary does not purport to be complete and is subject to, and qualified in its entirety by express reference to, the provisions of our certificate of incorporation and bylaws, each of which is included as an exhibit to the Annual Report on Form 10-K to which this description is an exhibit, and each of which may be amended from time to time. We encourage you to read our certificate of incorporation and bylaws and the applicable provisions of the General Corporation Law of the State of Delaware, or DGCL, for additional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1,000,000,000 shares of capital stock, $0.0001 par value per share, of which:</w:t>
      </w:r>
    </w:p>
    <w:p>
      <w:pPr>
        <w:spacing w:after="0" w:line="212" w:lineRule="exact"/>
        <w:rPr>
          <w:sz w:val="20"/>
          <w:szCs w:val="20"/>
          <w:color w:val="auto"/>
        </w:rPr>
      </w:pPr>
    </w:p>
    <w:p>
      <w:pPr>
        <w:ind w:left="760" w:hanging="378"/>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883,950,000 shares are designated as Class A common stock;</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111,050,000 shares are designated as Class B common stock;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3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34"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 Our Class A common stock is not subject to conversion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3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Holders of our Class A common stock are entitled to one vote per share held as of the applicable record date on all matters submitted to a vote of the holders of our Class A common stock, and holders of our Class B common stock are entitled to 10 votes per share held as of the applicable record date on all matters submitted to a vote of the holders of our Class B common stock. The holders of our Class A common stock and Class B common stock generally vote together as a single class on all matters submitted to a vote of our stockholders, unless otherwise required by Delaware law or our certificate of incorporation. Delaware law could require either holders of our Class A common stock or Class B common stock to vote separately as a single class if we were to seek to amend our certificate of incorporation in a manner that alters or changes the powers, preferences or special rights of such class of common stock in a manner that affected such shares adversely but does not so affect the shares of the other class of common stock.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ind w:right="20"/>
        <w:spacing w:after="0" w:line="236" w:lineRule="auto"/>
        <w:rPr>
          <w:sz w:val="20"/>
          <w:szCs w:val="20"/>
          <w:color w:val="auto"/>
        </w:rPr>
      </w:pPr>
      <w:r>
        <w:rPr>
          <w:rFonts w:ascii="Arial" w:cs="Arial" w:eastAsia="Arial" w:hAnsi="Arial"/>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stock exchange on which our securities are listed.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20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certificate of incorporation and bylaws provide for a classified board of directors consisting of three classes of approximately equal size, each serving staggered three-year terms. Only the directors in one class are elected at each annual meeting of our stockholders, with the directors in the other classes continuing for the remainder of their respective three-year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3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Class A common stock and Class B common stock are fully paid and non-assessable.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for certain limited transfers exempted by our certificate of incorporation, including transfers to affiliates, members or partners of Accel-KKR, or AKKR, and transfers for estate planning purposes so long as the transferring holder retains exclusive voting and dispositive power with respect to the shares transferred. Once converted into a share of our Class A common stock, such share of our Class B common stock will not be reissued.</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each outstanding share of Class B common stock held by a stockholder who is a natural person, other than Dushyant Sharma, or held by a permitted transferee of such natural person (as described in our certificate of incorporation), will convert automatically into one share of Class A common stock upon the death or incapacity of such natural person. In the event of the death or incapacity of Mr. Sharma, shares of Class B common stock held by Mr. Sharma and his permitted transferees will also convert automatically to Class A common stock, provided that the conversion will be deferred for nine months.</w:t>
      </w:r>
    </w:p>
    <w:p>
      <w:pPr>
        <w:spacing w:after="0" w:line="20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Each outstanding share of Class B common stock will automatically convert into one share of our Class A common stock on the first trading day following the date on which AKKR, Mr. Sharma, the persons and entities then party to our stockholders agreement, and their respective affiliates and permitted transferees, collectively cease to hold at least 10% of our then outstanding common stock. Following the conversion of all outstanding shares of our Class B common stock into Class A common stock, no further shares of our Class B common stock will be issued.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Anti-Takeover Effects of Our Certificate of Incorporation, Bylaws and Washington Law</w:t>
      </w:r>
    </w:p>
    <w:p>
      <w:pPr>
        <w:spacing w:after="0" w:line="2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Certain provisions of our certificate of incorporation, our bylaws and Washington law,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3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Provisions of our certificate of incorporation and bylaws include a number of provisions that could deter hostile takeovers or delay or prevent changes in control of our board of directors or management. Among other things, these provisions provide that:</w:t>
      </w:r>
    </w:p>
    <w:p>
      <w:pPr>
        <w:spacing w:after="0" w:line="197" w:lineRule="exact"/>
        <w:rPr>
          <w:sz w:val="20"/>
          <w:szCs w:val="20"/>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a dual class common stock structure, with differing voting rights;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the board of directors;</w:t>
      </w:r>
    </w:p>
    <w:p>
      <w:pPr>
        <w:spacing w:after="0" w:line="211" w:lineRule="exact"/>
        <w:rPr>
          <w:rFonts w:ascii="Arial" w:cs="Arial" w:eastAsia="Arial" w:hAnsi="Arial"/>
          <w:sz w:val="18"/>
          <w:szCs w:val="18"/>
          <w:color w:val="auto"/>
        </w:rPr>
      </w:pPr>
    </w:p>
    <w:p>
      <w:pPr>
        <w:ind w:left="760" w:right="120" w:hanging="378"/>
        <w:spacing w:after="0" w:line="246"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vacancies on the board of directors and any newly created directorships may only be filled by the affirmative vote of a majority of directors then in office, even if less than a quorum;</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each of which will stand for election once every three years;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is no cumulative voting;</w:t>
      </w:r>
    </w:p>
    <w:p>
      <w:pPr>
        <w:spacing w:after="0" w:line="211" w:lineRule="exact"/>
        <w:rPr>
          <w:rFonts w:ascii="Arial" w:cs="Arial" w:eastAsia="Arial" w:hAnsi="Arial"/>
          <w:sz w:val="18"/>
          <w:szCs w:val="18"/>
          <w:color w:val="auto"/>
        </w:rPr>
      </w:pPr>
    </w:p>
    <w:p>
      <w:pPr>
        <w:ind w:left="760" w:right="400" w:hanging="378"/>
        <w:spacing w:after="0" w:line="246"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of directors may issue “blank check” preferred stock that our board of directors could use to implement a stockholder rights plan;</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of directors may adopt, alter or repeal our bylaws;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forum for certain litigation against us is restricted to Delaware; and</w:t>
      </w:r>
    </w:p>
    <w:p>
      <w:pPr>
        <w:spacing w:after="0" w:line="211" w:lineRule="exact"/>
        <w:rPr>
          <w:rFonts w:ascii="Arial" w:cs="Arial" w:eastAsia="Arial" w:hAnsi="Arial"/>
          <w:sz w:val="18"/>
          <w:szCs w:val="18"/>
          <w:color w:val="auto"/>
        </w:rPr>
      </w:pPr>
    </w:p>
    <w:p>
      <w:pPr>
        <w:ind w:left="760" w:right="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0" w:name="page111"/>
    <w:bookmarkEnd w:id="110"/>
    <w:p>
      <w:pPr>
        <w:ind w:right="200"/>
        <w:spacing w:after="0" w:line="246" w:lineRule="auto"/>
        <w:rPr>
          <w:sz w:val="20"/>
          <w:szCs w:val="20"/>
          <w:color w:val="auto"/>
        </w:rPr>
      </w:pPr>
      <w:r>
        <w:rPr>
          <w:rFonts w:ascii="Arial" w:cs="Arial" w:eastAsia="Arial" w:hAnsi="Arial"/>
          <w:sz w:val="18"/>
          <w:szCs w:val="18"/>
          <w:color w:val="auto"/>
        </w:rPr>
        <w:t>Additional provisions will become effective on such date when AKKR and its affiliates cease to beneficially own in the aggregate, directly or indirectly, at least 50% of the voting power of our capital stock, which, among other things, provide that:</w:t>
      </w:r>
    </w:p>
    <w:p>
      <w:pPr>
        <w:spacing w:after="0" w:line="197" w:lineRule="exact"/>
        <w:rPr>
          <w:sz w:val="20"/>
          <w:szCs w:val="20"/>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stockholders may not call special meetings of stockholders or act by written consent;</w:t>
      </w:r>
    </w:p>
    <w:p>
      <w:pPr>
        <w:spacing w:after="0" w:line="211" w:lineRule="exact"/>
        <w:rPr>
          <w:rFonts w:ascii="Arial" w:cs="Arial" w:eastAsia="Arial" w:hAnsi="Arial"/>
          <w:sz w:val="18"/>
          <w:szCs w:val="18"/>
          <w:color w:val="auto"/>
        </w:rPr>
      </w:pPr>
    </w:p>
    <w:p>
      <w:pPr>
        <w:ind w:left="760" w:right="320" w:hanging="378"/>
        <w:spacing w:after="0" w:line="246"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directors may only be removed from office for cause and with the affirmative vote of at least a majority of the voting power of our outstanding capital stock; and</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amending certain provisions of our certificate of incorporation and bylaws is subject to super-majority voting thresholds.</w:t>
      </w:r>
    </w:p>
    <w:p>
      <w:pPr>
        <w:spacing w:after="0" w:line="21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are not subject to the provisions of Section 203 of the DGCL, or Section 203. In general, Section 203 prohibits a publicly held Delaware corporation from engaging in a "business combination" with an "interested stockholder" for a three-year period following the time that the person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 (1) before the stockholder became an interested stockholder, the board of directors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stockholder became an interested stockholder,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207"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w:t>
      </w:r>
    </w:p>
    <w:p>
      <w:pPr>
        <w:spacing w:after="0" w:line="203"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have opted out of Section 203;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03" w:lineRule="exact"/>
        <w:rPr>
          <w:sz w:val="20"/>
          <w:szCs w:val="20"/>
          <w:color w:val="auto"/>
        </w:rPr>
      </w:pPr>
    </w:p>
    <w:p>
      <w:pPr>
        <w:ind w:left="760" w:right="780" w:hanging="378"/>
        <w:spacing w:after="0" w:line="246"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96" w:lineRule="exact"/>
        <w:rPr>
          <w:rFonts w:ascii="Arial" w:cs="Arial" w:eastAsia="Arial" w:hAnsi="Arial"/>
          <w:sz w:val="18"/>
          <w:szCs w:val="18"/>
          <w:color w:val="auto"/>
        </w:rPr>
      </w:pPr>
    </w:p>
    <w:p>
      <w:pPr>
        <w:ind w:left="760" w:hanging="378"/>
        <w:spacing w:after="0" w:line="274"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74" w:lineRule="exact"/>
        <w:rPr>
          <w:rFonts w:ascii="Arial" w:cs="Arial" w:eastAsia="Arial" w:hAnsi="Arial"/>
          <w:sz w:val="17"/>
          <w:szCs w:val="17"/>
          <w:color w:val="auto"/>
        </w:rPr>
      </w:pPr>
    </w:p>
    <w:p>
      <w:pPr>
        <w:ind w:left="760" w:right="100" w:hanging="378"/>
        <w:spacing w:after="0" w:line="234"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66-2/3% of our outstanding voting stock that is not owned by the interested stockholder.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1" w:name="page112"/>
    <w:bookmarkEnd w:id="111"/>
    <w:p>
      <w:pPr>
        <w:ind w:right="20"/>
        <w:spacing w:after="0" w:line="237"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05"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Our certificate of incorporation provides that AKKR, certain of its direct or indirect transferees and any group as to which AKKR is a party for the purpose of acquiring, holding, voting or disposing of shares of our capital stock,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 10% or more of the voting securities of the target corporation, or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205" w:lineRule="exact"/>
        <w:rPr>
          <w:sz w:val="20"/>
          <w:szCs w:val="20"/>
          <w:color w:val="auto"/>
        </w:rPr>
      </w:pPr>
    </w:p>
    <w:p>
      <w:pPr>
        <w:ind w:left="760" w:hanging="378"/>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211" w:lineRule="exact"/>
        <w:rPr>
          <w:rFonts w:ascii="Arial" w:cs="Arial" w:eastAsia="Arial" w:hAnsi="Arial"/>
          <w:sz w:val="18"/>
          <w:szCs w:val="18"/>
          <w:color w:val="auto"/>
        </w:rPr>
      </w:pPr>
    </w:p>
    <w:p>
      <w:pPr>
        <w:ind w:left="760" w:right="80" w:hanging="378"/>
        <w:spacing w:after="0" w:line="246"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1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1,000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residents of the state of Washington; or (c) 1,000 or more of our stockholders of record are resident in the state of Washington.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w:t>
      </w:r>
    </w:p>
    <w:p>
      <w:pPr>
        <w:spacing w:after="0" w:line="23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certificate of incorporation or bylaws or (4) any other action asserting a claim that is governed by the internal affairs doctrine shall be the Court of Chancery of the State of Delaware (or, if the Court of Chancery does not have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2" w:name="page113"/>
    <w:bookmarkEnd w:id="112"/>
    <w:p>
      <w:pPr>
        <w:spacing w:after="0" w:line="236" w:lineRule="auto"/>
        <w:rPr>
          <w:sz w:val="20"/>
          <w:szCs w:val="20"/>
          <w:color w:val="auto"/>
        </w:rPr>
      </w:pPr>
      <w:r>
        <w:rPr>
          <w:rFonts w:ascii="Arial" w:cs="Arial" w:eastAsia="Arial" w:hAnsi="Arial"/>
          <w:sz w:val="18"/>
          <w:szCs w:val="18"/>
          <w:color w:val="auto"/>
        </w:rPr>
        <w:t>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This provision would not apply to any action brought to enforce a duty or liability created by the Securities Exchange Act of 1934, as amended, and the rules and regulations thereunder. Our bylaws also provide that, unless we consent in writing to the selection of an alternative forum, the federal district courts of the United States will be the sole and exclusive forum for resolving any complaint asserting a cause of action arising under the Securities Act of 1933, as amended.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8890</wp:posOffset>
            </wp:positionV>
            <wp:extent cx="1062990" cy="2571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10629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February 7, 2022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Gerasimos (Jerry) Portocalis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Gerasimos (Jerry):</w:t>
      </w:r>
    </w:p>
    <w:p>
      <w:pPr>
        <w:spacing w:after="0" w:line="20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This confirmatory employment letter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between Gerasimos (Jerry) Portocalis (“</w:t>
      </w:r>
      <w:r>
        <w:rPr>
          <w:rFonts w:ascii="Arial" w:cs="Arial" w:eastAsia="Arial" w:hAnsi="Arial"/>
          <w:sz w:val="22"/>
          <w:szCs w:val="22"/>
          <w:b w:val="1"/>
          <w:bCs w:val="1"/>
          <w:color w:val="auto"/>
        </w:rPr>
        <w:t>you</w:t>
      </w:r>
      <w:r>
        <w:rPr>
          <w:rFonts w:ascii="Arial" w:cs="Arial" w:eastAsia="Arial" w:hAnsi="Arial"/>
          <w:sz w:val="22"/>
          <w:szCs w:val="22"/>
          <w:color w:val="auto"/>
        </w:rPr>
        <w:t>”) and Paymentus Holdings, Inc. (the “</w:t>
      </w:r>
      <w:r>
        <w:rPr>
          <w:rFonts w:ascii="Arial" w:cs="Arial" w:eastAsia="Arial" w:hAnsi="Arial"/>
          <w:sz w:val="22"/>
          <w:szCs w:val="22"/>
          <w:b w:val="1"/>
          <w:bCs w:val="1"/>
          <w:color w:val="auto"/>
        </w:rPr>
        <w:t>Company</w:t>
      </w:r>
      <w:r>
        <w:rPr>
          <w:rFonts w:ascii="Arial" w:cs="Arial" w:eastAsia="Arial" w:hAnsi="Arial"/>
          <w:sz w:val="22"/>
          <w:szCs w:val="22"/>
          <w:color w:val="auto"/>
        </w:rPr>
        <w:t>” or “</w:t>
      </w:r>
      <w:r>
        <w:rPr>
          <w:rFonts w:ascii="Arial" w:cs="Arial" w:eastAsia="Arial" w:hAnsi="Arial"/>
          <w:sz w:val="22"/>
          <w:szCs w:val="22"/>
          <w:b w:val="1"/>
          <w:bCs w:val="1"/>
          <w:color w:val="auto"/>
        </w:rPr>
        <w:t>we</w:t>
      </w:r>
      <w:r>
        <w:rPr>
          <w:rFonts w:ascii="Arial" w:cs="Arial" w:eastAsia="Arial" w:hAnsi="Arial"/>
          <w:sz w:val="22"/>
          <w:szCs w:val="22"/>
          <w:color w:val="auto"/>
        </w:rPr>
        <w:t>”), effective as of the date of this Agreement as first set forth above (the “</w:t>
      </w:r>
      <w:r>
        <w:rPr>
          <w:rFonts w:ascii="Arial" w:cs="Arial" w:eastAsia="Arial" w:hAnsi="Arial"/>
          <w:sz w:val="22"/>
          <w:szCs w:val="22"/>
          <w:b w:val="1"/>
          <w:bCs w:val="1"/>
          <w:color w:val="auto"/>
        </w:rPr>
        <w:t>Effective Date</w:t>
      </w:r>
      <w:r>
        <w:rPr>
          <w:rFonts w:ascii="Arial" w:cs="Arial" w:eastAsia="Arial" w:hAnsi="Arial"/>
          <w:sz w:val="22"/>
          <w:szCs w:val="22"/>
          <w:color w:val="auto"/>
        </w:rPr>
        <w:t>”), to confirm the terms and conditions of your employment with the Company as of the Effective Date.</w:t>
      </w:r>
    </w:p>
    <w:p>
      <w:pPr>
        <w:spacing w:after="0" w:line="180" w:lineRule="exact"/>
        <w:rPr>
          <w:sz w:val="20"/>
          <w:szCs w:val="20"/>
          <w:color w:val="auto"/>
        </w:rPr>
      </w:pPr>
    </w:p>
    <w:p>
      <w:pPr>
        <w:jc w:val="both"/>
        <w:ind w:firstLine="757"/>
        <w:spacing w:after="0" w:line="243" w:lineRule="auto"/>
        <w:tabs>
          <w:tab w:leader="none" w:pos="1498"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Title and Position</w:t>
      </w:r>
      <w:r>
        <w:rPr>
          <w:rFonts w:ascii="Arial" w:cs="Arial" w:eastAsia="Arial" w:hAnsi="Arial"/>
          <w:sz w:val="22"/>
          <w:szCs w:val="22"/>
          <w:color w:val="auto"/>
        </w:rPr>
        <w:t>. You will continue to serve as the Company’s Chief Commercial Officer. You also will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report to the Company’s Chief Executive Officer (“</w:t>
      </w:r>
      <w:r>
        <w:rPr>
          <w:rFonts w:ascii="Arial" w:cs="Arial" w:eastAsia="Arial" w:hAnsi="Arial"/>
          <w:sz w:val="22"/>
          <w:szCs w:val="22"/>
          <w:b w:val="1"/>
          <w:bCs w:val="1"/>
          <w:color w:val="auto"/>
        </w:rPr>
        <w:t>CEO</w:t>
      </w:r>
      <w:r>
        <w:rPr>
          <w:rFonts w:ascii="Arial" w:cs="Arial" w:eastAsia="Arial" w:hAnsi="Arial"/>
          <w:sz w:val="22"/>
          <w:szCs w:val="22"/>
          <w:color w:val="auto"/>
        </w:rPr>
        <w:t>”) and will perform the duties and responsibilities customary for such position and such other related duties as are reasonably assigned by the CEO.</w:t>
      </w:r>
    </w:p>
    <w:p>
      <w:pPr>
        <w:spacing w:after="0" w:line="177" w:lineRule="exact"/>
        <w:rPr>
          <w:sz w:val="20"/>
          <w:szCs w:val="20"/>
          <w:color w:val="auto"/>
        </w:rPr>
      </w:pPr>
    </w:p>
    <w:p>
      <w:pPr>
        <w:jc w:val="both"/>
        <w:ind w:firstLine="757"/>
        <w:spacing w:after="0" w:line="239" w:lineRule="auto"/>
        <w:tabs>
          <w:tab w:leader="none" w:pos="1498"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As of the Effective Date, your annual base salary will be $400,000 (“</w:t>
      </w:r>
      <w:r>
        <w:rPr>
          <w:rFonts w:ascii="Arial" w:cs="Arial" w:eastAsia="Arial" w:hAnsi="Arial"/>
          <w:sz w:val="22"/>
          <w:szCs w:val="22"/>
          <w:b w:val="1"/>
          <w:bCs w:val="1"/>
          <w:color w:val="auto"/>
        </w:rPr>
        <w:t>Salary</w:t>
      </w:r>
      <w:r>
        <w:rPr>
          <w:rFonts w:ascii="Arial" w:cs="Arial" w:eastAsia="Arial" w:hAnsi="Arial"/>
          <w:sz w:val="22"/>
          <w:szCs w:val="22"/>
          <w:color w:val="auto"/>
        </w:rPr>
        <w:t>”), which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less any applicable withholdings, in accordance with the Company’s normal payroll practices. Your base salary will be subject to review and adjustment from time to time by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or its Compensation Committee (the “</w:t>
      </w:r>
      <w:r>
        <w:rPr>
          <w:rFonts w:ascii="Arial" w:cs="Arial" w:eastAsia="Arial" w:hAnsi="Arial"/>
          <w:sz w:val="22"/>
          <w:szCs w:val="22"/>
          <w:b w:val="1"/>
          <w:bCs w:val="1"/>
          <w:color w:val="auto"/>
        </w:rPr>
        <w:t>Committee</w:t>
      </w:r>
      <w:r>
        <w:rPr>
          <w:rFonts w:ascii="Arial" w:cs="Arial" w:eastAsia="Arial" w:hAnsi="Arial"/>
          <w:sz w:val="22"/>
          <w:szCs w:val="22"/>
          <w:color w:val="auto"/>
        </w:rPr>
        <w:t>”), as applicable, in its sole discretion.</w:t>
      </w:r>
    </w:p>
    <w:p>
      <w:pPr>
        <w:spacing w:after="0" w:line="180" w:lineRule="exact"/>
        <w:rPr>
          <w:rFonts w:ascii="Arial" w:cs="Arial" w:eastAsia="Arial" w:hAnsi="Arial"/>
          <w:sz w:val="22"/>
          <w:szCs w:val="22"/>
          <w:color w:val="auto"/>
        </w:rPr>
      </w:pPr>
    </w:p>
    <w:p>
      <w:pPr>
        <w:jc w:val="both"/>
        <w:ind w:firstLine="757"/>
        <w:spacing w:after="0" w:line="237" w:lineRule="auto"/>
        <w:tabs>
          <w:tab w:leader="none" w:pos="1498"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Annual Bonus</w:t>
      </w:r>
      <w:r>
        <w:rPr>
          <w:rFonts w:ascii="Arial" w:cs="Arial" w:eastAsia="Arial" w:hAnsi="Arial"/>
          <w:sz w:val="22"/>
          <w:szCs w:val="22"/>
          <w:color w:val="auto"/>
        </w:rPr>
        <w:t>. For the Company’s 2022 fiscal year, you will be eligible for a target annual cash bonus</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equal to $250,000. Any annual bonus will be subject to performance and other criteria established by the Board or the Committee, as applicable, in its sole discretion, and your continued employment through the date that bonus is paid to you. The Board or the Committee, as applicable and in its sole discretion, may approve that the Company grant additional discretionary bonus amounts to you.</w:t>
      </w:r>
    </w:p>
    <w:p>
      <w:pPr>
        <w:spacing w:after="0" w:line="181" w:lineRule="exact"/>
        <w:rPr>
          <w:rFonts w:ascii="Arial" w:cs="Arial" w:eastAsia="Arial" w:hAnsi="Arial"/>
          <w:sz w:val="22"/>
          <w:szCs w:val="22"/>
          <w:color w:val="auto"/>
        </w:rPr>
      </w:pPr>
    </w:p>
    <w:p>
      <w:pPr>
        <w:jc w:val="both"/>
        <w:ind w:firstLine="757"/>
        <w:spacing w:after="0" w:line="243" w:lineRule="auto"/>
        <w:tabs>
          <w:tab w:leader="none" w:pos="1498"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Equity Awards</w:t>
      </w:r>
      <w:r>
        <w:rPr>
          <w:rFonts w:ascii="Arial" w:cs="Arial" w:eastAsia="Arial" w:hAnsi="Arial"/>
          <w:sz w:val="22"/>
          <w:szCs w:val="22"/>
          <w:color w:val="auto"/>
        </w:rPr>
        <w:t>. You will be eligible to receive awards of stock options or other equity awards pursuant to any</w:t>
      </w:r>
      <w:r>
        <w:rPr>
          <w:rFonts w:ascii="Arial" w:cs="Arial" w:eastAsia="Arial" w:hAnsi="Arial"/>
          <w:sz w:val="22"/>
          <w:szCs w:val="22"/>
          <w:b w:val="1"/>
          <w:bCs w:val="1"/>
          <w:color w:val="auto"/>
        </w:rPr>
        <w:t xml:space="preserve"> </w:t>
      </w:r>
      <w:r>
        <w:rPr>
          <w:rFonts w:ascii="Arial" w:cs="Arial" w:eastAsia="Arial" w:hAnsi="Arial"/>
          <w:sz w:val="22"/>
          <w:szCs w:val="22"/>
          <w:color w:val="auto"/>
        </w:rPr>
        <w:t>plans or arrangements the Company may have in effect from time to time, as determined by the Board or Committee, as applicable, in its sole discretion.</w:t>
      </w:r>
    </w:p>
    <w:p>
      <w:pPr>
        <w:spacing w:after="0" w:line="176" w:lineRule="exact"/>
        <w:rPr>
          <w:rFonts w:ascii="Arial" w:cs="Arial" w:eastAsia="Arial" w:hAnsi="Arial"/>
          <w:sz w:val="22"/>
          <w:szCs w:val="22"/>
          <w:color w:val="auto"/>
        </w:rPr>
      </w:pPr>
    </w:p>
    <w:p>
      <w:pPr>
        <w:jc w:val="both"/>
        <w:ind w:firstLine="757"/>
        <w:spacing w:after="0" w:line="239" w:lineRule="auto"/>
        <w:tabs>
          <w:tab w:leader="none" w:pos="1498"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 You will continue to be eligible to participate in the benefit plans and programs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Company for its employees from time to time, subject to their applicable terms and conditions, including without limitation any eligibility requirements. The Company reserves the right to modify, amend, suspend or terminate the benefit plans, programs, and arrangements it offers to its employees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both"/>
        <w:ind w:firstLine="757"/>
        <w:spacing w:after="0" w:line="243" w:lineRule="auto"/>
        <w:tabs>
          <w:tab w:leader="none" w:pos="1498" w:val="left"/>
        </w:tabs>
        <w:numPr>
          <w:ilvl w:val="0"/>
          <w:numId w:val="59"/>
        </w:numPr>
        <w:rPr>
          <w:rFonts w:ascii="Arial" w:cs="Arial" w:eastAsia="Arial" w:hAnsi="Arial"/>
          <w:sz w:val="22"/>
          <w:szCs w:val="22"/>
          <w:u w:val="single" w:color="auto"/>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You will be eligible to participate in the Company’s Change in Control and Severance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CIC Agreement</w:t>
      </w:r>
      <w:r>
        <w:rPr>
          <w:rFonts w:ascii="Arial" w:cs="Arial" w:eastAsia="Arial" w:hAnsi="Arial"/>
          <w:sz w:val="22"/>
          <w:szCs w:val="22"/>
          <w:color w:val="auto"/>
        </w:rPr>
        <w:t>”) established, and as may be in effect from time to time, for senior-level employees that is applicable to you consistent with your position within the Company.</w:t>
      </w:r>
    </w:p>
    <w:p>
      <w:pPr>
        <w:spacing w:after="0" w:line="177" w:lineRule="exact"/>
        <w:rPr>
          <w:sz w:val="20"/>
          <w:szCs w:val="20"/>
          <w:color w:val="auto"/>
        </w:rPr>
      </w:pPr>
    </w:p>
    <w:p>
      <w:pPr>
        <w:jc w:val="both"/>
        <w:ind w:firstLine="757"/>
        <w:spacing w:after="0" w:line="243" w:lineRule="auto"/>
        <w:tabs>
          <w:tab w:leader="none" w:pos="1498"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Your acceptance of this Agreement confirms that the terms of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Agreement between you and the Company dated October 11, 2012, as may be amended or amended and restated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still apply.</w:t>
      </w:r>
    </w:p>
    <w:p>
      <w:pPr>
        <w:spacing w:after="0" w:line="176" w:lineRule="exact"/>
        <w:rPr>
          <w:rFonts w:ascii="Arial" w:cs="Arial" w:eastAsia="Arial" w:hAnsi="Arial"/>
          <w:sz w:val="22"/>
          <w:szCs w:val="22"/>
          <w:color w:val="auto"/>
        </w:rPr>
      </w:pPr>
    </w:p>
    <w:p>
      <w:pPr>
        <w:jc w:val="both"/>
        <w:ind w:firstLine="757"/>
        <w:spacing w:after="0" w:line="256" w:lineRule="exact"/>
        <w:tabs>
          <w:tab w:leader="none" w:pos="1498"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This Agreement does not imply any right to your continued employment for any period</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or any of its affiliates. Your employment with the Company is for no specified period and will continue to constitute at</w:t>
      </w:r>
      <w:r>
        <w:rPr>
          <w:rFonts w:ascii="MS PGothic" w:cs="MS PGothic" w:eastAsia="MS PGothic" w:hAnsi="MS PGothic"/>
          <w:sz w:val="22"/>
          <w:szCs w:val="22"/>
          <w:color w:val="auto"/>
        </w:rPr>
        <w:t>‑</w:t>
      </w:r>
      <w:r>
        <w:rPr>
          <w:rFonts w:ascii="Arial" w:cs="Arial" w:eastAsia="Arial" w:hAnsi="Arial"/>
          <w:sz w:val="22"/>
          <w:szCs w:val="22"/>
          <w:color w:val="auto"/>
        </w:rPr>
        <w:t>will employment.</w:t>
      </w:r>
    </w:p>
    <w:p>
      <w:pPr>
        <w:spacing w:after="0" w:line="179" w:lineRule="exact"/>
        <w:rPr>
          <w:rFonts w:ascii="Arial" w:cs="Arial" w:eastAsia="Arial" w:hAnsi="Arial"/>
          <w:sz w:val="22"/>
          <w:szCs w:val="22"/>
          <w:color w:val="auto"/>
        </w:rPr>
      </w:pPr>
    </w:p>
    <w:p>
      <w:pPr>
        <w:jc w:val="both"/>
        <w:ind w:firstLine="757"/>
        <w:spacing w:after="0" w:line="272" w:lineRule="auto"/>
        <w:tabs>
          <w:tab w:leader="none" w:pos="1498"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The Company (or its affiliate, as applicable) will have the right and authority to deduct from any</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or benefits under this Agreement or require you to remit to the Company (prior to providing any such payments or benefits), all applicable federal, state, and local taxes or other required withholdings and payroll deductions (“</w:t>
      </w:r>
      <w:r>
        <w:rPr>
          <w:rFonts w:ascii="Arial" w:cs="Arial" w:eastAsia="Arial" w:hAnsi="Arial"/>
          <w:sz w:val="19"/>
          <w:szCs w:val="19"/>
          <w:b w:val="1"/>
          <w:bCs w:val="1"/>
          <w:color w:val="auto"/>
        </w:rPr>
        <w:t>Withholdings</w:t>
      </w:r>
      <w:r>
        <w:rPr>
          <w:rFonts w:ascii="Arial" w:cs="Arial" w:eastAsia="Arial" w:hAnsi="Arial"/>
          <w:sz w:val="19"/>
          <w:szCs w:val="19"/>
          <w:color w:val="auto"/>
        </w:rPr>
        <w:t>”).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55" w:lineRule="exact"/>
        <w:rPr>
          <w:rFonts w:ascii="Arial" w:cs="Arial" w:eastAsia="Arial" w:hAnsi="Arial"/>
          <w:sz w:val="19"/>
          <w:szCs w:val="19"/>
          <w:color w:val="auto"/>
        </w:rPr>
      </w:pPr>
    </w:p>
    <w:p>
      <w:pPr>
        <w:jc w:val="both"/>
        <w:ind w:firstLine="757"/>
        <w:spacing w:after="0" w:line="272" w:lineRule="auto"/>
        <w:tabs>
          <w:tab w:leader="none" w:pos="1498"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Protected Activity Not Prohibited</w:t>
      </w:r>
      <w:r>
        <w:rPr>
          <w:rFonts w:ascii="Arial" w:cs="Arial" w:eastAsia="Arial" w:hAnsi="Arial"/>
          <w:sz w:val="19"/>
          <w:szCs w:val="19"/>
          <w:color w:val="auto"/>
        </w:rPr>
        <w:t>. Notwithstanding any contrary provision of the Agreement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Confidentiality Agreement, nothing in this Agreement, or the Confidentiality Agreement will prohibit or impede you from engaging in any Protected Activity. For purposes of this Agreement, “</w:t>
      </w:r>
      <w:r>
        <w:rPr>
          <w:rFonts w:ascii="Arial" w:cs="Arial" w:eastAsia="Arial" w:hAnsi="Arial"/>
          <w:sz w:val="19"/>
          <w:szCs w:val="19"/>
          <w:b w:val="1"/>
          <w:bCs w:val="1"/>
          <w:color w:val="auto"/>
        </w:rPr>
        <w:t>Protected Activity</w:t>
      </w:r>
      <w:r>
        <w:rPr>
          <w:rFonts w:ascii="Arial" w:cs="Arial" w:eastAsia="Arial" w:hAnsi="Arial"/>
          <w:sz w:val="19"/>
          <w:szCs w:val="19"/>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color w:val="auto"/>
        </w:rPr>
        <w:t>Entity</w:t>
      </w:r>
      <w:r>
        <w:rPr>
          <w:rFonts w:ascii="Arial" w:cs="Arial" w:eastAsia="Arial" w:hAnsi="Arial"/>
          <w:sz w:val="19"/>
          <w:szCs w:val="19"/>
          <w:color w:val="auto"/>
        </w:rPr>
        <w:t>”) with respect to possible violations of any U.S. federal, state or local law or regulation, or otherwise making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Governmental Entity, in each case, that are protected under the whistleblower provisions of any such law or regulation;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Confidentiality Agreement or any other agreement between you and the Company or any parent, subsidiary or other affiliate of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5" w:name="page116"/>
    <w:bookmarkEnd w:id="115"/>
    <w:p>
      <w:pPr>
        <w:jc w:val="both"/>
        <w:spacing w:after="0" w:line="272" w:lineRule="auto"/>
        <w:rPr>
          <w:sz w:val="20"/>
          <w:szCs w:val="20"/>
          <w:color w:val="auto"/>
        </w:rPr>
      </w:pPr>
      <w:r>
        <w:rPr>
          <w:rFonts w:ascii="Arial" w:cs="Arial" w:eastAsia="Arial" w:hAnsi="Arial"/>
          <w:sz w:val="19"/>
          <w:szCs w:val="19"/>
          <w:color w:val="auto"/>
        </w:rPr>
        <w:t>Company relating to the protection of confidential information) in a manner not protected by applicable law (each, a “</w:t>
      </w:r>
      <w:r>
        <w:rPr>
          <w:rFonts w:ascii="Arial" w:cs="Arial" w:eastAsia="Arial" w:hAnsi="Arial"/>
          <w:sz w:val="19"/>
          <w:szCs w:val="19"/>
          <w:b w:val="1"/>
          <w:bCs w:val="1"/>
          <w:color w:val="auto"/>
        </w:rPr>
        <w:t>Confidential Information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Confidentiality Agreement or 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02" w:lineRule="exact"/>
        <w:rPr>
          <w:sz w:val="20"/>
          <w:szCs w:val="20"/>
          <w:color w:val="auto"/>
        </w:rPr>
      </w:pPr>
    </w:p>
    <w:p>
      <w:pPr>
        <w:jc w:val="both"/>
        <w:ind w:firstLine="757"/>
        <w:spacing w:after="0" w:line="247" w:lineRule="auto"/>
        <w:tabs>
          <w:tab w:leader="none" w:pos="1498"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Miscellaneous</w:t>
      </w:r>
      <w:r>
        <w:rPr>
          <w:rFonts w:ascii="Arial" w:cs="Arial" w:eastAsia="Arial" w:hAnsi="Arial"/>
          <w:sz w:val="21"/>
          <w:szCs w:val="21"/>
          <w:color w:val="auto"/>
        </w:rPr>
        <w:t>. This Agreement, together with the Confidentiality Agreement, your CIC Agreement dated on</w:t>
      </w:r>
      <w:r>
        <w:rPr>
          <w:rFonts w:ascii="Arial" w:cs="Arial" w:eastAsia="Arial" w:hAnsi="Arial"/>
          <w:sz w:val="21"/>
          <w:szCs w:val="21"/>
          <w:b w:val="1"/>
          <w:bCs w:val="1"/>
          <w:color w:val="auto"/>
        </w:rPr>
        <w:t xml:space="preserve"> </w:t>
      </w:r>
      <w:r>
        <w:rPr>
          <w:rFonts w:ascii="Arial" w:cs="Arial" w:eastAsia="Arial" w:hAnsi="Arial"/>
          <w:sz w:val="21"/>
          <w:szCs w:val="21"/>
          <w:color w:val="auto"/>
        </w:rPr>
        <w:t>or about the date hereof, and 2012 Equity Incentive Plan and 2021 Equity Incentive Plan and award agreements governing the equity awards granted to you by the Company, constitute the entire agreement between you and the Company regarding the material terms and conditions of your employment, and they supersede and replace all prior representations or agreements between you and the Company. This Agreement will be governed by the laws of the State of Texas but without regard to the conflicts of law provision. This Agreement may be modified only by a written agreement signed by a duly authorized officer of the Company (other than yourself) and you.</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6" w:name="page117"/>
    <w:bookmarkEnd w:id="116"/>
    <w:p>
      <w:pPr>
        <w:ind w:firstLine="749"/>
        <w:spacing w:after="0" w:line="250" w:lineRule="auto"/>
        <w:rPr>
          <w:sz w:val="20"/>
          <w:szCs w:val="20"/>
          <w:color w:val="auto"/>
        </w:rPr>
      </w:pPr>
      <w:r>
        <w:rPr>
          <w:rFonts w:ascii="Arial" w:cs="Arial" w:eastAsia="Arial" w:hAnsi="Arial"/>
          <w:sz w:val="22"/>
          <w:szCs w:val="22"/>
          <w:color w:val="auto"/>
        </w:rPr>
        <w:t>To confirm the terms and conditions of your employment with the Company, please sign and date in the spaces indicated and return this Agreement to 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PAYMENTUS HOLDINGS,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Gerber</w:t>
      </w:r>
    </w:p>
    <w:p>
      <w:pPr>
        <w:ind w:left="5240"/>
        <w:spacing w:after="0" w:line="238" w:lineRule="auto"/>
        <w:rPr>
          <w:sz w:val="20"/>
          <w:szCs w:val="20"/>
          <w:color w:val="auto"/>
        </w:rPr>
      </w:pPr>
      <w:r>
        <w:rPr>
          <w:rFonts w:ascii="Arial" w:cs="Arial" w:eastAsia="Arial" w:hAnsi="Arial"/>
          <w:sz w:val="22"/>
          <w:szCs w:val="22"/>
          <w:color w:val="auto"/>
        </w:rPr>
        <w:t>Name: Andrew Gerber</w:t>
      </w:r>
    </w:p>
    <w:p>
      <w:pPr>
        <w:ind w:left="5240"/>
        <w:spacing w:after="0"/>
        <w:rPr>
          <w:sz w:val="20"/>
          <w:szCs w:val="20"/>
          <w:color w:val="auto"/>
        </w:rPr>
      </w:pPr>
      <w:r>
        <w:rPr>
          <w:rFonts w:ascii="Arial" w:cs="Arial" w:eastAsia="Arial" w:hAnsi="Arial"/>
          <w:sz w:val="22"/>
          <w:szCs w:val="22"/>
          <w:color w:val="auto"/>
        </w:rPr>
        <w:t>Title: General Counsel and 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38" w:lineRule="auto"/>
        <w:rPr>
          <w:sz w:val="20"/>
          <w:szCs w:val="20"/>
          <w:color w:val="auto"/>
        </w:rPr>
      </w:pPr>
      <w:r>
        <w:rPr>
          <w:rFonts w:ascii="Arial" w:cs="Arial" w:eastAsia="Arial" w:hAnsi="Arial"/>
          <w:sz w:val="22"/>
          <w:szCs w:val="22"/>
          <w:color w:val="auto"/>
        </w:rPr>
        <w:t>/s/ Gerasimos (Jerry) Portocalis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202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Gerasimos (Jerry) Portocalis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10.13</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3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Paymentus Holdings,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Gerasimos (Jerry) Portocalis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February 7, 2022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210"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and Executive agree as follows:</w:t>
      </w:r>
    </w:p>
    <w:p>
      <w:pPr>
        <w:spacing w:after="0" w:line="227" w:lineRule="exact"/>
        <w:rPr>
          <w:sz w:val="20"/>
          <w:szCs w:val="20"/>
          <w:color w:val="auto"/>
        </w:rPr>
      </w:pPr>
    </w:p>
    <w:p>
      <w:pPr>
        <w:jc w:val="both"/>
        <w:ind w:firstLine="757"/>
        <w:spacing w:after="0" w:line="243" w:lineRule="auto"/>
        <w:tabs>
          <w:tab w:leader="none" w:pos="1498"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Term of Agreement</w:t>
      </w:r>
      <w:r>
        <w:rPr>
          <w:rFonts w:ascii="Arial" w:cs="Arial" w:eastAsia="Arial" w:hAnsi="Arial"/>
          <w:sz w:val="22"/>
          <w:szCs w:val="22"/>
          <w:color w:val="auto"/>
        </w:rPr>
        <w:t>. This Agreement will continue indefinitely until terminated by written consent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or if earlier, upon the date that all of the obligations of the parties hereto with respect to this Agreement have been satisfied.</w:t>
      </w:r>
    </w:p>
    <w:p>
      <w:pPr>
        <w:spacing w:after="0" w:line="176" w:lineRule="exact"/>
        <w:rPr>
          <w:rFonts w:ascii="Arial" w:cs="Arial" w:eastAsia="Arial" w:hAnsi="Arial"/>
          <w:sz w:val="22"/>
          <w:szCs w:val="22"/>
          <w:color w:val="auto"/>
        </w:rPr>
      </w:pPr>
    </w:p>
    <w:p>
      <w:pPr>
        <w:jc w:val="both"/>
        <w:ind w:firstLine="757"/>
        <w:spacing w:after="0" w:line="237" w:lineRule="auto"/>
        <w:tabs>
          <w:tab w:leader="none" w:pos="1498"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Executive’s employment is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1" w:lineRule="exact"/>
        <w:rPr>
          <w:rFonts w:ascii="Arial" w:cs="Arial" w:eastAsia="Arial" w:hAnsi="Arial"/>
          <w:sz w:val="22"/>
          <w:szCs w:val="22"/>
          <w:color w:val="auto"/>
        </w:rPr>
      </w:pPr>
    </w:p>
    <w:p>
      <w:pPr>
        <w:ind w:left="1500" w:hanging="74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Qualifying Termination Outside of the Change in Control Period</w:t>
      </w:r>
      <w:r>
        <w:rPr>
          <w:rFonts w:ascii="Arial" w:cs="Arial" w:eastAsia="Arial" w:hAnsi="Arial"/>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77"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b w:val="1"/>
          <w:bCs w:val="1"/>
          <w:color w:val="auto"/>
        </w:rPr>
        <w:t>Salary Severance</w:t>
      </w:r>
      <w:r>
        <w:rPr>
          <w:rFonts w:ascii="Arial" w:cs="Arial" w:eastAsia="Arial" w:hAnsi="Arial"/>
          <w:sz w:val="22"/>
          <w:szCs w:val="22"/>
          <w:color w:val="auto"/>
        </w:rPr>
        <w:t>. Continued payments of Monthly Salary, payable in accordance with the Company’s standard payroll procedures, for a period of six (6) months following the date of the Qualifying Termination.</w:t>
      </w:r>
    </w:p>
    <w:p>
      <w:pPr>
        <w:spacing w:after="0" w:line="177" w:lineRule="exact"/>
        <w:rPr>
          <w:sz w:val="20"/>
          <w:szCs w:val="20"/>
          <w:color w:val="auto"/>
        </w:rPr>
      </w:pPr>
    </w:p>
    <w:p>
      <w:pPr>
        <w:jc w:val="both"/>
        <w:ind w:firstLine="2246"/>
        <w:spacing w:after="0" w:line="278"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b w:val="1"/>
          <w:bCs w:val="1"/>
          <w:color w:val="auto"/>
        </w:rPr>
        <w:t>COBRA Severance</w:t>
      </w:r>
      <w:r>
        <w:rPr>
          <w:rFonts w:ascii="Arial" w:cs="Arial" w:eastAsia="Arial" w:hAnsi="Arial"/>
          <w:sz w:val="19"/>
          <w:szCs w:val="19"/>
          <w:color w:val="auto"/>
        </w:rPr>
        <w:t>. Subject to Executive timely electing continuation coverage under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left="10220"/>
        <w:spacing w:after="0"/>
        <w:rPr>
          <w:sz w:val="20"/>
          <w:szCs w:val="20"/>
          <w:color w:val="auto"/>
        </w:rPr>
      </w:pPr>
      <w:r>
        <w:rPr>
          <w:rFonts w:ascii="Arial" w:cs="Arial" w:eastAsia="Arial" w:hAnsi="Arial"/>
          <w:sz w:val="16"/>
          <w:szCs w:val="16"/>
          <w:b w:val="1"/>
          <w:bCs w:val="1"/>
          <w:color w:val="auto"/>
        </w:rPr>
        <w:t>Exhibit 10.13</w:t>
      </w:r>
    </w:p>
    <w:p>
      <w:pPr>
        <w:spacing w:after="0" w:line="33"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Qualifying Termination During the Change in Control Period</w:t>
      </w:r>
      <w:r>
        <w:rPr>
          <w:rFonts w:ascii="Arial" w:cs="Arial" w:eastAsia="Arial" w:hAnsi="Arial"/>
          <w:sz w:val="22"/>
          <w:szCs w:val="22"/>
          <w:color w:val="auto"/>
        </w:rPr>
        <w:t>. In the event of a Qualifying Termination that occurs during the Change in Control Period, Executive will receive the following payments and benefits from the Company, subject to the requirements of this Agreement:</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3.2.1.</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percent (75%) of Executive’s Salary.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19" w:lineRule="exact"/>
        <w:rPr>
          <w:sz w:val="20"/>
          <w:szCs w:val="20"/>
          <w:color w:val="auto"/>
        </w:rPr>
      </w:pP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seventy</w:t>
      </w:r>
      <w:r>
        <w:rPr>
          <w:rFonts w:ascii="MS PGothic" w:cs="MS PGothic" w:eastAsia="MS PGothic" w:hAnsi="MS PGothic"/>
          <w:sz w:val="19"/>
          <w:szCs w:val="19"/>
          <w:color w:val="auto"/>
        </w:rPr>
        <w:t>‑</w:t>
      </w:r>
      <w:r>
        <w:rPr>
          <w:rFonts w:ascii="Arial" w:cs="Arial" w:eastAsia="Arial" w:hAnsi="Arial"/>
          <w:sz w:val="19"/>
          <w:szCs w:val="19"/>
          <w:color w:val="auto"/>
        </w:rPr>
        <w:t>five</w:t>
      </w:r>
    </w:p>
    <w:p>
      <w:pPr>
        <w:spacing w:after="0" w:line="466"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spacing w:after="0" w:line="17" w:lineRule="exact"/>
        <w:rPr>
          <w:sz w:val="20"/>
          <w:szCs w:val="20"/>
          <w:color w:val="auto"/>
        </w:rPr>
      </w:pPr>
    </w:p>
    <w:p>
      <w:pPr>
        <w:jc w:val="both"/>
        <w:ind w:firstLine="2246"/>
        <w:spacing w:after="0" w:line="239"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b w:val="1"/>
          <w:bCs w:val="1"/>
          <w:color w:val="auto"/>
        </w:rPr>
        <w:t>Prorated Bonus Severance</w:t>
      </w:r>
      <w:r>
        <w:rPr>
          <w:rFonts w:ascii="Arial" w:cs="Arial" w:eastAsia="Arial" w:hAnsi="Arial"/>
          <w:sz w:val="22"/>
          <w:szCs w:val="22"/>
          <w:color w:val="auto"/>
        </w:rPr>
        <w:t>. A single, lump sum, cash payment equal to Executive’s Target Bonus, prorated by multiplying such amount by a fraction, (x) the numerator of which is the number of days during which Executive was employed with the Employer in the calendar year that the Qualifying Termination occurs, and (y) the denominator of which is the total number of days in such calendar year.</w:t>
      </w:r>
    </w:p>
    <w:p>
      <w:pPr>
        <w:spacing w:after="0" w:line="180" w:lineRule="exact"/>
        <w:rPr>
          <w:sz w:val="20"/>
          <w:szCs w:val="20"/>
          <w:color w:val="auto"/>
        </w:rPr>
      </w:pPr>
    </w:p>
    <w:p>
      <w:pPr>
        <w:jc w:val="both"/>
        <w:ind w:firstLine="2246"/>
        <w:spacing w:after="0" w:line="235"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nine (9)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3"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19"/>
          <w:szCs w:val="19"/>
          <w:b w:val="1"/>
          <w:bCs w:val="1"/>
          <w:color w:val="auto"/>
        </w:rPr>
        <w:t>Vesting Acceleration of Time-Based Awards</w:t>
      </w:r>
      <w:r>
        <w:rPr>
          <w:rFonts w:ascii="Arial" w:cs="Arial" w:eastAsia="Arial" w:hAnsi="Arial"/>
          <w:sz w:val="19"/>
          <w:szCs w:val="19"/>
          <w:color w:val="auto"/>
        </w:rPr>
        <w:t>.  Vesting acceleration of one</w:t>
      </w:r>
    </w:p>
    <w:p>
      <w:pPr>
        <w:spacing w:after="0" w:line="14" w:lineRule="exact"/>
        <w:rPr>
          <w:sz w:val="20"/>
          <w:szCs w:val="20"/>
          <w:color w:val="auto"/>
        </w:rPr>
      </w:pPr>
    </w:p>
    <w:p>
      <w:pPr>
        <w:jc w:val="both"/>
        <w:spacing w:after="0" w:line="244" w:lineRule="exact"/>
        <w:rPr>
          <w:sz w:val="20"/>
          <w:szCs w:val="20"/>
          <w:color w:val="auto"/>
        </w:rPr>
      </w:pPr>
      <w:r>
        <w:rPr>
          <w:rFonts w:ascii="Arial" w:cs="Arial" w:eastAsia="Arial" w:hAnsi="Arial"/>
          <w:sz w:val="22"/>
          <w:szCs w:val="22"/>
          <w:color w:val="auto"/>
        </w:rPr>
        <w:t>hundred percent (100%) of any Time</w:t>
      </w:r>
      <w:r>
        <w:rPr>
          <w:rFonts w:ascii="MS PGothic" w:cs="MS PGothic" w:eastAsia="MS PGothic" w:hAnsi="MS PGothic"/>
          <w:sz w:val="22"/>
          <w:szCs w:val="22"/>
          <w:color w:val="auto"/>
        </w:rPr>
        <w:t>‑</w:t>
      </w:r>
      <w:r>
        <w:rPr>
          <w:rFonts w:ascii="Arial" w:cs="Arial" w:eastAsia="Arial" w:hAnsi="Arial"/>
          <w:sz w:val="22"/>
          <w:szCs w:val="22"/>
          <w:color w:val="auto"/>
        </w:rPr>
        <w:t>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187"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Termination Other Than a Qualifying Termination</w:t>
      </w:r>
      <w:r>
        <w:rPr>
          <w:rFonts w:ascii="Arial" w:cs="Arial" w:eastAsia="Arial" w:hAnsi="Arial"/>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Non-duplication of Payment or Benefits</w:t>
      </w:r>
      <w:r>
        <w:rPr>
          <w:rFonts w:ascii="Arial" w:cs="Arial" w:eastAsia="Arial" w:hAnsi="Arial"/>
          <w:sz w:val="22"/>
          <w:szCs w:val="22"/>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ind w:left="10220"/>
        <w:spacing w:after="0"/>
        <w:rPr>
          <w:sz w:val="20"/>
          <w:szCs w:val="20"/>
          <w:color w:val="auto"/>
        </w:rPr>
      </w:pPr>
      <w:r>
        <w:rPr>
          <w:rFonts w:ascii="Arial" w:cs="Arial" w:eastAsia="Arial" w:hAnsi="Arial"/>
          <w:sz w:val="16"/>
          <w:szCs w:val="16"/>
          <w:b w:val="1"/>
          <w:bCs w:val="1"/>
          <w:color w:val="auto"/>
        </w:rPr>
        <w:t>Exhibit 10.13</w:t>
      </w:r>
    </w:p>
    <w:p>
      <w:pPr>
        <w:spacing w:after="0" w:line="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provided under this Agreement, by operation of applicable law or under a plan, policy, contract, or arrangement sponsored by the Company or to which the Company is a party other than this Agreement (“</w:t>
      </w:r>
      <w:r>
        <w:rPr>
          <w:rFonts w:ascii="Arial" w:cs="Arial" w:eastAsia="Arial" w:hAnsi="Arial"/>
          <w:sz w:val="19"/>
          <w:szCs w:val="19"/>
          <w:b w:val="1"/>
          <w:bCs w:val="1"/>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Executive.</w:t>
      </w:r>
    </w:p>
    <w:p>
      <w:pPr>
        <w:spacing w:after="0" w:line="137" w:lineRule="exact"/>
        <w:rPr>
          <w:sz w:val="20"/>
          <w:szCs w:val="20"/>
          <w:color w:val="auto"/>
        </w:rPr>
      </w:pPr>
    </w:p>
    <w:p>
      <w:pPr>
        <w:jc w:val="both"/>
        <w:ind w:firstLine="1497"/>
        <w:spacing w:after="0" w:line="289"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color w:val="auto"/>
        </w:rPr>
        <w:t>Death of Executive</w:t>
      </w:r>
      <w:r>
        <w:rPr>
          <w:rFonts w:ascii="Arial" w:cs="Arial" w:eastAsia="Arial" w:hAnsi="Arial"/>
          <w:sz w:val="19"/>
          <w:szCs w:val="19"/>
          <w:color w:val="auto"/>
        </w:rPr>
        <w:t>. In the event of Executive’s death before all payments or benefits Executive is entitled to receive under this Agreement have been provided, the unpaid amounts will be provided to Executive’s designated beneficiary, if living (and if properly designated in accordance with such procedures as established by the Company from time to time), or otherwise to Executive’s personal representative in accordance with the terms of this Agreement.</w:t>
      </w:r>
    </w:p>
    <w:p>
      <w:pPr>
        <w:spacing w:after="0" w:line="136" w:lineRule="exact"/>
        <w:rPr>
          <w:sz w:val="20"/>
          <w:szCs w:val="20"/>
          <w:color w:val="auto"/>
        </w:rPr>
      </w:pPr>
    </w:p>
    <w:p>
      <w:pPr>
        <w:jc w:val="both"/>
        <w:ind w:firstLine="757"/>
        <w:spacing w:after="0" w:line="243" w:lineRule="auto"/>
        <w:tabs>
          <w:tab w:leader="none" w:pos="1498"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Executive’s employment with the Company,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all accrued but unpaid vacation, expense reimbursements, wages, and other benefits due to Executive under any Company-provided plans, policies, and arrangements.</w:t>
      </w:r>
    </w:p>
    <w:p>
      <w:pPr>
        <w:spacing w:after="0" w:line="176" w:lineRule="exact"/>
        <w:rPr>
          <w:rFonts w:ascii="Arial" w:cs="Arial" w:eastAsia="Arial" w:hAnsi="Arial"/>
          <w:sz w:val="22"/>
          <w:szCs w:val="22"/>
          <w:color w:val="auto"/>
        </w:rPr>
      </w:pPr>
    </w:p>
    <w:p>
      <w:pPr>
        <w:ind w:left="1500" w:hanging="743"/>
        <w:spacing w:after="0"/>
        <w:tabs>
          <w:tab w:leader="none" w:pos="150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b w:val="1"/>
          <w:bCs w:val="1"/>
          <w:color w:val="auto"/>
        </w:rPr>
        <w:t>Separation Agreement and Release of Claims</w:t>
      </w:r>
      <w:r>
        <w:rPr>
          <w:rFonts w:ascii="Arial" w:cs="Arial" w:eastAsia="Arial" w:hAnsi="Arial"/>
          <w:sz w:val="21"/>
          <w:szCs w:val="21"/>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Arial" w:cs="Arial" w:eastAsia="Arial" w:hAnsi="Arial"/>
          <w:sz w:val="21"/>
          <w:szCs w:val="21"/>
          <w:b w:val="1"/>
          <w:bCs w:val="1"/>
          <w:color w:val="auto"/>
        </w:rPr>
        <w:t>Release</w:t>
      </w:r>
      <w:r>
        <w:rPr>
          <w:rFonts w:ascii="Arial" w:cs="Arial" w:eastAsia="Arial" w:hAnsi="Arial"/>
          <w:sz w:val="21"/>
          <w:szCs w:val="21"/>
          <w:color w:val="auto"/>
        </w:rPr>
        <w:t>”), which must become effective and irrevocable no later than the sixtieth (60th) day following the date of the Qualifying Termination (the “</w:t>
      </w:r>
      <w:r>
        <w:rPr>
          <w:rFonts w:ascii="Arial" w:cs="Arial" w:eastAsia="Arial" w:hAnsi="Arial"/>
          <w:sz w:val="21"/>
          <w:szCs w:val="21"/>
          <w:b w:val="1"/>
          <w:bCs w:val="1"/>
          <w:color w:val="auto"/>
        </w:rPr>
        <w:t>Release</w:t>
      </w:r>
      <w:r>
        <w:rPr>
          <w:rFonts w:ascii="Arial" w:cs="Arial" w:eastAsia="Arial" w:hAnsi="Arial"/>
          <w:sz w:val="21"/>
          <w:szCs w:val="21"/>
          <w:color w:val="auto"/>
        </w:rPr>
        <w:t xml:space="preserve"> </w:t>
      </w:r>
      <w:r>
        <w:rPr>
          <w:rFonts w:ascii="Arial" w:cs="Arial" w:eastAsia="Arial" w:hAnsi="Arial"/>
          <w:sz w:val="21"/>
          <w:szCs w:val="21"/>
          <w:b w:val="1"/>
          <w:bCs w:val="1"/>
          <w:color w:val="auto"/>
        </w:rPr>
        <w:t>Deadline Date</w:t>
      </w:r>
      <w:r>
        <w:rPr>
          <w:rFonts w:ascii="Arial" w:cs="Arial" w:eastAsia="Arial" w:hAnsi="Arial"/>
          <w:sz w:val="21"/>
          <w:szCs w:val="21"/>
          <w:color w:val="auto"/>
        </w:rPr>
        <w:t>”). If the Release does not become effective and irrevocable by the Release Deadline Date, Executive will forfeit</w:t>
      </w:r>
      <w:r>
        <w:rPr>
          <w:rFonts w:ascii="Arial" w:cs="Arial" w:eastAsia="Arial" w:hAnsi="Arial"/>
          <w:sz w:val="21"/>
          <w:szCs w:val="21"/>
          <w:b w:val="1"/>
          <w:bCs w:val="1"/>
          <w:color w:val="auto"/>
        </w:rPr>
        <w:t xml:space="preserve"> </w:t>
      </w:r>
      <w:r>
        <w:rPr>
          <w:rFonts w:ascii="Arial" w:cs="Arial" w:eastAsia="Arial" w:hAnsi="Arial"/>
          <w:sz w:val="21"/>
          <w:szCs w:val="21"/>
          <w:color w:val="auto"/>
        </w:rPr>
        <w:t>any right to the severance payments or benefits under Section 3.</w:t>
      </w:r>
    </w:p>
    <w:p>
      <w:pPr>
        <w:spacing w:after="0" w:line="171" w:lineRule="exact"/>
        <w:rPr>
          <w:sz w:val="20"/>
          <w:szCs w:val="20"/>
          <w:color w:val="auto"/>
        </w:rPr>
      </w:pPr>
    </w:p>
    <w:p>
      <w:pPr>
        <w:jc w:val="both"/>
        <w:ind w:firstLine="1497"/>
        <w:spacing w:after="0" w:line="248" w:lineRule="exact"/>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color w:val="auto"/>
        </w:rPr>
        <w:t>Payment Timing</w:t>
      </w:r>
      <w:r>
        <w:rPr>
          <w:rFonts w:ascii="Arial" w:cs="Arial" w:eastAsia="Arial" w:hAnsi="Arial"/>
          <w:sz w:val="19"/>
          <w:szCs w:val="19"/>
          <w:color w:val="auto"/>
        </w:rPr>
        <w:t>. Subject to any delay required by Section 5.4 below, any lump sum cash severance payments under Section 3 relating to salary severance and any bonus severance will be provided, or in the case of installments of any such severance will commence, on the first regularly scheduled payroll date of the Company following the date the Release becomes effective and irrevocable (or with respect to such payments under Section 3.2, if later, on the date of the Change in Control) (the “</w:t>
      </w:r>
      <w:r>
        <w:rPr>
          <w:rFonts w:ascii="Arial" w:cs="Arial" w:eastAsia="Arial" w:hAnsi="Arial"/>
          <w:sz w:val="19"/>
          <w:szCs w:val="19"/>
          <w:b w:val="1"/>
          <w:bCs w:val="1"/>
          <w:color w:val="auto"/>
        </w:rPr>
        <w:t>Payment Date</w:t>
      </w:r>
      <w:r>
        <w:rPr>
          <w:rFonts w:ascii="Arial" w:cs="Arial" w:eastAsia="Arial" w:hAnsi="Arial"/>
          <w:sz w:val="19"/>
          <w:szCs w:val="19"/>
          <w:color w:val="auto"/>
        </w:rPr>
        <w:t>”), and any such severance otherwise payable to Executive during the period immediately following the date of the Qualifying Termination through the Payment Date will be paid in a lump sum to Executive on the Payment Date with any remaining payments to be made as provided in the Agreement. Any Time</w:t>
      </w:r>
      <w:r>
        <w:rPr>
          <w:rFonts w:ascii="MS PGothic" w:cs="MS PGothic" w:eastAsia="MS PGothic" w:hAnsi="MS PGothic"/>
          <w:sz w:val="19"/>
          <w:szCs w:val="19"/>
          <w:color w:val="auto"/>
        </w:rPr>
        <w:t>‑</w:t>
      </w:r>
      <w:r>
        <w:rPr>
          <w:rFonts w:ascii="Arial" w:cs="Arial" w:eastAsia="Arial" w:hAnsi="Arial"/>
          <w:sz w:val="19"/>
          <w:szCs w:val="19"/>
          <w:color w:val="auto"/>
        </w:rPr>
        <w:t>Based Awards that are restricted stock units, performance shares, performance units, and/or similar full value awards (“</w:t>
      </w:r>
      <w:r>
        <w:rPr>
          <w:rFonts w:ascii="Arial" w:cs="Arial" w:eastAsia="Arial" w:hAnsi="Arial"/>
          <w:sz w:val="19"/>
          <w:szCs w:val="19"/>
          <w:b w:val="1"/>
          <w:bCs w:val="1"/>
          <w:color w:val="auto"/>
        </w:rPr>
        <w:t>Full Value Awards</w:t>
      </w:r>
      <w:r>
        <w:rPr>
          <w:rFonts w:ascii="Arial" w:cs="Arial" w:eastAsia="Arial" w:hAnsi="Arial"/>
          <w:sz w:val="19"/>
          <w:szCs w:val="19"/>
          <w:color w:val="auto"/>
        </w:rPr>
        <w:t>”) that accelerate vesting under Section 3.2.4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defined below),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399"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color w:val="auto"/>
        </w:rPr>
        <w:t>COBRA Severance Limitations</w:t>
      </w:r>
      <w:r>
        <w:rPr>
          <w:rFonts w:ascii="Arial" w:cs="Arial" w:eastAsia="Arial" w:hAnsi="Arial"/>
          <w:sz w:val="22"/>
          <w:szCs w:val="22"/>
          <w:color w:val="auto"/>
        </w:rPr>
        <w:t>. If the Company determines in its sole discretion that it cannot provide the COBRA-related benefits set forth in Section 3.1.3 or 3.2.3, as applicable (the “</w:t>
      </w:r>
      <w:r>
        <w:rPr>
          <w:rFonts w:ascii="Arial" w:cs="Arial" w:eastAsia="Arial" w:hAnsi="Arial"/>
          <w:sz w:val="22"/>
          <w:szCs w:val="22"/>
          <w:b w:val="1"/>
          <w:bCs w:val="1"/>
          <w:color w:val="auto"/>
        </w:rPr>
        <w:t>COBRA Severance</w:t>
      </w:r>
      <w:r>
        <w:rPr>
          <w:rFonts w:ascii="Arial" w:cs="Arial" w:eastAsia="Arial" w:hAnsi="Arial"/>
          <w:sz w:val="22"/>
          <w:szCs w:val="22"/>
          <w:color w:val="auto"/>
        </w:rPr>
        <w:t>”) without potentially violating, or being subject to an excise tax under, applicable law (including, without limitation, Section 2716 of the Public Health Service Act), then in lieu of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left="10220"/>
        <w:spacing w:after="0"/>
        <w:rPr>
          <w:sz w:val="20"/>
          <w:szCs w:val="20"/>
          <w:color w:val="auto"/>
        </w:rPr>
      </w:pPr>
      <w:r>
        <w:rPr>
          <w:rFonts w:ascii="Arial" w:cs="Arial" w:eastAsia="Arial" w:hAnsi="Arial"/>
          <w:sz w:val="16"/>
          <w:szCs w:val="16"/>
          <w:b w:val="1"/>
          <w:bCs w:val="1"/>
          <w:color w:val="auto"/>
        </w:rPr>
        <w:t>Exhibit 10.13</w:t>
      </w:r>
    </w:p>
    <w:p>
      <w:pPr>
        <w:spacing w:after="0" w:line="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COBRA Severance, subject to any delay required by Section 5.4 below, the Company will provide to Executive a taxable monthly payment payable on the last day of a given month (except as provided by the last sentence in this Section 5.3), in an amount equal to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3.1.3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396"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color w:val="auto"/>
        </w:rPr>
        <w:t>Section 409A</w:t>
      </w:r>
      <w:r>
        <w:rPr>
          <w:rFonts w:ascii="Arial" w:cs="Arial" w:eastAsia="Arial" w:hAnsi="Arial"/>
          <w:sz w:val="19"/>
          <w:szCs w:val="19"/>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9"/>
          <w:szCs w:val="19"/>
          <w:b w:val="1"/>
          <w:bCs w:val="1"/>
          <w:color w:val="auto"/>
        </w:rPr>
        <w:t>Deferred Payments</w:t>
      </w:r>
      <w:r>
        <w:rPr>
          <w:rFonts w:ascii="Arial" w:cs="Arial" w:eastAsia="Arial" w:hAnsi="Arial"/>
          <w:sz w:val="19"/>
          <w:szCs w:val="19"/>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56" w:lineRule="exact"/>
        <w:rPr>
          <w:sz w:val="20"/>
          <w:szCs w:val="20"/>
          <w:color w:val="auto"/>
        </w:rPr>
      </w:pPr>
    </w:p>
    <w:p>
      <w:pPr>
        <w:jc w:val="both"/>
        <w:ind w:firstLine="2246"/>
        <w:spacing w:after="0" w:line="251" w:lineRule="exact"/>
        <w:rPr>
          <w:sz w:val="20"/>
          <w:szCs w:val="20"/>
          <w:color w:val="auto"/>
        </w:rPr>
      </w:pPr>
      <w:r>
        <w:rPr>
          <w:rFonts w:ascii="Arial" w:cs="Arial" w:eastAsia="Arial" w:hAnsi="Arial"/>
          <w:sz w:val="19"/>
          <w:szCs w:val="19"/>
          <w:color w:val="auto"/>
        </w:rPr>
        <w:t>5.4.1. Any payments or benefits paid or provided under this Agreement that satisfy the requirements of the “short-term deferral” rule under Treasury Regulations Section 1.409A</w:t>
      </w:r>
      <w:r>
        <w:rPr>
          <w:rFonts w:ascii="MS PGothic" w:cs="MS PGothic" w:eastAsia="MS PGothic" w:hAnsi="MS PGothic"/>
          <w:sz w:val="19"/>
          <w:szCs w:val="19"/>
          <w:color w:val="auto"/>
        </w:rPr>
        <w:t>‑</w:t>
      </w:r>
      <w:r>
        <w:rPr>
          <w:rFonts w:ascii="Arial" w:cs="Arial" w:eastAsia="Arial" w:hAnsi="Arial"/>
          <w:sz w:val="19"/>
          <w:szCs w:val="19"/>
          <w:color w:val="auto"/>
        </w:rPr>
        <w:t>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87" w:lineRule="exact"/>
        <w:rPr>
          <w:sz w:val="20"/>
          <w:szCs w:val="20"/>
          <w:color w:val="auto"/>
        </w:rPr>
      </w:pPr>
    </w:p>
    <w:p>
      <w:pPr>
        <w:jc w:val="both"/>
        <w:ind w:firstLine="2246"/>
        <w:spacing w:after="0" w:line="233" w:lineRule="auto"/>
        <w:rPr>
          <w:sz w:val="20"/>
          <w:szCs w:val="20"/>
          <w:color w:val="auto"/>
        </w:rPr>
      </w:pPr>
      <w:r>
        <w:rPr>
          <w:rFonts w:ascii="Arial" w:cs="Arial" w:eastAsia="Arial" w:hAnsi="Arial"/>
          <w:sz w:val="22"/>
          <w:szCs w:val="22"/>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Any subsequent Deferred Payment will be payable in accordance with the payment schedule applicable to such payment. To the extent that Executive is not a specified employee but Executive’s Qualifying Termination occurs at a time during the year whereby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10220"/>
        <w:spacing w:after="0"/>
        <w:rPr>
          <w:sz w:val="20"/>
          <w:szCs w:val="20"/>
          <w:color w:val="auto"/>
        </w:rPr>
      </w:pPr>
      <w:r>
        <w:rPr>
          <w:rFonts w:ascii="Arial" w:cs="Arial" w:eastAsia="Arial" w:hAnsi="Arial"/>
          <w:sz w:val="16"/>
          <w:szCs w:val="16"/>
          <w:b w:val="1"/>
          <w:bCs w:val="1"/>
          <w:color w:val="auto"/>
        </w:rPr>
        <w:t>Exhibit 10.13</w:t>
      </w:r>
    </w:p>
    <w:p>
      <w:pPr>
        <w:spacing w:after="0" w:line="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 and any subsequent Deferred Payment will be payable in accordance with the payment schedule applicable to such payment.</w:t>
      </w:r>
    </w:p>
    <w:p>
      <w:pPr>
        <w:spacing w:after="0" w:line="180" w:lineRule="exact"/>
        <w:rPr>
          <w:sz w:val="20"/>
          <w:szCs w:val="20"/>
          <w:color w:val="auto"/>
        </w:rPr>
      </w:pPr>
    </w:p>
    <w:p>
      <w:pPr>
        <w:jc w:val="both"/>
        <w:ind w:firstLine="2246"/>
        <w:spacing w:after="0" w:line="274" w:lineRule="auto"/>
        <w:rPr>
          <w:sz w:val="20"/>
          <w:szCs w:val="20"/>
          <w:color w:val="auto"/>
        </w:rPr>
      </w:pPr>
      <w:r>
        <w:rPr>
          <w:rFonts w:ascii="Arial" w:cs="Arial" w:eastAsia="Arial" w:hAnsi="Arial"/>
          <w:sz w:val="19"/>
          <w:szCs w:val="19"/>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52" w:lineRule="exact"/>
        <w:rPr>
          <w:sz w:val="20"/>
          <w:szCs w:val="20"/>
          <w:color w:val="auto"/>
        </w:rPr>
      </w:pPr>
    </w:p>
    <w:p>
      <w:pPr>
        <w:ind w:left="1500" w:hanging="743"/>
        <w:spacing w:after="0"/>
        <w:tabs>
          <w:tab w:leader="none" w:pos="15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Section 280G; Limitation on Payments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Reduction of Severance Benefits</w:t>
      </w:r>
      <w:r>
        <w:rPr>
          <w:rFonts w:ascii="Arial" w:cs="Arial" w:eastAsia="Arial" w:hAnsi="Arial"/>
          <w:sz w:val="19"/>
          <w:szCs w:val="19"/>
          <w:color w:val="auto"/>
        </w:rPr>
        <w:t>. If any payment or benefit that Executive would receive from the Company or any other party whether in connection with the provisions in this Agreement or otherwise (the “</w:t>
      </w:r>
      <w:r>
        <w:rPr>
          <w:rFonts w:ascii="Arial" w:cs="Arial" w:eastAsia="Arial" w:hAnsi="Arial"/>
          <w:sz w:val="19"/>
          <w:szCs w:val="19"/>
          <w:b w:val="1"/>
          <w:bCs w:val="1"/>
          <w:color w:val="auto"/>
        </w:rPr>
        <w:t>Payments</w:t>
      </w:r>
      <w:r>
        <w:rPr>
          <w:rFonts w:ascii="Arial" w:cs="Arial" w:eastAsia="Arial" w:hAnsi="Arial"/>
          <w:sz w:val="19"/>
          <w:szCs w:val="19"/>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10220"/>
        <w:spacing w:after="0"/>
        <w:rPr>
          <w:sz w:val="20"/>
          <w:szCs w:val="20"/>
          <w:color w:val="auto"/>
        </w:rPr>
      </w:pPr>
      <w:r>
        <w:rPr>
          <w:rFonts w:ascii="Arial" w:cs="Arial" w:eastAsia="Arial" w:hAnsi="Arial"/>
          <w:sz w:val="16"/>
          <w:szCs w:val="16"/>
          <w:b w:val="1"/>
          <w:bCs w:val="1"/>
          <w:color w:val="auto"/>
        </w:rPr>
        <w:t>Exhibit 10.13</w:t>
      </w:r>
    </w:p>
    <w:p>
      <w:pPr>
        <w:spacing w:after="0" w:line="3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b w:val="1"/>
          <w:bCs w:val="1"/>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50" w:lineRule="exact"/>
        <w:rPr>
          <w:sz w:val="20"/>
          <w:szCs w:val="20"/>
          <w:color w:val="auto"/>
        </w:rPr>
      </w:pPr>
    </w:p>
    <w:p>
      <w:pPr>
        <w:ind w:left="1500" w:hanging="743"/>
        <w:spacing w:after="0"/>
        <w:tabs>
          <w:tab w:leader="none" w:pos="150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7.1. “</w:t>
      </w:r>
      <w:r>
        <w:rPr>
          <w:rFonts w:ascii="Arial" w:cs="Arial" w:eastAsia="Arial" w:hAnsi="Arial"/>
          <w:sz w:val="22"/>
          <w:szCs w:val="22"/>
          <w:b w:val="1"/>
          <w:bCs w:val="1"/>
          <w:color w:val="auto"/>
        </w:rPr>
        <w:t>Award</w:t>
      </w:r>
      <w:r>
        <w:rPr>
          <w:rFonts w:ascii="Arial" w:cs="Arial" w:eastAsia="Arial" w:hAnsi="Arial"/>
          <w:sz w:val="22"/>
          <w:szCs w:val="22"/>
          <w:color w:val="auto"/>
        </w:rPr>
        <w:t>” means stock options and other equity awards covering shares of Company common stock granted to Executive.</w:t>
      </w:r>
    </w:p>
    <w:p>
      <w:pPr>
        <w:spacing w:after="0" w:line="162"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206"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auto"/>
        </w:rPr>
        <w:t>7.3. “</w:t>
      </w:r>
      <w:r>
        <w:rPr>
          <w:rFonts w:ascii="Arial" w:cs="Arial" w:eastAsia="Arial" w:hAnsi="Arial"/>
          <w:sz w:val="21"/>
          <w:szCs w:val="21"/>
          <w:b w:val="1"/>
          <w:bCs w:val="1"/>
          <w:color w:val="auto"/>
        </w:rPr>
        <w:t>Cause</w:t>
      </w:r>
      <w:r>
        <w:rPr>
          <w:rFonts w:ascii="Arial" w:cs="Arial" w:eastAsia="Arial" w:hAnsi="Arial"/>
          <w:sz w:val="21"/>
          <w:szCs w:val="21"/>
          <w:color w:val="auto"/>
        </w:rPr>
        <w:t>” means the occurrence of one or more of the following: (a) the commission by Executive of a criminal offence (i) involving moral turpitude or (ii) involving dishonesty, theft or fraud with respect to the Company or any of its affiliates or any of their customers, suppliers, licensors, licensees, employees or other business relation, which has had or the Board reasonably believes could have a material negative effect upon the Company or any of its affiliates,</w:t>
      </w:r>
    </w:p>
    <w:p>
      <w:pPr>
        <w:spacing w:after="0" w:line="2" w:lineRule="exact"/>
        <w:rPr>
          <w:sz w:val="20"/>
          <w:szCs w:val="20"/>
          <w:color w:val="auto"/>
        </w:rPr>
      </w:pPr>
    </w:p>
    <w:p>
      <w:pPr>
        <w:jc w:val="both"/>
        <w:ind w:firstLine="8"/>
        <w:spacing w:after="0" w:line="242" w:lineRule="auto"/>
        <w:tabs>
          <w:tab w:leader="none" w:pos="358" w:val="left"/>
        </w:tabs>
        <w:numPr>
          <w:ilvl w:val="0"/>
          <w:numId w:val="66"/>
        </w:numPr>
        <w:rPr>
          <w:rFonts w:ascii="Arial" w:cs="Arial" w:eastAsia="Arial" w:hAnsi="Arial"/>
          <w:sz w:val="21"/>
          <w:szCs w:val="21"/>
          <w:color w:val="auto"/>
        </w:rPr>
      </w:pPr>
      <w:r>
        <w:rPr>
          <w:rFonts w:ascii="Arial" w:cs="Arial" w:eastAsia="Arial" w:hAnsi="Arial"/>
          <w:sz w:val="21"/>
          <w:szCs w:val="21"/>
          <w:color w:val="auto"/>
        </w:rPr>
        <w:t>substantial and repeated failure to perform duties as reasonably directed by the CEO, (c) gross negligence or willful misconduct with respect to the Company or any of its affiliates or any of their customers, suppliers, licensors, licensees, employees or other business relation, (d) breach of fiduciary duty with respect to the Company or any of its affiliates or any of their customers, suppliers, licensors, licensees, employees or other business relation, which has had or the Board reasonably believes could have a material negative effect upon the Company or any of its affiliates, (e) repeated conduct causing the Company or any of its affiliates substantial public disgrace or disrepute or substantial economic harm, (f) any act or omission aiding or abetting a competitor, supplier or customer of the Company or any of its affiliates to the material disadvantage or detriment of the Company and its affiliates, (g) a material failure to observe the Company’s policies or standards regarding employment practices (including, without limitation, nondiscrimination and sexual harassment policies) as in effect from time to time, and/or (h) a failure by Executive to cooperate in good faith with a governmental or internal investigation of the Company or its directors, officers or employees if the Company or Board has requested Executive’s cooperation, provided that Executive’s failure to waive attorney-client privilege relating to communications with Executive’s own attorney in connection with an Investigation will not constitute “Cause”; provided, however, that the events described in the foregoing clauses (b), (f) and (g) shall not constitute Cause unless the Company shall have notified Executive in writing describing, in reasonable detail, the events which constitute Cause and, to the extent practicable, the conduct required to cure such Cause (if such Cause if capable of being cured) and then only if Executive shall have failed to cure such events within 30 days after Executive’s receipt of such written notice.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8360" w:type="dxa"/>
            <w:vAlign w:val="bottom"/>
          </w:tcPr>
          <w:p>
            <w:pPr>
              <w:jc w:val="right"/>
              <w:spacing w:after="0"/>
              <w:rPr>
                <w:sz w:val="20"/>
                <w:szCs w:val="20"/>
                <w:color w:val="auto"/>
              </w:rPr>
            </w:pPr>
            <w:r>
              <w:rPr>
                <w:rFonts w:ascii="Arial" w:cs="Arial" w:eastAsia="Arial" w:hAnsi="Arial"/>
                <w:sz w:val="18"/>
                <w:szCs w:val="18"/>
                <w:b w:val="1"/>
                <w:bCs w:val="1"/>
                <w:color w:val="auto"/>
              </w:rPr>
              <w:t>Exhibit 10.13</w:t>
            </w:r>
          </w:p>
        </w:tc>
      </w:tr>
      <w:tr>
        <w:trPr>
          <w:trHeight w:val="249"/>
        </w:trPr>
        <w:tc>
          <w:tcPr>
            <w:tcW w:w="2880" w:type="dxa"/>
            <w:vAlign w:val="bottom"/>
          </w:tcPr>
          <w:p>
            <w:pPr>
              <w:jc w:val="right"/>
              <w:ind w:right="952"/>
              <w:spacing w:after="0" w:line="249" w:lineRule="exact"/>
              <w:rPr>
                <w:sz w:val="20"/>
                <w:szCs w:val="20"/>
                <w:color w:val="auto"/>
              </w:rPr>
            </w:pPr>
            <w:r>
              <w:rPr>
                <w:rFonts w:ascii="Arial" w:cs="Arial" w:eastAsia="Arial" w:hAnsi="Arial"/>
                <w:sz w:val="22"/>
                <w:szCs w:val="22"/>
                <w:color w:val="auto"/>
              </w:rPr>
              <w:t>7.4.</w:t>
            </w:r>
          </w:p>
        </w:tc>
        <w:tc>
          <w:tcPr>
            <w:tcW w:w="8360" w:type="dxa"/>
            <w:vAlign w:val="bottom"/>
          </w:tcPr>
          <w:p>
            <w:pPr>
              <w:jc w:val="right"/>
              <w:spacing w:after="0" w:line="249" w:lineRule="exact"/>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Change in Control</w:t>
            </w:r>
            <w:r>
              <w:rPr>
                <w:rFonts w:ascii="Arial" w:cs="Arial" w:eastAsia="Arial" w:hAnsi="Arial"/>
                <w:sz w:val="22"/>
                <w:szCs w:val="22"/>
                <w:color w:val="auto"/>
                <w:w w:val="92"/>
              </w:rPr>
              <w:t>” means the first occurrence of any of the following events on or after the</w:t>
            </w:r>
          </w:p>
        </w:tc>
      </w:tr>
      <w:tr>
        <w:trPr>
          <w:trHeight w:val="274"/>
        </w:trPr>
        <w:tc>
          <w:tcPr>
            <w:tcW w:w="2880" w:type="dxa"/>
            <w:vAlign w:val="bottom"/>
          </w:tcPr>
          <w:p>
            <w:pPr>
              <w:jc w:val="right"/>
              <w:ind w:right="1452"/>
              <w:spacing w:after="0"/>
              <w:rPr>
                <w:sz w:val="20"/>
                <w:szCs w:val="20"/>
                <w:color w:val="auto"/>
              </w:rPr>
            </w:pPr>
            <w:r>
              <w:rPr>
                <w:rFonts w:ascii="Arial" w:cs="Arial" w:eastAsia="Arial" w:hAnsi="Arial"/>
                <w:sz w:val="22"/>
                <w:szCs w:val="22"/>
                <w:color w:val="auto"/>
                <w:w w:val="90"/>
              </w:rPr>
              <w:t>Effective Date:</w:t>
            </w:r>
          </w:p>
        </w:tc>
        <w:tc>
          <w:tcPr>
            <w:tcW w:w="8360" w:type="dxa"/>
            <w:vAlign w:val="bottom"/>
          </w:tcPr>
          <w:p>
            <w:pPr>
              <w:spacing w:after="0"/>
              <w:rPr>
                <w:sz w:val="23"/>
                <w:szCs w:val="23"/>
                <w:color w:val="auto"/>
              </w:rPr>
            </w:pPr>
          </w:p>
        </w:tc>
      </w:tr>
      <w:tr>
        <w:trPr>
          <w:trHeight w:val="446"/>
        </w:trPr>
        <w:tc>
          <w:tcPr>
            <w:tcW w:w="2880" w:type="dxa"/>
            <w:vAlign w:val="bottom"/>
          </w:tcPr>
          <w:p>
            <w:pPr>
              <w:jc w:val="right"/>
              <w:ind w:right="32"/>
              <w:spacing w:after="0"/>
              <w:rPr>
                <w:sz w:val="20"/>
                <w:szCs w:val="20"/>
                <w:color w:val="auto"/>
              </w:rPr>
            </w:pPr>
            <w:r>
              <w:rPr>
                <w:rFonts w:ascii="Arial" w:cs="Arial" w:eastAsia="Arial" w:hAnsi="Arial"/>
                <w:sz w:val="22"/>
                <w:szCs w:val="22"/>
                <w:color w:val="auto"/>
              </w:rPr>
              <w:t>7.4.1.</w:t>
            </w:r>
          </w:p>
        </w:tc>
        <w:tc>
          <w:tcPr>
            <w:tcW w:w="8360" w:type="dxa"/>
            <w:vAlign w:val="bottom"/>
          </w:tcPr>
          <w:p>
            <w:pPr>
              <w:jc w:val="right"/>
              <w:spacing w:after="0"/>
              <w:rPr>
                <w:sz w:val="20"/>
                <w:szCs w:val="20"/>
                <w:color w:val="auto"/>
              </w:rPr>
            </w:pPr>
            <w:r>
              <w:rPr>
                <w:rFonts w:ascii="Arial" w:cs="Arial" w:eastAsia="Arial" w:hAnsi="Arial"/>
                <w:sz w:val="22"/>
                <w:szCs w:val="22"/>
                <w:b w:val="1"/>
                <w:bCs w:val="1"/>
                <w:color w:val="auto"/>
              </w:rPr>
              <w:t>Change in Ownership of the Company</w:t>
            </w:r>
            <w:r>
              <w:rPr>
                <w:rFonts w:ascii="Arial" w:cs="Arial" w:eastAsia="Arial" w:hAnsi="Arial"/>
                <w:sz w:val="22"/>
                <w:szCs w:val="22"/>
                <w:color w:val="auto"/>
              </w:rPr>
              <w:t>.  A change in the ownership of the</w:t>
            </w:r>
          </w:p>
        </w:tc>
      </w:tr>
    </w:tbl>
    <w:p>
      <w:pPr>
        <w:jc w:val="both"/>
        <w:spacing w:after="0" w:line="268" w:lineRule="auto"/>
        <w:rPr>
          <w:sz w:val="20"/>
          <w:szCs w:val="20"/>
          <w:color w:val="auto"/>
        </w:rPr>
      </w:pPr>
      <w:r>
        <w:rPr>
          <w:rFonts w:ascii="Arial" w:cs="Arial" w:eastAsia="Arial" w:hAnsi="Arial"/>
          <w:sz w:val="19"/>
          <w:szCs w:val="19"/>
          <w:color w:val="auto"/>
        </w:rPr>
        <w:t>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none of the following will be considered a Change in Control: (a) the acquisition of additional securities by any one Person, who prior to the acquisition thereof is considered to own more than fifty percent (50%) of the total voting power of the stock of the Company; (b) the acquisition of additional securities or voting power of the Company by any or some combination of the Specified Stockholders (as defined below), their Permitted Transferees (as defined in the Company’s certificate of incorporation, as it may be amended from time to time (“</w:t>
      </w:r>
      <w:r>
        <w:rPr>
          <w:rFonts w:ascii="Arial" w:cs="Arial" w:eastAsia="Arial" w:hAnsi="Arial"/>
          <w:sz w:val="19"/>
          <w:szCs w:val="19"/>
          <w:b w:val="1"/>
          <w:bCs w:val="1"/>
          <w:color w:val="auto"/>
        </w:rPr>
        <w:t>COI</w:t>
      </w:r>
      <w:r>
        <w:rPr>
          <w:rFonts w:ascii="Arial" w:cs="Arial" w:eastAsia="Arial" w:hAnsi="Arial"/>
          <w:sz w:val="19"/>
          <w:szCs w:val="19"/>
          <w:color w:val="auto"/>
        </w:rPr>
        <w:t>”)), or both; (c) any change in the Specified Stockholders’ voting power of the Company resulting from a repurchase, redemption, retirement or other similar acquisition of stock of the Company by the Company; (iv) any change in voting power as a result of a transfer by a Specified Stockholder to a Permitted Transferee or from any such Permitted Transferee back to such Specified Stockholder or any other Permitted Transferee, or both as of the time of each such transfer of such Specified Stockholder; and (v) any change in the Specified Stockholders’ voting power of the Company resulting from a conversion of shares of the stock of the Company reducing the number of shares or vote per share of stock outstanding. For the avoidance of doubt, no acquisition or disposition of Class B common stock of the Company by the Specified Stockholders or change in the total voting power of the Company solely as a result of (x) the conversion of any shares of stock of the Company into shares of Class B common stock of the Company, (y) the conversion of any shares of Class B common stock of the Company into shares of any other class of stock of the Company, or (z) any change in the voting power of the Class B common stock of the Company will constitute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0" w:lineRule="exact"/>
        <w:rPr>
          <w:sz w:val="20"/>
          <w:szCs w:val="20"/>
          <w:color w:val="auto"/>
        </w:rPr>
      </w:pPr>
    </w:p>
    <w:p>
      <w:pPr>
        <w:spacing w:after="0" w:line="21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2"/>
          <w:szCs w:val="22"/>
          <w:color w:val="auto"/>
        </w:rPr>
        <w:t>7.4.2.</w:t>
      </w:r>
      <w:r>
        <w:rPr>
          <w:sz w:val="20"/>
          <w:szCs w:val="20"/>
          <w:color w:val="auto"/>
        </w:rPr>
        <w:tab/>
      </w:r>
      <w:r>
        <w:rPr>
          <w:rFonts w:ascii="Arial" w:cs="Arial" w:eastAsia="Arial" w:hAnsi="Arial"/>
          <w:sz w:val="19"/>
          <w:szCs w:val="19"/>
          <w:b w:val="1"/>
          <w:bCs w:val="1"/>
          <w:color w:val="auto"/>
        </w:rPr>
        <w:t>Change in Effective Control of the Company</w:t>
      </w:r>
      <w:r>
        <w:rPr>
          <w:rFonts w:ascii="Arial" w:cs="Arial" w:eastAsia="Arial" w:hAnsi="Arial"/>
          <w:sz w:val="19"/>
          <w:szCs w:val="19"/>
          <w:color w:val="auto"/>
        </w:rPr>
        <w:t>. If the Company has a class</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of securities registered pursuant to Section 12 of the U.S. Securities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provided that if any Person or any or some combination of the Specified Stockholders exercises more than fifty percent (50%) of the total voting power of the Company, the election of Directors by such party or parties will not be considered a Change in Control. For purposes of this Section 7.4.2, if any Person is considered to be in effective control of the Company, the acquisition of additional control of the Company by the same Person will not be considered a Change in Control;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4" w:name="page125"/>
    <w:bookmarkEnd w:id="124"/>
    <w:tbl>
      <w:tblPr>
        <w:tblLayout w:type="fixed"/>
        <w:tblInd w:w="226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7620" w:type="dxa"/>
            <w:vAlign w:val="bottom"/>
          </w:tcPr>
          <w:p>
            <w:pPr>
              <w:ind w:left="6600"/>
              <w:spacing w:after="0"/>
              <w:rPr>
                <w:sz w:val="20"/>
                <w:szCs w:val="20"/>
                <w:color w:val="auto"/>
              </w:rPr>
            </w:pPr>
            <w:r>
              <w:rPr>
                <w:rFonts w:ascii="Arial" w:cs="Arial" w:eastAsia="Arial" w:hAnsi="Arial"/>
                <w:sz w:val="18"/>
                <w:szCs w:val="18"/>
                <w:b w:val="1"/>
                <w:bCs w:val="1"/>
                <w:color w:val="auto"/>
                <w:w w:val="90"/>
              </w:rPr>
              <w:t>Exhibit 10.13</w:t>
            </w:r>
          </w:p>
        </w:tc>
      </w:tr>
      <w:tr>
        <w:trPr>
          <w:trHeight w:val="267"/>
        </w:trPr>
        <w:tc>
          <w:tcPr>
            <w:tcW w:w="1360" w:type="dxa"/>
            <w:vAlign w:val="bottom"/>
          </w:tcPr>
          <w:p>
            <w:pPr>
              <w:jc w:val="right"/>
              <w:ind w:right="772"/>
              <w:spacing w:after="0"/>
              <w:rPr>
                <w:sz w:val="20"/>
                <w:szCs w:val="20"/>
                <w:color w:val="auto"/>
              </w:rPr>
            </w:pPr>
            <w:r>
              <w:rPr>
                <w:rFonts w:ascii="Arial" w:cs="Arial" w:eastAsia="Arial" w:hAnsi="Arial"/>
                <w:sz w:val="22"/>
                <w:szCs w:val="22"/>
                <w:color w:val="auto"/>
                <w:w w:val="83"/>
              </w:rPr>
              <w:t>7.4.3.</w:t>
            </w:r>
          </w:p>
        </w:tc>
        <w:tc>
          <w:tcPr>
            <w:tcW w:w="7620" w:type="dxa"/>
            <w:vAlign w:val="bottom"/>
          </w:tcPr>
          <w:p>
            <w:pPr>
              <w:ind w:left="880"/>
              <w:spacing w:after="0"/>
              <w:rPr>
                <w:sz w:val="20"/>
                <w:szCs w:val="20"/>
                <w:color w:val="auto"/>
              </w:rPr>
            </w:pPr>
            <w:r>
              <w:rPr>
                <w:rFonts w:ascii="Arial" w:cs="Arial" w:eastAsia="Arial" w:hAnsi="Arial"/>
                <w:sz w:val="22"/>
                <w:szCs w:val="22"/>
                <w:b w:val="1"/>
                <w:bCs w:val="1"/>
                <w:color w:val="auto"/>
                <w:w w:val="89"/>
              </w:rPr>
              <w:t>Change in Ownership of a Substantial Portion of the Company’s Assets</w:t>
            </w:r>
            <w:r>
              <w:rPr>
                <w:rFonts w:ascii="Arial" w:cs="Arial" w:eastAsia="Arial" w:hAnsi="Arial"/>
                <w:sz w:val="22"/>
                <w:szCs w:val="22"/>
                <w:color w:val="auto"/>
                <w:w w:val="89"/>
              </w:rPr>
              <w:t>.</w:t>
            </w:r>
          </w:p>
        </w:tc>
      </w:tr>
    </w:tbl>
    <w:p>
      <w:pPr>
        <w:jc w:val="both"/>
        <w:spacing w:after="0" w:line="266" w:lineRule="auto"/>
        <w:rPr>
          <w:sz w:val="20"/>
          <w:szCs w:val="20"/>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w:t>
      </w:r>
    </w:p>
    <w:p>
      <w:pPr>
        <w:spacing w:after="0" w:line="5" w:lineRule="exact"/>
        <w:rPr>
          <w:sz w:val="20"/>
          <w:szCs w:val="20"/>
          <w:color w:val="auto"/>
        </w:rPr>
      </w:pPr>
    </w:p>
    <w:p>
      <w:pPr>
        <w:jc w:val="both"/>
        <w:ind w:firstLine="8"/>
        <w:spacing w:after="0" w:line="273" w:lineRule="auto"/>
        <w:tabs>
          <w:tab w:leader="none" w:pos="314" w:val="left"/>
        </w:tabs>
        <w:numPr>
          <w:ilvl w:val="0"/>
          <w:numId w:val="67"/>
        </w:numPr>
        <w:rPr>
          <w:rFonts w:ascii="Arial" w:cs="Arial" w:eastAsia="Arial" w:hAnsi="Arial"/>
          <w:sz w:val="19"/>
          <w:szCs w:val="19"/>
          <w:color w:val="auto"/>
        </w:rPr>
      </w:pPr>
      <w:r>
        <w:rPr>
          <w:rFonts w:ascii="Arial" w:cs="Arial" w:eastAsia="Arial" w:hAnsi="Arial"/>
          <w:sz w:val="19"/>
          <w:szCs w:val="19"/>
          <w:color w:val="auto"/>
        </w:rPr>
        <w:t>a transfer of assets by the Company to: (i) a stockholder of the Company (immediately before the asset transfer) in exchange for or with respect to the Company’s stock, (ii) an entity, fifty percent (50%) or more of the total value or voting power of 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159"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8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jc w:val="both"/>
        <w:ind w:firstLine="1497"/>
        <w:spacing w:after="0" w:line="334" w:lineRule="auto"/>
        <w:rPr>
          <w:sz w:val="20"/>
          <w:szCs w:val="20"/>
          <w:color w:val="auto"/>
        </w:rPr>
      </w:pPr>
      <w:r>
        <w:rPr>
          <w:rFonts w:ascii="Arial" w:cs="Arial" w:eastAsia="Arial" w:hAnsi="Arial"/>
          <w:sz w:val="19"/>
          <w:szCs w:val="19"/>
          <w:color w:val="auto"/>
        </w:rPr>
        <w:t>7.5. “</w:t>
      </w:r>
      <w:r>
        <w:rPr>
          <w:rFonts w:ascii="Arial" w:cs="Arial" w:eastAsia="Arial" w:hAnsi="Arial"/>
          <w:sz w:val="19"/>
          <w:szCs w:val="19"/>
          <w:b w:val="1"/>
          <w:bCs w:val="1"/>
          <w:color w:val="auto"/>
        </w:rPr>
        <w:t>Change in Control Period</w:t>
      </w:r>
      <w:r>
        <w:rPr>
          <w:rFonts w:ascii="Arial" w:cs="Arial" w:eastAsia="Arial" w:hAnsi="Arial"/>
          <w:sz w:val="19"/>
          <w:szCs w:val="19"/>
          <w:color w:val="auto"/>
        </w:rPr>
        <w:t>” means the period beginning on the date three (3) months prior to a Change in Control and ending on (and inclusive of) the date that is the one (1) year anniversary of the Change in Control.</w:t>
      </w:r>
    </w:p>
    <w:p>
      <w:pPr>
        <w:spacing w:after="0" w:line="94"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7.6. “</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ind w:left="1500"/>
              <w:spacing w:after="0"/>
              <w:rPr>
                <w:sz w:val="20"/>
                <w:szCs w:val="20"/>
                <w:color w:val="auto"/>
              </w:rPr>
            </w:pPr>
            <w:r>
              <w:rPr>
                <w:rFonts w:ascii="Arial" w:cs="Arial" w:eastAsia="Arial" w:hAnsi="Arial"/>
                <w:sz w:val="22"/>
                <w:szCs w:val="22"/>
                <w:color w:val="auto"/>
              </w:rPr>
              <w:t>7.7.</w:t>
            </w:r>
          </w:p>
        </w:tc>
        <w:tc>
          <w:tcPr>
            <w:tcW w:w="8760" w:type="dxa"/>
            <w:vAlign w:val="bottom"/>
          </w:tcPr>
          <w:p>
            <w:pPr>
              <w:ind w:left="52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Confidentiality  Agreement</w:t>
            </w:r>
            <w:r>
              <w:rPr>
                <w:rFonts w:ascii="Arial" w:cs="Arial" w:eastAsia="Arial" w:hAnsi="Arial"/>
                <w:sz w:val="22"/>
                <w:szCs w:val="22"/>
                <w:color w:val="auto"/>
                <w:w w:val="94"/>
              </w:rPr>
              <w:t>”  means  Executive’s  Employment  Terms  and  Conditions</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Agreement entered into with the Company dated October 11, 2012.</w:t>
            </w:r>
          </w:p>
        </w:tc>
      </w:tr>
      <w:tr>
        <w:trPr>
          <w:trHeight w:val="459"/>
        </w:trPr>
        <w:tc>
          <w:tcPr>
            <w:tcW w:w="2480" w:type="dxa"/>
            <w:vAlign w:val="bottom"/>
          </w:tcPr>
          <w:p>
            <w:pPr>
              <w:ind w:left="1500"/>
              <w:spacing w:after="0"/>
              <w:rPr>
                <w:sz w:val="20"/>
                <w:szCs w:val="20"/>
                <w:color w:val="auto"/>
              </w:rPr>
            </w:pPr>
            <w:r>
              <w:rPr>
                <w:rFonts w:ascii="Arial" w:cs="Arial" w:eastAsia="Arial" w:hAnsi="Arial"/>
                <w:sz w:val="22"/>
                <w:szCs w:val="22"/>
                <w:color w:val="auto"/>
              </w:rPr>
              <w:t>7.8.</w:t>
            </w:r>
          </w:p>
        </w:tc>
        <w:tc>
          <w:tcPr>
            <w:tcW w:w="8760" w:type="dxa"/>
            <w:vAlign w:val="bottom"/>
          </w:tcPr>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means a member of the Board.</w:t>
            </w:r>
          </w:p>
        </w:tc>
      </w:tr>
      <w:tr>
        <w:trPr>
          <w:trHeight w:val="459"/>
        </w:trPr>
        <w:tc>
          <w:tcPr>
            <w:tcW w:w="2480" w:type="dxa"/>
            <w:vAlign w:val="bottom"/>
          </w:tcPr>
          <w:p>
            <w:pPr>
              <w:ind w:left="1500"/>
              <w:spacing w:after="0"/>
              <w:rPr>
                <w:sz w:val="20"/>
                <w:szCs w:val="20"/>
                <w:color w:val="auto"/>
              </w:rPr>
            </w:pPr>
            <w:r>
              <w:rPr>
                <w:rFonts w:ascii="Arial" w:cs="Arial" w:eastAsia="Arial" w:hAnsi="Arial"/>
                <w:sz w:val="22"/>
                <w:szCs w:val="22"/>
                <w:color w:val="auto"/>
              </w:rPr>
              <w:t>7.9.</w:t>
            </w:r>
          </w:p>
        </w:tc>
        <w:tc>
          <w:tcPr>
            <w:tcW w:w="8760" w:type="dxa"/>
            <w:vAlign w:val="bottom"/>
          </w:tcPr>
          <w:p>
            <w:pPr>
              <w:ind w:left="520"/>
              <w:spacing w:after="0"/>
              <w:rPr>
                <w:sz w:val="20"/>
                <w:szCs w:val="20"/>
                <w:color w:val="auto"/>
              </w:rPr>
            </w:pPr>
            <w:r>
              <w:rPr>
                <w:rFonts w:ascii="Arial" w:cs="Arial" w:eastAsia="Arial" w:hAnsi="Arial"/>
                <w:sz w:val="22"/>
                <w:szCs w:val="22"/>
                <w:color w:val="auto"/>
                <w:w w:val="98"/>
              </w:rPr>
              <w:t>“</w:t>
            </w:r>
            <w:r>
              <w:rPr>
                <w:rFonts w:ascii="Arial" w:cs="Arial" w:eastAsia="Arial" w:hAnsi="Arial"/>
                <w:sz w:val="22"/>
                <w:szCs w:val="22"/>
                <w:b w:val="1"/>
                <w:bCs w:val="1"/>
                <w:color w:val="auto"/>
                <w:w w:val="98"/>
              </w:rPr>
              <w:t>Disability</w:t>
            </w:r>
            <w:r>
              <w:rPr>
                <w:rFonts w:ascii="Arial" w:cs="Arial" w:eastAsia="Arial" w:hAnsi="Arial"/>
                <w:sz w:val="22"/>
                <w:szCs w:val="22"/>
                <w:color w:val="auto"/>
                <w:w w:val="98"/>
              </w:rPr>
              <w:t>” means total and permanent disability as defined in Code Section 22(e)(3).</w:t>
            </w:r>
          </w:p>
        </w:tc>
      </w:tr>
      <w:tr>
        <w:trPr>
          <w:trHeight w:val="459"/>
        </w:trPr>
        <w:tc>
          <w:tcPr>
            <w:tcW w:w="2480" w:type="dxa"/>
            <w:vAlign w:val="bottom"/>
          </w:tcPr>
          <w:p>
            <w:pPr>
              <w:ind w:left="1500"/>
              <w:spacing w:after="0"/>
              <w:rPr>
                <w:sz w:val="20"/>
                <w:szCs w:val="20"/>
                <w:color w:val="auto"/>
              </w:rPr>
            </w:pPr>
            <w:r>
              <w:rPr>
                <w:rFonts w:ascii="Arial" w:cs="Arial" w:eastAsia="Arial" w:hAnsi="Arial"/>
                <w:sz w:val="22"/>
                <w:szCs w:val="22"/>
                <w:color w:val="auto"/>
              </w:rPr>
              <w:t>7.10.</w:t>
            </w:r>
          </w:p>
        </w:tc>
        <w:tc>
          <w:tcPr>
            <w:tcW w:w="8760" w:type="dxa"/>
            <w:vAlign w:val="bottom"/>
          </w:tcPr>
          <w:p>
            <w:pPr>
              <w:ind w:left="520"/>
              <w:spacing w:after="0"/>
              <w:rPr>
                <w:sz w:val="20"/>
                <w:szCs w:val="20"/>
                <w:color w:val="auto"/>
              </w:rPr>
            </w:pPr>
            <w:r>
              <w:rPr>
                <w:rFonts w:ascii="Arial" w:cs="Arial" w:eastAsia="Arial" w:hAnsi="Arial"/>
                <w:sz w:val="22"/>
                <w:szCs w:val="22"/>
                <w:b w:val="1"/>
                <w:bCs w:val="1"/>
                <w:color w:val="auto"/>
              </w:rPr>
              <w:t>Reserved.</w:t>
            </w:r>
          </w:p>
        </w:tc>
      </w:tr>
      <w:tr>
        <w:trPr>
          <w:trHeight w:val="459"/>
        </w:trPr>
        <w:tc>
          <w:tcPr>
            <w:tcW w:w="2480" w:type="dxa"/>
            <w:vAlign w:val="bottom"/>
          </w:tcPr>
          <w:p>
            <w:pPr>
              <w:spacing w:after="0"/>
              <w:rPr>
                <w:sz w:val="24"/>
                <w:szCs w:val="24"/>
                <w:color w:val="auto"/>
              </w:rPr>
            </w:pPr>
          </w:p>
        </w:tc>
        <w:tc>
          <w:tcPr>
            <w:tcW w:w="8760" w:type="dxa"/>
            <w:vAlign w:val="bottom"/>
          </w:tcPr>
          <w:p>
            <w:pPr>
              <w:ind w:left="3020"/>
              <w:spacing w:after="0"/>
              <w:rPr>
                <w:sz w:val="20"/>
                <w:szCs w:val="20"/>
                <w:color w:val="auto"/>
              </w:rPr>
            </w:pPr>
            <w:r>
              <w:rPr>
                <w:rFonts w:ascii="Arial" w:cs="Arial" w:eastAsia="Arial" w:hAnsi="Arial"/>
                <w:sz w:val="22"/>
                <w:szCs w:val="22"/>
                <w:color w:val="auto"/>
              </w:rPr>
              <w:t>-8-</w:t>
            </w:r>
          </w:p>
        </w:tc>
      </w:tr>
      <w:tr>
        <w:trPr>
          <w:trHeight w:val="253"/>
        </w:trPr>
        <w:tc>
          <w:tcPr>
            <w:tcW w:w="2480" w:type="dxa"/>
            <w:vAlign w:val="bottom"/>
            <w:tcBorders>
              <w:bottom w:val="single" w:sz="8" w:color="9A9A9A"/>
            </w:tcBorders>
          </w:tcPr>
          <w:p>
            <w:pPr>
              <w:spacing w:after="0"/>
              <w:rPr>
                <w:sz w:val="22"/>
                <w:szCs w:val="22"/>
                <w:color w:val="auto"/>
              </w:rPr>
            </w:pPr>
          </w:p>
        </w:tc>
        <w:tc>
          <w:tcPr>
            <w:tcW w:w="87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5" w:name="page126"/>
    <w:bookmarkEnd w:id="125"/>
    <w:p>
      <w:pPr>
        <w:ind w:left="10220"/>
        <w:spacing w:after="0"/>
        <w:rPr>
          <w:sz w:val="20"/>
          <w:szCs w:val="20"/>
          <w:color w:val="auto"/>
        </w:rPr>
      </w:pPr>
      <w:r>
        <w:rPr>
          <w:rFonts w:ascii="Arial" w:cs="Arial" w:eastAsia="Arial" w:hAnsi="Arial"/>
          <w:sz w:val="16"/>
          <w:szCs w:val="16"/>
          <w:b w:val="1"/>
          <w:bCs w:val="1"/>
          <w:color w:val="auto"/>
        </w:rPr>
        <w:t>Exhibit 10.13</w:t>
      </w:r>
    </w:p>
    <w:p>
      <w:pPr>
        <w:spacing w:after="0" w:line="33"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7.11.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base salary as in effect immediately prior to such reduction (in other words, a reduction of at least ten percent (10%)), provided that an across-the-board reduction in the salary level of all other similarly situated employees by the same percentage amount as part of a general salary level reduction will not constitute such a reduction under this clause; (b) a relocation by the Company (or subsidiary, parent, affiliate or successor thereto, as applicable) of Executive’s principal work location to a principal work location more than thirty-five (35) miles from Executive’s then present location; (c) the failure of the Company to obtain assumption of this Agreement by any successor of the Company in accordance with Section 8 below; or (d) a material breach by the Company, of this Agreement or any other written agreement between Executive and the Company, relating to any material terms of Executive’s employment with the Company.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the extent Executive’s principal work location is not the Company’s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200" w:lineRule="exact"/>
        <w:rPr>
          <w:sz w:val="20"/>
          <w:szCs w:val="20"/>
          <w:color w:val="auto"/>
        </w:rPr>
      </w:pPr>
    </w:p>
    <w:p>
      <w:pPr>
        <w:spacing w:after="0" w:line="201"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Monthly Salary</w:t>
      </w:r>
      <w:r>
        <w:rPr>
          <w:rFonts w:ascii="Arial" w:cs="Arial" w:eastAsia="Arial" w:hAnsi="Arial"/>
          <w:sz w:val="19"/>
          <w:szCs w:val="19"/>
          <w:color w:val="auto"/>
        </w:rPr>
        <w:t>” means Executive’s monthly rate of Salary.</w:t>
      </w:r>
    </w:p>
    <w:p>
      <w:pPr>
        <w:spacing w:after="0" w:line="20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7.13. “</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 a termination of Executive’s employment with the Company either (a) by the Company without Cause and other than due to Executive’s death or Disability, or (b) by Executive for Good Reason.</w:t>
      </w:r>
    </w:p>
    <w:p>
      <w:pPr>
        <w:spacing w:after="0" w:line="177"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19"/>
          <w:szCs w:val="19"/>
          <w:color w:val="auto"/>
        </w:rPr>
        <w:t>7.14. “</w:t>
      </w:r>
      <w:r>
        <w:rPr>
          <w:rFonts w:ascii="Arial" w:cs="Arial" w:eastAsia="Arial" w:hAnsi="Arial"/>
          <w:sz w:val="19"/>
          <w:szCs w:val="19"/>
          <w:b w:val="1"/>
          <w:bCs w:val="1"/>
          <w:color w:val="auto"/>
        </w:rPr>
        <w:t>Salary</w:t>
      </w:r>
      <w:r>
        <w:rPr>
          <w:rFonts w:ascii="Arial" w:cs="Arial" w:eastAsia="Arial" w:hAnsi="Arial"/>
          <w:sz w:val="19"/>
          <w:szCs w:val="19"/>
          <w:color w:val="auto"/>
        </w:rPr>
        <w:t>” means Executive’s annual base salary in effect immediately prior to Executive’s Qualifying Termination or, if Executive’s Qualifying Termination occurs during the Change in Control Period and the amount is greater, Executive’s annual base salary in effect immediately prior to the Change in Control, in each case, if the Qualifying Termination is due to a resignation for Good Reason pursuant to clause (a) of the Good Reason definition, then as determined without giving effect to the material reduction in Executive’s base salary which triggered such Good Reason.</w:t>
      </w:r>
    </w:p>
    <w:p>
      <w:pPr>
        <w:spacing w:after="0" w:line="143" w:lineRule="exact"/>
        <w:rPr>
          <w:sz w:val="20"/>
          <w:szCs w:val="20"/>
          <w:color w:val="auto"/>
        </w:rPr>
      </w:pPr>
    </w:p>
    <w:p>
      <w:pPr>
        <w:jc w:val="both"/>
        <w:ind w:firstLine="1497"/>
        <w:spacing w:after="0" w:line="334" w:lineRule="auto"/>
        <w:rPr>
          <w:sz w:val="20"/>
          <w:szCs w:val="20"/>
          <w:color w:val="auto"/>
        </w:rPr>
      </w:pPr>
      <w:r>
        <w:rPr>
          <w:rFonts w:ascii="Arial" w:cs="Arial" w:eastAsia="Arial" w:hAnsi="Arial"/>
          <w:sz w:val="19"/>
          <w:szCs w:val="19"/>
          <w:color w:val="auto"/>
        </w:rPr>
        <w:t>7.15. “</w:t>
      </w:r>
      <w:r>
        <w:rPr>
          <w:rFonts w:ascii="Arial" w:cs="Arial" w:eastAsia="Arial" w:hAnsi="Arial"/>
          <w:sz w:val="19"/>
          <w:szCs w:val="19"/>
          <w:b w:val="1"/>
          <w:bCs w:val="1"/>
          <w:color w:val="auto"/>
        </w:rPr>
        <w:t>Section 409A</w:t>
      </w:r>
      <w:r>
        <w:rPr>
          <w:rFonts w:ascii="Arial" w:cs="Arial" w:eastAsia="Arial" w:hAnsi="Arial"/>
          <w:sz w:val="19"/>
          <w:szCs w:val="19"/>
          <w:color w:val="auto"/>
        </w:rPr>
        <w:t>” means Code Section 409A and the Treasury Regulations and guidance thereunder, and any applicable state law equivalent, as each may be promulgated, amended or modified from time to time.</w:t>
      </w:r>
    </w:p>
    <w:p>
      <w:pPr>
        <w:spacing w:after="0" w:line="94" w:lineRule="exact"/>
        <w:rPr>
          <w:sz w:val="20"/>
          <w:szCs w:val="20"/>
          <w:color w:val="auto"/>
        </w:rPr>
      </w:pPr>
    </w:p>
    <w:p>
      <w:pPr>
        <w:jc w:val="both"/>
        <w:ind w:firstLine="1497"/>
        <w:spacing w:after="0" w:line="252" w:lineRule="exact"/>
        <w:rPr>
          <w:sz w:val="20"/>
          <w:szCs w:val="20"/>
          <w:color w:val="auto"/>
        </w:rPr>
      </w:pPr>
      <w:r>
        <w:rPr>
          <w:rFonts w:ascii="Arial" w:cs="Arial" w:eastAsia="Arial" w:hAnsi="Arial"/>
          <w:sz w:val="22"/>
          <w:szCs w:val="22"/>
          <w:color w:val="auto"/>
        </w:rPr>
        <w:t>7.16. “</w:t>
      </w:r>
      <w:r>
        <w:rPr>
          <w:rFonts w:ascii="Arial" w:cs="Arial" w:eastAsia="Arial" w:hAnsi="Arial"/>
          <w:sz w:val="22"/>
          <w:szCs w:val="22"/>
          <w:b w:val="1"/>
          <w:bCs w:val="1"/>
          <w:color w:val="auto"/>
        </w:rPr>
        <w:t>Specified Stockholder</w:t>
      </w:r>
      <w:r>
        <w:rPr>
          <w:rFonts w:ascii="Arial" w:cs="Arial" w:eastAsia="Arial" w:hAnsi="Arial"/>
          <w:sz w:val="22"/>
          <w:szCs w:val="22"/>
          <w:color w:val="auto"/>
        </w:rPr>
        <w:t>” means individually or collectively (in any combination thereof), Dushyant Sharma, AKKR (as defined in the COI) or a Permitted Transferee of any such stockholder, provided that if a Specified Stockholder forms a “group” within the meaning of Rule 13d</w:t>
      </w:r>
      <w:r>
        <w:rPr>
          <w:rFonts w:ascii="MS PGothic" w:cs="MS PGothic" w:eastAsia="MS PGothic" w:hAnsi="MS PGothic"/>
          <w:sz w:val="22"/>
          <w:szCs w:val="22"/>
          <w:color w:val="auto"/>
        </w:rPr>
        <w:t>‑</w:t>
      </w:r>
      <w:r>
        <w:rPr>
          <w:rFonts w:ascii="Arial" w:cs="Arial" w:eastAsia="Arial" w:hAnsi="Arial"/>
          <w:sz w:val="22"/>
          <w:szCs w:val="22"/>
          <w:color w:val="auto"/>
        </w:rPr>
        <w:t>5(b)(1) of the Exchange Act with one or more Persons who are not Specified Stockholders, such group is not a Specified Stockholder.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left="10220"/>
        <w:spacing w:after="0"/>
        <w:rPr>
          <w:sz w:val="20"/>
          <w:szCs w:val="20"/>
          <w:color w:val="auto"/>
        </w:rPr>
      </w:pPr>
      <w:r>
        <w:rPr>
          <w:rFonts w:ascii="Arial" w:cs="Arial" w:eastAsia="Arial" w:hAnsi="Arial"/>
          <w:sz w:val="16"/>
          <w:szCs w:val="16"/>
          <w:b w:val="1"/>
          <w:bCs w:val="1"/>
          <w:color w:val="auto"/>
        </w:rPr>
        <w:t>Exhibit 10.13</w:t>
      </w:r>
    </w:p>
    <w:p>
      <w:pPr>
        <w:spacing w:after="0" w:line="33"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color w:val="auto"/>
        </w:rPr>
        <w:t>7.17. “</w:t>
      </w:r>
      <w:r>
        <w:rPr>
          <w:rFonts w:ascii="Arial" w:cs="Arial" w:eastAsia="Arial" w:hAnsi="Arial"/>
          <w:sz w:val="22"/>
          <w:szCs w:val="22"/>
          <w:b w:val="1"/>
          <w:bCs w:val="1"/>
          <w:color w:val="auto"/>
        </w:rPr>
        <w:t>Target Bonus</w:t>
      </w:r>
      <w:r>
        <w:rPr>
          <w:rFonts w:ascii="Arial" w:cs="Arial" w:eastAsia="Arial" w:hAnsi="Arial"/>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2"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7.18. “</w:t>
      </w:r>
      <w:r>
        <w:rPr>
          <w:rFonts w:ascii="Arial" w:cs="Arial" w:eastAsia="Arial" w:hAnsi="Arial"/>
          <w:sz w:val="22"/>
          <w:szCs w:val="22"/>
          <w:b w:val="1"/>
          <w:bCs w:val="1"/>
          <w:color w:val="auto"/>
        </w:rPr>
        <w:t>Time-Based Awards</w:t>
      </w:r>
      <w:r>
        <w:rPr>
          <w:rFonts w:ascii="Arial" w:cs="Arial" w:eastAsia="Arial" w:hAnsi="Arial"/>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757"/>
        <w:spacing w:after="0" w:line="276" w:lineRule="auto"/>
        <w:tabs>
          <w:tab w:leader="none" w:pos="1498"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Successors</w:t>
      </w:r>
      <w:r>
        <w:rPr>
          <w:rFonts w:ascii="Arial" w:cs="Arial" w:eastAsia="Arial" w:hAnsi="Arial"/>
          <w:sz w:val="19"/>
          <w:szCs w:val="19"/>
          <w:color w:val="auto"/>
        </w:rPr>
        <w:t>. This Agreement will be binding upon and inure to the benefit of (a) the heirs, executors, and legal</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49" w:lineRule="exact"/>
        <w:rPr>
          <w:rFonts w:ascii="Arial" w:cs="Arial" w:eastAsia="Arial" w:hAnsi="Arial"/>
          <w:sz w:val="19"/>
          <w:szCs w:val="19"/>
          <w:color w:val="auto"/>
        </w:rPr>
      </w:pPr>
    </w:p>
    <w:p>
      <w:pPr>
        <w:ind w:left="1500" w:hanging="743"/>
        <w:spacing w:after="0"/>
        <w:tabs>
          <w:tab w:leader="none" w:pos="150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3"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b w:val="1"/>
          <w:bCs w:val="1"/>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w:t>
      </w:r>
    </w:p>
    <w:p>
      <w:pPr>
        <w:spacing w:after="0" w:line="1" w:lineRule="exact"/>
        <w:rPr>
          <w:sz w:val="20"/>
          <w:szCs w:val="20"/>
          <w:color w:val="auto"/>
        </w:rPr>
      </w:pPr>
    </w:p>
    <w:p>
      <w:pPr>
        <w:jc w:val="both"/>
        <w:ind w:firstLine="8"/>
        <w:spacing w:after="0" w:line="246" w:lineRule="auto"/>
        <w:tabs>
          <w:tab w:leader="none" w:pos="333" w:val="left"/>
        </w:tabs>
        <w:numPr>
          <w:ilvl w:val="0"/>
          <w:numId w:val="69"/>
        </w:numPr>
        <w:rPr>
          <w:rFonts w:ascii="Arial" w:cs="Arial" w:eastAsia="Arial" w:hAnsi="Arial"/>
          <w:sz w:val="21"/>
          <w:szCs w:val="21"/>
          <w:color w:val="auto"/>
        </w:rPr>
      </w:pPr>
      <w:r>
        <w:rPr>
          <w:rFonts w:ascii="Arial" w:cs="Arial" w:eastAsia="Arial" w:hAnsi="Arial"/>
          <w:sz w:val="21"/>
          <w:szCs w:val="21"/>
          <w:color w:val="auto"/>
        </w:rPr>
        <w:t>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Paymentus Holdings, Inc.</w:t>
      </w:r>
    </w:p>
    <w:p>
      <w:pPr>
        <w:ind w:left="1500"/>
        <w:spacing w:after="0" w:line="238" w:lineRule="auto"/>
        <w:rPr>
          <w:sz w:val="20"/>
          <w:szCs w:val="20"/>
          <w:color w:val="auto"/>
        </w:rPr>
      </w:pPr>
      <w:r>
        <w:rPr>
          <w:rFonts w:ascii="Arial" w:cs="Arial" w:eastAsia="Arial" w:hAnsi="Arial"/>
          <w:sz w:val="22"/>
          <w:szCs w:val="22"/>
          <w:color w:val="auto"/>
        </w:rPr>
        <w:t>18390 NE 68th St.</w:t>
      </w:r>
    </w:p>
    <w:p>
      <w:pPr>
        <w:ind w:left="1500"/>
        <w:spacing w:after="0" w:line="230" w:lineRule="auto"/>
        <w:rPr>
          <w:sz w:val="20"/>
          <w:szCs w:val="20"/>
          <w:color w:val="auto"/>
        </w:rPr>
      </w:pPr>
      <w:r>
        <w:rPr>
          <w:rFonts w:ascii="Arial" w:cs="Arial" w:eastAsia="Arial" w:hAnsi="Arial"/>
          <w:sz w:val="22"/>
          <w:szCs w:val="22"/>
          <w:color w:val="auto"/>
        </w:rPr>
        <w:t>Redmond, WA 98052</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Attention: Chief Executive Officer</w:t>
      </w:r>
    </w:p>
    <w:p>
      <w:pPr>
        <w:spacing w:after="0" w:line="182"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10.13</w:t>
      </w:r>
    </w:p>
    <w:p>
      <w:pPr>
        <w:spacing w:after="0" w:line="10" w:lineRule="exact"/>
        <w:rPr>
          <w:sz w:val="20"/>
          <w:szCs w:val="20"/>
          <w:color w:val="auto"/>
        </w:rPr>
      </w:pPr>
    </w:p>
    <w:p>
      <w:pPr>
        <w:jc w:val="both"/>
        <w:ind w:firstLine="757"/>
        <w:spacing w:after="0" w:line="233" w:lineRule="auto"/>
        <w:tabs>
          <w:tab w:leader="none" w:pos="1498"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Executive’s employment for any reason also will constitute, without any</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1" w:lineRule="exact"/>
        <w:rPr>
          <w:rFonts w:ascii="Arial" w:cs="Arial" w:eastAsia="Arial" w:hAnsi="Arial"/>
          <w:sz w:val="22"/>
          <w:szCs w:val="22"/>
          <w:color w:val="auto"/>
        </w:rPr>
      </w:pPr>
    </w:p>
    <w:p>
      <w:pPr>
        <w:ind w:left="1500" w:hanging="743"/>
        <w:spacing w:after="0"/>
        <w:tabs>
          <w:tab w:leader="none" w:pos="1500"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77"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or construction of this Agreement.</w:t>
      </w:r>
    </w:p>
    <w:p>
      <w:pPr>
        <w:spacing w:after="0" w:line="162"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b w:val="1"/>
          <w:bCs w:val="1"/>
          <w:color w:val="auto"/>
        </w:rPr>
        <w:t>Entire Agreement</w:t>
      </w:r>
      <w:r>
        <w:rPr>
          <w:rFonts w:ascii="Arial" w:cs="Arial" w:eastAsia="Arial" w:hAnsi="Arial"/>
          <w:sz w:val="22"/>
          <w:szCs w:val="22"/>
          <w:color w:val="auto"/>
        </w:rPr>
        <w:t>. This Agreement, together with the Confidentiality Agreement, Executive’s confirmatory employment letter with the Company dated February 7, 2022, and the Company’s 2012 Equity Incentive Plan and 2021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82"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Governing Law</w:t>
      </w:r>
      <w:r>
        <w:rPr>
          <w:rFonts w:ascii="Arial" w:cs="Arial" w:eastAsia="Arial" w:hAnsi="Arial"/>
          <w:sz w:val="21"/>
          <w:szCs w:val="21"/>
          <w:color w:val="auto"/>
        </w:rPr>
        <w:t>. This Agreement will be governed by the laws of the State of Delaware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Delaware for any lawsuit filed against Executive by the Company.</w:t>
      </w:r>
    </w:p>
    <w:p>
      <w:pPr>
        <w:spacing w:after="0" w:line="166"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80" w:lineRule="exact"/>
        <w:rPr>
          <w:sz w:val="20"/>
          <w:szCs w:val="20"/>
          <w:color w:val="auto"/>
        </w:rPr>
      </w:pPr>
    </w:p>
    <w:p>
      <w:pPr>
        <w:jc w:val="both"/>
        <w:ind w:firstLine="1497"/>
        <w:spacing w:after="0" w:line="248" w:lineRule="exact"/>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1"/>
          <w:szCs w:val="21"/>
          <w:color w:val="auto"/>
        </w:rPr>
        <w:t>‑</w:t>
      </w:r>
      <w:r>
        <w:rPr>
          <w:rFonts w:ascii="Arial" w:cs="Arial" w:eastAsia="Arial" w:hAnsi="Arial"/>
          <w:sz w:val="21"/>
          <w:szCs w:val="21"/>
          <w:color w:val="auto"/>
        </w:rPr>
        <w:t>U.S.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10.13</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obligation to pay Executive’s taxes arising from or relating to any payments or benefits under this Agreement.</w:t>
      </w:r>
    </w:p>
    <w:p>
      <w:pPr>
        <w:spacing w:after="0" w:line="182"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6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10.13</w:t>
      </w:r>
    </w:p>
    <w:p>
      <w:pPr>
        <w:spacing w:after="0" w:line="1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21"/>
          <w:szCs w:val="21"/>
          <w:b w:val="1"/>
          <w:bCs w:val="1"/>
          <w:color w:val="auto"/>
        </w:rPr>
        <w:t>PAYMENTUS HOLDINGS, 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Gerber</w:t>
      </w:r>
    </w:p>
    <w:p>
      <w:pPr>
        <w:ind w:left="440"/>
        <w:spacing w:after="0" w:line="238" w:lineRule="auto"/>
        <w:rPr>
          <w:sz w:val="20"/>
          <w:szCs w:val="20"/>
          <w:color w:val="auto"/>
        </w:rPr>
      </w:pPr>
      <w:r>
        <w:rPr>
          <w:rFonts w:ascii="Arial" w:cs="Arial" w:eastAsia="Arial" w:hAnsi="Arial"/>
          <w:sz w:val="22"/>
          <w:szCs w:val="22"/>
          <w:color w:val="auto"/>
        </w:rPr>
        <w:t>Name: Andrew Gerber</w:t>
      </w:r>
    </w:p>
    <w:p>
      <w:pPr>
        <w:ind w:left="440"/>
        <w:spacing w:after="0"/>
        <w:rPr>
          <w:sz w:val="20"/>
          <w:szCs w:val="20"/>
          <w:color w:val="auto"/>
        </w:rPr>
      </w:pPr>
      <w:r>
        <w:rPr>
          <w:rFonts w:ascii="Arial" w:cs="Arial" w:eastAsia="Arial" w:hAnsi="Arial"/>
          <w:sz w:val="22"/>
          <w:szCs w:val="22"/>
          <w:color w:val="auto"/>
        </w:rPr>
        <w:t>Title: General Counsel and Secretary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Date: February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EXECUTIVE</w:t>
      </w:r>
      <w:r>
        <w:rPr>
          <w:sz w:val="20"/>
          <w:szCs w:val="20"/>
          <w:color w:val="auto"/>
        </w:rPr>
        <w:tab/>
      </w:r>
      <w:r>
        <w:rPr>
          <w:rFonts w:ascii="Arial" w:cs="Arial" w:eastAsia="Arial" w:hAnsi="Arial"/>
          <w:sz w:val="22"/>
          <w:szCs w:val="22"/>
          <w:u w:val="single" w:color="auto"/>
          <w:color w:val="auto"/>
        </w:rPr>
        <w:t>/s/ Gerasimos (Jerry) Portocalis</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Gerasimos (Jerry) Portocalis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Date: February 7, 2022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10.16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ind w:left="1500" w:hanging="743"/>
        <w:spacing w:after="0"/>
        <w:tabs>
          <w:tab w:leader="none" w:pos="150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Purposes of the Plan</w:t>
      </w:r>
      <w:r>
        <w:rPr>
          <w:rFonts w:ascii="Arial" w:cs="Arial" w:eastAsia="Arial" w:hAnsi="Arial"/>
          <w:sz w:val="22"/>
          <w:szCs w:val="22"/>
          <w:color w:val="auto"/>
        </w:rPr>
        <w:t>. The purposes of this Plan are:</w:t>
      </w:r>
    </w:p>
    <w:p>
      <w:pPr>
        <w:spacing w:after="0" w:line="212" w:lineRule="exact"/>
        <w:rPr>
          <w:rFonts w:ascii="Arial" w:cs="Arial" w:eastAsia="Arial" w:hAnsi="Arial"/>
          <w:sz w:val="22"/>
          <w:szCs w:val="22"/>
          <w:color w:val="auto"/>
        </w:rPr>
      </w:pPr>
    </w:p>
    <w:p>
      <w:pPr>
        <w:ind w:left="2260" w:hanging="755"/>
        <w:spacing w:after="0"/>
        <w:tabs>
          <w:tab w:leader="none" w:pos="22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to attract and retain the best available personnel for positions of substantial responsibility,</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to provide additional incentive to Employees, Directors and Consultants, and</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to promote the success of the Company’s business.</w:t>
      </w:r>
    </w:p>
    <w:p>
      <w:pPr>
        <w:spacing w:after="0" w:line="206"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The Plan permits the grant of Incentive Stock Options, Nonstatutory Stock Options, Stock Appreciation Rights, Restricted Stock, Restricted Stock Units and Performance Awards.</w:t>
      </w:r>
    </w:p>
    <w:p>
      <w:pPr>
        <w:spacing w:after="0" w:line="169" w:lineRule="exact"/>
        <w:rPr>
          <w:sz w:val="20"/>
          <w:szCs w:val="20"/>
          <w:color w:val="auto"/>
        </w:rPr>
      </w:pPr>
    </w:p>
    <w:p>
      <w:pPr>
        <w:ind w:left="1500" w:hanging="743"/>
        <w:spacing w:after="0"/>
        <w:tabs>
          <w:tab w:leader="none" w:pos="150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As used herein, the following definitions will apply: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2.1</w:t>
            </w:r>
          </w:p>
        </w:tc>
        <w:tc>
          <w:tcPr>
            <w:tcW w:w="8860" w:type="dxa"/>
            <w:vAlign w:val="bottom"/>
          </w:tcPr>
          <w:p>
            <w:pPr>
              <w:ind w:left="62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Administrator</w:t>
            </w:r>
            <w:r>
              <w:rPr>
                <w:rFonts w:ascii="Arial" w:cs="Arial" w:eastAsia="Arial" w:hAnsi="Arial"/>
                <w:sz w:val="22"/>
                <w:szCs w:val="22"/>
                <w:color w:val="auto"/>
                <w:w w:val="91"/>
              </w:rPr>
              <w:t>” means the Board or any of its Committees as will be administering the Plan,</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in accordance with Section 4 of the Plan.</w:t>
            </w:r>
          </w:p>
        </w:tc>
      </w:tr>
      <w:tr>
        <w:trPr>
          <w:trHeight w:val="446"/>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2.2</w:t>
            </w:r>
          </w:p>
        </w:tc>
        <w:tc>
          <w:tcPr>
            <w:tcW w:w="8860" w:type="dxa"/>
            <w:vAlign w:val="bottom"/>
          </w:tcPr>
          <w:p>
            <w:pPr>
              <w:ind w:left="62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Applicable Laws</w:t>
            </w:r>
            <w:r>
              <w:rPr>
                <w:rFonts w:ascii="Arial" w:cs="Arial" w:eastAsia="Arial" w:hAnsi="Arial"/>
                <w:sz w:val="22"/>
                <w:szCs w:val="22"/>
                <w:color w:val="auto"/>
                <w:w w:val="90"/>
              </w:rPr>
              <w:t>” means the legal and regulatory requirements relating to the administration</w:t>
            </w:r>
          </w:p>
        </w:tc>
      </w:tr>
    </w:tbl>
    <w:p>
      <w:pPr>
        <w:jc w:val="both"/>
        <w:spacing w:after="0" w:line="233" w:lineRule="auto"/>
        <w:rPr>
          <w:sz w:val="20"/>
          <w:szCs w:val="20"/>
          <w:color w:val="auto"/>
        </w:rPr>
      </w:pPr>
      <w:r>
        <w:rPr>
          <w:rFonts w:ascii="Arial" w:cs="Arial" w:eastAsia="Arial" w:hAnsi="Arial"/>
          <w:sz w:val="22"/>
          <w:szCs w:val="22"/>
          <w:color w:val="auto"/>
        </w:rPr>
        <w:t>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2.3</w:t>
            </w:r>
          </w:p>
        </w:tc>
        <w:tc>
          <w:tcPr>
            <w:tcW w:w="8860" w:type="dxa"/>
            <w:vAlign w:val="bottom"/>
          </w:tcPr>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means, individually or collectively, a grant under the Plan of Options, Stock</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Appreciation Rights, Restricted Stock, Restricted Stock Units, or Performance Awards.</w:t>
            </w:r>
          </w:p>
        </w:tc>
      </w:tr>
      <w:tr>
        <w:trPr>
          <w:trHeight w:val="446"/>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2.4</w:t>
            </w:r>
          </w:p>
        </w:tc>
        <w:tc>
          <w:tcPr>
            <w:tcW w:w="8860" w:type="dxa"/>
            <w:vAlign w:val="bottom"/>
          </w:tcPr>
          <w:p>
            <w:pPr>
              <w:ind w:left="62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Award Agreement</w:t>
            </w:r>
            <w:r>
              <w:rPr>
                <w:rFonts w:ascii="Arial" w:cs="Arial" w:eastAsia="Arial" w:hAnsi="Arial"/>
                <w:sz w:val="22"/>
                <w:szCs w:val="22"/>
                <w:color w:val="auto"/>
                <w:w w:val="93"/>
              </w:rPr>
              <w:t>” means the written or electronic agreement setting forth the terms and</w:t>
            </w:r>
          </w:p>
        </w:tc>
      </w:tr>
    </w:tbl>
    <w:p>
      <w:pPr>
        <w:jc w:val="both"/>
        <w:spacing w:after="0" w:line="236" w:lineRule="auto"/>
        <w:rPr>
          <w:sz w:val="20"/>
          <w:szCs w:val="20"/>
          <w:color w:val="auto"/>
        </w:rPr>
      </w:pPr>
      <w:r>
        <w:rPr>
          <w:rFonts w:ascii="Arial" w:cs="Arial" w:eastAsia="Arial" w:hAnsi="Arial"/>
          <w:sz w:val="22"/>
          <w:szCs w:val="22"/>
          <w:color w:val="auto"/>
        </w:rPr>
        <w:t>provisions applicable to each Award granted under the Plan. The Award Agreement is subject to the terms and conditions of the Plan.</w:t>
      </w:r>
    </w:p>
    <w:p>
      <w:pPr>
        <w:spacing w:after="0" w:line="181" w:lineRule="exact"/>
        <w:rPr>
          <w:sz w:val="20"/>
          <w:szCs w:val="20"/>
          <w:color w:val="auto"/>
        </w:rPr>
      </w:pPr>
    </w:p>
    <w:tbl>
      <w:tblPr>
        <w:tblLayout w:type="fixed"/>
        <w:tblInd w:w="1500" w:type="dxa"/>
        <w:tblCellMar>
          <w:top w:w="0" w:type="dxa"/>
          <w:left w:w="0" w:type="dxa"/>
          <w:bottom w:w="0" w:type="dxa"/>
          <w:right w:w="0" w:type="dxa"/>
        </w:tblCellMar>
      </w:tblPr>
      <w:tr>
        <w:trPr>
          <w:trHeight w:val="280"/>
        </w:trPr>
        <w:tc>
          <w:tcPr>
            <w:tcW w:w="1240" w:type="dxa"/>
            <w:vAlign w:val="bottom"/>
          </w:tcPr>
          <w:p>
            <w:pPr>
              <w:jc w:val="right"/>
              <w:ind w:right="852"/>
              <w:spacing w:after="0"/>
              <w:rPr>
                <w:sz w:val="20"/>
                <w:szCs w:val="20"/>
                <w:color w:val="auto"/>
              </w:rPr>
            </w:pPr>
            <w:r>
              <w:rPr>
                <w:rFonts w:ascii="Arial" w:cs="Arial" w:eastAsia="Arial" w:hAnsi="Arial"/>
                <w:sz w:val="22"/>
                <w:szCs w:val="22"/>
                <w:color w:val="auto"/>
                <w:w w:val="84"/>
              </w:rPr>
              <w:t>2.5</w:t>
            </w:r>
          </w:p>
        </w:tc>
        <w:tc>
          <w:tcPr>
            <w:tcW w:w="8500" w:type="dxa"/>
            <w:vAlign w:val="bottom"/>
          </w:tcPr>
          <w:p>
            <w:pPr>
              <w:ind w:left="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tc>
      </w:tr>
      <w:tr>
        <w:trPr>
          <w:trHeight w:val="459"/>
        </w:trPr>
        <w:tc>
          <w:tcPr>
            <w:tcW w:w="1240" w:type="dxa"/>
            <w:vAlign w:val="bottom"/>
          </w:tcPr>
          <w:p>
            <w:pPr>
              <w:jc w:val="right"/>
              <w:ind w:right="852"/>
              <w:spacing w:after="0"/>
              <w:rPr>
                <w:sz w:val="20"/>
                <w:szCs w:val="20"/>
                <w:color w:val="auto"/>
              </w:rPr>
            </w:pPr>
            <w:r>
              <w:rPr>
                <w:rFonts w:ascii="Arial" w:cs="Arial" w:eastAsia="Arial" w:hAnsi="Arial"/>
                <w:sz w:val="22"/>
                <w:szCs w:val="22"/>
                <w:color w:val="auto"/>
                <w:w w:val="84"/>
              </w:rPr>
              <w:t>2.6</w:t>
            </w:r>
          </w:p>
        </w:tc>
        <w:tc>
          <w:tcPr>
            <w:tcW w:w="8500" w:type="dxa"/>
            <w:vAlign w:val="bottom"/>
          </w:tcPr>
          <w:p>
            <w:pPr>
              <w:ind w:left="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of any of the following events:</w:t>
            </w:r>
          </w:p>
        </w:tc>
      </w:tr>
      <w:tr>
        <w:trPr>
          <w:trHeight w:val="446"/>
        </w:trPr>
        <w:tc>
          <w:tcPr>
            <w:tcW w:w="1240" w:type="dxa"/>
            <w:vAlign w:val="bottom"/>
          </w:tcPr>
          <w:p>
            <w:pPr>
              <w:jc w:val="right"/>
              <w:ind w:right="132"/>
              <w:spacing w:after="0"/>
              <w:rPr>
                <w:sz w:val="20"/>
                <w:szCs w:val="20"/>
                <w:color w:val="auto"/>
              </w:rPr>
            </w:pPr>
            <w:r>
              <w:rPr>
                <w:rFonts w:ascii="Arial" w:cs="Arial" w:eastAsia="Arial" w:hAnsi="Arial"/>
                <w:sz w:val="22"/>
                <w:szCs w:val="22"/>
                <w:color w:val="auto"/>
              </w:rPr>
              <w:t>(a)</w:t>
            </w:r>
          </w:p>
        </w:tc>
        <w:tc>
          <w:tcPr>
            <w:tcW w:w="8500" w:type="dxa"/>
            <w:vAlign w:val="bottom"/>
          </w:tcPr>
          <w:p>
            <w:pPr>
              <w:ind w:left="1760"/>
              <w:spacing w:after="0"/>
              <w:rPr>
                <w:sz w:val="20"/>
                <w:szCs w:val="20"/>
                <w:color w:val="auto"/>
              </w:rPr>
            </w:pPr>
            <w:r>
              <w:rPr>
                <w:rFonts w:ascii="Arial" w:cs="Arial" w:eastAsia="Arial" w:hAnsi="Arial"/>
                <w:sz w:val="22"/>
                <w:szCs w:val="22"/>
                <w:b w:val="1"/>
                <w:bCs w:val="1"/>
                <w:color w:val="auto"/>
                <w:w w:val="91"/>
              </w:rPr>
              <w:t>Change in Ownership of the Company</w:t>
            </w:r>
            <w:r>
              <w:rPr>
                <w:rFonts w:ascii="Arial" w:cs="Arial" w:eastAsia="Arial" w:hAnsi="Arial"/>
                <w:sz w:val="22"/>
                <w:szCs w:val="22"/>
                <w:color w:val="auto"/>
                <w:w w:val="91"/>
              </w:rPr>
              <w:t>.  A change in the ownership of the</w:t>
            </w:r>
          </w:p>
        </w:tc>
      </w:tr>
    </w:tbl>
    <w:p>
      <w:pPr>
        <w:jc w:val="both"/>
        <w:spacing w:after="0" w:line="266" w:lineRule="auto"/>
        <w:rPr>
          <w:sz w:val="20"/>
          <w:szCs w:val="20"/>
          <w:color w:val="auto"/>
        </w:rPr>
      </w:pPr>
      <w:r>
        <w:rPr>
          <w:rFonts w:ascii="Arial" w:cs="Arial" w:eastAsia="Arial" w:hAnsi="Arial"/>
          <w:sz w:val="19"/>
          <w:szCs w:val="19"/>
          <w:color w:val="auto"/>
        </w:rPr>
        <w:t>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(a), none of the following will be considered a Change in Control: (i) the acquisition of additional securities by any one Person, who prior to the acquisition thereof is considered to own more than fifty percent (50%) of the total voting power of the stock of the Company;</w:t>
      </w:r>
    </w:p>
    <w:p>
      <w:pPr>
        <w:spacing w:after="0" w:line="4" w:lineRule="exact"/>
        <w:rPr>
          <w:sz w:val="20"/>
          <w:szCs w:val="20"/>
          <w:color w:val="auto"/>
        </w:rPr>
      </w:pPr>
    </w:p>
    <w:p>
      <w:pPr>
        <w:ind w:firstLine="8"/>
        <w:spacing w:after="0" w:line="236" w:lineRule="auto"/>
        <w:tabs>
          <w:tab w:leader="none" w:pos="36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acquisition of additional securities or voting power of the Company by any or some combination of the Specified Stockholders (as defined below),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both"/>
        <w:spacing w:after="0" w:line="270" w:lineRule="auto"/>
        <w:rPr>
          <w:sz w:val="20"/>
          <w:szCs w:val="20"/>
          <w:color w:val="auto"/>
        </w:rPr>
      </w:pPr>
      <w:r>
        <w:rPr>
          <w:rFonts w:ascii="Arial" w:cs="Arial" w:eastAsia="Arial" w:hAnsi="Arial"/>
          <w:sz w:val="19"/>
          <w:szCs w:val="19"/>
          <w:color w:val="auto"/>
        </w:rPr>
        <w:t>Permitted Transferees (as defined in the COI), or both; (iii) any change in the Specified Stockholders’ voting power of the Company resulting from a repurchase, redemption, retirement or other similar acquisition of stock of the Company by the Company; (iv) any change in voting power as a result of a transfer by a Specified Stockholder to a Permitted Transferee or from any such Permitted Transferee back to such Specified Stockholder or any other Permitted Transferee, or both as of the time of each such transfer of such Specified Stockholder; and (v) any change in the Specified Stockholders’ voting power of the Company resulting from a conversion of shares of stock of the Company reducing the number of shares or vote per share of stock outstanding. For the avoidance of doubt, no acquisition or disposition of Class B common stock of the Company by the Specified Stockholders or change in the total voting power of the Company solely as a result of (x) the conversion of any shares of stock of the Company into shares of Class B common stock of the Company, (y) the conversion of any shares of Class B common stock of the Company into shares of any other class of stock of the Company, or (z) any change in the voting power of the Class B common stock of the Company will constitute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0" w:lineRule="exact"/>
        <w:rPr>
          <w:sz w:val="20"/>
          <w:szCs w:val="20"/>
          <w:color w:val="auto"/>
        </w:rPr>
      </w:pPr>
    </w:p>
    <w:p>
      <w:pPr>
        <w:spacing w:after="0" w:line="205"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b w:val="1"/>
          <w:bCs w:val="1"/>
          <w:color w:val="auto"/>
        </w:rPr>
        <w:t>Change in Effective Control of the Company</w:t>
      </w:r>
      <w:r>
        <w:rPr>
          <w:rFonts w:ascii="Arial" w:cs="Arial" w:eastAsia="Arial" w:hAnsi="Arial"/>
          <w:sz w:val="19"/>
          <w:szCs w:val="19"/>
          <w:color w:val="auto"/>
        </w:rPr>
        <w:t>. If the Company has a class</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provided that if any Person or any or some combination of the Specified Stockholders exercises more than fifty percent (50%) of the total voting power of the Company, the election of Directors by such party or parties will not be considered a Change in Control. For purposes of this subsection (b), if any Person is considered to be in effective control of the Company, the acquisition of additional control of the Company by the same Person will not be considered a Change in Control; or</w:t>
      </w:r>
    </w:p>
    <w:p>
      <w:pPr>
        <w:spacing w:after="0" w:line="153"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w:t>
      </w:r>
    </w:p>
    <w:p>
      <w:pPr>
        <w:spacing w:after="0" w:line="5" w:lineRule="exact"/>
        <w:rPr>
          <w:sz w:val="20"/>
          <w:szCs w:val="20"/>
          <w:color w:val="auto"/>
        </w:rPr>
      </w:pPr>
    </w:p>
    <w:p>
      <w:pPr>
        <w:jc w:val="both"/>
        <w:ind w:firstLine="8"/>
        <w:spacing w:after="0" w:line="241" w:lineRule="auto"/>
        <w:tabs>
          <w:tab w:leader="none" w:pos="320" w:val="left"/>
        </w:tabs>
        <w:numPr>
          <w:ilvl w:val="0"/>
          <w:numId w:val="74"/>
        </w:numPr>
        <w:rPr>
          <w:rFonts w:ascii="Arial" w:cs="Arial" w:eastAsia="Arial" w:hAnsi="Arial"/>
          <w:sz w:val="21"/>
          <w:szCs w:val="21"/>
          <w:color w:val="auto"/>
        </w:rPr>
      </w:pPr>
      <w:r>
        <w:rPr>
          <w:rFonts w:ascii="Arial" w:cs="Arial" w:eastAsia="Arial" w:hAnsi="Arial"/>
          <w:sz w:val="21"/>
          <w:szCs w:val="21"/>
          <w:color w:val="auto"/>
        </w:rPr>
        <w:t>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32" w:name="page133"/>
    <w:bookmarkEnd w:id="132"/>
    <w:p>
      <w:pPr>
        <w:jc w:val="both"/>
        <w:spacing w:after="0" w:line="236" w:lineRule="auto"/>
        <w:rPr>
          <w:sz w:val="20"/>
          <w:szCs w:val="20"/>
          <w:color w:val="auto"/>
        </w:rPr>
      </w:pPr>
      <w:r>
        <w:rPr>
          <w:rFonts w:ascii="Arial" w:cs="Arial" w:eastAsia="Arial" w:hAnsi="Arial"/>
          <w:sz w:val="22"/>
          <w:szCs w:val="22"/>
          <w:color w:val="auto"/>
        </w:rPr>
        <w:t>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7"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186" w:lineRule="exact"/>
        <w:rPr>
          <w:sz w:val="20"/>
          <w:szCs w:val="20"/>
          <w:color w:val="auto"/>
        </w:rPr>
      </w:pPr>
    </w:p>
    <w:p>
      <w:pPr>
        <w:jc w:val="both"/>
        <w:ind w:right="20" w:firstLine="2246"/>
        <w:spacing w:after="0" w:line="250"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Section 409A.</w:t>
      </w:r>
    </w:p>
    <w:p>
      <w:pPr>
        <w:spacing w:after="0" w:line="175"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9"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2.7 “</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40" w:type="dxa"/>
            <w:vAlign w:val="bottom"/>
          </w:tcPr>
          <w:p>
            <w:pPr>
              <w:ind w:left="1500"/>
              <w:spacing w:after="0"/>
              <w:rPr>
                <w:sz w:val="20"/>
                <w:szCs w:val="20"/>
                <w:color w:val="auto"/>
              </w:rPr>
            </w:pPr>
            <w:r>
              <w:rPr>
                <w:rFonts w:ascii="Arial" w:cs="Arial" w:eastAsia="Arial" w:hAnsi="Arial"/>
                <w:sz w:val="22"/>
                <w:szCs w:val="22"/>
                <w:color w:val="auto"/>
              </w:rPr>
              <w:t>2.8</w:t>
            </w:r>
          </w:p>
        </w:tc>
        <w:tc>
          <w:tcPr>
            <w:tcW w:w="8800" w:type="dxa"/>
            <w:vAlign w:val="bottom"/>
          </w:tcPr>
          <w:p>
            <w:pPr>
              <w:ind w:left="56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COI</w:t>
            </w:r>
            <w:r>
              <w:rPr>
                <w:rFonts w:ascii="Arial" w:cs="Arial" w:eastAsia="Arial" w:hAnsi="Arial"/>
                <w:sz w:val="22"/>
                <w:szCs w:val="22"/>
                <w:color w:val="auto"/>
                <w:w w:val="90"/>
              </w:rPr>
              <w:t>” means Company’s certificate of incorporation, as it may be amended from time to time.</w:t>
            </w:r>
          </w:p>
        </w:tc>
      </w:tr>
      <w:tr>
        <w:trPr>
          <w:trHeight w:val="428"/>
        </w:trPr>
        <w:tc>
          <w:tcPr>
            <w:tcW w:w="2440" w:type="dxa"/>
            <w:vAlign w:val="bottom"/>
          </w:tcPr>
          <w:p>
            <w:pPr>
              <w:ind w:left="1500"/>
              <w:spacing w:after="0"/>
              <w:rPr>
                <w:sz w:val="20"/>
                <w:szCs w:val="20"/>
                <w:color w:val="auto"/>
              </w:rPr>
            </w:pPr>
            <w:r>
              <w:rPr>
                <w:rFonts w:ascii="Arial" w:cs="Arial" w:eastAsia="Arial" w:hAnsi="Arial"/>
                <w:sz w:val="22"/>
                <w:szCs w:val="22"/>
                <w:color w:val="auto"/>
              </w:rPr>
              <w:t>2.9</w:t>
            </w:r>
          </w:p>
        </w:tc>
        <w:tc>
          <w:tcPr>
            <w:tcW w:w="8800" w:type="dxa"/>
            <w:vAlign w:val="bottom"/>
          </w:tcPr>
          <w:p>
            <w:pPr>
              <w:ind w:left="56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Committee</w:t>
            </w:r>
            <w:r>
              <w:rPr>
                <w:rFonts w:ascii="Arial" w:cs="Arial" w:eastAsia="Arial" w:hAnsi="Arial"/>
                <w:sz w:val="22"/>
                <w:szCs w:val="22"/>
                <w:color w:val="auto"/>
                <w:w w:val="94"/>
              </w:rPr>
              <w:t>” means a committee of Directors or of other individuals satisfying Applicable</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w w:val="96"/>
              </w:rPr>
              <w:t>Laws appointed by the Board, or by a duly authorized committee of the Board, in accordance with Section 4 of the Plan.</w:t>
            </w:r>
          </w:p>
        </w:tc>
      </w:tr>
      <w:tr>
        <w:trPr>
          <w:trHeight w:val="459"/>
        </w:trPr>
        <w:tc>
          <w:tcPr>
            <w:tcW w:w="2440" w:type="dxa"/>
            <w:vAlign w:val="bottom"/>
          </w:tcPr>
          <w:p>
            <w:pPr>
              <w:ind w:left="1500"/>
              <w:spacing w:after="0"/>
              <w:rPr>
                <w:sz w:val="20"/>
                <w:szCs w:val="20"/>
                <w:color w:val="auto"/>
              </w:rPr>
            </w:pPr>
            <w:r>
              <w:rPr>
                <w:rFonts w:ascii="Arial" w:cs="Arial" w:eastAsia="Arial" w:hAnsi="Arial"/>
                <w:sz w:val="22"/>
                <w:szCs w:val="22"/>
                <w:color w:val="auto"/>
              </w:rPr>
              <w:t>2.10</w:t>
            </w:r>
          </w:p>
        </w:tc>
        <w:tc>
          <w:tcPr>
            <w:tcW w:w="8800" w:type="dxa"/>
            <w:vAlign w:val="bottom"/>
          </w:tcPr>
          <w:p>
            <w:pPr>
              <w:ind w:left="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the Class A common stock of the Company.</w:t>
            </w:r>
          </w:p>
        </w:tc>
      </w:tr>
      <w:tr>
        <w:trPr>
          <w:trHeight w:val="428"/>
        </w:trPr>
        <w:tc>
          <w:tcPr>
            <w:tcW w:w="2440" w:type="dxa"/>
            <w:vAlign w:val="bottom"/>
          </w:tcPr>
          <w:p>
            <w:pPr>
              <w:ind w:left="1500"/>
              <w:spacing w:after="0"/>
              <w:rPr>
                <w:sz w:val="20"/>
                <w:szCs w:val="20"/>
                <w:color w:val="auto"/>
              </w:rPr>
            </w:pPr>
            <w:r>
              <w:rPr>
                <w:rFonts w:ascii="Arial" w:cs="Arial" w:eastAsia="Arial" w:hAnsi="Arial"/>
                <w:sz w:val="22"/>
                <w:szCs w:val="22"/>
                <w:color w:val="auto"/>
              </w:rPr>
              <w:t>2.11</w:t>
            </w:r>
          </w:p>
        </w:tc>
        <w:tc>
          <w:tcPr>
            <w:tcW w:w="8800" w:type="dxa"/>
            <w:vAlign w:val="bottom"/>
          </w:tcPr>
          <w:p>
            <w:pPr>
              <w:ind w:left="560"/>
              <w:spacing w:after="0"/>
              <w:rPr>
                <w:sz w:val="20"/>
                <w:szCs w:val="20"/>
                <w:color w:val="auto"/>
              </w:rPr>
            </w:pPr>
            <w:r>
              <w:rPr>
                <w:rFonts w:ascii="Arial" w:cs="Arial" w:eastAsia="Arial" w:hAnsi="Arial"/>
                <w:sz w:val="22"/>
                <w:szCs w:val="22"/>
                <w:color w:val="auto"/>
                <w:w w:val="95"/>
              </w:rPr>
              <w:t>“</w:t>
            </w:r>
            <w:r>
              <w:rPr>
                <w:rFonts w:ascii="Arial" w:cs="Arial" w:eastAsia="Arial" w:hAnsi="Arial"/>
                <w:sz w:val="22"/>
                <w:szCs w:val="22"/>
                <w:b w:val="1"/>
                <w:bCs w:val="1"/>
                <w:color w:val="auto"/>
                <w:w w:val="95"/>
              </w:rPr>
              <w:t>Company</w:t>
            </w:r>
            <w:r>
              <w:rPr>
                <w:rFonts w:ascii="Arial" w:cs="Arial" w:eastAsia="Arial" w:hAnsi="Arial"/>
                <w:sz w:val="22"/>
                <w:szCs w:val="22"/>
                <w:color w:val="auto"/>
                <w:w w:val="95"/>
              </w:rPr>
              <w:t>” means Paymentus Holdings, Inc., a Delaware corporation, or any successor</w:t>
            </w:r>
          </w:p>
        </w:tc>
      </w:tr>
      <w:tr>
        <w:trPr>
          <w:trHeight w:val="274"/>
        </w:trPr>
        <w:tc>
          <w:tcPr>
            <w:tcW w:w="2440" w:type="dxa"/>
            <w:vAlign w:val="bottom"/>
          </w:tcPr>
          <w:p>
            <w:pPr>
              <w:spacing w:after="0"/>
              <w:rPr>
                <w:sz w:val="20"/>
                <w:szCs w:val="20"/>
                <w:color w:val="auto"/>
              </w:rPr>
            </w:pPr>
            <w:r>
              <w:rPr>
                <w:rFonts w:ascii="Arial" w:cs="Arial" w:eastAsia="Arial" w:hAnsi="Arial"/>
                <w:sz w:val="22"/>
                <w:szCs w:val="22"/>
                <w:color w:val="auto"/>
              </w:rPr>
              <w:t>thereto.</w:t>
            </w:r>
          </w:p>
        </w:tc>
        <w:tc>
          <w:tcPr>
            <w:tcW w:w="8800" w:type="dxa"/>
            <w:vAlign w:val="bottom"/>
          </w:tcPr>
          <w:p>
            <w:pPr>
              <w:spacing w:after="0"/>
              <w:rPr>
                <w:sz w:val="23"/>
                <w:szCs w:val="23"/>
                <w:color w:val="auto"/>
              </w:rPr>
            </w:pPr>
          </w:p>
        </w:tc>
      </w:tr>
      <w:tr>
        <w:trPr>
          <w:trHeight w:val="446"/>
        </w:trPr>
        <w:tc>
          <w:tcPr>
            <w:tcW w:w="2440" w:type="dxa"/>
            <w:vAlign w:val="bottom"/>
          </w:tcPr>
          <w:p>
            <w:pPr>
              <w:ind w:left="1500"/>
              <w:spacing w:after="0"/>
              <w:rPr>
                <w:sz w:val="20"/>
                <w:szCs w:val="20"/>
                <w:color w:val="auto"/>
              </w:rPr>
            </w:pPr>
            <w:r>
              <w:rPr>
                <w:rFonts w:ascii="Arial" w:cs="Arial" w:eastAsia="Arial" w:hAnsi="Arial"/>
                <w:sz w:val="22"/>
                <w:szCs w:val="22"/>
                <w:color w:val="auto"/>
              </w:rPr>
              <w:t>2.12</w:t>
            </w:r>
          </w:p>
        </w:tc>
        <w:tc>
          <w:tcPr>
            <w:tcW w:w="8800" w:type="dxa"/>
            <w:vAlign w:val="bottom"/>
          </w:tcPr>
          <w:p>
            <w:pPr>
              <w:ind w:left="56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Consultant</w:t>
            </w:r>
            <w:r>
              <w:rPr>
                <w:rFonts w:ascii="Arial" w:cs="Arial" w:eastAsia="Arial" w:hAnsi="Arial"/>
                <w:sz w:val="22"/>
                <w:szCs w:val="22"/>
                <w:color w:val="auto"/>
                <w:w w:val="92"/>
              </w:rPr>
              <w:t>” means any natural person, including an advisor, engaged by the Company or</w:t>
            </w:r>
          </w:p>
        </w:tc>
      </w:tr>
    </w:tbl>
    <w:p>
      <w:pPr>
        <w:jc w:val="both"/>
        <w:spacing w:after="0" w:line="233" w:lineRule="auto"/>
        <w:rPr>
          <w:sz w:val="20"/>
          <w:szCs w:val="20"/>
          <w:color w:val="auto"/>
        </w:rPr>
      </w:pPr>
      <w:r>
        <w:rPr>
          <w:rFonts w:ascii="Arial" w:cs="Arial" w:eastAsia="Arial" w:hAnsi="Arial"/>
          <w:sz w:val="22"/>
          <w:szCs w:val="22"/>
          <w:color w:val="auto"/>
        </w:rPr>
        <w:t>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2.13</w:t>
            </w:r>
          </w:p>
        </w:tc>
        <w:tc>
          <w:tcPr>
            <w:tcW w:w="8800" w:type="dxa"/>
            <w:vAlign w:val="bottom"/>
          </w:tcPr>
          <w:p>
            <w:pPr>
              <w:jc w:val="right"/>
              <w:ind w:right="44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means a member of the Board.</w:t>
            </w:r>
          </w:p>
        </w:tc>
      </w:tr>
      <w:tr>
        <w:trPr>
          <w:trHeight w:val="274"/>
        </w:trPr>
        <w:tc>
          <w:tcPr>
            <w:tcW w:w="2440" w:type="dxa"/>
            <w:vAlign w:val="bottom"/>
          </w:tcPr>
          <w:p>
            <w:pPr>
              <w:spacing w:after="0"/>
              <w:rPr>
                <w:sz w:val="23"/>
                <w:szCs w:val="23"/>
                <w:color w:val="auto"/>
              </w:rPr>
            </w:pPr>
          </w:p>
        </w:tc>
        <w:tc>
          <w:tcPr>
            <w:tcW w:w="8800" w:type="dxa"/>
            <w:vAlign w:val="bottom"/>
          </w:tcPr>
          <w:p>
            <w:pPr>
              <w:jc w:val="right"/>
              <w:ind w:right="5372"/>
              <w:spacing w:after="0"/>
              <w:rPr>
                <w:sz w:val="20"/>
                <w:szCs w:val="20"/>
                <w:color w:val="auto"/>
              </w:rPr>
            </w:pPr>
            <w:r>
              <w:rPr>
                <w:rFonts w:ascii="Arial" w:cs="Arial" w:eastAsia="Arial" w:hAnsi="Arial"/>
                <w:sz w:val="22"/>
                <w:szCs w:val="22"/>
                <w:color w:val="auto"/>
              </w:rPr>
              <w:t>-3-</w:t>
            </w:r>
          </w:p>
        </w:tc>
      </w:tr>
      <w:tr>
        <w:trPr>
          <w:trHeight w:val="105"/>
        </w:trPr>
        <w:tc>
          <w:tcPr>
            <w:tcW w:w="2440" w:type="dxa"/>
            <w:vAlign w:val="bottom"/>
            <w:tcBorders>
              <w:bottom w:val="single" w:sz="8" w:color="9A9A9A"/>
            </w:tcBorders>
          </w:tcPr>
          <w:p>
            <w:pPr>
              <w:spacing w:after="0"/>
              <w:rPr>
                <w:sz w:val="9"/>
                <w:szCs w:val="9"/>
                <w:color w:val="auto"/>
              </w:rPr>
            </w:pPr>
          </w:p>
        </w:tc>
        <w:tc>
          <w:tcPr>
            <w:tcW w:w="8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3" w:name="page134"/>
    <w:bookmarkEnd w:id="133"/>
    <w:p>
      <w:pPr>
        <w:jc w:val="both"/>
        <w:ind w:firstLine="1497"/>
        <w:spacing w:after="0" w:line="239"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b w:val="1"/>
          <w:bCs w:val="1"/>
          <w:color w:val="auto"/>
        </w:rPr>
        <w:t>Disability</w:t>
      </w:r>
      <w:r>
        <w:rPr>
          <w:rFonts w:ascii="Arial" w:cs="Arial" w:eastAsia="Arial" w:hAnsi="Arial"/>
          <w:sz w:val="22"/>
          <w:szCs w:val="22"/>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0"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b w:val="1"/>
          <w:bCs w:val="1"/>
          <w:color w:val="auto"/>
        </w:rPr>
        <w:t>Employee</w:t>
      </w:r>
      <w:r>
        <w:rPr>
          <w:rFonts w:ascii="Arial" w:cs="Arial" w:eastAsia="Arial" w:hAnsi="Arial"/>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2.16</w:t>
            </w:r>
          </w:p>
        </w:tc>
        <w:tc>
          <w:tcPr>
            <w:tcW w:w="8780" w:type="dxa"/>
            <w:vAlign w:val="bottom"/>
          </w:tcPr>
          <w:p>
            <w:pPr>
              <w:ind w:left="56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Exchange Act</w:t>
            </w:r>
            <w:r>
              <w:rPr>
                <w:rFonts w:ascii="Arial" w:cs="Arial" w:eastAsia="Arial" w:hAnsi="Arial"/>
                <w:sz w:val="22"/>
                <w:szCs w:val="22"/>
                <w:color w:val="auto"/>
                <w:w w:val="90"/>
              </w:rPr>
              <w:t>” means the U.S. Securities Exchange Act of 1934, as amended, including the</w:t>
            </w:r>
          </w:p>
        </w:tc>
      </w:tr>
      <w:tr>
        <w:trPr>
          <w:trHeight w:val="274"/>
        </w:trPr>
        <w:tc>
          <w:tcPr>
            <w:tcW w:w="11220" w:type="dxa"/>
            <w:vAlign w:val="bottom"/>
            <w:gridSpan w:val="2"/>
          </w:tcPr>
          <w:p>
            <w:pPr>
              <w:spacing w:after="0"/>
              <w:rPr>
                <w:sz w:val="20"/>
                <w:szCs w:val="20"/>
                <w:color w:val="auto"/>
              </w:rPr>
            </w:pPr>
            <w:r>
              <w:rPr>
                <w:rFonts w:ascii="Arial" w:cs="Arial" w:eastAsia="Arial" w:hAnsi="Arial"/>
                <w:sz w:val="22"/>
                <w:szCs w:val="22"/>
                <w:color w:val="auto"/>
              </w:rPr>
              <w:t>rules and regulations promulgated thereunder.</w:t>
            </w:r>
          </w:p>
        </w:tc>
      </w:tr>
      <w:tr>
        <w:trPr>
          <w:trHeight w:val="446"/>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2.17</w:t>
            </w:r>
          </w:p>
        </w:tc>
        <w:tc>
          <w:tcPr>
            <w:tcW w:w="8780" w:type="dxa"/>
            <w:vAlign w:val="bottom"/>
          </w:tcPr>
          <w:p>
            <w:pPr>
              <w:ind w:left="56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Exchange Program</w:t>
            </w:r>
            <w:r>
              <w:rPr>
                <w:rFonts w:ascii="Arial" w:cs="Arial" w:eastAsia="Arial" w:hAnsi="Arial"/>
                <w:sz w:val="22"/>
                <w:szCs w:val="22"/>
                <w:color w:val="auto"/>
                <w:w w:val="89"/>
              </w:rPr>
              <w:t>” means a program under which (a) outstanding Awards are surrendered</w:t>
            </w:r>
          </w:p>
        </w:tc>
      </w:tr>
    </w:tbl>
    <w:p>
      <w:pPr>
        <w:jc w:val="both"/>
        <w:spacing w:after="0" w:line="233" w:lineRule="auto"/>
        <w:rPr>
          <w:sz w:val="20"/>
          <w:szCs w:val="20"/>
          <w:color w:val="auto"/>
        </w:rPr>
      </w:pPr>
      <w:r>
        <w:rPr>
          <w:rFonts w:ascii="Arial" w:cs="Arial" w:eastAsia="Arial" w:hAnsi="Arial"/>
          <w:sz w:val="22"/>
          <w:szCs w:val="22"/>
          <w:color w:val="auto"/>
        </w:rPr>
        <w:t>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79"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2.18 “</w:t>
      </w:r>
      <w:r>
        <w:rPr>
          <w:rFonts w:ascii="Arial" w:cs="Arial" w:eastAsia="Arial" w:hAnsi="Arial"/>
          <w:sz w:val="22"/>
          <w:szCs w:val="22"/>
          <w:b w:val="1"/>
          <w:bCs w:val="1"/>
          <w:color w:val="auto"/>
        </w:rPr>
        <w:t>Fair Market Value</w:t>
      </w:r>
      <w:r>
        <w:rPr>
          <w:rFonts w:ascii="Arial" w:cs="Arial" w:eastAsia="Arial" w:hAnsi="Arial"/>
          <w:sz w:val="22"/>
          <w:szCs w:val="22"/>
          <w:color w:val="auto"/>
        </w:rPr>
        <w:t>” means, as of any date and unless the Administrator determines otherwise, the value of Common Stock determined as follows:</w:t>
      </w:r>
    </w:p>
    <w:p>
      <w:pPr>
        <w:spacing w:after="0" w:line="168"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If the Common Stock is listed on any established stock exchange or a</w:t>
      </w:r>
    </w:p>
    <w:p>
      <w:pPr>
        <w:spacing w:after="0" w:line="2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21"/>
          <w:szCs w:val="21"/>
          <w:i w:val="1"/>
          <w:iCs w:val="1"/>
          <w:color w:val="auto"/>
        </w:rPr>
        <w:t>The Wall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Street Journal </w:t>
      </w:r>
      <w:r>
        <w:rPr>
          <w:rFonts w:ascii="Arial" w:cs="Arial" w:eastAsia="Arial" w:hAnsi="Arial"/>
          <w:sz w:val="21"/>
          <w:szCs w:val="21"/>
          <w:color w:val="auto"/>
        </w:rPr>
        <w:t>or such other source as the Administrator deems reliable;</w:t>
      </w:r>
    </w:p>
    <w:p>
      <w:pPr>
        <w:spacing w:after="0" w:line="180"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 xml:space="preserve">(b)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87"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(c) 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8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(d) In the absence of an established market for the Common Stock, the Fair Market Value will be determined in good faith by the Administrator.</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4" w:name="page135"/>
    <w:bookmarkEnd w:id="134"/>
    <w:p>
      <w:pPr>
        <w:jc w:val="both"/>
        <w:spacing w:after="0"/>
        <w:rPr>
          <w:sz w:val="20"/>
          <w:szCs w:val="20"/>
          <w:color w:val="auto"/>
        </w:rPr>
      </w:pPr>
      <w:r>
        <w:rPr>
          <w:rFonts w:ascii="Arial" w:cs="Arial" w:eastAsia="Arial" w:hAnsi="Arial"/>
          <w:sz w:val="22"/>
          <w:szCs w:val="22"/>
          <w:color w:val="auto"/>
        </w:rPr>
        <w:t>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80" w:lineRule="exact"/>
        <w:rPr>
          <w:sz w:val="20"/>
          <w:szCs w:val="20"/>
          <w:color w:val="auto"/>
        </w:rPr>
      </w:pPr>
    </w:p>
    <w:tbl>
      <w:tblPr>
        <w:tblLayout w:type="fixed"/>
        <w:tblInd w:w="1500" w:type="dxa"/>
        <w:tblCellMar>
          <w:top w:w="0" w:type="dxa"/>
          <w:left w:w="0" w:type="dxa"/>
          <w:bottom w:w="0" w:type="dxa"/>
          <w:right w:w="0" w:type="dxa"/>
        </w:tblCellMar>
      </w:tblPr>
      <w:tr>
        <w:trPr>
          <w:trHeight w:val="280"/>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2.19</w:t>
            </w:r>
          </w:p>
        </w:tc>
        <w:tc>
          <w:tcPr>
            <w:tcW w:w="8800" w:type="dxa"/>
            <w:vAlign w:val="bottom"/>
          </w:tcPr>
          <w:p>
            <w:pPr>
              <w:ind w:left="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the Company.</w:t>
            </w:r>
          </w:p>
        </w:tc>
      </w:tr>
      <w:tr>
        <w:trPr>
          <w:trHeight w:val="446"/>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2.20</w:t>
            </w:r>
          </w:p>
        </w:tc>
        <w:tc>
          <w:tcPr>
            <w:tcW w:w="8800" w:type="dxa"/>
            <w:vAlign w:val="bottom"/>
          </w:tcPr>
          <w:p>
            <w:pPr>
              <w:ind w:left="560"/>
              <w:spacing w:after="0"/>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color w:val="auto"/>
                <w:w w:val="97"/>
              </w:rPr>
              <w:t>Incentive Stock Option</w:t>
            </w:r>
            <w:r>
              <w:rPr>
                <w:rFonts w:ascii="Arial" w:cs="Arial" w:eastAsia="Arial" w:hAnsi="Arial"/>
                <w:sz w:val="22"/>
                <w:szCs w:val="22"/>
                <w:color w:val="auto"/>
                <w:w w:val="97"/>
              </w:rPr>
              <w:t>” means an Option that by its terms qualifies and is otherwise</w:t>
            </w:r>
          </w:p>
        </w:tc>
      </w:tr>
    </w:tbl>
    <w:p>
      <w:pPr>
        <w:jc w:val="both"/>
        <w:spacing w:after="0" w:line="236" w:lineRule="auto"/>
        <w:rPr>
          <w:sz w:val="20"/>
          <w:szCs w:val="20"/>
          <w:color w:val="auto"/>
        </w:rPr>
      </w:pPr>
      <w:r>
        <w:rPr>
          <w:rFonts w:ascii="Arial" w:cs="Arial" w:eastAsia="Arial" w:hAnsi="Arial"/>
          <w:sz w:val="22"/>
          <w:szCs w:val="22"/>
          <w:color w:val="auto"/>
        </w:rPr>
        <w:t>intended to qualify as an incentive stock option within the meaning of Code Section 422 and the regulations promulgated thereunder.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2.21</w:t>
            </w:r>
          </w:p>
        </w:tc>
        <w:tc>
          <w:tcPr>
            <w:tcW w:w="8800" w:type="dxa"/>
            <w:vAlign w:val="bottom"/>
          </w:tcPr>
          <w:p>
            <w:pPr>
              <w:ind w:left="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Inside Director</w:t>
            </w:r>
            <w:r>
              <w:rPr>
                <w:rFonts w:ascii="Arial" w:cs="Arial" w:eastAsia="Arial" w:hAnsi="Arial"/>
                <w:sz w:val="22"/>
                <w:szCs w:val="22"/>
                <w:color w:val="auto"/>
              </w:rPr>
              <w:t>” means a Director who is an Employee.</w:t>
            </w:r>
          </w:p>
        </w:tc>
      </w:tr>
      <w:tr>
        <w:trPr>
          <w:trHeight w:val="42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2.22</w:t>
            </w:r>
          </w:p>
        </w:tc>
        <w:tc>
          <w:tcPr>
            <w:tcW w:w="8800" w:type="dxa"/>
            <w:vAlign w:val="bottom"/>
          </w:tcPr>
          <w:p>
            <w:pPr>
              <w:ind w:left="56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Nonstatutory Stock Option</w:t>
            </w:r>
            <w:r>
              <w:rPr>
                <w:rFonts w:ascii="Arial" w:cs="Arial" w:eastAsia="Arial" w:hAnsi="Arial"/>
                <w:sz w:val="22"/>
                <w:szCs w:val="22"/>
                <w:color w:val="auto"/>
                <w:w w:val="94"/>
              </w:rPr>
              <w:t>” means an Option that by its terms does not qualify or is not</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intended to qualify as an Incentive Stock Option.</w:t>
            </w:r>
          </w:p>
        </w:tc>
      </w:tr>
      <w:tr>
        <w:trPr>
          <w:trHeight w:val="42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2.23</w:t>
            </w:r>
          </w:p>
        </w:tc>
        <w:tc>
          <w:tcPr>
            <w:tcW w:w="8800" w:type="dxa"/>
            <w:vAlign w:val="bottom"/>
          </w:tcPr>
          <w:p>
            <w:pPr>
              <w:ind w:left="56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Officer</w:t>
            </w:r>
            <w:r>
              <w:rPr>
                <w:rFonts w:ascii="Arial" w:cs="Arial" w:eastAsia="Arial" w:hAnsi="Arial"/>
                <w:sz w:val="22"/>
                <w:szCs w:val="22"/>
                <w:color w:val="auto"/>
                <w:w w:val="91"/>
              </w:rPr>
              <w:t>” means a person who is an officer of the Company within the meaning of Section 16</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of the Exchange Act and the rules and regulations promulgated thereunder.</w:t>
            </w:r>
          </w:p>
        </w:tc>
      </w:tr>
      <w:tr>
        <w:trPr>
          <w:trHeight w:val="45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2.24</w:t>
            </w:r>
          </w:p>
        </w:tc>
        <w:tc>
          <w:tcPr>
            <w:tcW w:w="8800" w:type="dxa"/>
            <w:vAlign w:val="bottom"/>
          </w:tcPr>
          <w:p>
            <w:pPr>
              <w:ind w:left="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means a stock option granted pursuant to the Plan.</w:t>
            </w:r>
          </w:p>
        </w:tc>
      </w:tr>
      <w:tr>
        <w:trPr>
          <w:trHeight w:val="45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2.25</w:t>
            </w:r>
          </w:p>
        </w:tc>
        <w:tc>
          <w:tcPr>
            <w:tcW w:w="8800" w:type="dxa"/>
            <w:vAlign w:val="bottom"/>
          </w:tcPr>
          <w:p>
            <w:pPr>
              <w:ind w:left="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Outside Director</w:t>
            </w:r>
            <w:r>
              <w:rPr>
                <w:rFonts w:ascii="Arial" w:cs="Arial" w:eastAsia="Arial" w:hAnsi="Arial"/>
                <w:sz w:val="22"/>
                <w:szCs w:val="22"/>
                <w:color w:val="auto"/>
              </w:rPr>
              <w:t>” means a Director who is not an Employee.</w:t>
            </w:r>
          </w:p>
        </w:tc>
      </w:tr>
      <w:tr>
        <w:trPr>
          <w:trHeight w:val="42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2.26</w:t>
            </w:r>
          </w:p>
        </w:tc>
        <w:tc>
          <w:tcPr>
            <w:tcW w:w="8800" w:type="dxa"/>
            <w:vAlign w:val="bottom"/>
          </w:tcPr>
          <w:p>
            <w:pPr>
              <w:ind w:left="56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Parent</w:t>
            </w:r>
            <w:r>
              <w:rPr>
                <w:rFonts w:ascii="Arial" w:cs="Arial" w:eastAsia="Arial" w:hAnsi="Arial"/>
                <w:sz w:val="22"/>
                <w:szCs w:val="22"/>
                <w:color w:val="auto"/>
                <w:w w:val="90"/>
              </w:rPr>
              <w:t>” means a “parent corporation,” whether now or hereafter existing, as defined in Code</w:t>
            </w:r>
          </w:p>
        </w:tc>
      </w:tr>
      <w:tr>
        <w:trPr>
          <w:trHeight w:val="274"/>
        </w:trPr>
        <w:tc>
          <w:tcPr>
            <w:tcW w:w="2440" w:type="dxa"/>
            <w:vAlign w:val="bottom"/>
          </w:tcPr>
          <w:p>
            <w:pPr>
              <w:spacing w:after="0"/>
              <w:rPr>
                <w:sz w:val="20"/>
                <w:szCs w:val="20"/>
                <w:color w:val="auto"/>
              </w:rPr>
            </w:pPr>
            <w:r>
              <w:rPr>
                <w:rFonts w:ascii="Arial" w:cs="Arial" w:eastAsia="Arial" w:hAnsi="Arial"/>
                <w:sz w:val="22"/>
                <w:szCs w:val="22"/>
                <w:color w:val="auto"/>
              </w:rPr>
              <w:t>Section 424(e).</w:t>
            </w:r>
          </w:p>
        </w:tc>
        <w:tc>
          <w:tcPr>
            <w:tcW w:w="8800" w:type="dxa"/>
            <w:vAlign w:val="bottom"/>
          </w:tcPr>
          <w:p>
            <w:pPr>
              <w:spacing w:after="0"/>
              <w:rPr>
                <w:sz w:val="23"/>
                <w:szCs w:val="23"/>
                <w:color w:val="auto"/>
              </w:rPr>
            </w:pPr>
          </w:p>
        </w:tc>
      </w:tr>
      <w:tr>
        <w:trPr>
          <w:trHeight w:val="45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2.27</w:t>
            </w:r>
          </w:p>
        </w:tc>
        <w:tc>
          <w:tcPr>
            <w:tcW w:w="8800" w:type="dxa"/>
            <w:vAlign w:val="bottom"/>
          </w:tcPr>
          <w:p>
            <w:pPr>
              <w:ind w:left="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the holder of an outstanding Award.</w:t>
            </w:r>
          </w:p>
        </w:tc>
      </w:tr>
      <w:tr>
        <w:trPr>
          <w:trHeight w:val="446"/>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2.28</w:t>
            </w:r>
          </w:p>
        </w:tc>
        <w:tc>
          <w:tcPr>
            <w:tcW w:w="8800" w:type="dxa"/>
            <w:vAlign w:val="bottom"/>
          </w:tcPr>
          <w:p>
            <w:pPr>
              <w:ind w:left="56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Performance Awards</w:t>
            </w:r>
            <w:r>
              <w:rPr>
                <w:rFonts w:ascii="Arial" w:cs="Arial" w:eastAsia="Arial" w:hAnsi="Arial"/>
                <w:sz w:val="22"/>
                <w:szCs w:val="22"/>
                <w:color w:val="auto"/>
                <w:w w:val="96"/>
              </w:rPr>
              <w:t>” means an Award which may be earned in whole or in part upon</w:t>
            </w:r>
          </w:p>
        </w:tc>
      </w:tr>
    </w:tbl>
    <w:p>
      <w:pPr>
        <w:jc w:val="both"/>
        <w:spacing w:after="0" w:line="234" w:lineRule="auto"/>
        <w:rPr>
          <w:sz w:val="20"/>
          <w:szCs w:val="20"/>
          <w:color w:val="auto"/>
        </w:rPr>
      </w:pPr>
      <w:r>
        <w:rPr>
          <w:rFonts w:ascii="Arial" w:cs="Arial" w:eastAsia="Arial" w:hAnsi="Arial"/>
          <w:sz w:val="22"/>
          <w:szCs w:val="22"/>
          <w:color w:val="auto"/>
        </w:rPr>
        <w:t>attainment of performance goals or other vesting criteria as the Administrator may determine and which may be cash- or stock-denominated and may be settled for cash, Shares or other securities or a combination of the foregoing under Section 10 of the Plan.</w:t>
      </w:r>
    </w:p>
    <w:p>
      <w:pPr>
        <w:spacing w:after="0" w:line="181" w:lineRule="exact"/>
        <w:rPr>
          <w:sz w:val="20"/>
          <w:szCs w:val="20"/>
          <w:color w:val="auto"/>
        </w:rPr>
      </w:pPr>
    </w:p>
    <w:tbl>
      <w:tblPr>
        <w:tblLayout w:type="fixed"/>
        <w:tblInd w:w="1500" w:type="dxa"/>
        <w:tblCellMar>
          <w:top w:w="0" w:type="dxa"/>
          <w:left w:w="0" w:type="dxa"/>
          <w:bottom w:w="0" w:type="dxa"/>
          <w:right w:w="0" w:type="dxa"/>
        </w:tblCellMar>
      </w:tblPr>
      <w:tr>
        <w:trPr>
          <w:trHeight w:val="280"/>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2.29</w:t>
            </w:r>
          </w:p>
        </w:tc>
        <w:tc>
          <w:tcPr>
            <w:tcW w:w="8800" w:type="dxa"/>
            <w:vAlign w:val="bottom"/>
          </w:tcPr>
          <w:p>
            <w:pPr>
              <w:ind w:left="56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Performance Period</w:t>
            </w:r>
            <w:r>
              <w:rPr>
                <w:rFonts w:ascii="Arial" w:cs="Arial" w:eastAsia="Arial" w:hAnsi="Arial"/>
                <w:sz w:val="22"/>
                <w:szCs w:val="22"/>
                <w:color w:val="auto"/>
                <w:w w:val="94"/>
              </w:rPr>
              <w:t>” means Performance Period as defined in Section 10.1 of the Plan.</w:t>
            </w:r>
          </w:p>
        </w:tc>
      </w:tr>
      <w:tr>
        <w:trPr>
          <w:trHeight w:val="446"/>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2.30</w:t>
            </w:r>
          </w:p>
        </w:tc>
        <w:tc>
          <w:tcPr>
            <w:tcW w:w="8800" w:type="dxa"/>
            <w:vAlign w:val="bottom"/>
          </w:tcPr>
          <w:p>
            <w:pPr>
              <w:ind w:left="56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Period of Restriction</w:t>
            </w:r>
            <w:r>
              <w:rPr>
                <w:rFonts w:ascii="Arial" w:cs="Arial" w:eastAsia="Arial" w:hAnsi="Arial"/>
                <w:sz w:val="22"/>
                <w:szCs w:val="22"/>
                <w:color w:val="auto"/>
                <w:w w:val="96"/>
              </w:rPr>
              <w:t>” means the period (if any) during which the transfer of Shares of</w:t>
            </w:r>
          </w:p>
        </w:tc>
      </w:tr>
    </w:tbl>
    <w:p>
      <w:pPr>
        <w:jc w:val="both"/>
        <w:spacing w:after="0" w:line="234" w:lineRule="auto"/>
        <w:rPr>
          <w:sz w:val="20"/>
          <w:szCs w:val="20"/>
          <w:color w:val="auto"/>
        </w:rPr>
      </w:pPr>
      <w:r>
        <w:rPr>
          <w:rFonts w:ascii="Arial" w:cs="Arial" w:eastAsia="Arial" w:hAnsi="Arial"/>
          <w:sz w:val="22"/>
          <w:szCs w:val="22"/>
          <w:color w:val="auto"/>
        </w:rPr>
        <w:t>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1" w:lineRule="exact"/>
        <w:rPr>
          <w:sz w:val="20"/>
          <w:szCs w:val="20"/>
          <w:color w:val="auto"/>
        </w:rPr>
      </w:pPr>
    </w:p>
    <w:tbl>
      <w:tblPr>
        <w:tblLayout w:type="fixed"/>
        <w:tblInd w:w="1500" w:type="dxa"/>
        <w:tblCellMar>
          <w:top w:w="0" w:type="dxa"/>
          <w:left w:w="0" w:type="dxa"/>
          <w:bottom w:w="0" w:type="dxa"/>
          <w:right w:w="0" w:type="dxa"/>
        </w:tblCellMar>
      </w:tblPr>
      <w:tr>
        <w:trPr>
          <w:trHeight w:val="280"/>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2.31</w:t>
            </w:r>
          </w:p>
        </w:tc>
        <w:tc>
          <w:tcPr>
            <w:tcW w:w="8800" w:type="dxa"/>
            <w:vAlign w:val="bottom"/>
          </w:tcPr>
          <w:p>
            <w:pPr>
              <w:ind w:left="560"/>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Plan</w:t>
            </w:r>
            <w:r>
              <w:rPr>
                <w:rFonts w:ascii="Arial" w:cs="Arial" w:eastAsia="Arial" w:hAnsi="Arial"/>
                <w:sz w:val="22"/>
                <w:szCs w:val="22"/>
                <w:color w:val="auto"/>
                <w:w w:val="99"/>
              </w:rPr>
              <w:t>” means this 2021 Equity Incentive Plan, as may be amended from time to time.</w:t>
            </w:r>
          </w:p>
        </w:tc>
      </w:tr>
      <w:tr>
        <w:trPr>
          <w:trHeight w:val="446"/>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2.32</w:t>
            </w:r>
          </w:p>
        </w:tc>
        <w:tc>
          <w:tcPr>
            <w:tcW w:w="8800" w:type="dxa"/>
            <w:vAlign w:val="bottom"/>
          </w:tcPr>
          <w:p>
            <w:pPr>
              <w:ind w:left="56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Registration Date</w:t>
            </w:r>
            <w:r>
              <w:rPr>
                <w:rFonts w:ascii="Arial" w:cs="Arial" w:eastAsia="Arial" w:hAnsi="Arial"/>
                <w:sz w:val="22"/>
                <w:szCs w:val="22"/>
                <w:color w:val="auto"/>
                <w:w w:val="90"/>
              </w:rPr>
              <w:t>” means the effective date of the first registration statement that is filed by</w:t>
            </w:r>
          </w:p>
        </w:tc>
      </w:tr>
    </w:tbl>
    <w:p>
      <w:pPr>
        <w:jc w:val="both"/>
        <w:ind w:right="20"/>
        <w:spacing w:after="0" w:line="230" w:lineRule="auto"/>
        <w:rPr>
          <w:sz w:val="20"/>
          <w:szCs w:val="20"/>
          <w:color w:val="auto"/>
        </w:rPr>
      </w:pPr>
      <w:r>
        <w:rPr>
          <w:rFonts w:ascii="Arial" w:cs="Arial" w:eastAsia="Arial" w:hAnsi="Arial"/>
          <w:sz w:val="22"/>
          <w:szCs w:val="22"/>
          <w:color w:val="auto"/>
        </w:rPr>
        <w:t>the Company and declared effective pursuant to Section 12(b) of the Exchange Act, with respect to any class of the Company’s securities.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2.33</w:t>
            </w:r>
          </w:p>
        </w:tc>
        <w:tc>
          <w:tcPr>
            <w:tcW w:w="8800" w:type="dxa"/>
            <w:vAlign w:val="bottom"/>
          </w:tcPr>
          <w:p>
            <w:pPr>
              <w:ind w:left="56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Restricted Stock</w:t>
            </w:r>
            <w:r>
              <w:rPr>
                <w:rFonts w:ascii="Arial" w:cs="Arial" w:eastAsia="Arial" w:hAnsi="Arial"/>
                <w:sz w:val="22"/>
                <w:szCs w:val="22"/>
                <w:color w:val="auto"/>
                <w:w w:val="94"/>
              </w:rPr>
              <w:t>” means Shares issued pursuant to an Award of Restricted Stock under</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Section 8 of the Plan, or issued pursuant to the early exercise of an Option.</w:t>
            </w:r>
          </w:p>
        </w:tc>
      </w:tr>
      <w:tr>
        <w:trPr>
          <w:trHeight w:val="446"/>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2.34</w:t>
            </w:r>
          </w:p>
        </w:tc>
        <w:tc>
          <w:tcPr>
            <w:tcW w:w="8800" w:type="dxa"/>
            <w:vAlign w:val="bottom"/>
          </w:tcPr>
          <w:p>
            <w:pPr>
              <w:ind w:left="56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Restricted Stock Unit</w:t>
            </w:r>
            <w:r>
              <w:rPr>
                <w:rFonts w:ascii="Arial" w:cs="Arial" w:eastAsia="Arial" w:hAnsi="Arial"/>
                <w:sz w:val="22"/>
                <w:szCs w:val="22"/>
                <w:color w:val="auto"/>
                <w:w w:val="89"/>
              </w:rPr>
              <w:t>” means a bookkeeping entry representing an amount equal to the Fair</w:t>
            </w:r>
          </w:p>
        </w:tc>
      </w:tr>
    </w:tbl>
    <w:p>
      <w:pPr>
        <w:jc w:val="both"/>
        <w:spacing w:after="0" w:line="236" w:lineRule="auto"/>
        <w:rPr>
          <w:sz w:val="20"/>
          <w:szCs w:val="20"/>
          <w:color w:val="auto"/>
        </w:rPr>
      </w:pPr>
      <w:r>
        <w:rPr>
          <w:rFonts w:ascii="Arial" w:cs="Arial" w:eastAsia="Arial" w:hAnsi="Arial"/>
          <w:sz w:val="22"/>
          <w:szCs w:val="22"/>
          <w:color w:val="auto"/>
        </w:rPr>
        <w:t>Market Value of one Share, granted pursuant to Section 9 of the Plan. Each Restricted Stock Unit represents an unfunded and unsecured obligation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2.35</w:t>
            </w:r>
          </w:p>
        </w:tc>
        <w:tc>
          <w:tcPr>
            <w:tcW w:w="8800" w:type="dxa"/>
            <w:vAlign w:val="bottom"/>
          </w:tcPr>
          <w:p>
            <w:pPr>
              <w:ind w:left="560"/>
              <w:spacing w:after="0" w:line="253" w:lineRule="exact"/>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Rule 16b</w:t>
            </w:r>
            <w:r>
              <w:rPr>
                <w:rFonts w:ascii="MS PGothic" w:cs="MS PGothic" w:eastAsia="MS PGothic" w:hAnsi="MS PGothic"/>
                <w:sz w:val="22"/>
                <w:szCs w:val="22"/>
                <w:b w:val="1"/>
                <w:bCs w:val="1"/>
                <w:color w:val="auto"/>
                <w:w w:val="93"/>
              </w:rPr>
              <w:t>‑</w:t>
            </w:r>
            <w:r>
              <w:rPr>
                <w:rFonts w:ascii="Arial" w:cs="Arial" w:eastAsia="Arial" w:hAnsi="Arial"/>
                <w:sz w:val="22"/>
                <w:szCs w:val="22"/>
                <w:b w:val="1"/>
                <w:bCs w:val="1"/>
                <w:color w:val="auto"/>
                <w:w w:val="93"/>
              </w:rPr>
              <w:t>3</w:t>
            </w:r>
            <w:r>
              <w:rPr>
                <w:rFonts w:ascii="Arial" w:cs="Arial" w:eastAsia="Arial" w:hAnsi="Arial"/>
                <w:sz w:val="22"/>
                <w:szCs w:val="22"/>
                <w:color w:val="auto"/>
                <w:w w:val="93"/>
              </w:rPr>
              <w:t>” means Rule 16b</w:t>
            </w:r>
            <w:r>
              <w:rPr>
                <w:rFonts w:ascii="MS PGothic" w:cs="MS PGothic" w:eastAsia="MS PGothic" w:hAnsi="MS PGothic"/>
                <w:sz w:val="22"/>
                <w:szCs w:val="22"/>
                <w:color w:val="auto"/>
                <w:w w:val="93"/>
              </w:rPr>
              <w:t>‑</w:t>
            </w:r>
            <w:r>
              <w:rPr>
                <w:rFonts w:ascii="Arial" w:cs="Arial" w:eastAsia="Arial" w:hAnsi="Arial"/>
                <w:sz w:val="22"/>
                <w:szCs w:val="22"/>
                <w:color w:val="auto"/>
                <w:w w:val="93"/>
              </w:rPr>
              <w:t>3 of the Exchange Act or any successor to Rule 16b</w:t>
            </w:r>
            <w:r>
              <w:rPr>
                <w:rFonts w:ascii="MS PGothic" w:cs="MS PGothic" w:eastAsia="MS PGothic" w:hAnsi="MS PGothic"/>
                <w:sz w:val="22"/>
                <w:szCs w:val="22"/>
                <w:color w:val="auto"/>
                <w:w w:val="93"/>
              </w:rPr>
              <w:t>‑</w:t>
            </w:r>
            <w:r>
              <w:rPr>
                <w:rFonts w:ascii="Arial" w:cs="Arial" w:eastAsia="Arial" w:hAnsi="Arial"/>
                <w:sz w:val="22"/>
                <w:szCs w:val="22"/>
                <w:color w:val="auto"/>
                <w:w w:val="93"/>
              </w:rPr>
              <w:t>3, as in</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effect when discretion is being exercised with respect to the Plan.</w:t>
            </w:r>
          </w:p>
        </w:tc>
      </w:tr>
      <w:tr>
        <w:trPr>
          <w:trHeight w:val="45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2.36</w:t>
            </w:r>
          </w:p>
        </w:tc>
        <w:tc>
          <w:tcPr>
            <w:tcW w:w="8800" w:type="dxa"/>
            <w:vAlign w:val="bottom"/>
          </w:tcPr>
          <w:p>
            <w:pPr>
              <w:ind w:left="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16b</w:t>
            </w:r>
            <w:r>
              <w:rPr>
                <w:rFonts w:ascii="Arial" w:cs="Arial" w:eastAsia="Arial" w:hAnsi="Arial"/>
                <w:sz w:val="22"/>
                <w:szCs w:val="22"/>
                <w:color w:val="auto"/>
              </w:rPr>
              <w:t>” means Section 16(b) of the Exchange Act.</w:t>
            </w:r>
          </w:p>
        </w:tc>
      </w:tr>
      <w:tr>
        <w:trPr>
          <w:trHeight w:val="42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2.37</w:t>
            </w:r>
          </w:p>
        </w:tc>
        <w:tc>
          <w:tcPr>
            <w:tcW w:w="8800" w:type="dxa"/>
            <w:vAlign w:val="bottom"/>
          </w:tcPr>
          <w:p>
            <w:pPr>
              <w:ind w:left="56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Section 409A</w:t>
            </w:r>
            <w:r>
              <w:rPr>
                <w:rFonts w:ascii="Arial" w:cs="Arial" w:eastAsia="Arial" w:hAnsi="Arial"/>
                <w:sz w:val="22"/>
                <w:szCs w:val="22"/>
                <w:color w:val="auto"/>
                <w:w w:val="91"/>
              </w:rPr>
              <w:t>” means Code Section 409A and the U.S. Treasury Regulations and guidance</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w w:val="94"/>
              </w:rPr>
              <w:t>thereunder, and any applicable state law equivalent, as each may be promulgated, amended or modified from time to time.</w:t>
            </w:r>
          </w:p>
        </w:tc>
      </w:tr>
      <w:tr>
        <w:trPr>
          <w:trHeight w:val="42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2.38</w:t>
            </w:r>
          </w:p>
        </w:tc>
        <w:tc>
          <w:tcPr>
            <w:tcW w:w="8800" w:type="dxa"/>
            <w:vAlign w:val="bottom"/>
          </w:tcPr>
          <w:p>
            <w:pPr>
              <w:ind w:left="56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Securities Act</w:t>
            </w:r>
            <w:r>
              <w:rPr>
                <w:rFonts w:ascii="Arial" w:cs="Arial" w:eastAsia="Arial" w:hAnsi="Arial"/>
                <w:sz w:val="22"/>
                <w:szCs w:val="22"/>
                <w:color w:val="auto"/>
                <w:w w:val="90"/>
              </w:rPr>
              <w:t>” means the U.S. Securities Act of 1933, as amended, including the rules and</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regulations promulgated thereunder.</w:t>
            </w:r>
          </w:p>
        </w:tc>
      </w:tr>
      <w:tr>
        <w:trPr>
          <w:trHeight w:val="45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2.39</w:t>
            </w:r>
          </w:p>
        </w:tc>
        <w:tc>
          <w:tcPr>
            <w:tcW w:w="8800" w:type="dxa"/>
            <w:vAlign w:val="bottom"/>
          </w:tcPr>
          <w:p>
            <w:pPr>
              <w:ind w:left="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w:t>
            </w:r>
            <w:r>
              <w:rPr>
                <w:rFonts w:ascii="Arial" w:cs="Arial" w:eastAsia="Arial" w:hAnsi="Arial"/>
                <w:sz w:val="22"/>
                <w:szCs w:val="22"/>
                <w:color w:val="auto"/>
              </w:rPr>
              <w:t>” means an Employee, Director or Consultant.</w:t>
            </w:r>
          </w:p>
        </w:tc>
      </w:tr>
      <w:tr>
        <w:trPr>
          <w:trHeight w:val="42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2.40</w:t>
            </w:r>
          </w:p>
        </w:tc>
        <w:tc>
          <w:tcPr>
            <w:tcW w:w="8800" w:type="dxa"/>
            <w:vAlign w:val="bottom"/>
          </w:tcPr>
          <w:p>
            <w:pPr>
              <w:ind w:left="560"/>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auto"/>
                <w:w w:val="88"/>
              </w:rPr>
              <w:t>Share</w:t>
            </w:r>
            <w:r>
              <w:rPr>
                <w:rFonts w:ascii="Arial" w:cs="Arial" w:eastAsia="Arial" w:hAnsi="Arial"/>
                <w:sz w:val="22"/>
                <w:szCs w:val="22"/>
                <w:color w:val="auto"/>
                <w:w w:val="88"/>
              </w:rPr>
              <w:t>” means a share of the Common Stock, as adjusted in accordance with Section 15 of the</w:t>
            </w:r>
          </w:p>
        </w:tc>
      </w:tr>
      <w:tr>
        <w:trPr>
          <w:trHeight w:val="274"/>
        </w:trPr>
        <w:tc>
          <w:tcPr>
            <w:tcW w:w="2440" w:type="dxa"/>
            <w:vAlign w:val="bottom"/>
          </w:tcPr>
          <w:p>
            <w:pPr>
              <w:spacing w:after="0"/>
              <w:rPr>
                <w:sz w:val="20"/>
                <w:szCs w:val="20"/>
                <w:color w:val="auto"/>
              </w:rPr>
            </w:pPr>
            <w:r>
              <w:rPr>
                <w:rFonts w:ascii="Arial" w:cs="Arial" w:eastAsia="Arial" w:hAnsi="Arial"/>
                <w:sz w:val="22"/>
                <w:szCs w:val="22"/>
                <w:color w:val="auto"/>
              </w:rPr>
              <w:t>Plan.</w:t>
            </w:r>
          </w:p>
        </w:tc>
        <w:tc>
          <w:tcPr>
            <w:tcW w:w="8800" w:type="dxa"/>
            <w:vAlign w:val="bottom"/>
          </w:tcPr>
          <w:p>
            <w:pPr>
              <w:spacing w:after="0"/>
              <w:rPr>
                <w:sz w:val="23"/>
                <w:szCs w:val="23"/>
                <w:color w:val="auto"/>
              </w:rPr>
            </w:pPr>
          </w:p>
        </w:tc>
      </w:tr>
      <w:tr>
        <w:trPr>
          <w:trHeight w:val="446"/>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2.41</w:t>
            </w:r>
          </w:p>
        </w:tc>
        <w:tc>
          <w:tcPr>
            <w:tcW w:w="8800" w:type="dxa"/>
            <w:vAlign w:val="bottom"/>
          </w:tcPr>
          <w:p>
            <w:pPr>
              <w:ind w:left="56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Specified Stockholder</w:t>
            </w:r>
            <w:r>
              <w:rPr>
                <w:rFonts w:ascii="Arial" w:cs="Arial" w:eastAsia="Arial" w:hAnsi="Arial"/>
                <w:sz w:val="22"/>
                <w:szCs w:val="22"/>
                <w:color w:val="auto"/>
                <w:w w:val="96"/>
              </w:rPr>
              <w:t>” means individually or collectively (in any combination thereof),</w:t>
            </w:r>
          </w:p>
        </w:tc>
      </w:tr>
    </w:tbl>
    <w:p>
      <w:pPr>
        <w:jc w:val="both"/>
        <w:spacing w:after="0" w:line="234" w:lineRule="auto"/>
        <w:rPr>
          <w:sz w:val="20"/>
          <w:szCs w:val="20"/>
          <w:color w:val="auto"/>
        </w:rPr>
      </w:pPr>
      <w:r>
        <w:rPr>
          <w:rFonts w:ascii="Arial" w:cs="Arial" w:eastAsia="Arial" w:hAnsi="Arial"/>
          <w:sz w:val="22"/>
          <w:szCs w:val="22"/>
          <w:color w:val="auto"/>
        </w:rPr>
        <w:t>Dushyant Sharma, AKKR (as defined in the COI) or a Permitted Transferee of any such stockholder, provided that if a Specified Stockholder forms a “group” within the meaning of Rule 13d-5(b)(1) of the Exchange Act with one or more Persons who are not Specified Stockholders, such group is not a Specified Stockholder.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2.42</w:t>
            </w:r>
          </w:p>
        </w:tc>
        <w:tc>
          <w:tcPr>
            <w:tcW w:w="8720" w:type="dxa"/>
            <w:vAlign w:val="bottom"/>
          </w:tcPr>
          <w:p>
            <w:pPr>
              <w:ind w:left="48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Stock Appreciation Right</w:t>
            </w:r>
            <w:r>
              <w:rPr>
                <w:rFonts w:ascii="Arial" w:cs="Arial" w:eastAsia="Arial" w:hAnsi="Arial"/>
                <w:sz w:val="22"/>
                <w:szCs w:val="22"/>
                <w:color w:val="auto"/>
                <w:w w:val="90"/>
              </w:rPr>
              <w:t>” means an Award, granted alone or in connection with an Option,</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that pursuant to Section 7 of the Plan is designated as a Stock Appreciation Right.</w:t>
            </w:r>
          </w:p>
        </w:tc>
      </w:tr>
      <w:tr>
        <w:trPr>
          <w:trHeight w:val="428"/>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2.43</w:t>
            </w:r>
          </w:p>
        </w:tc>
        <w:tc>
          <w:tcPr>
            <w:tcW w:w="8720" w:type="dxa"/>
            <w:vAlign w:val="bottom"/>
          </w:tcPr>
          <w:p>
            <w:pPr>
              <w:ind w:left="48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Subsidiary</w:t>
            </w:r>
            <w:r>
              <w:rPr>
                <w:rFonts w:ascii="Arial" w:cs="Arial" w:eastAsia="Arial" w:hAnsi="Arial"/>
                <w:sz w:val="22"/>
                <w:szCs w:val="22"/>
                <w:color w:val="auto"/>
                <w:w w:val="90"/>
              </w:rPr>
              <w:t>” means a “subsidiary corporation,” whether now or hereafter existing, as defined</w:t>
            </w:r>
          </w:p>
        </w:tc>
      </w:tr>
      <w:tr>
        <w:trPr>
          <w:trHeight w:val="274"/>
        </w:trPr>
        <w:tc>
          <w:tcPr>
            <w:tcW w:w="2520" w:type="dxa"/>
            <w:vAlign w:val="bottom"/>
          </w:tcPr>
          <w:p>
            <w:pPr>
              <w:spacing w:after="0"/>
              <w:rPr>
                <w:sz w:val="20"/>
                <w:szCs w:val="20"/>
                <w:color w:val="auto"/>
              </w:rPr>
            </w:pPr>
            <w:r>
              <w:rPr>
                <w:rFonts w:ascii="Arial" w:cs="Arial" w:eastAsia="Arial" w:hAnsi="Arial"/>
                <w:sz w:val="22"/>
                <w:szCs w:val="22"/>
                <w:color w:val="auto"/>
              </w:rPr>
              <w:t>in Code Section 424(f).</w:t>
            </w:r>
          </w:p>
        </w:tc>
        <w:tc>
          <w:tcPr>
            <w:tcW w:w="8720" w:type="dxa"/>
            <w:vAlign w:val="bottom"/>
          </w:tcPr>
          <w:p>
            <w:pPr>
              <w:spacing w:after="0"/>
              <w:rPr>
                <w:sz w:val="23"/>
                <w:szCs w:val="23"/>
                <w:color w:val="auto"/>
              </w:rPr>
            </w:pPr>
          </w:p>
        </w:tc>
      </w:tr>
      <w:tr>
        <w:trPr>
          <w:trHeight w:val="446"/>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2.44</w:t>
            </w:r>
          </w:p>
        </w:tc>
        <w:tc>
          <w:tcPr>
            <w:tcW w:w="8720" w:type="dxa"/>
            <w:vAlign w:val="bottom"/>
          </w:tcPr>
          <w:p>
            <w:pPr>
              <w:ind w:left="48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Trading Day</w:t>
            </w:r>
            <w:r>
              <w:rPr>
                <w:rFonts w:ascii="Arial" w:cs="Arial" w:eastAsia="Arial" w:hAnsi="Arial"/>
                <w:sz w:val="22"/>
                <w:szCs w:val="22"/>
                <w:color w:val="auto"/>
                <w:w w:val="89"/>
              </w:rPr>
              <w:t>” means a day that the primary stock exchange, national market system, or other</w:t>
            </w:r>
          </w:p>
        </w:tc>
      </w:tr>
    </w:tbl>
    <w:p>
      <w:pPr>
        <w:jc w:val="both"/>
        <w:ind w:right="20"/>
        <w:spacing w:after="0" w:line="236" w:lineRule="auto"/>
        <w:rPr>
          <w:sz w:val="20"/>
          <w:szCs w:val="20"/>
          <w:color w:val="auto"/>
        </w:rPr>
      </w:pPr>
      <w:r>
        <w:rPr>
          <w:rFonts w:ascii="Arial" w:cs="Arial" w:eastAsia="Arial" w:hAnsi="Arial"/>
          <w:sz w:val="22"/>
          <w:szCs w:val="22"/>
          <w:color w:val="auto"/>
        </w:rPr>
        <w:t>trading platform, as applicable, upon which the Common Stock is listed (or otherwise trades regularly, as determined by the Administrator, in its sole discretion) is open for trading.</w:t>
      </w:r>
    </w:p>
    <w:p>
      <w:pPr>
        <w:spacing w:after="0" w:line="180"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2.45 “</w:t>
      </w:r>
      <w:r>
        <w:rPr>
          <w:rFonts w:ascii="Arial" w:cs="Arial" w:eastAsia="Arial" w:hAnsi="Arial"/>
          <w:sz w:val="22"/>
          <w:szCs w:val="22"/>
          <w:b w:val="1"/>
          <w:bCs w:val="1"/>
          <w:color w:val="auto"/>
        </w:rPr>
        <w:t>U.S. Treasury Regulations</w:t>
      </w:r>
      <w:r>
        <w:rPr>
          <w:rFonts w:ascii="Arial" w:cs="Arial" w:eastAsia="Arial" w:hAnsi="Arial"/>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ind w:left="1500" w:hanging="743"/>
        <w:spacing w:after="0"/>
        <w:tabs>
          <w:tab w:leader="none" w:pos="150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Stock Subject to the Plan</w:t>
      </w:r>
      <w:r>
        <w:rPr>
          <w:rFonts w:ascii="Arial" w:cs="Arial" w:eastAsia="Arial" w:hAnsi="Arial"/>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36" w:name="page137"/>
    <w:bookmarkEnd w:id="136"/>
    <w:p>
      <w:pPr>
        <w:jc w:val="both"/>
        <w:ind w:firstLine="1497"/>
        <w:spacing w:after="0" w:line="275"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Stock Subject to the Plan</w:t>
      </w:r>
      <w:r>
        <w:rPr>
          <w:rFonts w:ascii="Arial" w:cs="Arial" w:eastAsia="Arial" w:hAnsi="Arial"/>
          <w:sz w:val="19"/>
          <w:szCs w:val="19"/>
          <w:color w:val="auto"/>
        </w:rPr>
        <w:t>. Subject to adjustment upon changes in capitalization of the Company as provided in Section 15 of the Plan and the automatic increase set forth in Section 3.2 of the Plan, the maximum aggregate number of Shares that may be subject to Awards and sold under the Plan will be equal to (a) 10,459,000 Shares, plus</w:t>
      </w:r>
    </w:p>
    <w:p>
      <w:pPr>
        <w:spacing w:after="0" w:line="2" w:lineRule="exact"/>
        <w:rPr>
          <w:sz w:val="20"/>
          <w:szCs w:val="20"/>
          <w:color w:val="auto"/>
        </w:rPr>
      </w:pPr>
    </w:p>
    <w:p>
      <w:pPr>
        <w:jc w:val="both"/>
        <w:ind w:firstLine="8"/>
        <w:spacing w:after="0" w:line="232" w:lineRule="auto"/>
        <w:tabs>
          <w:tab w:leader="none" w:pos="329"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number of Shares equal to any shares of the Company’s common stock subject to awards granted under the Company’s 2012 Equity Incentive Plan (“</w:t>
      </w:r>
      <w:r>
        <w:rPr>
          <w:rFonts w:ascii="Arial" w:cs="Arial" w:eastAsia="Arial" w:hAnsi="Arial"/>
          <w:sz w:val="22"/>
          <w:szCs w:val="22"/>
          <w:b w:val="1"/>
          <w:bCs w:val="1"/>
          <w:color w:val="auto"/>
        </w:rPr>
        <w:t>Prior Plan</w:t>
      </w:r>
      <w:r>
        <w:rPr>
          <w:rFonts w:ascii="Arial" w:cs="Arial" w:eastAsia="Arial" w:hAnsi="Arial"/>
          <w:sz w:val="22"/>
          <w:szCs w:val="22"/>
          <w:color w:val="auto"/>
        </w:rPr>
        <w:t>”) that, after the date the Prior Plan is terminated,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7,563,990 Shares. In addition, Shares may become available for issuance under Sections 3.2 and 3.3 of the Plan. The Shares may be authorized but unissued, or reacquired Common Stock.</w:t>
      </w:r>
    </w:p>
    <w:p>
      <w:pPr>
        <w:spacing w:after="0" w:line="181"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Automatic Share Reserve Increase</w:t>
      </w:r>
      <w:r>
        <w:rPr>
          <w:rFonts w:ascii="Arial" w:cs="Arial" w:eastAsia="Arial" w:hAnsi="Arial"/>
          <w:sz w:val="19"/>
          <w:szCs w:val="19"/>
          <w:color w:val="auto"/>
        </w:rPr>
        <w:t>. Subject to adjustment upon changes in capitalization of the Company as provided in Section 15 of the Plan, the number of Shares available for issuance under the Plan will be increased on the first day of each Fiscal Year beginning with the 2022 Fiscal Year, in an amount equal to the least of (a) 12,551,000 Shares,</w:t>
      </w:r>
    </w:p>
    <w:p>
      <w:pPr>
        <w:spacing w:after="0" w:line="2" w:lineRule="exact"/>
        <w:rPr>
          <w:sz w:val="20"/>
          <w:szCs w:val="20"/>
          <w:color w:val="auto"/>
        </w:rPr>
      </w:pPr>
    </w:p>
    <w:p>
      <w:pPr>
        <w:jc w:val="both"/>
        <w:ind w:firstLine="8"/>
        <w:spacing w:after="0" w:line="234" w:lineRule="auto"/>
        <w:tabs>
          <w:tab w:leader="none" w:pos="315"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number of Shares equal to four percent (4%) of the total number of shares of all classes of common stock of the Company outstanding on the last day of the immediately preceding Fiscal Year, or (c) such number of Shares determined by the Administrator no later than the last day of the immediately preceding Fiscal Year.</w:t>
      </w:r>
    </w:p>
    <w:p>
      <w:pPr>
        <w:spacing w:after="0" w:line="181"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color w:val="auto"/>
        </w:rPr>
        <w:t>Lapsed Awards</w:t>
      </w:r>
      <w:r>
        <w:rPr>
          <w:rFonts w:ascii="Arial" w:cs="Arial" w:eastAsia="Arial" w:hAnsi="Arial"/>
          <w:sz w:val="19"/>
          <w:szCs w:val="19"/>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of the Plan, the maximum number of Shares that may be issued upon the exercise of Incentive Stock Options will equal the aggregate Share number stated in Section 3.1 of the Plan, plus, to the extent allowable under Code Section 422 and the U.S. Treasury Regulations promulgated thereunder, any Shares that become available for issuance under the Plan pursuant to Sections 3.2 and 3.3 of the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7" w:name="page138"/>
    <w:bookmarkEnd w:id="137"/>
    <w:p>
      <w:pPr>
        <w:ind w:firstLine="1497"/>
        <w:spacing w:after="0" w:line="256"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Share Reserve</w:t>
      </w:r>
      <w:r>
        <w:rPr>
          <w:rFonts w:ascii="Arial" w:cs="Arial" w:eastAsia="Arial" w:hAnsi="Arial"/>
          <w:sz w:val="22"/>
          <w:szCs w:val="22"/>
          <w:color w:val="auto"/>
        </w:rPr>
        <w:t>. The Company, during the term of this Plan, will at all times reserve and keep available such number of Shares as will be sufficient to satisfy the requirements of the Plan.</w:t>
      </w:r>
    </w:p>
    <w:p>
      <w:pPr>
        <w:spacing w:after="0" w:line="162" w:lineRule="exact"/>
        <w:rPr>
          <w:sz w:val="20"/>
          <w:szCs w:val="20"/>
          <w:color w:val="auto"/>
        </w:rPr>
      </w:pPr>
    </w:p>
    <w:p>
      <w:pPr>
        <w:ind w:left="1500" w:hanging="743"/>
        <w:spacing w:after="0"/>
        <w:tabs>
          <w:tab w:leader="none" w:pos="1500"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Administration of the Plan</w:t>
      </w:r>
      <w:r>
        <w:rPr>
          <w:rFonts w:ascii="Arial" w:cs="Arial" w:eastAsia="Arial" w:hAnsi="Arial"/>
          <w:sz w:val="22"/>
          <w:szCs w:val="22"/>
          <w:color w:val="auto"/>
        </w:rPr>
        <w:t>.</w:t>
      </w:r>
    </w:p>
    <w:p>
      <w:pPr>
        <w:spacing w:after="0" w:line="206" w:lineRule="exact"/>
        <w:rPr>
          <w:sz w:val="20"/>
          <w:szCs w:val="20"/>
          <w:color w:val="auto"/>
        </w:rPr>
      </w:pPr>
    </w:p>
    <w:tbl>
      <w:tblPr>
        <w:tblLayout w:type="fixed"/>
        <w:tblInd w:w="1500" w:type="dxa"/>
        <w:tblCellMar>
          <w:top w:w="0" w:type="dxa"/>
          <w:left w:w="0" w:type="dxa"/>
          <w:bottom w:w="0" w:type="dxa"/>
          <w:right w:w="0" w:type="dxa"/>
        </w:tblCellMar>
      </w:tblPr>
      <w:tr>
        <w:trPr>
          <w:trHeight w:val="280"/>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4.1</w:t>
            </w:r>
          </w:p>
        </w:tc>
        <w:tc>
          <w:tcPr>
            <w:tcW w:w="8400" w:type="dxa"/>
            <w:vAlign w:val="bottom"/>
          </w:tcPr>
          <w:p>
            <w:pPr>
              <w:ind w:left="160"/>
              <w:spacing w:after="0"/>
              <w:rPr>
                <w:sz w:val="20"/>
                <w:szCs w:val="20"/>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w:t>
            </w:r>
          </w:p>
        </w:tc>
      </w:tr>
      <w:tr>
        <w:trPr>
          <w:trHeight w:val="446"/>
        </w:trPr>
        <w:tc>
          <w:tcPr>
            <w:tcW w:w="1340" w:type="dxa"/>
            <w:vAlign w:val="bottom"/>
          </w:tcPr>
          <w:p>
            <w:pPr>
              <w:jc w:val="right"/>
              <w:ind w:right="52"/>
              <w:spacing w:after="0"/>
              <w:rPr>
                <w:sz w:val="20"/>
                <w:szCs w:val="20"/>
                <w:color w:val="auto"/>
              </w:rPr>
            </w:pPr>
            <w:r>
              <w:rPr>
                <w:rFonts w:ascii="Arial" w:cs="Arial" w:eastAsia="Arial" w:hAnsi="Arial"/>
                <w:sz w:val="22"/>
                <w:szCs w:val="22"/>
                <w:color w:val="auto"/>
              </w:rPr>
              <w:t>4.1.1</w:t>
            </w:r>
          </w:p>
        </w:tc>
        <w:tc>
          <w:tcPr>
            <w:tcW w:w="8400" w:type="dxa"/>
            <w:vAlign w:val="bottom"/>
          </w:tcPr>
          <w:p>
            <w:pPr>
              <w:ind w:left="1660"/>
              <w:spacing w:after="0"/>
              <w:rPr>
                <w:sz w:val="20"/>
                <w:szCs w:val="20"/>
                <w:color w:val="auto"/>
              </w:rPr>
            </w:pPr>
            <w:r>
              <w:rPr>
                <w:rFonts w:ascii="Arial" w:cs="Arial" w:eastAsia="Arial" w:hAnsi="Arial"/>
                <w:sz w:val="22"/>
                <w:szCs w:val="22"/>
                <w:b w:val="1"/>
                <w:bCs w:val="1"/>
                <w:color w:val="auto"/>
                <w:w w:val="96"/>
              </w:rPr>
              <w:t>Multiple Administrative Bodies</w:t>
            </w:r>
            <w:r>
              <w:rPr>
                <w:rFonts w:ascii="Arial" w:cs="Arial" w:eastAsia="Arial" w:hAnsi="Arial"/>
                <w:sz w:val="22"/>
                <w:szCs w:val="22"/>
                <w:color w:val="auto"/>
                <w:w w:val="96"/>
              </w:rPr>
              <w:t>.  Different Committees with respect to</w:t>
            </w:r>
          </w:p>
        </w:tc>
      </w:tr>
    </w:tbl>
    <w:p>
      <w:pPr>
        <w:jc w:val="both"/>
        <w:spacing w:after="0" w:line="236" w:lineRule="auto"/>
        <w:rPr>
          <w:sz w:val="20"/>
          <w:szCs w:val="20"/>
          <w:color w:val="auto"/>
        </w:rPr>
      </w:pPr>
      <w:r>
        <w:rPr>
          <w:rFonts w:ascii="Arial" w:cs="Arial" w:eastAsia="Arial" w:hAnsi="Arial"/>
          <w:sz w:val="22"/>
          <w:szCs w:val="22"/>
          <w:color w:val="auto"/>
        </w:rPr>
        <w:t>different groups of Service Providers may administer the Plan. The Compensation Committee of the Board initially will be the Administrator of the Plan.</w:t>
      </w:r>
    </w:p>
    <w:p>
      <w:pPr>
        <w:spacing w:after="0" w:line="181"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b w:val="1"/>
          <w:bCs w:val="1"/>
          <w:color w:val="auto"/>
        </w:rPr>
        <w:t>Rule 16b-3</w:t>
      </w:r>
      <w:r>
        <w:rPr>
          <w:rFonts w:ascii="Arial" w:cs="Arial" w:eastAsia="Arial" w:hAnsi="Arial"/>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40" w:type="dxa"/>
            <w:vAlign w:val="bottom"/>
          </w:tcPr>
          <w:p>
            <w:pPr>
              <w:jc w:val="right"/>
              <w:ind w:right="52"/>
              <w:spacing w:after="0"/>
              <w:rPr>
                <w:sz w:val="20"/>
                <w:szCs w:val="20"/>
                <w:color w:val="auto"/>
              </w:rPr>
            </w:pPr>
            <w:r>
              <w:rPr>
                <w:rFonts w:ascii="Arial" w:cs="Arial" w:eastAsia="Arial" w:hAnsi="Arial"/>
                <w:sz w:val="22"/>
                <w:szCs w:val="22"/>
                <w:color w:val="auto"/>
              </w:rPr>
              <w:t>4.1.3</w:t>
            </w:r>
          </w:p>
        </w:tc>
        <w:tc>
          <w:tcPr>
            <w:tcW w:w="8400" w:type="dxa"/>
            <w:vAlign w:val="bottom"/>
          </w:tcPr>
          <w:p>
            <w:pPr>
              <w:jc w:val="right"/>
              <w:spacing w:after="0"/>
              <w:rPr>
                <w:sz w:val="20"/>
                <w:szCs w:val="20"/>
                <w:color w:val="auto"/>
              </w:rPr>
            </w:pPr>
            <w:r>
              <w:rPr>
                <w:rFonts w:ascii="Arial" w:cs="Arial" w:eastAsia="Arial" w:hAnsi="Arial"/>
                <w:sz w:val="22"/>
                <w:szCs w:val="22"/>
                <w:b w:val="1"/>
                <w:bCs w:val="1"/>
                <w:color w:val="auto"/>
              </w:rPr>
              <w:t>Other Administration</w:t>
            </w:r>
            <w:r>
              <w:rPr>
                <w:rFonts w:ascii="Arial" w:cs="Arial" w:eastAsia="Arial" w:hAnsi="Arial"/>
                <w:sz w:val="22"/>
                <w:szCs w:val="22"/>
                <w:color w:val="auto"/>
              </w:rPr>
              <w:t>.  Other than as provided above, the Plan will be</w:t>
            </w:r>
          </w:p>
        </w:tc>
      </w:tr>
      <w:tr>
        <w:trPr>
          <w:trHeight w:val="274"/>
        </w:trPr>
        <w:tc>
          <w:tcPr>
            <w:tcW w:w="11240" w:type="dxa"/>
            <w:vAlign w:val="bottom"/>
            <w:gridSpan w:val="2"/>
          </w:tcPr>
          <w:p>
            <w:pPr>
              <w:jc w:val="right"/>
              <w:ind w:right="512"/>
              <w:spacing w:after="0"/>
              <w:rPr>
                <w:sz w:val="20"/>
                <w:szCs w:val="20"/>
                <w:color w:val="auto"/>
              </w:rPr>
            </w:pPr>
            <w:r>
              <w:rPr>
                <w:rFonts w:ascii="Arial" w:cs="Arial" w:eastAsia="Arial" w:hAnsi="Arial"/>
                <w:sz w:val="22"/>
                <w:szCs w:val="22"/>
                <w:color w:val="auto"/>
                <w:w w:val="91"/>
              </w:rPr>
              <w:t>administered by (A) the Board or (B) a Committee, which Committee will be constituted to comply with Applicable Laws.</w:t>
            </w:r>
          </w:p>
        </w:tc>
      </w:tr>
      <w:tr>
        <w:trPr>
          <w:trHeight w:val="446"/>
        </w:trPr>
        <w:tc>
          <w:tcPr>
            <w:tcW w:w="2840" w:type="dxa"/>
            <w:vAlign w:val="bottom"/>
          </w:tcPr>
          <w:p>
            <w:pPr>
              <w:jc w:val="right"/>
              <w:ind w:right="952"/>
              <w:spacing w:after="0"/>
              <w:rPr>
                <w:sz w:val="20"/>
                <w:szCs w:val="20"/>
                <w:color w:val="auto"/>
              </w:rPr>
            </w:pPr>
            <w:r>
              <w:rPr>
                <w:rFonts w:ascii="Arial" w:cs="Arial" w:eastAsia="Arial" w:hAnsi="Arial"/>
                <w:sz w:val="22"/>
                <w:szCs w:val="22"/>
                <w:color w:val="auto"/>
              </w:rPr>
              <w:t>4.2</w:t>
            </w:r>
          </w:p>
        </w:tc>
        <w:tc>
          <w:tcPr>
            <w:tcW w:w="8400" w:type="dxa"/>
            <w:vAlign w:val="bottom"/>
          </w:tcPr>
          <w:p>
            <w:pPr>
              <w:jc w:val="right"/>
              <w:spacing w:after="0"/>
              <w:rPr>
                <w:sz w:val="20"/>
                <w:szCs w:val="20"/>
                <w:color w:val="auto"/>
              </w:rPr>
            </w:pPr>
            <w:r>
              <w:rPr>
                <w:rFonts w:ascii="Arial" w:cs="Arial" w:eastAsia="Arial" w:hAnsi="Arial"/>
                <w:sz w:val="22"/>
                <w:szCs w:val="22"/>
                <w:b w:val="1"/>
                <w:bCs w:val="1"/>
                <w:color w:val="auto"/>
                <w:w w:val="96"/>
              </w:rPr>
              <w:t>Powers of the Administrator</w:t>
            </w:r>
            <w:r>
              <w:rPr>
                <w:rFonts w:ascii="Arial" w:cs="Arial" w:eastAsia="Arial" w:hAnsi="Arial"/>
                <w:sz w:val="22"/>
                <w:szCs w:val="22"/>
                <w:color w:val="auto"/>
                <w:w w:val="96"/>
              </w:rPr>
              <w:t>.  Subject to the provisions of the Plan, and in the case of a</w:t>
            </w:r>
          </w:p>
        </w:tc>
      </w:tr>
    </w:tbl>
    <w:p>
      <w:pPr>
        <w:jc w:val="both"/>
        <w:spacing w:after="0" w:line="236" w:lineRule="auto"/>
        <w:rPr>
          <w:sz w:val="20"/>
          <w:szCs w:val="20"/>
          <w:color w:val="auto"/>
        </w:rPr>
      </w:pPr>
      <w:r>
        <w:rPr>
          <w:rFonts w:ascii="Arial" w:cs="Arial" w:eastAsia="Arial" w:hAnsi="Arial"/>
          <w:sz w:val="22"/>
          <w:szCs w:val="22"/>
          <w:color w:val="auto"/>
        </w:rPr>
        <w:t>Committee, subject to the specific duties delegated by the Board to such Committee, the Administrator will have the authority, in its discretion:</w:t>
      </w:r>
    </w:p>
    <w:p>
      <w:pPr>
        <w:sectPr>
          <w:pgSz w:w="11900" w:h="16838" w:orient="portrait"/>
          <w:cols w:equalWidth="0" w:num="1">
            <w:col w:w="11240"/>
          </w:cols>
          <w:pgMar w:left="320" w:top="530" w:right="339" w:bottom="1440" w:gutter="0" w:footer="0" w:header="0"/>
        </w:sectPr>
      </w:pPr>
    </w:p>
    <w:p>
      <w:pPr>
        <w:spacing w:after="0" w:line="187"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to determine the Fair Market Value;</w:t>
      </w:r>
    </w:p>
    <w:p>
      <w:pPr>
        <w:spacing w:after="0" w:line="200" w:lineRule="exact"/>
        <w:rPr>
          <w:sz w:val="20"/>
          <w:szCs w:val="20"/>
          <w:color w:val="auto"/>
        </w:rPr>
      </w:pPr>
    </w:p>
    <w:p>
      <w:pPr>
        <w:sectPr>
          <w:pgSz w:w="11900" w:h="16838" w:orient="portrait"/>
          <w:cols w:equalWidth="0" w:num="2">
            <w:col w:w="3780" w:space="720"/>
            <w:col w:w="6740"/>
          </w:cols>
          <w:pgMar w:left="320" w:top="530" w:right="339" w:bottom="1440"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to select the Service Providers to whom Awards may be granted hereunder;</w:t>
      </w:r>
    </w:p>
    <w:p>
      <w:pPr>
        <w:spacing w:after="0" w:line="200" w:lineRule="exact"/>
        <w:rPr>
          <w:sz w:val="20"/>
          <w:szCs w:val="20"/>
          <w:color w:val="auto"/>
        </w:rPr>
      </w:pPr>
    </w:p>
    <w:p>
      <w:pPr>
        <w:sectPr>
          <w:pgSz w:w="11900" w:h="16838" w:orient="portrait"/>
          <w:cols w:equalWidth="0" w:num="2">
            <w:col w:w="3780" w:space="720"/>
            <w:col w:w="6740"/>
          </w:cols>
          <w:pgMar w:left="320" w:top="530" w:right="339" w:bottom="1440"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(c)</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Award granted hereunder;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to determine the number of Shares or dollar amounts to be covered by each</w:t>
      </w:r>
    </w:p>
    <w:p>
      <w:pPr>
        <w:spacing w:after="0" w:line="483" w:lineRule="exact"/>
        <w:rPr>
          <w:sz w:val="20"/>
          <w:szCs w:val="20"/>
          <w:color w:val="auto"/>
        </w:rPr>
      </w:pPr>
    </w:p>
    <w:p>
      <w:pPr>
        <w:sectPr>
          <w:pgSz w:w="11900" w:h="16838" w:orient="portrait"/>
          <w:cols w:equalWidth="0" w:num="2">
            <w:col w:w="3780" w:space="720"/>
            <w:col w:w="6740"/>
          </w:cols>
          <w:pgMar w:left="320" w:top="530" w:right="339" w:bottom="1440" w:gutter="0" w:footer="0" w:header="0"/>
          <w:type w:val="continuous"/>
        </w:sectPr>
      </w:pPr>
    </w:p>
    <w:p>
      <w:pPr>
        <w:ind w:left="226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to approve forms of Award Agreements for use under the Plan;</w:t>
      </w:r>
    </w:p>
    <w:p>
      <w:pPr>
        <w:spacing w:after="0" w:line="200" w:lineRule="exact"/>
        <w:rPr>
          <w:sz w:val="20"/>
          <w:szCs w:val="20"/>
          <w:color w:val="auto"/>
        </w:rPr>
      </w:pPr>
    </w:p>
    <w:p>
      <w:pPr>
        <w:sectPr>
          <w:pgSz w:w="11900" w:h="16838" w:orient="portrait"/>
          <w:cols w:equalWidth="0" w:num="2">
            <w:col w:w="3780" w:space="720"/>
            <w:col w:w="6740"/>
          </w:cols>
          <w:pgMar w:left="320" w:top="530" w:right="339" w:bottom="1440" w:gutter="0" w:footer="0" w:header="0"/>
          <w:type w:val="continuous"/>
        </w:sectPr>
      </w:pPr>
    </w:p>
    <w:p>
      <w:pPr>
        <w:spacing w:after="0" w:line="41"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to determine the terms and conditions, not inconsistent with the terms of the</w:t>
      </w:r>
    </w:p>
    <w:p>
      <w:pPr>
        <w:sectPr>
          <w:pgSz w:w="11900" w:h="16838" w:orient="portrait"/>
          <w:cols w:equalWidth="0" w:num="1">
            <w:col w:w="11240"/>
          </w:cols>
          <w:pgMar w:left="320" w:top="530" w:right="339" w:bottom="1440" w:gutter="0" w:footer="0" w:header="0"/>
          <w:type w:val="continuous"/>
        </w:sectPr>
      </w:pP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00" w:type="dxa"/>
            <w:vAlign w:val="bottom"/>
          </w:tcPr>
          <w:p>
            <w:pPr>
              <w:ind w:left="2260"/>
              <w:spacing w:after="0"/>
              <w:rPr>
                <w:sz w:val="20"/>
                <w:szCs w:val="20"/>
                <w:color w:val="auto"/>
              </w:rPr>
            </w:pPr>
            <w:r>
              <w:rPr>
                <w:rFonts w:ascii="Arial" w:cs="Arial" w:eastAsia="Arial" w:hAnsi="Arial"/>
                <w:sz w:val="22"/>
                <w:szCs w:val="22"/>
                <w:color w:val="auto"/>
              </w:rPr>
              <w:t>(f)</w:t>
            </w:r>
          </w:p>
        </w:tc>
        <w:tc>
          <w:tcPr>
            <w:tcW w:w="7740" w:type="dxa"/>
            <w:vAlign w:val="bottom"/>
          </w:tcPr>
          <w:p>
            <w:pPr>
              <w:ind w:left="1000"/>
              <w:spacing w:after="0"/>
              <w:rPr>
                <w:sz w:val="20"/>
                <w:szCs w:val="20"/>
                <w:color w:val="auto"/>
              </w:rPr>
            </w:pPr>
            <w:r>
              <w:rPr>
                <w:rFonts w:ascii="Arial" w:cs="Arial" w:eastAsia="Arial" w:hAnsi="Arial"/>
                <w:sz w:val="22"/>
                <w:szCs w:val="22"/>
                <w:color w:val="auto"/>
                <w:w w:val="89"/>
              </w:rPr>
              <w:t>to institute and determine the terms and conditions of an Exchange Program;</w:t>
            </w:r>
          </w:p>
        </w:tc>
        <w:tc>
          <w:tcPr>
            <w:tcW w:w="0" w:type="dxa"/>
            <w:vAlign w:val="bottom"/>
          </w:tcPr>
          <w:p>
            <w:pPr>
              <w:spacing w:after="0"/>
              <w:rPr>
                <w:sz w:val="1"/>
                <w:szCs w:val="1"/>
                <w:color w:val="auto"/>
              </w:rPr>
            </w:pPr>
          </w:p>
        </w:tc>
      </w:tr>
      <w:tr>
        <w:trPr>
          <w:trHeight w:val="428"/>
        </w:trPr>
        <w:tc>
          <w:tcPr>
            <w:tcW w:w="3500" w:type="dxa"/>
            <w:vAlign w:val="bottom"/>
          </w:tcPr>
          <w:p>
            <w:pPr>
              <w:ind w:left="2260"/>
              <w:spacing w:after="0"/>
              <w:rPr>
                <w:sz w:val="20"/>
                <w:szCs w:val="20"/>
                <w:color w:val="auto"/>
              </w:rPr>
            </w:pPr>
            <w:r>
              <w:rPr>
                <w:rFonts w:ascii="Arial" w:cs="Arial" w:eastAsia="Arial" w:hAnsi="Arial"/>
                <w:sz w:val="22"/>
                <w:szCs w:val="22"/>
                <w:color w:val="auto"/>
              </w:rPr>
              <w:t>(g)</w:t>
            </w:r>
          </w:p>
        </w:tc>
        <w:tc>
          <w:tcPr>
            <w:tcW w:w="7740" w:type="dxa"/>
            <w:vAlign w:val="bottom"/>
          </w:tcPr>
          <w:p>
            <w:pPr>
              <w:ind w:left="1000"/>
              <w:spacing w:after="0"/>
              <w:rPr>
                <w:sz w:val="20"/>
                <w:szCs w:val="20"/>
                <w:color w:val="auto"/>
              </w:rPr>
            </w:pPr>
            <w:r>
              <w:rPr>
                <w:rFonts w:ascii="Arial" w:cs="Arial" w:eastAsia="Arial" w:hAnsi="Arial"/>
                <w:sz w:val="22"/>
                <w:szCs w:val="22"/>
                <w:color w:val="auto"/>
                <w:w w:val="90"/>
              </w:rPr>
              <w:t>to construe and interpret the terms of the Plan and Awards granted pursuant</w:t>
            </w:r>
          </w:p>
        </w:tc>
        <w:tc>
          <w:tcPr>
            <w:tcW w:w="0" w:type="dxa"/>
            <w:vAlign w:val="bottom"/>
          </w:tcPr>
          <w:p>
            <w:pPr>
              <w:spacing w:after="0"/>
              <w:rPr>
                <w:sz w:val="1"/>
                <w:szCs w:val="1"/>
                <w:color w:val="auto"/>
              </w:rPr>
            </w:pPr>
          </w:p>
        </w:tc>
      </w:tr>
      <w:tr>
        <w:trPr>
          <w:trHeight w:val="274"/>
        </w:trPr>
        <w:tc>
          <w:tcPr>
            <w:tcW w:w="3500" w:type="dxa"/>
            <w:vAlign w:val="bottom"/>
          </w:tcPr>
          <w:p>
            <w:pPr>
              <w:spacing w:after="0"/>
              <w:rPr>
                <w:sz w:val="20"/>
                <w:szCs w:val="20"/>
                <w:color w:val="auto"/>
              </w:rPr>
            </w:pPr>
            <w:r>
              <w:rPr>
                <w:rFonts w:ascii="Arial" w:cs="Arial" w:eastAsia="Arial" w:hAnsi="Arial"/>
                <w:sz w:val="22"/>
                <w:szCs w:val="22"/>
                <w:color w:val="auto"/>
              </w:rPr>
              <w:t>to the Plan;</w:t>
            </w:r>
          </w:p>
        </w:tc>
        <w:tc>
          <w:tcPr>
            <w:tcW w:w="7740" w:type="dxa"/>
            <w:vAlign w:val="bottom"/>
            <w:vMerge w:val="restart"/>
          </w:tcPr>
          <w:p>
            <w:pPr>
              <w:jc w:val="right"/>
              <w:ind w:right="5372"/>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7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500" w:type="dxa"/>
            <w:vAlign w:val="bottom"/>
            <w:tcBorders>
              <w:bottom w:val="single" w:sz="8" w:color="9A9A9A"/>
            </w:tcBorders>
          </w:tcPr>
          <w:p>
            <w:pPr>
              <w:spacing w:after="0"/>
              <w:rPr>
                <w:sz w:val="9"/>
                <w:szCs w:val="9"/>
                <w:color w:val="auto"/>
              </w:rPr>
            </w:pPr>
          </w:p>
        </w:tc>
        <w:tc>
          <w:tcPr>
            <w:tcW w:w="7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38" w:name="page139"/>
    <w:bookmarkEnd w:id="138"/>
    <w:p>
      <w:pPr>
        <w:jc w:val="both"/>
        <w:ind w:firstLine="2246"/>
        <w:spacing w:after="0" w:line="251" w:lineRule="exact"/>
        <w:rPr>
          <w:sz w:val="20"/>
          <w:szCs w:val="20"/>
          <w:color w:val="auto"/>
        </w:rPr>
      </w:pPr>
      <w:r>
        <w:rPr>
          <w:rFonts w:ascii="Arial" w:cs="Arial" w:eastAsia="Arial" w:hAnsi="Arial"/>
          <w:sz w:val="22"/>
          <w:szCs w:val="22"/>
          <w:color w:val="auto"/>
        </w:rPr>
        <w:t>(h) 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22"/>
          <w:szCs w:val="22"/>
          <w:color w:val="auto"/>
        </w:rPr>
        <w:t>‑</w:t>
      </w:r>
      <w:r>
        <w:rPr>
          <w:rFonts w:ascii="Arial" w:cs="Arial" w:eastAsia="Arial" w:hAnsi="Arial"/>
          <w:sz w:val="22"/>
          <w:szCs w:val="22"/>
          <w:color w:val="auto"/>
        </w:rPr>
        <w:t>U.S. laws, easing the administration of the Plan and/or for qualifying for favorable tax treatment under applicable non</w:t>
      </w:r>
      <w:r>
        <w:rPr>
          <w:rFonts w:ascii="MS PGothic" w:cs="MS PGothic" w:eastAsia="MS PGothic" w:hAnsi="MS PGothic"/>
          <w:sz w:val="22"/>
          <w:szCs w:val="22"/>
          <w:color w:val="auto"/>
        </w:rPr>
        <w:t>‑</w:t>
      </w:r>
      <w:r>
        <w:rPr>
          <w:rFonts w:ascii="Arial" w:cs="Arial" w:eastAsia="Arial" w:hAnsi="Arial"/>
          <w:sz w:val="22"/>
          <w:szCs w:val="22"/>
          <w:color w:val="auto"/>
        </w:rPr>
        <w:t>U.S. laws, in each case as the Administrator may deem necessary or advisable;</w:t>
      </w:r>
    </w:p>
    <w:p>
      <w:pPr>
        <w:spacing w:after="0" w:line="185"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to modify or amend each Award (subject to Section 20.3 of the Plan), including but not limited to the discretionary authority to extend the post-termination exercisability period of Awards and to extend the maximum term of an Option or Stock Appreciation Right (subject to Sections 6.4 and 7.5 of the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4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Arial" w:cs="Arial" w:eastAsia="Arial" w:hAnsi="Arial"/>
                <w:sz w:val="22"/>
                <w:szCs w:val="22"/>
                <w:color w:val="auto"/>
              </w:rPr>
              <w:t>(j)</w:t>
            </w:r>
          </w:p>
        </w:tc>
        <w:tc>
          <w:tcPr>
            <w:tcW w:w="2780" w:type="dxa"/>
            <w:vAlign w:val="bottom"/>
            <w:gridSpan w:val="2"/>
          </w:tcPr>
          <w:p>
            <w:pPr>
              <w:ind w:left="880"/>
              <w:spacing w:after="0"/>
              <w:rPr>
                <w:sz w:val="20"/>
                <w:szCs w:val="20"/>
                <w:color w:val="auto"/>
              </w:rPr>
            </w:pPr>
            <w:r>
              <w:rPr>
                <w:rFonts w:ascii="Arial" w:cs="Arial" w:eastAsia="Arial" w:hAnsi="Arial"/>
                <w:sz w:val="22"/>
                <w:szCs w:val="22"/>
                <w:color w:val="auto"/>
                <w:w w:val="96"/>
              </w:rPr>
              <w:t>to allow Participants</w:t>
            </w:r>
          </w:p>
        </w:tc>
        <w:tc>
          <w:tcPr>
            <w:tcW w:w="2140" w:type="dxa"/>
            <w:vAlign w:val="bottom"/>
          </w:tcPr>
          <w:p>
            <w:pPr>
              <w:jc w:val="right"/>
              <w:spacing w:after="0"/>
              <w:rPr>
                <w:sz w:val="20"/>
                <w:szCs w:val="20"/>
                <w:color w:val="auto"/>
              </w:rPr>
            </w:pPr>
            <w:r>
              <w:rPr>
                <w:rFonts w:ascii="Arial" w:cs="Arial" w:eastAsia="Arial" w:hAnsi="Arial"/>
                <w:sz w:val="22"/>
                <w:szCs w:val="22"/>
                <w:color w:val="auto"/>
              </w:rPr>
              <w:t>to satisfy withholding</w:t>
            </w:r>
          </w:p>
        </w:tc>
        <w:tc>
          <w:tcPr>
            <w:tcW w:w="2700" w:type="dxa"/>
            <w:vAlign w:val="bottom"/>
            <w:gridSpan w:val="3"/>
          </w:tcPr>
          <w:p>
            <w:pPr>
              <w:jc w:val="right"/>
              <w:spacing w:after="0"/>
              <w:rPr>
                <w:sz w:val="20"/>
                <w:szCs w:val="20"/>
                <w:color w:val="auto"/>
              </w:rPr>
            </w:pPr>
            <w:r>
              <w:rPr>
                <w:rFonts w:ascii="Arial" w:cs="Arial" w:eastAsia="Arial" w:hAnsi="Arial"/>
                <w:sz w:val="22"/>
                <w:szCs w:val="22"/>
                <w:color w:val="auto"/>
              </w:rPr>
              <w:t>tax obligations in a manner</w:t>
            </w:r>
          </w:p>
        </w:tc>
        <w:tc>
          <w:tcPr>
            <w:tcW w:w="0" w:type="dxa"/>
            <w:vAlign w:val="bottom"/>
          </w:tcPr>
          <w:p>
            <w:pPr>
              <w:spacing w:after="0"/>
              <w:rPr>
                <w:sz w:val="1"/>
                <w:szCs w:val="1"/>
                <w:color w:val="auto"/>
              </w:rPr>
            </w:pPr>
          </w:p>
        </w:tc>
      </w:tr>
      <w:tr>
        <w:trPr>
          <w:trHeight w:val="274"/>
        </w:trPr>
        <w:tc>
          <w:tcPr>
            <w:tcW w:w="3620" w:type="dxa"/>
            <w:vAlign w:val="bottom"/>
            <w:gridSpan w:val="2"/>
          </w:tcPr>
          <w:p>
            <w:pPr>
              <w:spacing w:after="0"/>
              <w:rPr>
                <w:sz w:val="20"/>
                <w:szCs w:val="20"/>
                <w:color w:val="auto"/>
              </w:rPr>
            </w:pPr>
            <w:r>
              <w:rPr>
                <w:rFonts w:ascii="Arial" w:cs="Arial" w:eastAsia="Arial" w:hAnsi="Arial"/>
                <w:sz w:val="22"/>
                <w:szCs w:val="22"/>
                <w:color w:val="auto"/>
              </w:rPr>
              <w:t>prescribed in Section 16 of the Plan;</w:t>
            </w:r>
          </w:p>
        </w:tc>
        <w:tc>
          <w:tcPr>
            <w:tcW w:w="1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140" w:type="dxa"/>
            <w:vAlign w:val="bottom"/>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22"/>
                <w:szCs w:val="22"/>
                <w:color w:val="auto"/>
              </w:rPr>
              <w:t>(k)</w:t>
            </w:r>
          </w:p>
        </w:tc>
        <w:tc>
          <w:tcPr>
            <w:tcW w:w="7620" w:type="dxa"/>
            <w:vAlign w:val="bottom"/>
            <w:gridSpan w:val="6"/>
          </w:tcPr>
          <w:p>
            <w:pPr>
              <w:jc w:val="right"/>
              <w:spacing w:after="0"/>
              <w:rPr>
                <w:sz w:val="20"/>
                <w:szCs w:val="20"/>
                <w:color w:val="auto"/>
              </w:rPr>
            </w:pPr>
            <w:r>
              <w:rPr>
                <w:rFonts w:ascii="Arial" w:cs="Arial" w:eastAsia="Arial" w:hAnsi="Arial"/>
                <w:sz w:val="22"/>
                <w:szCs w:val="22"/>
                <w:color w:val="auto"/>
              </w:rPr>
              <w:t>to authorize any person to execute on behalf of the Company any instrument</w:t>
            </w:r>
          </w:p>
        </w:tc>
        <w:tc>
          <w:tcPr>
            <w:tcW w:w="0" w:type="dxa"/>
            <w:vAlign w:val="bottom"/>
          </w:tcPr>
          <w:p>
            <w:pPr>
              <w:spacing w:after="0"/>
              <w:rPr>
                <w:sz w:val="1"/>
                <w:szCs w:val="1"/>
                <w:color w:val="auto"/>
              </w:rPr>
            </w:pPr>
          </w:p>
        </w:tc>
      </w:tr>
      <w:tr>
        <w:trPr>
          <w:trHeight w:val="274"/>
        </w:trPr>
        <w:tc>
          <w:tcPr>
            <w:tcW w:w="8540" w:type="dxa"/>
            <w:vAlign w:val="bottom"/>
            <w:gridSpan w:val="5"/>
          </w:tcPr>
          <w:p>
            <w:pPr>
              <w:spacing w:after="0"/>
              <w:rPr>
                <w:sz w:val="20"/>
                <w:szCs w:val="20"/>
                <w:color w:val="auto"/>
              </w:rPr>
            </w:pPr>
            <w:r>
              <w:rPr>
                <w:rFonts w:ascii="Arial" w:cs="Arial" w:eastAsia="Arial" w:hAnsi="Arial"/>
                <w:sz w:val="22"/>
                <w:szCs w:val="22"/>
                <w:color w:val="auto"/>
              </w:rPr>
              <w:t>required to effect the grant of an Award previously granted by the Administrator;</w:t>
            </w: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140" w:type="dxa"/>
            <w:vAlign w:val="bottom"/>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22"/>
                <w:szCs w:val="22"/>
                <w:color w:val="auto"/>
              </w:rPr>
              <w:t>(l)</w:t>
            </w:r>
          </w:p>
        </w:tc>
        <w:tc>
          <w:tcPr>
            <w:tcW w:w="7620" w:type="dxa"/>
            <w:vAlign w:val="bottom"/>
            <w:gridSpan w:val="6"/>
          </w:tcPr>
          <w:p>
            <w:pPr>
              <w:jc w:val="right"/>
              <w:spacing w:after="0"/>
              <w:rPr>
                <w:sz w:val="20"/>
                <w:szCs w:val="20"/>
                <w:color w:val="auto"/>
              </w:rPr>
            </w:pPr>
            <w:r>
              <w:rPr>
                <w:rFonts w:ascii="Arial" w:cs="Arial" w:eastAsia="Arial" w:hAnsi="Arial"/>
                <w:sz w:val="22"/>
                <w:szCs w:val="22"/>
                <w:color w:val="auto"/>
              </w:rPr>
              <w:t>to allow a Participant to defer the receipt of the payment of cash or the</w:t>
            </w:r>
          </w:p>
        </w:tc>
        <w:tc>
          <w:tcPr>
            <w:tcW w:w="0" w:type="dxa"/>
            <w:vAlign w:val="bottom"/>
          </w:tcPr>
          <w:p>
            <w:pPr>
              <w:spacing w:after="0"/>
              <w:rPr>
                <w:sz w:val="1"/>
                <w:szCs w:val="1"/>
                <w:color w:val="auto"/>
              </w:rPr>
            </w:pPr>
          </w:p>
        </w:tc>
      </w:tr>
      <w:tr>
        <w:trPr>
          <w:trHeight w:val="274"/>
        </w:trPr>
        <w:tc>
          <w:tcPr>
            <w:tcW w:w="8540" w:type="dxa"/>
            <w:vAlign w:val="bottom"/>
            <w:gridSpan w:val="5"/>
          </w:tcPr>
          <w:p>
            <w:pPr>
              <w:spacing w:after="0"/>
              <w:rPr>
                <w:sz w:val="20"/>
                <w:szCs w:val="20"/>
                <w:color w:val="auto"/>
              </w:rPr>
            </w:pPr>
            <w:r>
              <w:rPr>
                <w:rFonts w:ascii="Arial" w:cs="Arial" w:eastAsia="Arial" w:hAnsi="Arial"/>
                <w:sz w:val="22"/>
                <w:szCs w:val="22"/>
                <w:color w:val="auto"/>
                <w:w w:val="99"/>
              </w:rPr>
              <w:t>delivery of Shares that otherwise would be due to such Participant under an Award; and</w:t>
            </w: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140" w:type="dxa"/>
            <w:vAlign w:val="bottom"/>
            <w:vMerge w:val="restart"/>
          </w:tcPr>
          <w:p>
            <w:pPr>
              <w:spacing w:after="0"/>
              <w:rPr>
                <w:sz w:val="20"/>
                <w:szCs w:val="20"/>
                <w:color w:val="auto"/>
              </w:rPr>
            </w:pPr>
            <w:r>
              <w:rPr>
                <w:rFonts w:ascii="Arial" w:cs="Arial" w:eastAsia="Arial" w:hAnsi="Arial"/>
                <w:sz w:val="22"/>
                <w:szCs w:val="22"/>
                <w:color w:val="auto"/>
                <w:w w:val="94"/>
              </w:rPr>
              <w:t>administering the Plan.</w:t>
            </w:r>
          </w:p>
        </w:tc>
        <w:tc>
          <w:tcPr>
            <w:tcW w:w="1480" w:type="dxa"/>
            <w:vAlign w:val="bottom"/>
          </w:tcPr>
          <w:p>
            <w:pPr>
              <w:ind w:left="120"/>
              <w:spacing w:after="0"/>
              <w:rPr>
                <w:sz w:val="20"/>
                <w:szCs w:val="20"/>
                <w:color w:val="auto"/>
              </w:rPr>
            </w:pPr>
            <w:r>
              <w:rPr>
                <w:rFonts w:ascii="Arial" w:cs="Arial" w:eastAsia="Arial" w:hAnsi="Arial"/>
                <w:sz w:val="22"/>
                <w:szCs w:val="22"/>
                <w:color w:val="auto"/>
              </w:rPr>
              <w:t>(m)</w:t>
            </w:r>
          </w:p>
        </w:tc>
        <w:tc>
          <w:tcPr>
            <w:tcW w:w="1820" w:type="dxa"/>
            <w:vAlign w:val="bottom"/>
          </w:tcPr>
          <w:p>
            <w:pPr>
              <w:ind w:left="880"/>
              <w:spacing w:after="0"/>
              <w:rPr>
                <w:sz w:val="20"/>
                <w:szCs w:val="20"/>
                <w:color w:val="auto"/>
              </w:rPr>
            </w:pPr>
            <w:r>
              <w:rPr>
                <w:rFonts w:ascii="Arial" w:cs="Arial" w:eastAsia="Arial" w:hAnsi="Arial"/>
                <w:sz w:val="22"/>
                <w:szCs w:val="22"/>
                <w:color w:val="auto"/>
              </w:rPr>
              <w:t>to  make</w:t>
            </w:r>
          </w:p>
        </w:tc>
        <w:tc>
          <w:tcPr>
            <w:tcW w:w="960" w:type="dxa"/>
            <w:vAlign w:val="bottom"/>
          </w:tcPr>
          <w:p>
            <w:pPr>
              <w:spacing w:after="0"/>
              <w:rPr>
                <w:sz w:val="20"/>
                <w:szCs w:val="20"/>
                <w:color w:val="auto"/>
              </w:rPr>
            </w:pPr>
            <w:r>
              <w:rPr>
                <w:rFonts w:ascii="Arial" w:cs="Arial" w:eastAsia="Arial" w:hAnsi="Arial"/>
                <w:sz w:val="22"/>
                <w:szCs w:val="22"/>
                <w:color w:val="auto"/>
              </w:rPr>
              <w:t>all  other</w:t>
            </w:r>
          </w:p>
        </w:tc>
        <w:tc>
          <w:tcPr>
            <w:tcW w:w="2140" w:type="dxa"/>
            <w:vAlign w:val="bottom"/>
          </w:tcPr>
          <w:p>
            <w:pPr>
              <w:jc w:val="right"/>
              <w:spacing w:after="0"/>
              <w:rPr>
                <w:sz w:val="20"/>
                <w:szCs w:val="20"/>
                <w:color w:val="auto"/>
              </w:rPr>
            </w:pPr>
            <w:r>
              <w:rPr>
                <w:rFonts w:ascii="Arial" w:cs="Arial" w:eastAsia="Arial" w:hAnsi="Arial"/>
                <w:sz w:val="22"/>
                <w:szCs w:val="22"/>
                <w:color w:val="auto"/>
                <w:w w:val="88"/>
              </w:rPr>
              <w:t>determinations  deemed</w:t>
            </w:r>
          </w:p>
        </w:tc>
        <w:tc>
          <w:tcPr>
            <w:tcW w:w="980" w:type="dxa"/>
            <w:vAlign w:val="bottom"/>
          </w:tcPr>
          <w:p>
            <w:pPr>
              <w:ind w:left="140"/>
              <w:spacing w:after="0"/>
              <w:rPr>
                <w:sz w:val="20"/>
                <w:szCs w:val="20"/>
                <w:color w:val="auto"/>
              </w:rPr>
            </w:pPr>
            <w:r>
              <w:rPr>
                <w:rFonts w:ascii="Arial" w:cs="Arial" w:eastAsia="Arial" w:hAnsi="Arial"/>
                <w:sz w:val="22"/>
                <w:szCs w:val="22"/>
                <w:color w:val="auto"/>
                <w:w w:val="81"/>
              </w:rPr>
              <w:t>necessary</w:t>
            </w:r>
          </w:p>
        </w:tc>
        <w:tc>
          <w:tcPr>
            <w:tcW w:w="1360" w:type="dxa"/>
            <w:vAlign w:val="bottom"/>
          </w:tcPr>
          <w:p>
            <w:pPr>
              <w:ind w:left="160"/>
              <w:spacing w:after="0"/>
              <w:rPr>
                <w:sz w:val="20"/>
                <w:szCs w:val="20"/>
                <w:color w:val="auto"/>
              </w:rPr>
            </w:pPr>
            <w:r>
              <w:rPr>
                <w:rFonts w:ascii="Arial" w:cs="Arial" w:eastAsia="Arial" w:hAnsi="Arial"/>
                <w:sz w:val="22"/>
                <w:szCs w:val="22"/>
                <w:color w:val="auto"/>
                <w:w w:val="94"/>
              </w:rPr>
              <w:t>or  advisable</w:t>
            </w:r>
          </w:p>
        </w:tc>
        <w:tc>
          <w:tcPr>
            <w:tcW w:w="360" w:type="dxa"/>
            <w:vAlign w:val="bottom"/>
          </w:tcPr>
          <w:p>
            <w:pPr>
              <w:jc w:val="right"/>
              <w:spacing w:after="0"/>
              <w:rPr>
                <w:sz w:val="20"/>
                <w:szCs w:val="20"/>
                <w:color w:val="auto"/>
              </w:rPr>
            </w:pPr>
            <w:r>
              <w:rPr>
                <w:rFonts w:ascii="Arial" w:cs="Arial" w:eastAsia="Arial" w:hAnsi="Arial"/>
                <w:sz w:val="22"/>
                <w:szCs w:val="22"/>
                <w:color w:val="auto"/>
              </w:rPr>
              <w:t>for</w:t>
            </w:r>
          </w:p>
        </w:tc>
        <w:tc>
          <w:tcPr>
            <w:tcW w:w="0" w:type="dxa"/>
            <w:vAlign w:val="bottom"/>
          </w:tcPr>
          <w:p>
            <w:pPr>
              <w:spacing w:after="0"/>
              <w:rPr>
                <w:sz w:val="1"/>
                <w:szCs w:val="1"/>
                <w:color w:val="auto"/>
              </w:rPr>
            </w:pPr>
          </w:p>
        </w:tc>
      </w:tr>
      <w:tr>
        <w:trPr>
          <w:trHeight w:val="243"/>
        </w:trPr>
        <w:tc>
          <w:tcPr>
            <w:tcW w:w="2140" w:type="dxa"/>
            <w:vAlign w:val="bottom"/>
            <w:vMerge w:val="continue"/>
          </w:tcPr>
          <w:p>
            <w:pPr>
              <w:spacing w:after="0"/>
              <w:rPr>
                <w:sz w:val="21"/>
                <w:szCs w:val="21"/>
                <w:color w:val="auto"/>
              </w:rPr>
            </w:pPr>
          </w:p>
        </w:tc>
        <w:tc>
          <w:tcPr>
            <w:tcW w:w="1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2140" w:type="dxa"/>
            <w:vAlign w:val="bottom"/>
          </w:tcPr>
          <w:p>
            <w:pPr>
              <w:ind w:left="1500"/>
              <w:spacing w:after="0"/>
              <w:rPr>
                <w:sz w:val="20"/>
                <w:szCs w:val="20"/>
                <w:color w:val="auto"/>
              </w:rPr>
            </w:pPr>
            <w:r>
              <w:rPr>
                <w:rFonts w:ascii="Arial" w:cs="Arial" w:eastAsia="Arial" w:hAnsi="Arial"/>
                <w:sz w:val="22"/>
                <w:szCs w:val="22"/>
                <w:color w:val="auto"/>
              </w:rPr>
              <w:t>4.3</w:t>
            </w:r>
          </w:p>
        </w:tc>
        <w:tc>
          <w:tcPr>
            <w:tcW w:w="1480" w:type="dxa"/>
            <w:vAlign w:val="bottom"/>
          </w:tcPr>
          <w:p>
            <w:pPr>
              <w:ind w:left="860"/>
              <w:spacing w:after="0"/>
              <w:rPr>
                <w:sz w:val="20"/>
                <w:szCs w:val="20"/>
                <w:color w:val="auto"/>
              </w:rPr>
            </w:pPr>
            <w:r>
              <w:rPr>
                <w:rFonts w:ascii="Arial" w:cs="Arial" w:eastAsia="Arial" w:hAnsi="Arial"/>
                <w:sz w:val="22"/>
                <w:szCs w:val="22"/>
                <w:b w:val="1"/>
                <w:bCs w:val="1"/>
                <w:color w:val="auto"/>
                <w:w w:val="98"/>
              </w:rPr>
              <w:t>Effect</w:t>
            </w:r>
          </w:p>
        </w:tc>
        <w:tc>
          <w:tcPr>
            <w:tcW w:w="1820" w:type="dxa"/>
            <w:vAlign w:val="bottom"/>
          </w:tcPr>
          <w:p>
            <w:pPr>
              <w:ind w:left="40"/>
              <w:spacing w:after="0"/>
              <w:rPr>
                <w:sz w:val="20"/>
                <w:szCs w:val="20"/>
                <w:color w:val="auto"/>
              </w:rPr>
            </w:pPr>
            <w:r>
              <w:rPr>
                <w:rFonts w:ascii="Arial" w:cs="Arial" w:eastAsia="Arial" w:hAnsi="Arial"/>
                <w:sz w:val="22"/>
                <w:szCs w:val="22"/>
                <w:b w:val="1"/>
                <w:bCs w:val="1"/>
                <w:color w:val="auto"/>
                <w:w w:val="92"/>
              </w:rPr>
              <w:t>of Administrator’s</w:t>
            </w:r>
          </w:p>
        </w:tc>
        <w:tc>
          <w:tcPr>
            <w:tcW w:w="960" w:type="dxa"/>
            <w:vAlign w:val="bottom"/>
          </w:tcPr>
          <w:p>
            <w:pPr>
              <w:ind w:left="120"/>
              <w:spacing w:after="0"/>
              <w:rPr>
                <w:sz w:val="20"/>
                <w:szCs w:val="20"/>
                <w:color w:val="auto"/>
              </w:rPr>
            </w:pPr>
            <w:r>
              <w:rPr>
                <w:rFonts w:ascii="Arial" w:cs="Arial" w:eastAsia="Arial" w:hAnsi="Arial"/>
                <w:sz w:val="22"/>
                <w:szCs w:val="22"/>
                <w:b w:val="1"/>
                <w:bCs w:val="1"/>
                <w:color w:val="auto"/>
                <w:w w:val="83"/>
              </w:rPr>
              <w:t>Decision</w:t>
            </w:r>
            <w:r>
              <w:rPr>
                <w:rFonts w:ascii="Arial" w:cs="Arial" w:eastAsia="Arial" w:hAnsi="Arial"/>
                <w:sz w:val="22"/>
                <w:szCs w:val="22"/>
                <w:color w:val="auto"/>
                <w:w w:val="83"/>
              </w:rPr>
              <w:t>.</w:t>
            </w:r>
          </w:p>
        </w:tc>
        <w:tc>
          <w:tcPr>
            <w:tcW w:w="2140" w:type="dxa"/>
            <w:vAlign w:val="bottom"/>
          </w:tcPr>
          <w:p>
            <w:pPr>
              <w:jc w:val="right"/>
              <w:spacing w:after="0"/>
              <w:rPr>
                <w:sz w:val="20"/>
                <w:szCs w:val="20"/>
                <w:color w:val="auto"/>
              </w:rPr>
            </w:pPr>
            <w:r>
              <w:rPr>
                <w:rFonts w:ascii="Arial" w:cs="Arial" w:eastAsia="Arial" w:hAnsi="Arial"/>
                <w:sz w:val="22"/>
                <w:szCs w:val="22"/>
                <w:color w:val="auto"/>
              </w:rPr>
              <w:t>The Administrator’s</w:t>
            </w:r>
          </w:p>
        </w:tc>
        <w:tc>
          <w:tcPr>
            <w:tcW w:w="980" w:type="dxa"/>
            <w:vAlign w:val="bottom"/>
          </w:tcPr>
          <w:p>
            <w:pPr>
              <w:spacing w:after="0"/>
              <w:rPr>
                <w:sz w:val="20"/>
                <w:szCs w:val="20"/>
                <w:color w:val="auto"/>
              </w:rPr>
            </w:pPr>
            <w:r>
              <w:rPr>
                <w:rFonts w:ascii="Arial" w:cs="Arial" w:eastAsia="Arial" w:hAnsi="Arial"/>
                <w:sz w:val="22"/>
                <w:szCs w:val="22"/>
                <w:color w:val="auto"/>
                <w:w w:val="98"/>
              </w:rPr>
              <w:t>decisions,</w:t>
            </w:r>
          </w:p>
        </w:tc>
        <w:tc>
          <w:tcPr>
            <w:tcW w:w="1360" w:type="dxa"/>
            <w:vAlign w:val="bottom"/>
          </w:tcPr>
          <w:p>
            <w:pPr>
              <w:spacing w:after="0"/>
              <w:rPr>
                <w:sz w:val="20"/>
                <w:szCs w:val="20"/>
                <w:color w:val="auto"/>
              </w:rPr>
            </w:pPr>
            <w:r>
              <w:rPr>
                <w:rFonts w:ascii="Arial" w:cs="Arial" w:eastAsia="Arial" w:hAnsi="Arial"/>
                <w:sz w:val="22"/>
                <w:szCs w:val="22"/>
                <w:color w:val="auto"/>
                <w:w w:val="92"/>
              </w:rPr>
              <w:t>determinations</w:t>
            </w:r>
          </w:p>
        </w:tc>
        <w:tc>
          <w:tcPr>
            <w:tcW w:w="360" w:type="dxa"/>
            <w:vAlign w:val="bottom"/>
          </w:tcPr>
          <w:p>
            <w:pPr>
              <w:jc w:val="right"/>
              <w:spacing w:after="0"/>
              <w:rPr>
                <w:sz w:val="20"/>
                <w:szCs w:val="20"/>
                <w:color w:val="auto"/>
              </w:rPr>
            </w:pPr>
            <w:r>
              <w:rPr>
                <w:rFonts w:ascii="Arial" w:cs="Arial" w:eastAsia="Arial" w:hAnsi="Arial"/>
                <w:sz w:val="22"/>
                <w:szCs w:val="22"/>
                <w:color w:val="auto"/>
                <w:w w:val="92"/>
              </w:rPr>
              <w:t>and</w:t>
            </w:r>
          </w:p>
        </w:tc>
        <w:tc>
          <w:tcPr>
            <w:tcW w:w="0" w:type="dxa"/>
            <w:vAlign w:val="bottom"/>
          </w:tcPr>
          <w:p>
            <w:pPr>
              <w:spacing w:after="0"/>
              <w:rPr>
                <w:sz w:val="1"/>
                <w:szCs w:val="1"/>
                <w:color w:val="auto"/>
              </w:rPr>
            </w:pPr>
          </w:p>
        </w:tc>
      </w:tr>
    </w:tbl>
    <w:p>
      <w:pPr>
        <w:jc w:val="both"/>
        <w:ind w:right="20"/>
        <w:spacing w:after="0" w:line="236" w:lineRule="auto"/>
        <w:rPr>
          <w:sz w:val="20"/>
          <w:szCs w:val="20"/>
          <w:color w:val="auto"/>
        </w:rPr>
      </w:pPr>
      <w:r>
        <w:rPr>
          <w:rFonts w:ascii="Arial" w:cs="Arial" w:eastAsia="Arial" w:hAnsi="Arial"/>
          <w:sz w:val="22"/>
          <w:szCs w:val="22"/>
          <w:color w:val="auto"/>
        </w:rPr>
        <w:t>interpretations will be final and binding on all Participants and any other holders of Awards and will be given the maximum deference permitted by Applicable Laws.</w:t>
      </w:r>
    </w:p>
    <w:p>
      <w:pPr>
        <w:spacing w:after="0" w:line="181" w:lineRule="exact"/>
        <w:rPr>
          <w:sz w:val="20"/>
          <w:szCs w:val="20"/>
          <w:color w:val="auto"/>
        </w:rPr>
      </w:pPr>
    </w:p>
    <w:p>
      <w:pPr>
        <w:ind w:right="20" w:firstLine="757"/>
        <w:spacing w:after="0" w:line="334" w:lineRule="auto"/>
        <w:tabs>
          <w:tab w:leader="none" w:pos="1498"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Eligibility</w:t>
      </w:r>
      <w:r>
        <w:rPr>
          <w:rFonts w:ascii="Arial" w:cs="Arial" w:eastAsia="Arial" w:hAnsi="Arial"/>
          <w:sz w:val="19"/>
          <w:szCs w:val="19"/>
          <w:color w:val="auto"/>
        </w:rPr>
        <w:t>. Nonstatutory Stock Options, Stock Appreciation Rights, Restricted Stock,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or Performance Awards may be granted to Service Providers. Incentive Stock Options may be granted only to Employees.</w:t>
      </w:r>
    </w:p>
    <w:p>
      <w:pPr>
        <w:spacing w:after="0" w:line="93" w:lineRule="exact"/>
        <w:rPr>
          <w:rFonts w:ascii="Arial" w:cs="Arial" w:eastAsia="Arial" w:hAnsi="Arial"/>
          <w:sz w:val="19"/>
          <w:szCs w:val="19"/>
          <w:color w:val="auto"/>
        </w:rPr>
      </w:pPr>
    </w:p>
    <w:p>
      <w:pPr>
        <w:ind w:left="1500" w:hanging="743"/>
        <w:spacing w:after="0"/>
        <w:tabs>
          <w:tab w:leader="none" w:pos="1500"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Stock Options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497"/>
        <w:spacing w:after="0" w:line="24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Grant of Options</w:t>
      </w:r>
      <w:r>
        <w:rPr>
          <w:rFonts w:ascii="Arial" w:cs="Arial" w:eastAsia="Arial" w:hAnsi="Arial"/>
          <w:sz w:val="22"/>
          <w:szCs w:val="22"/>
          <w:color w:val="auto"/>
        </w:rPr>
        <w:t>. Subject to the terms and provisions of the Plan, the Administrator, at any time and from time to time, may grant Options to Service Providers in such amounts as the Administrator, in its sole discretion, will determine.</w:t>
      </w:r>
    </w:p>
    <w:p>
      <w:pPr>
        <w:spacing w:after="0" w:line="177"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Option Agreement</w:t>
      </w:r>
      <w:r>
        <w:rPr>
          <w:rFonts w:ascii="Arial" w:cs="Arial" w:eastAsia="Arial" w:hAnsi="Arial"/>
          <w:sz w:val="19"/>
          <w:szCs w:val="19"/>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26"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color w:val="auto"/>
        </w:rPr>
        <w:t>Limitations</w:t>
      </w:r>
      <w:r>
        <w:rPr>
          <w:rFonts w:ascii="Arial" w:cs="Arial" w:eastAsia="Arial" w:hAnsi="Arial"/>
          <w:sz w:val="19"/>
          <w:szCs w:val="19"/>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9" w:name="page140"/>
    <w:bookmarkEnd w:id="139"/>
    <w:p>
      <w:pPr>
        <w:jc w:val="both"/>
        <w:spacing w:after="0"/>
        <w:rPr>
          <w:sz w:val="20"/>
          <w:szCs w:val="20"/>
          <w:color w:val="auto"/>
        </w:rPr>
      </w:pPr>
      <w:r>
        <w:rPr>
          <w:rFonts w:ascii="Arial" w:cs="Arial" w:eastAsia="Arial" w:hAnsi="Arial"/>
          <w:sz w:val="22"/>
          <w:szCs w:val="22"/>
          <w:color w:val="auto"/>
        </w:rPr>
        <w:t>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80"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Term of Option</w:t>
      </w:r>
      <w:r>
        <w:rPr>
          <w:rFonts w:ascii="Arial" w:cs="Arial" w:eastAsia="Arial" w:hAnsi="Arial"/>
          <w:sz w:val="22"/>
          <w:szCs w:val="22"/>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term of the Incentive Stock Option will be five (5) years from the date of grant or such shorter term as may be provided in the Award Agreement.</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280"/>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6.5</w:t>
            </w:r>
          </w:p>
        </w:tc>
        <w:tc>
          <w:tcPr>
            <w:tcW w:w="8400" w:type="dxa"/>
            <w:vAlign w:val="bottom"/>
          </w:tcPr>
          <w:p>
            <w:pPr>
              <w:ind w:left="160"/>
              <w:spacing w:after="0"/>
              <w:rPr>
                <w:sz w:val="20"/>
                <w:szCs w:val="20"/>
                <w:color w:val="auto"/>
              </w:rPr>
            </w:pPr>
            <w:r>
              <w:rPr>
                <w:rFonts w:ascii="Arial" w:cs="Arial" w:eastAsia="Arial" w:hAnsi="Arial"/>
                <w:sz w:val="22"/>
                <w:szCs w:val="22"/>
                <w:b w:val="1"/>
                <w:bCs w:val="1"/>
                <w:color w:val="auto"/>
              </w:rPr>
              <w:t>Option Exercise Price and Consideration</w:t>
            </w:r>
            <w:r>
              <w:rPr>
                <w:rFonts w:ascii="Arial" w:cs="Arial" w:eastAsia="Arial" w:hAnsi="Arial"/>
                <w:sz w:val="22"/>
                <w:szCs w:val="22"/>
                <w:color w:val="auto"/>
              </w:rPr>
              <w:t>.</w:t>
            </w:r>
          </w:p>
        </w:tc>
      </w:tr>
      <w:tr>
        <w:trPr>
          <w:trHeight w:val="446"/>
        </w:trPr>
        <w:tc>
          <w:tcPr>
            <w:tcW w:w="1340" w:type="dxa"/>
            <w:vAlign w:val="bottom"/>
          </w:tcPr>
          <w:p>
            <w:pPr>
              <w:jc w:val="right"/>
              <w:ind w:right="52"/>
              <w:spacing w:after="0"/>
              <w:rPr>
                <w:sz w:val="20"/>
                <w:szCs w:val="20"/>
                <w:color w:val="auto"/>
              </w:rPr>
            </w:pPr>
            <w:r>
              <w:rPr>
                <w:rFonts w:ascii="Arial" w:cs="Arial" w:eastAsia="Arial" w:hAnsi="Arial"/>
                <w:sz w:val="22"/>
                <w:szCs w:val="22"/>
                <w:color w:val="auto"/>
              </w:rPr>
              <w:t>6.5.1</w:t>
            </w:r>
          </w:p>
        </w:tc>
        <w:tc>
          <w:tcPr>
            <w:tcW w:w="8400" w:type="dxa"/>
            <w:vAlign w:val="bottom"/>
          </w:tcPr>
          <w:p>
            <w:pPr>
              <w:ind w:left="1660"/>
              <w:spacing w:after="0"/>
              <w:rPr>
                <w:sz w:val="20"/>
                <w:szCs w:val="20"/>
                <w:color w:val="auto"/>
              </w:rPr>
            </w:pPr>
            <w:r>
              <w:rPr>
                <w:rFonts w:ascii="Arial" w:cs="Arial" w:eastAsia="Arial" w:hAnsi="Arial"/>
                <w:sz w:val="22"/>
                <w:szCs w:val="22"/>
                <w:b w:val="1"/>
                <w:bCs w:val="1"/>
                <w:color w:val="auto"/>
                <w:w w:val="93"/>
              </w:rPr>
              <w:t>Exercise Price</w:t>
            </w:r>
            <w:r>
              <w:rPr>
                <w:rFonts w:ascii="Arial" w:cs="Arial" w:eastAsia="Arial" w:hAnsi="Arial"/>
                <w:sz w:val="22"/>
                <w:szCs w:val="22"/>
                <w:color w:val="auto"/>
                <w:w w:val="93"/>
              </w:rPr>
              <w:t>.  The per Share exercise price for the Shares to be issued</w:t>
            </w:r>
          </w:p>
        </w:tc>
      </w:tr>
    </w:tbl>
    <w:p>
      <w:pPr>
        <w:jc w:val="both"/>
        <w:spacing w:after="0" w:line="273" w:lineRule="auto"/>
        <w:rPr>
          <w:sz w:val="20"/>
          <w:szCs w:val="20"/>
          <w:color w:val="auto"/>
        </w:rPr>
      </w:pPr>
      <w:r>
        <w:rPr>
          <w:rFonts w:ascii="Arial" w:cs="Arial" w:eastAsia="Arial" w:hAnsi="Arial"/>
          <w:sz w:val="19"/>
          <w:szCs w:val="19"/>
          <w:color w:val="auto"/>
        </w:rPr>
        <w:t>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53"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color w:val="auto"/>
        </w:rPr>
        <w:t xml:space="preserve">6.5.2 </w:t>
      </w:r>
      <w:r>
        <w:rPr>
          <w:rFonts w:ascii="Arial" w:cs="Arial" w:eastAsia="Arial" w:hAnsi="Arial"/>
          <w:sz w:val="22"/>
          <w:szCs w:val="22"/>
          <w:b w:val="1"/>
          <w:bCs w:val="1"/>
          <w:color w:val="auto"/>
        </w:rPr>
        <w:t>Waiting Period and Exercise Dates</w:t>
      </w:r>
      <w:r>
        <w:rPr>
          <w:rFonts w:ascii="Arial" w:cs="Arial" w:eastAsia="Arial" w:hAnsi="Arial"/>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77"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1"/>
          <w:szCs w:val="21"/>
          <w:color w:val="auto"/>
        </w:rPr>
        <w:t xml:space="preserve">6.5.3 </w:t>
      </w:r>
      <w:r>
        <w:rPr>
          <w:rFonts w:ascii="Arial" w:cs="Arial" w:eastAsia="Arial" w:hAnsi="Arial"/>
          <w:sz w:val="21"/>
          <w:szCs w:val="21"/>
          <w:b w:val="1"/>
          <w:bCs w:val="1"/>
          <w:color w:val="auto"/>
        </w:rPr>
        <w:t>Form of Consideration</w:t>
      </w:r>
      <w:r>
        <w:rPr>
          <w:rFonts w:ascii="Arial" w:cs="Arial" w:eastAsia="Arial" w:hAnsi="Arial"/>
          <w:sz w:val="21"/>
          <w:szCs w:val="21"/>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40" w:name="page141"/>
    <w:bookmarkEnd w:id="140"/>
    <w:tbl>
      <w:tblPr>
        <w:tblLayout w:type="fixed"/>
        <w:tblInd w:w="1500" w:type="dxa"/>
        <w:tblCellMar>
          <w:top w:w="0" w:type="dxa"/>
          <w:left w:w="0" w:type="dxa"/>
          <w:bottom w:w="0" w:type="dxa"/>
          <w:right w:w="0" w:type="dxa"/>
        </w:tblCellMar>
      </w:tblPr>
      <w:tr>
        <w:trPr>
          <w:trHeight w:val="280"/>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6.6</w:t>
            </w:r>
          </w:p>
        </w:tc>
        <w:tc>
          <w:tcPr>
            <w:tcW w:w="8400" w:type="dxa"/>
            <w:vAlign w:val="bottom"/>
          </w:tcPr>
          <w:p>
            <w:pPr>
              <w:ind w:left="160"/>
              <w:spacing w:after="0"/>
              <w:rPr>
                <w:sz w:val="20"/>
                <w:szCs w:val="20"/>
                <w:color w:val="auto"/>
              </w:rPr>
            </w:pPr>
            <w:r>
              <w:rPr>
                <w:rFonts w:ascii="Arial" w:cs="Arial" w:eastAsia="Arial" w:hAnsi="Arial"/>
                <w:sz w:val="22"/>
                <w:szCs w:val="22"/>
                <w:b w:val="1"/>
                <w:bCs w:val="1"/>
                <w:color w:val="auto"/>
              </w:rPr>
              <w:t>Exercise of Option</w:t>
            </w:r>
            <w:r>
              <w:rPr>
                <w:rFonts w:ascii="Arial" w:cs="Arial" w:eastAsia="Arial" w:hAnsi="Arial"/>
                <w:sz w:val="22"/>
                <w:szCs w:val="22"/>
                <w:color w:val="auto"/>
              </w:rPr>
              <w:t>.</w:t>
            </w:r>
          </w:p>
        </w:tc>
      </w:tr>
      <w:tr>
        <w:trPr>
          <w:trHeight w:val="446"/>
        </w:trPr>
        <w:tc>
          <w:tcPr>
            <w:tcW w:w="1340" w:type="dxa"/>
            <w:vAlign w:val="bottom"/>
          </w:tcPr>
          <w:p>
            <w:pPr>
              <w:jc w:val="right"/>
              <w:ind w:right="52"/>
              <w:spacing w:after="0"/>
              <w:rPr>
                <w:sz w:val="20"/>
                <w:szCs w:val="20"/>
                <w:color w:val="auto"/>
              </w:rPr>
            </w:pPr>
            <w:r>
              <w:rPr>
                <w:rFonts w:ascii="Arial" w:cs="Arial" w:eastAsia="Arial" w:hAnsi="Arial"/>
                <w:sz w:val="22"/>
                <w:szCs w:val="22"/>
                <w:color w:val="auto"/>
              </w:rPr>
              <w:t>6.6.1</w:t>
            </w:r>
          </w:p>
        </w:tc>
        <w:tc>
          <w:tcPr>
            <w:tcW w:w="8400" w:type="dxa"/>
            <w:vAlign w:val="bottom"/>
          </w:tcPr>
          <w:p>
            <w:pPr>
              <w:ind w:left="1660"/>
              <w:spacing w:after="0"/>
              <w:rPr>
                <w:sz w:val="20"/>
                <w:szCs w:val="20"/>
                <w:color w:val="auto"/>
              </w:rPr>
            </w:pPr>
            <w:r>
              <w:rPr>
                <w:rFonts w:ascii="Arial" w:cs="Arial" w:eastAsia="Arial" w:hAnsi="Arial"/>
                <w:sz w:val="22"/>
                <w:szCs w:val="22"/>
                <w:b w:val="1"/>
                <w:bCs w:val="1"/>
                <w:color w:val="auto"/>
                <w:w w:val="94"/>
              </w:rPr>
              <w:t>Procedure for Exercise; Rights as a Stockholder</w:t>
            </w:r>
            <w:r>
              <w:rPr>
                <w:rFonts w:ascii="Arial" w:cs="Arial" w:eastAsia="Arial" w:hAnsi="Arial"/>
                <w:sz w:val="22"/>
                <w:szCs w:val="22"/>
                <w:color w:val="auto"/>
                <w:w w:val="94"/>
              </w:rPr>
              <w:t>.  Any Option granted</w:t>
            </w:r>
          </w:p>
        </w:tc>
      </w:tr>
    </w:tbl>
    <w:p>
      <w:pPr>
        <w:jc w:val="both"/>
        <w:spacing w:after="0" w:line="308" w:lineRule="auto"/>
        <w:rPr>
          <w:sz w:val="20"/>
          <w:szCs w:val="20"/>
          <w:color w:val="auto"/>
        </w:rPr>
      </w:pPr>
      <w:r>
        <w:rPr>
          <w:rFonts w:ascii="Arial" w:cs="Arial" w:eastAsia="Arial" w:hAnsi="Arial"/>
          <w:sz w:val="19"/>
          <w:szCs w:val="19"/>
          <w:color w:val="auto"/>
        </w:rPr>
        <w:t>hereunder will be exercisable according to the terms of the Plan and at such times and under such conditions as determined by the Administrator and set forth in the Award Agreement. An Option may not be exercised for a fraction of a Share.</w:t>
      </w:r>
    </w:p>
    <w:p>
      <w:pPr>
        <w:spacing w:after="0" w:line="123"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61" w:lineRule="exact"/>
        <w:rPr>
          <w:sz w:val="20"/>
          <w:szCs w:val="20"/>
          <w:color w:val="auto"/>
        </w:rPr>
      </w:pPr>
    </w:p>
    <w:p>
      <w:pPr>
        <w:jc w:val="both"/>
        <w:ind w:firstLine="2246"/>
        <w:spacing w:after="0" w:line="328" w:lineRule="auto"/>
        <w:rPr>
          <w:sz w:val="20"/>
          <w:szCs w:val="20"/>
          <w:color w:val="auto"/>
        </w:rPr>
      </w:pPr>
      <w:r>
        <w:rPr>
          <w:rFonts w:ascii="Arial" w:cs="Arial" w:eastAsia="Arial" w:hAnsi="Arial"/>
          <w:sz w:val="19"/>
          <w:szCs w:val="19"/>
          <w:color w:val="auto"/>
        </w:rPr>
        <w:t>Exercising an Option in any manner will decrease the number of Shares thereafter available, both for purposes of the Plan and for sale under the Option, by the number of Shares as to which the Option is exercised.</w:t>
      </w:r>
    </w:p>
    <w:p>
      <w:pPr>
        <w:spacing w:after="0" w:line="99"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2"/>
          <w:szCs w:val="22"/>
          <w:color w:val="auto"/>
        </w:rPr>
        <w:t>6.6.2</w:t>
      </w:r>
      <w:r>
        <w:rPr>
          <w:sz w:val="20"/>
          <w:szCs w:val="20"/>
          <w:color w:val="auto"/>
        </w:rPr>
        <w:tab/>
      </w:r>
      <w:r>
        <w:rPr>
          <w:rFonts w:ascii="Arial" w:cs="Arial" w:eastAsia="Arial" w:hAnsi="Arial"/>
          <w:sz w:val="19"/>
          <w:szCs w:val="19"/>
          <w:b w:val="1"/>
          <w:bCs w:val="1"/>
          <w:color w:val="auto"/>
        </w:rPr>
        <w:t>Termination of Relationship as a Service Provider</w:t>
      </w:r>
      <w:r>
        <w:rPr>
          <w:rFonts w:ascii="Arial" w:cs="Arial" w:eastAsia="Arial" w:hAnsi="Arial"/>
          <w:sz w:val="19"/>
          <w:szCs w:val="19"/>
          <w:color w:val="auto"/>
        </w:rPr>
        <w:t>. If a Participant ceases</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of the Plan. However,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78" w:lineRule="exact"/>
        <w:rPr>
          <w:sz w:val="20"/>
          <w:szCs w:val="20"/>
          <w:color w:val="auto"/>
        </w:rPr>
      </w:pPr>
    </w:p>
    <w:p>
      <w:pPr>
        <w:jc w:val="both"/>
        <w:ind w:firstLine="2246"/>
        <w:spacing w:after="0" w:line="233" w:lineRule="auto"/>
        <w:rPr>
          <w:sz w:val="20"/>
          <w:szCs w:val="20"/>
          <w:color w:val="auto"/>
        </w:rPr>
      </w:pPr>
      <w:r>
        <w:rPr>
          <w:rFonts w:ascii="Arial" w:cs="Arial" w:eastAsia="Arial" w:hAnsi="Arial"/>
          <w:sz w:val="22"/>
          <w:szCs w:val="22"/>
          <w:color w:val="auto"/>
        </w:rPr>
        <w:t xml:space="preserve">6.6.3 </w:t>
      </w:r>
      <w:r>
        <w:rPr>
          <w:rFonts w:ascii="Arial" w:cs="Arial" w:eastAsia="Arial" w:hAnsi="Arial"/>
          <w:sz w:val="22"/>
          <w:szCs w:val="22"/>
          <w:b w:val="1"/>
          <w:bCs w:val="1"/>
          <w:color w:val="auto"/>
        </w:rPr>
        <w:t>Disability of Participant</w:t>
      </w:r>
      <w:r>
        <w:rPr>
          <w:rFonts w:ascii="Arial" w:cs="Arial" w:eastAsia="Arial" w:hAnsi="Arial"/>
          <w:sz w:val="22"/>
          <w:szCs w:val="22"/>
          <w:color w:val="auto"/>
        </w:rPr>
        <w:t>.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of the Plan, as applicable). However,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after such</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1" w:name="page142"/>
    <w:bookmarkEnd w:id="141"/>
    <w:p>
      <w:pPr>
        <w:jc w:val="both"/>
        <w:ind w:right="20"/>
        <w:spacing w:after="0" w:line="250" w:lineRule="auto"/>
        <w:rPr>
          <w:sz w:val="20"/>
          <w:szCs w:val="20"/>
          <w:color w:val="auto"/>
        </w:rPr>
      </w:pPr>
      <w:r>
        <w:rPr>
          <w:rFonts w:ascii="Arial" w:cs="Arial" w:eastAsia="Arial" w:hAnsi="Arial"/>
          <w:sz w:val="22"/>
          <w:szCs w:val="22"/>
          <w:color w:val="auto"/>
        </w:rPr>
        <w:t>cessation the Participant does not exercise his or her Option within the time specified herein, the Option will terminate, and the Shares covered by such Option will revert to the Plan.</w:t>
      </w:r>
    </w:p>
    <w:p>
      <w:pPr>
        <w:spacing w:after="0" w:line="169" w:lineRule="exact"/>
        <w:rPr>
          <w:sz w:val="20"/>
          <w:szCs w:val="20"/>
          <w:color w:val="auto"/>
        </w:rPr>
      </w:pPr>
    </w:p>
    <w:p>
      <w:pPr>
        <w:jc w:val="both"/>
        <w:ind w:firstLine="2246"/>
        <w:spacing w:after="0" w:line="244" w:lineRule="auto"/>
        <w:rPr>
          <w:sz w:val="20"/>
          <w:szCs w:val="20"/>
          <w:color w:val="auto"/>
        </w:rPr>
      </w:pPr>
      <w:r>
        <w:rPr>
          <w:rFonts w:ascii="Arial" w:cs="Arial" w:eastAsia="Arial" w:hAnsi="Arial"/>
          <w:sz w:val="21"/>
          <w:szCs w:val="21"/>
          <w:color w:val="auto"/>
        </w:rPr>
        <w:t xml:space="preserve">6.6.4 </w:t>
      </w:r>
      <w:r>
        <w:rPr>
          <w:rFonts w:ascii="Arial" w:cs="Arial" w:eastAsia="Arial" w:hAnsi="Arial"/>
          <w:sz w:val="21"/>
          <w:szCs w:val="21"/>
          <w:b w:val="1"/>
          <w:bCs w:val="1"/>
          <w:color w:val="auto"/>
        </w:rPr>
        <w:t>Death of Participant</w:t>
      </w:r>
      <w:r>
        <w:rPr>
          <w:rFonts w:ascii="Arial" w:cs="Arial" w:eastAsia="Arial" w:hAnsi="Arial"/>
          <w:sz w:val="21"/>
          <w:szCs w:val="21"/>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of the Plan,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Arial" w:cs="Arial" w:eastAsia="Arial" w:hAnsi="Arial"/>
          <w:sz w:val="21"/>
          <w:szCs w:val="21"/>
          <w:b w:val="1"/>
          <w:bCs w:val="1"/>
          <w:color w:val="auto"/>
        </w:rPr>
        <w:t>Legal</w:t>
      </w:r>
      <w:r>
        <w:rPr>
          <w:rFonts w:ascii="Arial" w:cs="Arial" w:eastAsia="Arial" w:hAnsi="Arial"/>
          <w:sz w:val="21"/>
          <w:szCs w:val="21"/>
          <w:color w:val="auto"/>
        </w:rPr>
        <w:t xml:space="preserve"> </w:t>
      </w:r>
      <w:r>
        <w:rPr>
          <w:rFonts w:ascii="Arial" w:cs="Arial" w:eastAsia="Arial" w:hAnsi="Arial"/>
          <w:sz w:val="21"/>
          <w:szCs w:val="21"/>
          <w:b w:val="1"/>
          <w:bCs w:val="1"/>
          <w:color w:val="auto"/>
        </w:rPr>
        <w:t>Representative</w:t>
      </w:r>
      <w:r>
        <w:rPr>
          <w:rFonts w:ascii="Arial" w:cs="Arial" w:eastAsia="Arial" w:hAnsi="Arial"/>
          <w:sz w:val="21"/>
          <w:szCs w:val="21"/>
          <w:color w:val="auto"/>
        </w:rPr>
        <w:t>”). If the Option is exercised pursuant to this Section 6.6.4, Participant’s designated beneficiary or Legal</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 shall be subject to the terms of this Plan and the Award Agreement, including but not limited to the restrictions on transferability and forfeitability applicable to the Service Provider. However,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ectPr>
          <w:pgSz w:w="11900" w:h="16838" w:orient="portrait"/>
          <w:cols w:equalWidth="0" w:num="1">
            <w:col w:w="11240"/>
          </w:cols>
          <w:pgMar w:left="320" w:top="536" w:right="339" w:bottom="1440" w:gutter="0" w:footer="0" w:header="0"/>
        </w:sectPr>
      </w:pPr>
    </w:p>
    <w:p>
      <w:pPr>
        <w:spacing w:after="0" w:line="18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6.6.5</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Tolling Expiration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A Participant’s Award Agreement also may provide</w:t>
      </w:r>
    </w:p>
    <w:p>
      <w:pPr>
        <w:spacing w:after="0" w:line="23" w:lineRule="exact"/>
        <w:rPr>
          <w:sz w:val="20"/>
          <w:szCs w:val="20"/>
          <w:color w:val="auto"/>
        </w:rPr>
      </w:pPr>
    </w:p>
    <w:p>
      <w:pPr>
        <w:sectPr>
          <w:pgSz w:w="11900" w:h="16838" w:orient="portrait"/>
          <w:cols w:equalWidth="0" w:num="3">
            <w:col w:w="3780" w:space="720"/>
            <w:col w:w="1780" w:space="200"/>
            <w:col w:w="4760"/>
          </w:cols>
          <w:pgMar w:left="320" w:top="536" w:right="339" w:bottom="1440" w:gutter="0" w:footer="0" w:header="0"/>
          <w:type w:val="continuous"/>
        </w:sectPr>
      </w:pPr>
    </w:p>
    <w:p>
      <w:pPr>
        <w:spacing w:after="0"/>
        <w:rPr>
          <w:sz w:val="20"/>
          <w:szCs w:val="20"/>
          <w:color w:val="auto"/>
        </w:rPr>
      </w:pPr>
      <w:r>
        <w:rPr>
          <w:rFonts w:ascii="Arial" w:cs="Arial" w:eastAsia="Arial" w:hAnsi="Arial"/>
          <w:sz w:val="22"/>
          <w:szCs w:val="22"/>
          <w:color w:val="auto"/>
        </w:rPr>
        <w:t>that:</w:t>
      </w:r>
    </w:p>
    <w:p>
      <w:pPr>
        <w:spacing w:after="0" w:line="185"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if the exercise of the Option following the cessation of</w:t>
      </w:r>
    </w:p>
    <w:p>
      <w:pPr>
        <w:sectPr>
          <w:pgSz w:w="11900" w:h="16838" w:orient="portrait"/>
          <w:cols w:equalWidth="0" w:num="1">
            <w:col w:w="11240"/>
          </w:cols>
          <w:pgMar w:left="320" w:top="536" w:right="339" w:bottom="1440" w:gutter="0" w:footer="0" w:header="0"/>
          <w:type w:val="continuous"/>
        </w:sectPr>
      </w:pP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Arial" w:cs="Arial" w:eastAsia="Arial" w:hAnsi="Arial"/>
          <w:sz w:val="13"/>
          <w:szCs w:val="13"/>
          <w:color w:val="auto"/>
        </w:rPr>
        <w:t>th</w:t>
      </w:r>
      <w:r>
        <w:rPr>
          <w:rFonts w:ascii="Arial" w:cs="Arial" w:eastAsia="Arial" w:hAnsi="Arial"/>
          <w:sz w:val="20"/>
          <w:szCs w:val="20"/>
          <w:color w:val="auto"/>
        </w:rPr>
        <w:t>) day after the last date on which such exercise would result in liability under Section 16b; or</w:t>
      </w:r>
    </w:p>
    <w:p>
      <w:pPr>
        <w:spacing w:after="0" w:line="166" w:lineRule="exact"/>
        <w:rPr>
          <w:sz w:val="20"/>
          <w:szCs w:val="20"/>
          <w:color w:val="auto"/>
        </w:rPr>
      </w:pPr>
    </w:p>
    <w:p>
      <w:pPr>
        <w:jc w:val="both"/>
        <w:ind w:firstLine="2995"/>
        <w:spacing w:after="0" w:line="235" w:lineRule="auto"/>
        <w:rPr>
          <w:sz w:val="20"/>
          <w:szCs w:val="20"/>
          <w:color w:val="auto"/>
        </w:rPr>
      </w:pPr>
      <w:r>
        <w:rPr>
          <w:rFonts w:ascii="Arial" w:cs="Arial" w:eastAsia="Arial" w:hAnsi="Arial"/>
          <w:sz w:val="22"/>
          <w:szCs w:val="22"/>
          <w:color w:val="auto"/>
        </w:rPr>
        <w:t>(b)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82" w:lineRule="exact"/>
        <w:rPr>
          <w:sz w:val="20"/>
          <w:szCs w:val="20"/>
          <w:color w:val="auto"/>
        </w:rPr>
      </w:pPr>
    </w:p>
    <w:p>
      <w:pPr>
        <w:ind w:left="1500" w:hanging="743"/>
        <w:spacing w:after="0"/>
        <w:tabs>
          <w:tab w:leader="none" w:pos="150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Stock Appreciation Rights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Grant of Stock Appreciation Rights</w:t>
      </w:r>
      <w:r>
        <w:rPr>
          <w:rFonts w:ascii="Arial" w:cs="Arial" w:eastAsia="Arial" w:hAnsi="Arial"/>
          <w:sz w:val="22"/>
          <w:szCs w:val="22"/>
          <w:color w:val="auto"/>
        </w:rPr>
        <w:t>. Subject to the terms and conditions of the Plan, a Stock Appreciation Right may be granted to Service Providers at any time and from time to time as will be determined by the Administrator, in its sole discretion.</w:t>
      </w: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7.2</w:t>
            </w:r>
          </w:p>
        </w:tc>
        <w:tc>
          <w:tcPr>
            <w:tcW w:w="8860" w:type="dxa"/>
            <w:vAlign w:val="bottom"/>
          </w:tcPr>
          <w:p>
            <w:pPr>
              <w:ind w:left="620"/>
              <w:spacing w:after="0"/>
              <w:rPr>
                <w:sz w:val="20"/>
                <w:szCs w:val="20"/>
                <w:color w:val="auto"/>
              </w:rPr>
            </w:pPr>
            <w:r>
              <w:rPr>
                <w:rFonts w:ascii="Arial" w:cs="Arial" w:eastAsia="Arial" w:hAnsi="Arial"/>
                <w:sz w:val="22"/>
                <w:szCs w:val="22"/>
                <w:b w:val="1"/>
                <w:bCs w:val="1"/>
                <w:color w:val="auto"/>
                <w:w w:val="90"/>
              </w:rPr>
              <w:t>Number of Shares</w:t>
            </w:r>
            <w:r>
              <w:rPr>
                <w:rFonts w:ascii="Arial" w:cs="Arial" w:eastAsia="Arial" w:hAnsi="Arial"/>
                <w:sz w:val="22"/>
                <w:szCs w:val="22"/>
                <w:color w:val="auto"/>
                <w:w w:val="90"/>
              </w:rPr>
              <w:t>. The Administrator will have complete discretion to determine the number</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of Shares subject to any Award of Stock Appreciation Rights.</w:t>
            </w:r>
          </w:p>
        </w:tc>
      </w:tr>
      <w:tr>
        <w:trPr>
          <w:trHeight w:val="446"/>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7.3</w:t>
            </w:r>
          </w:p>
        </w:tc>
        <w:tc>
          <w:tcPr>
            <w:tcW w:w="8860" w:type="dxa"/>
            <w:vAlign w:val="bottom"/>
          </w:tcPr>
          <w:p>
            <w:pPr>
              <w:ind w:left="620"/>
              <w:spacing w:after="0"/>
              <w:rPr>
                <w:sz w:val="20"/>
                <w:szCs w:val="20"/>
                <w:color w:val="auto"/>
              </w:rPr>
            </w:pPr>
            <w:r>
              <w:rPr>
                <w:rFonts w:ascii="Arial" w:cs="Arial" w:eastAsia="Arial" w:hAnsi="Arial"/>
                <w:sz w:val="22"/>
                <w:szCs w:val="22"/>
                <w:b w:val="1"/>
                <w:bCs w:val="1"/>
                <w:color w:val="auto"/>
                <w:w w:val="95"/>
              </w:rPr>
              <w:t>Exercise Price and Other Terms</w:t>
            </w:r>
            <w:r>
              <w:rPr>
                <w:rFonts w:ascii="Arial" w:cs="Arial" w:eastAsia="Arial" w:hAnsi="Arial"/>
                <w:sz w:val="22"/>
                <w:szCs w:val="22"/>
                <w:color w:val="auto"/>
                <w:w w:val="95"/>
              </w:rPr>
              <w:t>.  The per Share exercise price for the Shares that will</w:t>
            </w:r>
          </w:p>
        </w:tc>
      </w:tr>
    </w:tbl>
    <w:p>
      <w:pPr>
        <w:jc w:val="both"/>
        <w:spacing w:after="0" w:line="246" w:lineRule="auto"/>
        <w:rPr>
          <w:sz w:val="20"/>
          <w:szCs w:val="20"/>
          <w:color w:val="auto"/>
        </w:rPr>
      </w:pPr>
      <w:r>
        <w:rPr>
          <w:rFonts w:ascii="Arial" w:cs="Arial" w:eastAsia="Arial" w:hAnsi="Arial"/>
          <w:sz w:val="21"/>
          <w:szCs w:val="21"/>
          <w:color w:val="auto"/>
        </w:rPr>
        <w:t>determine the amount of the payment to be received upon exercise of a Stock Appreciation Right as set forth in Section 7.6 of the Plan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4"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b w:val="1"/>
          <w:bCs w:val="1"/>
          <w:color w:val="auto"/>
        </w:rPr>
        <w:t>Stock Appreciation Right Agreement</w:t>
      </w:r>
      <w:r>
        <w:rPr>
          <w:rFonts w:ascii="Arial" w:cs="Arial" w:eastAsia="Arial" w:hAnsi="Arial"/>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7"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color w:val="auto"/>
        </w:rPr>
        <w:t>Expiration of Stock Appreciation Rights</w:t>
      </w:r>
      <w:r>
        <w:rPr>
          <w:rFonts w:ascii="Arial" w:cs="Arial" w:eastAsia="Arial" w:hAnsi="Arial"/>
          <w:sz w:val="22"/>
          <w:szCs w:val="22"/>
          <w:color w:val="auto"/>
        </w:rPr>
        <w:t>. A Stock Appreciation Right granted under the Plan will expire upon the date determined by the Administrator, in its sole discretion, and set forth in the Award Agreement. Notwithstanding the foregoing, the rules of Section 6.4 of the Plan relating to the maximum term and Section 6.6 of the Plan relating to exercise also will apply to Stock Appreciation Rights.</w:t>
      </w:r>
    </w:p>
    <w:p>
      <w:pPr>
        <w:spacing w:after="0" w:line="180"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b w:val="1"/>
          <w:bCs w:val="1"/>
          <w:color w:val="auto"/>
        </w:rPr>
        <w:t>Payment of Stock Appreciation Right Amount</w:t>
      </w:r>
      <w:r>
        <w:rPr>
          <w:rFonts w:ascii="Arial" w:cs="Arial" w:eastAsia="Arial" w:hAnsi="Arial"/>
          <w:sz w:val="22"/>
          <w:szCs w:val="22"/>
          <w:color w:val="auto"/>
        </w:rPr>
        <w:t>. Upon exercise of a Stock Appreciation Right, a Participant will be entitled to receive payment from the Company in an amount determined by multiplying:</w:t>
      </w:r>
    </w:p>
    <w:p>
      <w:pPr>
        <w:sectPr>
          <w:pgSz w:w="11900" w:h="16838" w:orient="portrait"/>
          <w:cols w:equalWidth="0" w:num="1">
            <w:col w:w="11240"/>
          </w:cols>
          <w:pgMar w:left="320" w:top="527" w:right="339" w:bottom="1440" w:gutter="0" w:footer="0" w:header="0"/>
        </w:sectPr>
      </w:pPr>
    </w:p>
    <w:p>
      <w:pPr>
        <w:spacing w:after="0" w:line="168"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exercise over the exercise price; times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auto"/>
        </w:rPr>
        <w:t>The difference between the Fair Market Value of a Share on the date of</w:t>
      </w:r>
    </w:p>
    <w:p>
      <w:pPr>
        <w:spacing w:after="0" w:line="438" w:lineRule="exact"/>
        <w:rPr>
          <w:sz w:val="20"/>
          <w:szCs w:val="20"/>
          <w:color w:val="auto"/>
        </w:rPr>
      </w:pPr>
    </w:p>
    <w:p>
      <w:pPr>
        <w:sectPr>
          <w:pgSz w:w="11900" w:h="16838" w:orient="portrait"/>
          <w:cols w:equalWidth="0" w:num="2">
            <w:col w:w="3780" w:space="720"/>
            <w:col w:w="6740"/>
          </w:cols>
          <w:pgMar w:left="320" w:top="527" w:right="339" w:bottom="1440" w:gutter="0" w:footer="0" w:header="0"/>
          <w:type w:val="continuous"/>
        </w:sectPr>
      </w:pPr>
    </w:p>
    <w:p>
      <w:pPr>
        <w:spacing w:after="0" w:line="23"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The number of Shares with respect to which the Stock Appreciation Right is</w:t>
      </w:r>
    </w:p>
    <w:p>
      <w:pPr>
        <w:spacing w:after="0" w:line="56" w:lineRule="exact"/>
        <w:rPr>
          <w:sz w:val="20"/>
          <w:szCs w:val="20"/>
          <w:color w:val="auto"/>
        </w:rPr>
      </w:pPr>
    </w:p>
    <w:p>
      <w:pPr>
        <w:sectPr>
          <w:pgSz w:w="11900" w:h="16838" w:orient="portrait"/>
          <w:cols w:equalWidth="0" w:num="2">
            <w:col w:w="3780" w:space="720"/>
            <w:col w:w="6740"/>
          </w:cols>
          <w:pgMar w:left="320" w:top="527" w:right="339" w:bottom="1440" w:gutter="0" w:footer="0" w:header="0"/>
          <w:type w:val="continuous"/>
        </w:sectPr>
      </w:pPr>
    </w:p>
    <w:p>
      <w:pPr>
        <w:spacing w:after="0"/>
        <w:rPr>
          <w:sz w:val="20"/>
          <w:szCs w:val="20"/>
          <w:color w:val="auto"/>
        </w:rPr>
      </w:pPr>
      <w:r>
        <w:rPr>
          <w:rFonts w:ascii="Arial" w:cs="Arial" w:eastAsia="Arial" w:hAnsi="Arial"/>
          <w:sz w:val="19"/>
          <w:szCs w:val="19"/>
          <w:color w:val="auto"/>
        </w:rPr>
        <w:t>exercised.</w:t>
      </w:r>
    </w:p>
    <w:p>
      <w:pPr>
        <w:sectPr>
          <w:pgSz w:w="11900" w:h="16838" w:orient="portrait"/>
          <w:cols w:equalWidth="0" w:num="1">
            <w:col w:w="11240"/>
          </w:cols>
          <w:pgMar w:left="320" w:top="527" w:right="339" w:bottom="1440" w:gutter="0" w:footer="0" w:header="0"/>
          <w:type w:val="continuous"/>
        </w:sectPr>
      </w:pPr>
    </w:p>
    <w:p>
      <w:pPr>
        <w:spacing w:after="0" w:line="209"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At the discretion of the Administrator, the payment upon Stock Appreciation Right exercise may be in cash, in Shares of equivalent value, or in some combination thereof.</w:t>
      </w:r>
    </w:p>
    <w:p>
      <w:pPr>
        <w:spacing w:after="0" w:line="169" w:lineRule="exact"/>
        <w:rPr>
          <w:sz w:val="20"/>
          <w:szCs w:val="20"/>
          <w:color w:val="auto"/>
        </w:rPr>
      </w:pPr>
    </w:p>
    <w:p>
      <w:pPr>
        <w:ind w:left="1500" w:hanging="743"/>
        <w:spacing w:after="0"/>
        <w:tabs>
          <w:tab w:leader="none" w:pos="1500"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Restricted Stock</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color w:val="auto"/>
        </w:rPr>
        <w:t>Grant of Restricted Stock</w:t>
      </w:r>
      <w:r>
        <w:rPr>
          <w:rFonts w:ascii="Arial" w:cs="Arial" w:eastAsia="Arial" w:hAnsi="Arial"/>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77"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color w:val="auto"/>
        </w:rPr>
        <w:t>Restricted Stock Agreement</w:t>
      </w:r>
      <w:r>
        <w:rPr>
          <w:rFonts w:ascii="Arial" w:cs="Arial" w:eastAsia="Arial" w:hAnsi="Arial"/>
          <w:sz w:val="21"/>
          <w:szCs w:val="21"/>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type w:val="continuous"/>
        </w:sectPr>
      </w:pPr>
    </w:p>
    <w:bookmarkStart w:id="143" w:name="page144"/>
    <w:bookmarkEnd w:id="143"/>
    <w:p>
      <w:pPr>
        <w:jc w:val="both"/>
        <w:ind w:firstLine="1497"/>
        <w:spacing w:after="0" w:line="24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Transferability</w:t>
      </w:r>
      <w:r>
        <w:rPr>
          <w:rFonts w:ascii="Arial" w:cs="Arial" w:eastAsia="Arial" w:hAnsi="Arial"/>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8.4</w:t>
            </w:r>
          </w:p>
        </w:tc>
        <w:tc>
          <w:tcPr>
            <w:tcW w:w="8860" w:type="dxa"/>
            <w:vAlign w:val="bottom"/>
          </w:tcPr>
          <w:p>
            <w:pPr>
              <w:ind w:left="620"/>
              <w:spacing w:after="0"/>
              <w:rPr>
                <w:sz w:val="20"/>
                <w:szCs w:val="20"/>
                <w:color w:val="auto"/>
              </w:rPr>
            </w:pPr>
            <w:r>
              <w:rPr>
                <w:rFonts w:ascii="Arial" w:cs="Arial" w:eastAsia="Arial" w:hAnsi="Arial"/>
                <w:sz w:val="22"/>
                <w:szCs w:val="22"/>
                <w:b w:val="1"/>
                <w:bCs w:val="1"/>
                <w:color w:val="auto"/>
                <w:w w:val="98"/>
              </w:rPr>
              <w:t>Other Restrictions</w:t>
            </w:r>
            <w:r>
              <w:rPr>
                <w:rFonts w:ascii="Arial" w:cs="Arial" w:eastAsia="Arial" w:hAnsi="Arial"/>
                <w:sz w:val="22"/>
                <w:szCs w:val="22"/>
                <w:color w:val="auto"/>
                <w:w w:val="98"/>
              </w:rPr>
              <w:t>.   The Administrator, in its sole discretion, may impose such other</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restrictions on Shares of Restricted Stock as it may deem advisable or appropriate.</w:t>
            </w:r>
          </w:p>
        </w:tc>
      </w:tr>
      <w:tr>
        <w:trPr>
          <w:trHeight w:val="446"/>
        </w:trPr>
        <w:tc>
          <w:tcPr>
            <w:tcW w:w="2380" w:type="dxa"/>
            <w:vAlign w:val="bottom"/>
          </w:tcPr>
          <w:p>
            <w:pPr>
              <w:jc w:val="right"/>
              <w:ind w:right="492"/>
              <w:spacing w:after="0"/>
              <w:rPr>
                <w:sz w:val="20"/>
                <w:szCs w:val="20"/>
                <w:color w:val="auto"/>
              </w:rPr>
            </w:pPr>
            <w:r>
              <w:rPr>
                <w:rFonts w:ascii="Arial" w:cs="Arial" w:eastAsia="Arial" w:hAnsi="Arial"/>
                <w:sz w:val="22"/>
                <w:szCs w:val="22"/>
                <w:color w:val="auto"/>
              </w:rPr>
              <w:t>8.5</w:t>
            </w:r>
          </w:p>
        </w:tc>
        <w:tc>
          <w:tcPr>
            <w:tcW w:w="8860" w:type="dxa"/>
            <w:vAlign w:val="bottom"/>
          </w:tcPr>
          <w:p>
            <w:pPr>
              <w:ind w:left="620"/>
              <w:spacing w:after="0"/>
              <w:rPr>
                <w:sz w:val="20"/>
                <w:szCs w:val="20"/>
                <w:color w:val="auto"/>
              </w:rPr>
            </w:pPr>
            <w:r>
              <w:rPr>
                <w:rFonts w:ascii="Arial" w:cs="Arial" w:eastAsia="Arial" w:hAnsi="Arial"/>
                <w:sz w:val="22"/>
                <w:szCs w:val="22"/>
                <w:b w:val="1"/>
                <w:bCs w:val="1"/>
                <w:color w:val="auto"/>
                <w:w w:val="88"/>
              </w:rPr>
              <w:t>Removal of Restrictions</w:t>
            </w:r>
            <w:r>
              <w:rPr>
                <w:rFonts w:ascii="Arial" w:cs="Arial" w:eastAsia="Arial" w:hAnsi="Arial"/>
                <w:sz w:val="22"/>
                <w:szCs w:val="22"/>
                <w:color w:val="auto"/>
                <w:w w:val="88"/>
              </w:rPr>
              <w:t>. Except as otherwise provided in this Section 8, Shares of Restricted</w:t>
            </w:r>
          </w:p>
        </w:tc>
      </w:tr>
    </w:tbl>
    <w:p>
      <w:pPr>
        <w:jc w:val="both"/>
        <w:spacing w:after="0" w:line="234" w:lineRule="auto"/>
        <w:rPr>
          <w:sz w:val="20"/>
          <w:szCs w:val="20"/>
          <w:color w:val="auto"/>
        </w:rPr>
      </w:pPr>
      <w:r>
        <w:rPr>
          <w:rFonts w:ascii="Arial" w:cs="Arial" w:eastAsia="Arial" w:hAnsi="Arial"/>
          <w:sz w:val="22"/>
          <w:szCs w:val="22"/>
          <w:color w:val="auto"/>
        </w:rPr>
        <w:t>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1"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color w:val="auto"/>
        </w:rPr>
        <w:t>Voting Rights</w:t>
      </w:r>
      <w:r>
        <w:rPr>
          <w:rFonts w:ascii="Arial" w:cs="Arial" w:eastAsia="Arial" w:hAnsi="Arial"/>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77"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b w:val="1"/>
          <w:bCs w:val="1"/>
          <w:color w:val="auto"/>
        </w:rPr>
        <w:t>Dividends and Other Distributions</w:t>
      </w:r>
      <w:r>
        <w:rPr>
          <w:rFonts w:ascii="Arial" w:cs="Arial" w:eastAsia="Arial" w:hAnsi="Arial"/>
          <w:sz w:val="22"/>
          <w:szCs w:val="22"/>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2"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b w:val="1"/>
          <w:bCs w:val="1"/>
          <w:color w:val="auto"/>
        </w:rPr>
        <w:t>Return of Restricted Stock to Company</w:t>
      </w:r>
      <w:r>
        <w:rPr>
          <w:rFonts w:ascii="Arial" w:cs="Arial" w:eastAsia="Arial" w:hAnsi="Arial"/>
          <w:sz w:val="22"/>
          <w:szCs w:val="22"/>
          <w:color w:val="auto"/>
        </w:rPr>
        <w:t>. On the date set forth in the Award Agreement, the Restricted Stock for which restrictions have not lapsed will revert to the Company and again will become available for grant under the Plan.</w:t>
      </w:r>
    </w:p>
    <w:p>
      <w:pPr>
        <w:spacing w:after="0" w:line="177" w:lineRule="exact"/>
        <w:rPr>
          <w:sz w:val="20"/>
          <w:szCs w:val="20"/>
          <w:color w:val="auto"/>
        </w:rPr>
      </w:pPr>
    </w:p>
    <w:p>
      <w:pPr>
        <w:ind w:left="1500" w:hanging="743"/>
        <w:spacing w:after="0"/>
        <w:tabs>
          <w:tab w:leader="none" w:pos="1500"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Restricted Stock Units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color w:val="auto"/>
        </w:rPr>
        <w:t>Grant</w:t>
      </w:r>
      <w:r>
        <w:rPr>
          <w:rFonts w:ascii="Arial" w:cs="Arial" w:eastAsia="Arial" w:hAnsi="Arial"/>
          <w:sz w:val="22"/>
          <w:szCs w:val="22"/>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80"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Vesting Criteria and Other Terms</w:t>
      </w:r>
      <w:r>
        <w:rPr>
          <w:rFonts w:ascii="Arial" w:cs="Arial" w:eastAsia="Arial" w:hAnsi="Arial"/>
          <w:sz w:val="21"/>
          <w:szCs w:val="21"/>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68"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Earning Restricted Stock Units</w:t>
      </w:r>
      <w:r>
        <w:rPr>
          <w:rFonts w:ascii="Arial" w:cs="Arial" w:eastAsia="Arial" w:hAnsi="Arial"/>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4" w:name="page145"/>
    <w:bookmarkEnd w:id="144"/>
    <w:p>
      <w:pPr>
        <w:jc w:val="both"/>
        <w:ind w:firstLine="1497"/>
        <w:spacing w:after="0" w:line="243"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b w:val="1"/>
          <w:bCs w:val="1"/>
          <w:color w:val="auto"/>
        </w:rPr>
        <w:t>Form and Timing of Payment</w:t>
      </w:r>
      <w:r>
        <w:rPr>
          <w:rFonts w:ascii="Arial" w:cs="Arial" w:eastAsia="Arial" w:hAnsi="Arial"/>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77"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b w:val="1"/>
          <w:bCs w:val="1"/>
          <w:color w:val="auto"/>
        </w:rPr>
        <w:t>Cancellation</w:t>
      </w:r>
      <w:r>
        <w:rPr>
          <w:rFonts w:ascii="Arial" w:cs="Arial" w:eastAsia="Arial" w:hAnsi="Arial"/>
          <w:sz w:val="22"/>
          <w:szCs w:val="22"/>
          <w:color w:val="auto"/>
        </w:rPr>
        <w:t>. On the date set forth in the Award Agreement, all unearned Restricted Stock Units will be forfeited to the Company.</w:t>
      </w:r>
    </w:p>
    <w:p>
      <w:pPr>
        <w:spacing w:after="0" w:line="162" w:lineRule="exact"/>
        <w:rPr>
          <w:sz w:val="20"/>
          <w:szCs w:val="20"/>
          <w:color w:val="auto"/>
        </w:rPr>
      </w:pPr>
    </w:p>
    <w:p>
      <w:pPr>
        <w:ind w:left="1500" w:hanging="743"/>
        <w:spacing w:after="0"/>
        <w:tabs>
          <w:tab w:leader="none" w:pos="1500"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Performance Awards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color w:val="auto"/>
        </w:rPr>
        <w:t>Award Agreement</w:t>
      </w:r>
      <w:r>
        <w:rPr>
          <w:rFonts w:ascii="Arial" w:cs="Arial" w:eastAsia="Arial" w:hAnsi="Arial"/>
          <w:sz w:val="22"/>
          <w:szCs w:val="22"/>
          <w:color w:val="auto"/>
        </w:rPr>
        <w:t>. Each Performance Award will be evidenced by an Award Agreement that will specify any time period during which any performance objectives or other vesting provisions will be measured</w:t>
      </w:r>
    </w:p>
    <w:p>
      <w:pPr>
        <w:spacing w:after="0" w:line="2"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Period</w:t>
      </w:r>
      <w:r>
        <w:rPr>
          <w:rFonts w:ascii="Arial" w:cs="Arial" w:eastAsia="Arial" w:hAnsi="Arial"/>
          <w:sz w:val="22"/>
          <w:szCs w:val="22"/>
          <w:color w:val="auto"/>
        </w:rPr>
        <w:t>”), and such other terms and conditions as the Administrator determines. Each Performance Award will have an initial value that is determined by the Administrator on or before its date of grant.</w:t>
      </w:r>
    </w:p>
    <w:p>
      <w:pPr>
        <w:spacing w:after="0" w:line="181"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b w:val="1"/>
          <w:bCs w:val="1"/>
          <w:color w:val="auto"/>
        </w:rPr>
        <w:t xml:space="preserve">Objectives or Vesting Provisions and Other Terms. </w:t>
      </w:r>
      <w:r>
        <w:rPr>
          <w:rFonts w:ascii="Arial" w:cs="Arial" w:eastAsia="Arial" w:hAnsi="Arial"/>
          <w:sz w:val="21"/>
          <w:szCs w:val="21"/>
          <w:color w:val="auto"/>
        </w:rPr>
        <w:t>The  Administrator  will  set  any</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b w:val="1"/>
          <w:bCs w:val="1"/>
          <w:color w:val="auto"/>
        </w:rPr>
        <w:t>Earning Performance Awards</w:t>
      </w:r>
      <w:r>
        <w:rPr>
          <w:rFonts w:ascii="Arial" w:cs="Arial" w:eastAsia="Arial" w:hAnsi="Arial"/>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80"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color w:val="auto"/>
        </w:rPr>
        <w:t>Form and Timing of Payment</w:t>
      </w:r>
      <w:r>
        <w:rPr>
          <w:rFonts w:ascii="Arial" w:cs="Arial" w:eastAsia="Arial" w:hAnsi="Arial"/>
          <w:sz w:val="22"/>
          <w:szCs w:val="22"/>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77" w:lineRule="exact"/>
        <w:rPr>
          <w:sz w:val="20"/>
          <w:szCs w:val="20"/>
          <w:color w:val="auto"/>
        </w:rPr>
      </w:pPr>
    </w:p>
    <w:p>
      <w:pPr>
        <w:jc w:val="both"/>
        <w:ind w:right="20" w:firstLine="1497"/>
        <w:spacing w:after="0" w:line="334"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b w:val="1"/>
          <w:bCs w:val="1"/>
          <w:color w:val="auto"/>
        </w:rPr>
        <w:t>Cancellation of Performance Awards</w:t>
      </w:r>
      <w:r>
        <w:rPr>
          <w:rFonts w:ascii="Arial" w:cs="Arial" w:eastAsia="Arial" w:hAnsi="Arial"/>
          <w:sz w:val="19"/>
          <w:szCs w:val="19"/>
          <w:color w:val="auto"/>
        </w:rPr>
        <w:t>. On the date set forth in the Award Agreement, all unearned or unvested Performance Awards will be forfeited to the Company, and again will be available for grant under the Plan.</w:t>
      </w:r>
    </w:p>
    <w:p>
      <w:pPr>
        <w:spacing w:after="0" w:line="94" w:lineRule="exact"/>
        <w:rPr>
          <w:sz w:val="20"/>
          <w:szCs w:val="20"/>
          <w:color w:val="auto"/>
        </w:rPr>
      </w:pPr>
    </w:p>
    <w:p>
      <w:pPr>
        <w:jc w:val="both"/>
        <w:ind w:firstLine="757"/>
        <w:spacing w:after="0" w:line="270" w:lineRule="auto"/>
        <w:tabs>
          <w:tab w:leader="none" w:pos="1498"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Outside Director Award Limitations</w:t>
      </w:r>
      <w:r>
        <w:rPr>
          <w:rFonts w:ascii="Arial" w:cs="Arial" w:eastAsia="Arial" w:hAnsi="Arial"/>
          <w:sz w:val="19"/>
          <w:szCs w:val="19"/>
          <w:color w:val="auto"/>
        </w:rPr>
        <w:t>. No Outside Director may be granted, in any Fiscal Year, equity awards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$550,000,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5" w:name="page146"/>
    <w:bookmarkEnd w:id="145"/>
    <w:p>
      <w:pPr>
        <w:jc w:val="both"/>
        <w:ind w:firstLine="757"/>
        <w:spacing w:after="0" w:line="273" w:lineRule="auto"/>
        <w:tabs>
          <w:tab w:leader="none" w:pos="1498"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Compliance With Section 409A</w:t>
      </w:r>
      <w:r>
        <w:rPr>
          <w:rFonts w:ascii="Arial" w:cs="Arial" w:eastAsia="Arial" w:hAnsi="Arial"/>
          <w:sz w:val="19"/>
          <w:szCs w:val="19"/>
          <w:color w:val="auto"/>
        </w:rPr>
        <w:t>. Awards will be designed and operated in such a manner that they are either</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49" w:lineRule="exact"/>
        <w:rPr>
          <w:rFonts w:ascii="Arial" w:cs="Arial" w:eastAsia="Arial" w:hAnsi="Arial"/>
          <w:sz w:val="19"/>
          <w:szCs w:val="19"/>
          <w:color w:val="auto"/>
        </w:rPr>
      </w:pPr>
    </w:p>
    <w:p>
      <w:pPr>
        <w:jc w:val="both"/>
        <w:ind w:firstLine="757"/>
        <w:spacing w:after="0" w:line="261" w:lineRule="auto"/>
        <w:tabs>
          <w:tab w:leader="none" w:pos="1498"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Leaves of Absence/Transfer Between Locations</w:t>
      </w:r>
      <w:r>
        <w:rPr>
          <w:rFonts w:ascii="Arial" w:cs="Arial" w:eastAsia="Arial" w:hAnsi="Arial"/>
          <w:sz w:val="20"/>
          <w:szCs w:val="20"/>
          <w:color w:val="auto"/>
        </w:rPr>
        <w:t>. Unless the Administrator provides otherwise or as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3"/>
          <w:szCs w:val="13"/>
          <w:color w:val="auto"/>
        </w:rPr>
        <w:t>st</w:t>
      </w:r>
      <w:r>
        <w:rPr>
          <w:rFonts w:ascii="Arial" w:cs="Arial" w:eastAsia="Arial" w:hAnsi="Arial"/>
          <w:sz w:val="20"/>
          <w:szCs w:val="20"/>
          <w:color w:val="auto"/>
        </w:rPr>
        <w:t>) day of such leave, any Incentive Stock Option held by the Participant will cease to be treated as an Incentive Stock Option and will be treated for tax purposes as a Nonstatutory Stock Option.</w:t>
      </w:r>
    </w:p>
    <w:p>
      <w:pPr>
        <w:spacing w:after="0" w:line="159" w:lineRule="exact"/>
        <w:rPr>
          <w:rFonts w:ascii="Arial" w:cs="Arial" w:eastAsia="Arial" w:hAnsi="Arial"/>
          <w:sz w:val="20"/>
          <w:szCs w:val="20"/>
          <w:color w:val="auto"/>
        </w:rPr>
      </w:pPr>
    </w:p>
    <w:p>
      <w:pPr>
        <w:jc w:val="both"/>
        <w:ind w:firstLine="757"/>
        <w:spacing w:after="0" w:line="236" w:lineRule="auto"/>
        <w:tabs>
          <w:tab w:leader="none" w:pos="1498"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Limited Transferability of Awards</w:t>
      </w:r>
      <w:r>
        <w:rPr>
          <w:rFonts w:ascii="Arial" w:cs="Arial" w:eastAsia="Arial" w:hAnsi="Arial"/>
          <w:sz w:val="22"/>
          <w:szCs w:val="22"/>
          <w:color w:val="auto"/>
        </w:rPr>
        <w:t>. Unless determined otherwise by the Administrator, Awards may not be</w:t>
      </w:r>
      <w:r>
        <w:rPr>
          <w:rFonts w:ascii="Arial" w:cs="Arial" w:eastAsia="Arial" w:hAnsi="Arial"/>
          <w:sz w:val="22"/>
          <w:szCs w:val="22"/>
          <w:b w:val="1"/>
          <w:bCs w:val="1"/>
          <w:color w:val="auto"/>
        </w:rPr>
        <w:t xml:space="preserve"> </w:t>
      </w:r>
      <w:r>
        <w:rPr>
          <w:rFonts w:ascii="Arial" w:cs="Arial" w:eastAsia="Arial" w:hAnsi="Arial"/>
          <w:sz w:val="22"/>
          <w:szCs w:val="22"/>
          <w:color w:val="auto"/>
        </w:rPr>
        <w:t>sold, pledged, assigned, hypothecated, transferred, or disposed of in any manner other than by will or by the laws of descent and distribution (which, for purposes of clarification, shall be deemed to include through a beneficiary designation if available in accordance with Section 6.6.4 of the Plan), and may be exercised, during the lifetime of the Participant, only by the Participant. If the Administrator makes an Award transferable, such Award will contain such additional terms and conditions as the Administrator deems appropriate.</w:t>
      </w:r>
    </w:p>
    <w:p>
      <w:pPr>
        <w:spacing w:after="0" w:line="181" w:lineRule="exact"/>
        <w:rPr>
          <w:rFonts w:ascii="Arial" w:cs="Arial" w:eastAsia="Arial" w:hAnsi="Arial"/>
          <w:sz w:val="22"/>
          <w:szCs w:val="22"/>
          <w:color w:val="auto"/>
        </w:rPr>
      </w:pPr>
    </w:p>
    <w:p>
      <w:pPr>
        <w:ind w:left="1500" w:hanging="743"/>
        <w:spacing w:after="0"/>
        <w:tabs>
          <w:tab w:leader="none" w:pos="150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Adjustments; Dissolution or Liquidation; Merger or Change in Control</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b w:val="1"/>
          <w:bCs w:val="1"/>
          <w:color w:val="auto"/>
        </w:rPr>
        <w:t>Adjustments</w:t>
      </w:r>
      <w:r>
        <w:rPr>
          <w:rFonts w:ascii="Arial" w:cs="Arial" w:eastAsia="Arial" w:hAnsi="Arial"/>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 of the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6" w:name="page147"/>
    <w:bookmarkEnd w:id="146"/>
    <w:p>
      <w:pPr>
        <w:jc w:val="both"/>
        <w:ind w:firstLine="1497"/>
        <w:spacing w:after="0" w:line="239"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b w:val="1"/>
          <w:bCs w:val="1"/>
          <w:color w:val="auto"/>
        </w:rPr>
        <w:t>Dissolution or Liquidation</w:t>
      </w:r>
      <w:r>
        <w:rPr>
          <w:rFonts w:ascii="Arial" w:cs="Arial" w:eastAsia="Arial" w:hAnsi="Arial"/>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0"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b w:val="1"/>
          <w:bCs w:val="1"/>
          <w:color w:val="auto"/>
        </w:rPr>
        <w:t>Merger or Change in Control</w:t>
      </w:r>
      <w:r>
        <w:rPr>
          <w:rFonts w:ascii="Arial" w:cs="Arial" w:eastAsia="Arial" w:hAnsi="Arial"/>
          <w:sz w:val="19"/>
          <w:szCs w:val="19"/>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w:t>
      </w:r>
    </w:p>
    <w:p>
      <w:pPr>
        <w:spacing w:after="0" w:line="7" w:lineRule="exact"/>
        <w:rPr>
          <w:sz w:val="20"/>
          <w:szCs w:val="20"/>
          <w:color w:val="auto"/>
        </w:rPr>
      </w:pPr>
    </w:p>
    <w:p>
      <w:pPr>
        <w:jc w:val="both"/>
        <w:ind w:firstLine="8"/>
        <w:spacing w:after="0" w:line="272" w:lineRule="auto"/>
        <w:tabs>
          <w:tab w:leader="none" w:pos="271"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of the Plan, the Administrator will not be obligated to treat all Awards, all Awards held by a Participant, all Awards of the same type, or all portions of Awards, similarly.</w:t>
      </w:r>
    </w:p>
    <w:p>
      <w:pPr>
        <w:spacing w:after="0" w:line="161"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9"/>
          <w:szCs w:val="19"/>
          <w:color w:val="auto"/>
        </w:rPr>
        <w:t>In the event that the acquiring or successor corporation (or an affiliate thereof) does not assume the Award (or portion thereof) as described below, or substitute for the Award (or portion thereof) as described above, then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7" w:name="page148"/>
    <w:bookmarkEnd w:id="147"/>
    <w:p>
      <w:pPr>
        <w:jc w:val="both"/>
        <w:ind w:firstLine="1497"/>
        <w:spacing w:after="0" w:line="273" w:lineRule="auto"/>
        <w:rPr>
          <w:sz w:val="20"/>
          <w:szCs w:val="20"/>
          <w:color w:val="auto"/>
        </w:rPr>
      </w:pPr>
      <w:r>
        <w:rPr>
          <w:rFonts w:ascii="Arial" w:cs="Arial" w:eastAsia="Arial" w:hAnsi="Arial"/>
          <w:sz w:val="19"/>
          <w:szCs w:val="19"/>
          <w:color w:val="auto"/>
        </w:rPr>
        <w:t>For the purposes of this Section 15.3 and Section 15.4 of the Plan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55"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91"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15.3 will be delayed until the earliest time that such payment would be permissible under Section 409A without triggering any penalties applicable under Section 409A.</w:t>
      </w:r>
    </w:p>
    <w:p>
      <w:pPr>
        <w:spacing w:after="0" w:line="171"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1"/>
          <w:szCs w:val="21"/>
          <w:color w:val="auto"/>
        </w:rPr>
        <w:t xml:space="preserve">15.4 </w:t>
      </w:r>
      <w:r>
        <w:rPr>
          <w:rFonts w:ascii="Arial" w:cs="Arial" w:eastAsia="Arial" w:hAnsi="Arial"/>
          <w:sz w:val="21"/>
          <w:szCs w:val="21"/>
          <w:b w:val="1"/>
          <w:bCs w:val="1"/>
          <w:color w:val="auto"/>
        </w:rPr>
        <w:t>Outside Director Awards</w:t>
      </w:r>
      <w:r>
        <w:rPr>
          <w:rFonts w:ascii="Arial" w:cs="Arial" w:eastAsia="Arial" w:hAnsi="Arial"/>
          <w:sz w:val="21"/>
          <w:szCs w:val="21"/>
          <w:color w:val="auto"/>
        </w:rPr>
        <w:t>. With respect to Awards granted to an Outside Director while such individual was an Outside Director that are assumed or substituted for (as described in Section 15.3 of the Plan),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48" w:name="page149"/>
    <w:bookmarkEnd w:id="148"/>
    <w:p>
      <w:pPr>
        <w:ind w:left="1500" w:hanging="743"/>
        <w:spacing w:after="0"/>
        <w:tabs>
          <w:tab w:leader="none" w:pos="1500"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8" w:lineRule="exact"/>
        <w:rPr>
          <w:sz w:val="20"/>
          <w:szCs w:val="20"/>
          <w:color w:val="auto"/>
        </w:rPr>
      </w:pPr>
      <w:r>
        <w:rPr>
          <w:rFonts w:ascii="Arial" w:cs="Arial" w:eastAsia="Arial" w:hAnsi="Arial"/>
          <w:sz w:val="22"/>
          <w:szCs w:val="22"/>
          <w:color w:val="auto"/>
        </w:rPr>
        <w:t xml:space="preserve">16.1 </w:t>
      </w:r>
      <w:r>
        <w:rPr>
          <w:rFonts w:ascii="Arial" w:cs="Arial" w:eastAsia="Arial" w:hAnsi="Arial"/>
          <w:sz w:val="22"/>
          <w:szCs w:val="22"/>
          <w:b w:val="1"/>
          <w:bCs w:val="1"/>
          <w:color w:val="auto"/>
        </w:rPr>
        <w:t>Withholding Requirements</w:t>
      </w:r>
      <w:r>
        <w:rPr>
          <w:rFonts w:ascii="Arial" w:cs="Arial" w:eastAsia="Arial" w:hAnsi="Arial"/>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22"/>
          <w:szCs w:val="22"/>
          <w:color w:val="auto"/>
        </w:rPr>
        <w:t>‑</w:t>
      </w:r>
      <w:r>
        <w:rPr>
          <w:rFonts w:ascii="Arial" w:cs="Arial" w:eastAsia="Arial" w:hAnsi="Arial"/>
          <w:sz w:val="22"/>
          <w:szCs w:val="22"/>
          <w:color w:val="auto"/>
        </w:rPr>
        <w:t>U.S., and other taxes (including the Participant’s FICA or other social insurance contribution obligation) required to be withheld or paid with respect to such Award (or exercise thereof).</w:t>
      </w:r>
    </w:p>
    <w:p>
      <w:pPr>
        <w:spacing w:after="0" w:line="183"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b w:val="1"/>
          <w:bCs w:val="1"/>
          <w:color w:val="auto"/>
        </w:rPr>
        <w:t>Withholding Arrangements</w:t>
      </w:r>
      <w:r>
        <w:rPr>
          <w:rFonts w:ascii="Arial" w:cs="Arial" w:eastAsia="Arial" w:hAnsi="Arial"/>
          <w:sz w:val="19"/>
          <w:szCs w:val="19"/>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200" w:lineRule="exact"/>
        <w:rPr>
          <w:sz w:val="20"/>
          <w:szCs w:val="20"/>
          <w:color w:val="auto"/>
        </w:rPr>
      </w:pPr>
    </w:p>
    <w:p>
      <w:pPr>
        <w:spacing w:after="0" w:line="209" w:lineRule="exact"/>
        <w:rPr>
          <w:sz w:val="20"/>
          <w:szCs w:val="20"/>
          <w:color w:val="auto"/>
        </w:rPr>
      </w:pPr>
    </w:p>
    <w:p>
      <w:pPr>
        <w:jc w:val="both"/>
        <w:ind w:firstLine="757"/>
        <w:spacing w:after="0" w:line="289" w:lineRule="auto"/>
        <w:tabs>
          <w:tab w:leader="none" w:pos="1498"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No Effect on Employment or Service</w:t>
      </w:r>
      <w:r>
        <w:rPr>
          <w:rFonts w:ascii="Arial" w:cs="Arial" w:eastAsia="Arial" w:hAnsi="Arial"/>
          <w:sz w:val="19"/>
          <w:szCs w:val="19"/>
          <w:color w:val="auto"/>
        </w:rPr>
        <w:t>. Neither the Plan nor any Award will confer upon a Participant any right</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free from any liability or claim under the Plan.</w:t>
      </w:r>
    </w:p>
    <w:p>
      <w:pPr>
        <w:spacing w:after="0" w:line="135" w:lineRule="exact"/>
        <w:rPr>
          <w:rFonts w:ascii="Arial" w:cs="Arial" w:eastAsia="Arial" w:hAnsi="Arial"/>
          <w:sz w:val="19"/>
          <w:szCs w:val="19"/>
          <w:color w:val="auto"/>
        </w:rPr>
      </w:pPr>
    </w:p>
    <w:p>
      <w:pPr>
        <w:jc w:val="both"/>
        <w:ind w:firstLine="757"/>
        <w:spacing w:after="0" w:line="275" w:lineRule="auto"/>
        <w:tabs>
          <w:tab w:leader="none" w:pos="1498"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Date of Grant</w:t>
      </w:r>
      <w:r>
        <w:rPr>
          <w:rFonts w:ascii="Arial" w:cs="Arial" w:eastAsia="Arial" w:hAnsi="Arial"/>
          <w:sz w:val="19"/>
          <w:szCs w:val="19"/>
          <w:color w:val="auto"/>
        </w:rPr>
        <w:t>. The date of grant of an Award will be, for all purposes, the date on which the Administrator</w:t>
      </w:r>
      <w:r>
        <w:rPr>
          <w:rFonts w:ascii="Arial" w:cs="Arial" w:eastAsia="Arial" w:hAnsi="Arial"/>
          <w:sz w:val="19"/>
          <w:szCs w:val="19"/>
          <w:b w:val="1"/>
          <w:bCs w:val="1"/>
          <w:color w:val="auto"/>
        </w:rPr>
        <w:t xml:space="preserve"> </w:t>
      </w:r>
      <w:r>
        <w:rPr>
          <w:rFonts w:ascii="Arial" w:cs="Arial" w:eastAsia="Arial" w:hAnsi="Arial"/>
          <w:sz w:val="19"/>
          <w:szCs w:val="19"/>
          <w:color w:val="auto"/>
        </w:rPr>
        <w:t>makes the determination granting such Award, or such other later date as is determined by the Administrator. Notice of the determination will be provided to each Participant within a reasonable time after the date of such grant.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9" w:name="page150"/>
    <w:bookmarkEnd w:id="149"/>
    <w:p>
      <w:pPr>
        <w:jc w:val="both"/>
        <w:ind w:firstLine="757"/>
        <w:spacing w:after="0" w:line="280" w:lineRule="auto"/>
        <w:tabs>
          <w:tab w:leader="none" w:pos="1498" w:val="left"/>
        </w:tabs>
        <w:numPr>
          <w:ilvl w:val="1"/>
          <w:numId w:val="89"/>
        </w:numPr>
        <w:rPr>
          <w:rFonts w:ascii="Arial" w:cs="Arial" w:eastAsia="Arial" w:hAnsi="Arial"/>
          <w:sz w:val="19"/>
          <w:szCs w:val="19"/>
          <w:color w:val="auto"/>
        </w:rPr>
      </w:pPr>
      <w:r>
        <w:rPr>
          <w:rFonts w:ascii="Arial" w:cs="Arial" w:eastAsia="Arial" w:hAnsi="Arial"/>
          <w:sz w:val="19"/>
          <w:szCs w:val="19"/>
          <w:b w:val="1"/>
          <w:bCs w:val="1"/>
          <w:color w:val="auto"/>
        </w:rPr>
        <w:t>Term of Plan</w:t>
      </w:r>
      <w:r>
        <w:rPr>
          <w:rFonts w:ascii="Arial" w:cs="Arial" w:eastAsia="Arial" w:hAnsi="Arial"/>
          <w:sz w:val="19"/>
          <w:szCs w:val="19"/>
          <w:color w:val="auto"/>
        </w:rPr>
        <w:t>. Subject to Section 23 of the Plan, the Plan will become effective as of one business day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the Registration Date (the “</w:t>
      </w:r>
      <w:r>
        <w:rPr>
          <w:rFonts w:ascii="Arial" w:cs="Arial" w:eastAsia="Arial" w:hAnsi="Arial"/>
          <w:sz w:val="19"/>
          <w:szCs w:val="19"/>
          <w:b w:val="1"/>
          <w:bCs w:val="1"/>
          <w:color w:val="auto"/>
        </w:rPr>
        <w:t>Effective Date</w:t>
      </w:r>
      <w:r>
        <w:rPr>
          <w:rFonts w:ascii="Arial" w:cs="Arial" w:eastAsia="Arial" w:hAnsi="Arial"/>
          <w:sz w:val="19"/>
          <w:szCs w:val="19"/>
          <w:color w:val="auto"/>
        </w:rPr>
        <w:t>”). The Plan will continue in effect until terminated under Section 20 of the Plan, but</w:t>
      </w:r>
    </w:p>
    <w:p>
      <w:pPr>
        <w:jc w:val="both"/>
        <w:ind w:firstLine="8"/>
        <w:spacing w:after="0" w:line="233" w:lineRule="auto"/>
        <w:tabs>
          <w:tab w:leader="none" w:pos="295"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 Options that qualify as incentive stock options within the meaning of Code Section 422 may be granted after ten (10) years from the earlier of the Board or stockholder approval of the Plan and (b) Section 3.2 of the Plan relating to the automatic share reserve increase will operate only until the ten (10) year anniversary of the earlier of the Board or stockholder approval of the Plan.</w:t>
      </w:r>
    </w:p>
    <w:p>
      <w:pPr>
        <w:spacing w:after="0" w:line="181" w:lineRule="exact"/>
        <w:rPr>
          <w:rFonts w:ascii="Arial" w:cs="Arial" w:eastAsia="Arial" w:hAnsi="Arial"/>
          <w:sz w:val="22"/>
          <w:szCs w:val="22"/>
          <w:color w:val="auto"/>
        </w:rPr>
      </w:pPr>
    </w:p>
    <w:p>
      <w:pPr>
        <w:ind w:left="1500" w:hanging="743"/>
        <w:spacing w:after="0"/>
        <w:tabs>
          <w:tab w:leader="none" w:pos="1500" w:val="left"/>
        </w:tabs>
        <w:numPr>
          <w:ilvl w:val="1"/>
          <w:numId w:val="90"/>
        </w:numPr>
        <w:rPr>
          <w:rFonts w:ascii="Arial" w:cs="Arial" w:eastAsia="Arial" w:hAnsi="Arial"/>
          <w:sz w:val="22"/>
          <w:szCs w:val="22"/>
          <w:color w:val="auto"/>
        </w:rPr>
      </w:pPr>
      <w:r>
        <w:rPr>
          <w:rFonts w:ascii="Arial" w:cs="Arial" w:eastAsia="Arial" w:hAnsi="Arial"/>
          <w:sz w:val="22"/>
          <w:szCs w:val="22"/>
          <w:b w:val="1"/>
          <w:bCs w:val="1"/>
          <w:color w:val="auto"/>
        </w:rPr>
        <w:t>Amendment and Termination of the Plan</w:t>
      </w:r>
      <w:r>
        <w:rPr>
          <w:rFonts w:ascii="Arial" w:cs="Arial" w:eastAsia="Arial" w:hAnsi="Arial"/>
          <w:sz w:val="22"/>
          <w:szCs w:val="22"/>
          <w:color w:val="auto"/>
        </w:rPr>
        <w:t>.</w:t>
      </w:r>
    </w:p>
    <w:p>
      <w:pPr>
        <w:spacing w:after="0" w:line="206"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 xml:space="preserve">20.1 </w:t>
      </w:r>
      <w:r>
        <w:rPr>
          <w:rFonts w:ascii="Arial" w:cs="Arial" w:eastAsia="Arial" w:hAnsi="Arial"/>
          <w:sz w:val="22"/>
          <w:szCs w:val="22"/>
          <w:b w:val="1"/>
          <w:bCs w:val="1"/>
          <w:color w:val="auto"/>
        </w:rPr>
        <w:t>Amendment and Termination</w:t>
      </w:r>
      <w:r>
        <w:rPr>
          <w:rFonts w:ascii="Arial" w:cs="Arial" w:eastAsia="Arial" w:hAnsi="Arial"/>
          <w:sz w:val="22"/>
          <w:szCs w:val="22"/>
          <w:color w:val="auto"/>
        </w:rPr>
        <w:t>. The Administrator, in its sole discretion, may amend, alter, suspend or terminate the Plan, or any part thereof, at any time and for any reason.</w:t>
      </w:r>
    </w:p>
    <w:p>
      <w:pPr>
        <w:spacing w:after="0" w:line="16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20.2 </w:t>
      </w:r>
      <w:r>
        <w:rPr>
          <w:rFonts w:ascii="Arial" w:cs="Arial" w:eastAsia="Arial" w:hAnsi="Arial"/>
          <w:sz w:val="22"/>
          <w:szCs w:val="22"/>
          <w:b w:val="1"/>
          <w:bCs w:val="1"/>
          <w:color w:val="auto"/>
        </w:rPr>
        <w:t>Stockholder Approval</w:t>
      </w:r>
      <w:r>
        <w:rPr>
          <w:rFonts w:ascii="Arial" w:cs="Arial" w:eastAsia="Arial" w:hAnsi="Arial"/>
          <w:sz w:val="22"/>
          <w:szCs w:val="22"/>
          <w:color w:val="auto"/>
        </w:rPr>
        <w:t>. The Company will obtain stockholder approval of any Plan amendment to the extent necessary and desirable to comply with Applicable Laws.</w:t>
      </w:r>
    </w:p>
    <w:p>
      <w:pPr>
        <w:spacing w:after="0" w:line="162"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b w:val="1"/>
          <w:bCs w:val="1"/>
          <w:color w:val="auto"/>
        </w:rPr>
        <w:t>Effect of Amendment or Termination</w:t>
      </w:r>
      <w:r>
        <w:rPr>
          <w:rFonts w:ascii="Arial" w:cs="Arial" w:eastAsia="Arial" w:hAnsi="Arial"/>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2" w:lineRule="exact"/>
        <w:rPr>
          <w:sz w:val="20"/>
          <w:szCs w:val="20"/>
          <w:color w:val="auto"/>
        </w:rPr>
      </w:pPr>
    </w:p>
    <w:p>
      <w:pPr>
        <w:ind w:left="1500" w:hanging="743"/>
        <w:spacing w:after="0"/>
        <w:tabs>
          <w:tab w:leader="none" w:pos="1500" w:val="left"/>
        </w:tabs>
        <w:numPr>
          <w:ilvl w:val="0"/>
          <w:numId w:val="91"/>
        </w:numPr>
        <w:rPr>
          <w:rFonts w:ascii="Arial" w:cs="Arial" w:eastAsia="Arial" w:hAnsi="Arial"/>
          <w:sz w:val="22"/>
          <w:szCs w:val="22"/>
          <w:color w:val="auto"/>
        </w:rPr>
      </w:pPr>
      <w:r>
        <w:rPr>
          <w:rFonts w:ascii="Arial" w:cs="Arial" w:eastAsia="Arial" w:hAnsi="Arial"/>
          <w:sz w:val="22"/>
          <w:szCs w:val="22"/>
          <w:b w:val="1"/>
          <w:bCs w:val="1"/>
          <w:color w:val="auto"/>
        </w:rPr>
        <w:t>Conditions Upon Issuance of Shares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color w:val="auto"/>
        </w:rPr>
        <w:t>Legal Compliance</w:t>
      </w:r>
      <w:r>
        <w:rPr>
          <w:rFonts w:ascii="Arial" w:cs="Arial" w:eastAsia="Arial" w:hAnsi="Arial"/>
          <w:sz w:val="22"/>
          <w:szCs w:val="22"/>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77"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color w:val="auto"/>
        </w:rPr>
        <w:t>Investment Representations</w:t>
      </w:r>
      <w:r>
        <w:rPr>
          <w:rFonts w:ascii="Arial" w:cs="Arial" w:eastAsia="Arial" w:hAnsi="Arial"/>
          <w:sz w:val="22"/>
          <w:szCs w:val="22"/>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80" w:lineRule="exact"/>
        <w:rPr>
          <w:sz w:val="20"/>
          <w:szCs w:val="20"/>
          <w:color w:val="auto"/>
        </w:rPr>
      </w:pPr>
    </w:p>
    <w:p>
      <w:pPr>
        <w:jc w:val="both"/>
        <w:ind w:firstLine="757"/>
        <w:spacing w:after="0" w:line="246" w:lineRule="exact"/>
        <w:tabs>
          <w:tab w:leader="none" w:pos="1498" w:val="left"/>
        </w:tabs>
        <w:numPr>
          <w:ilvl w:val="0"/>
          <w:numId w:val="92"/>
        </w:numPr>
        <w:rPr>
          <w:rFonts w:ascii="Arial" w:cs="Arial" w:eastAsia="Arial" w:hAnsi="Arial"/>
          <w:sz w:val="21"/>
          <w:szCs w:val="21"/>
          <w:color w:val="auto"/>
        </w:rPr>
      </w:pPr>
      <w:r>
        <w:rPr>
          <w:rFonts w:ascii="Arial" w:cs="Arial" w:eastAsia="Arial" w:hAnsi="Arial"/>
          <w:sz w:val="21"/>
          <w:szCs w:val="21"/>
          <w:b w:val="1"/>
          <w:bCs w:val="1"/>
          <w:color w:val="auto"/>
        </w:rPr>
        <w:t>Inability to Obtain Authority</w:t>
      </w:r>
      <w:r>
        <w:rPr>
          <w:rFonts w:ascii="Arial" w:cs="Arial" w:eastAsia="Arial" w:hAnsi="Arial"/>
          <w:sz w:val="21"/>
          <w:szCs w:val="21"/>
          <w:color w:val="auto"/>
        </w:rPr>
        <w:t>. If the Company determines it to be impossible or impractical to obtain</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21"/>
          <w:szCs w:val="21"/>
          <w:color w:val="auto"/>
        </w:rPr>
        <w:t>‑</w:t>
      </w:r>
      <w:r>
        <w:rPr>
          <w:rFonts w:ascii="Arial" w:cs="Arial" w:eastAsia="Arial" w:hAnsi="Arial"/>
          <w:sz w:val="21"/>
          <w:szCs w:val="21"/>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0" w:name="page151"/>
    <w:bookmarkEnd w:id="150"/>
    <w:p>
      <w:pPr>
        <w:ind w:firstLine="757"/>
        <w:spacing w:after="0" w:line="260" w:lineRule="auto"/>
        <w:tabs>
          <w:tab w:leader="none" w:pos="1498" w:val="left"/>
        </w:tabs>
        <w:numPr>
          <w:ilvl w:val="0"/>
          <w:numId w:val="93"/>
        </w:numPr>
        <w:rPr>
          <w:rFonts w:ascii="Arial" w:cs="Arial" w:eastAsia="Arial" w:hAnsi="Arial"/>
          <w:sz w:val="21"/>
          <w:szCs w:val="21"/>
          <w:color w:val="auto"/>
        </w:rPr>
      </w:pPr>
      <w:r>
        <w:rPr>
          <w:rFonts w:ascii="Arial" w:cs="Arial" w:eastAsia="Arial" w:hAnsi="Arial"/>
          <w:sz w:val="21"/>
          <w:szCs w:val="21"/>
          <w:b w:val="1"/>
          <w:bCs w:val="1"/>
          <w:color w:val="auto"/>
        </w:rPr>
        <w:t>Stockholder Approval</w:t>
      </w:r>
      <w:r>
        <w:rPr>
          <w:rFonts w:ascii="Arial" w:cs="Arial" w:eastAsia="Arial" w:hAnsi="Arial"/>
          <w:sz w:val="21"/>
          <w:szCs w:val="21"/>
          <w:color w:val="auto"/>
        </w:rPr>
        <w:t>. The Plan will be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twelve (12) months after the date the Plan is adopted by the Board. and to the degree required under Applicable Laws.</w:t>
      </w:r>
    </w:p>
    <w:p>
      <w:pPr>
        <w:spacing w:after="0" w:line="20" w:lineRule="exact"/>
        <w:rPr>
          <w:sz w:val="20"/>
          <w:szCs w:val="20"/>
          <w:color w:val="auto"/>
        </w:rPr>
      </w:pPr>
      <w:r>
        <w:rPr>
          <w:sz w:val="20"/>
          <w:szCs w:val="20"/>
          <w:color w:val="auto"/>
        </w:rPr>
        <w:br w:type="column"/>
      </w:r>
    </w:p>
    <w:p>
      <w:pPr>
        <w:ind w:firstLine="40"/>
        <w:spacing w:after="0" w:line="328" w:lineRule="auto"/>
        <w:rPr>
          <w:sz w:val="20"/>
          <w:szCs w:val="20"/>
          <w:color w:val="auto"/>
        </w:rPr>
      </w:pPr>
      <w:r>
        <w:rPr>
          <w:rFonts w:ascii="Arial" w:cs="Arial" w:eastAsia="Arial" w:hAnsi="Arial"/>
          <w:sz w:val="19"/>
          <w:szCs w:val="19"/>
          <w:color w:val="auto"/>
        </w:rPr>
        <w:t>to approval by the stockholders of the Company within Such stockholder approval will be obtained in the manner</w:t>
      </w:r>
    </w:p>
    <w:p>
      <w:pPr>
        <w:spacing w:after="0" w:line="341" w:lineRule="exact"/>
        <w:rPr>
          <w:sz w:val="20"/>
          <w:szCs w:val="20"/>
          <w:color w:val="auto"/>
        </w:rPr>
      </w:pPr>
    </w:p>
    <w:p>
      <w:pPr>
        <w:sectPr>
          <w:pgSz w:w="11900" w:h="16838" w:orient="portrait"/>
          <w:cols w:equalWidth="0" w:num="2">
            <w:col w:w="6060" w:space="60"/>
            <w:col w:w="5120"/>
          </w:cols>
          <w:pgMar w:left="320" w:top="530" w:right="339" w:bottom="1440" w:gutter="0" w:footer="0" w:header="0"/>
        </w:sectPr>
      </w:pPr>
    </w:p>
    <w:p>
      <w:pPr>
        <w:jc w:val="both"/>
        <w:ind w:firstLine="757"/>
        <w:spacing w:after="0" w:line="271" w:lineRule="auto"/>
        <w:tabs>
          <w:tab w:leader="none" w:pos="1498"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Forfeiture Events</w:t>
      </w:r>
      <w:r>
        <w:rPr>
          <w:rFonts w:ascii="Arial" w:cs="Arial" w:eastAsia="Arial" w:hAnsi="Arial"/>
          <w:sz w:val="19"/>
          <w:szCs w:val="19"/>
          <w:color w:val="auto"/>
        </w:rPr>
        <w:t>. The Administrator may specify in an Award Agreement that the Participant’s rights,</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an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Arial" w:cs="Arial" w:eastAsia="Arial" w:hAnsi="Arial"/>
          <w:sz w:val="19"/>
          <w:szCs w:val="19"/>
          <w:b w:val="1"/>
          <w:bCs w:val="1"/>
          <w:color w:val="auto"/>
        </w:rPr>
        <w:t>Clawback Policy</w:t>
      </w:r>
      <w:r>
        <w:rPr>
          <w:rFonts w:ascii="Arial" w:cs="Arial" w:eastAsia="Arial" w:hAnsi="Arial"/>
          <w:sz w:val="19"/>
          <w:szCs w:val="19"/>
          <w:color w:val="auto"/>
        </w:rPr>
        <w:t>”). The Administrator may require a Participant to forfeit or return to the Company,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5220" w:type="dxa"/>
            <w:vAlign w:val="bottom"/>
          </w:tcPr>
          <w:p>
            <w:pPr>
              <w:jc w:val="right"/>
              <w:ind w:right="4812"/>
              <w:spacing w:after="0"/>
              <w:rPr>
                <w:sz w:val="20"/>
                <w:szCs w:val="20"/>
                <w:color w:val="auto"/>
              </w:rPr>
            </w:pPr>
            <w:r>
              <w:rPr>
                <w:rFonts w:ascii="Arial" w:cs="Arial" w:eastAsia="Arial" w:hAnsi="Arial"/>
                <w:sz w:val="22"/>
                <w:szCs w:val="22"/>
                <w:color w:val="auto"/>
              </w:rPr>
              <w:t>*</w:t>
            </w:r>
          </w:p>
        </w:tc>
      </w:tr>
      <w:tr>
        <w:trPr>
          <w:trHeight w:val="274"/>
        </w:trPr>
        <w:tc>
          <w:tcPr>
            <w:tcW w:w="5240" w:type="dxa"/>
            <w:vAlign w:val="bottom"/>
          </w:tcPr>
          <w:p>
            <w:pPr>
              <w:spacing w:after="0"/>
              <w:rPr>
                <w:sz w:val="23"/>
                <w:szCs w:val="23"/>
                <w:color w:val="auto"/>
              </w:rPr>
            </w:pPr>
          </w:p>
        </w:tc>
        <w:tc>
          <w:tcPr>
            <w:tcW w:w="780" w:type="dxa"/>
            <w:vAlign w:val="bottom"/>
          </w:tcPr>
          <w:p>
            <w:pPr>
              <w:jc w:val="right"/>
              <w:ind w:right="112"/>
              <w:spacing w:after="0"/>
              <w:rPr>
                <w:sz w:val="20"/>
                <w:szCs w:val="20"/>
                <w:color w:val="auto"/>
              </w:rPr>
            </w:pPr>
            <w:r>
              <w:rPr>
                <w:rFonts w:ascii="Arial" w:cs="Arial" w:eastAsia="Arial" w:hAnsi="Arial"/>
                <w:sz w:val="22"/>
                <w:szCs w:val="22"/>
                <w:color w:val="auto"/>
              </w:rPr>
              <w:t>-21-</w:t>
            </w:r>
          </w:p>
        </w:tc>
        <w:tc>
          <w:tcPr>
            <w:tcW w:w="5220" w:type="dxa"/>
            <w:vAlign w:val="bottom"/>
          </w:tcPr>
          <w:p>
            <w:pPr>
              <w:spacing w:after="0"/>
              <w:rPr>
                <w:sz w:val="23"/>
                <w:szCs w:val="23"/>
                <w:color w:val="auto"/>
              </w:rPr>
            </w:pPr>
          </w:p>
        </w:tc>
      </w:tr>
      <w:tr>
        <w:trPr>
          <w:trHeight w:val="105"/>
        </w:trPr>
        <w:tc>
          <w:tcPr>
            <w:tcW w:w="5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STOCK OPTION GRANT</w:t>
      </w:r>
    </w:p>
    <w:p>
      <w:pPr>
        <w:spacing w:after="0" w:line="21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Unless otherwise defined herein, the terms defined in the Paymentus Holdings, Inc. 2021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 will have the same defined meanings in this Stock Option Agreement, which includes the Notice of Stock Option Grant (the “</w:t>
      </w:r>
      <w:r>
        <w:rPr>
          <w:rFonts w:ascii="Arial" w:cs="Arial" w:eastAsia="Arial" w:hAnsi="Arial"/>
          <w:sz w:val="22"/>
          <w:szCs w:val="22"/>
          <w:b w:val="1"/>
          <w:bCs w:val="1"/>
          <w:color w:val="auto"/>
        </w:rPr>
        <w:t>Notice of Grant</w:t>
      </w:r>
      <w:r>
        <w:rPr>
          <w:rFonts w:ascii="Arial" w:cs="Arial" w:eastAsia="Arial" w:hAnsi="Arial"/>
          <w:sz w:val="22"/>
          <w:szCs w:val="22"/>
          <w:color w:val="auto"/>
        </w:rPr>
        <w:t xml:space="preserve">”), the Terms and Conditions of Stock Option Grant,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 and all other exhibits, appendices, and addenda attached hereto (including any additional terms and conditions for Participant’s country set forth in Appendix 1 to the Terms and Conditions of Stock Option Grant (the “</w:t>
      </w:r>
      <w:r>
        <w:rPr>
          <w:rFonts w:ascii="Arial" w:cs="Arial" w:eastAsia="Arial" w:hAnsi="Arial"/>
          <w:sz w:val="22"/>
          <w:szCs w:val="22"/>
          <w:b w:val="1"/>
          <w:bCs w:val="1"/>
          <w:color w:val="auto"/>
        </w:rPr>
        <w:t>Country Addendum</w:t>
      </w:r>
      <w:r>
        <w:rPr>
          <w:rFonts w:ascii="Arial" w:cs="Arial" w:eastAsia="Arial" w:hAnsi="Arial"/>
          <w:sz w:val="22"/>
          <w:szCs w:val="22"/>
          <w:color w:val="auto"/>
        </w:rPr>
        <w:t>”) and restrictive covenants set forth in Appendix 2 to the Terms and Conditions of Stock Option Grant (the “</w:t>
      </w:r>
      <w:r>
        <w:rPr>
          <w:rFonts w:ascii="Arial" w:cs="Arial" w:eastAsia="Arial" w:hAnsi="Arial"/>
          <w:sz w:val="22"/>
          <w:szCs w:val="22"/>
          <w:b w:val="1"/>
          <w:bCs w:val="1"/>
          <w:color w:val="auto"/>
        </w:rPr>
        <w:t>Restrictive Covenants Addendum</w:t>
      </w:r>
      <w:r>
        <w:rPr>
          <w:rFonts w:ascii="Arial" w:cs="Arial" w:eastAsia="Arial" w:hAnsi="Arial"/>
          <w:sz w:val="22"/>
          <w:szCs w:val="22"/>
          <w:color w:val="auto"/>
        </w:rPr>
        <w:t>”)) (together, the “</w:t>
      </w:r>
      <w:r>
        <w:rPr>
          <w:rFonts w:ascii="Arial" w:cs="Arial" w:eastAsia="Arial" w:hAnsi="Arial"/>
          <w:sz w:val="22"/>
          <w:szCs w:val="22"/>
          <w:b w:val="1"/>
          <w:bCs w:val="1"/>
          <w:color w:val="auto"/>
        </w:rPr>
        <w:t>Option Agreement</w:t>
      </w:r>
      <w:r>
        <w:rPr>
          <w:rFonts w:ascii="Arial" w:cs="Arial" w:eastAsia="Arial" w:hAnsi="Arial"/>
          <w:sz w:val="22"/>
          <w:szCs w:val="22"/>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Address:</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undersigned Participant has been granted an Option to purchase Common Stock of the Company, subject to the terms and conditions of the Plan and this Option Agreement, as follows:</w:t>
      </w:r>
    </w:p>
    <w:p>
      <w:pPr>
        <w:sectPr>
          <w:pgSz w:w="11900" w:h="16838" w:orient="portrait"/>
          <w:cols w:equalWidth="0" w:num="1">
            <w:col w:w="11240"/>
          </w:cols>
          <w:pgMar w:left="320" w:top="355" w:right="339" w:bottom="1440" w:gutter="0" w:footer="0" w:header="0"/>
        </w:sectPr>
      </w:pP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Grant Number: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w:t>
      </w:r>
    </w:p>
    <w:p>
      <w:pPr>
        <w:spacing w:after="0" w:line="205" w:lineRule="exact"/>
        <w:rPr>
          <w:sz w:val="20"/>
          <w:szCs w:val="20"/>
          <w:color w:val="auto"/>
        </w:rPr>
      </w:pPr>
    </w:p>
    <w:p>
      <w:pPr>
        <w:sectPr>
          <w:pgSz w:w="11900" w:h="16838" w:orient="portrait"/>
          <w:cols w:equalWidth="0" w:num="2">
            <w:col w:w="2080" w:space="400"/>
            <w:col w:w="8760"/>
          </w:cols>
          <w:pgMar w:left="320" w:top="355" w:right="339" w:bottom="1440" w:gutter="0" w:footer="0" w:header="0"/>
          <w:type w:val="continuous"/>
        </w:sectPr>
      </w:pPr>
    </w:p>
    <w:p>
      <w:pPr>
        <w:spacing w:after="0" w:line="3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Date of Grant: </w:t>
      </w:r>
      <w:r>
        <w:rPr>
          <w:rFonts w:ascii="Arial" w:cs="Arial" w:eastAsia="Arial" w:hAnsi="Arial"/>
          <w:sz w:val="19"/>
          <w:szCs w:val="19"/>
          <w:b w:val="1"/>
          <w:bCs w:val="1"/>
          <w:color w:val="auto"/>
        </w:rPr>
        <w:t>_______________________________</w:t>
      </w:r>
    </w:p>
    <w:p>
      <w:pPr>
        <w:sectPr>
          <w:pgSz w:w="11900" w:h="16838" w:orient="portrait"/>
          <w:cols w:equalWidth="0" w:num="1">
            <w:col w:w="11240"/>
          </w:cols>
          <w:pgMar w:left="320" w:top="355" w:right="339" w:bottom="1440" w:gutter="0" w:footer="0" w:header="0"/>
          <w:type w:val="continuous"/>
        </w:sectPr>
      </w:pPr>
    </w:p>
    <w:p>
      <w:pPr>
        <w:spacing w:after="0" w:line="24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w:t>
      </w:r>
    </w:p>
    <w:p>
      <w:pPr>
        <w:spacing w:after="0" w:line="206" w:lineRule="exact"/>
        <w:rPr>
          <w:sz w:val="20"/>
          <w:szCs w:val="20"/>
          <w:color w:val="auto"/>
        </w:rPr>
      </w:pPr>
    </w:p>
    <w:p>
      <w:pPr>
        <w:sectPr>
          <w:pgSz w:w="11900" w:h="16838" w:orient="portrait"/>
          <w:cols w:equalWidth="0" w:num="2">
            <w:col w:w="3400" w:space="380"/>
            <w:col w:w="7460"/>
          </w:cols>
          <w:pgMar w:left="320" w:top="355" w:right="339" w:bottom="1440" w:gutter="0" w:footer="0" w:header="0"/>
          <w:type w:val="continuous"/>
        </w:sectPr>
      </w:pPr>
    </w:p>
    <w:p>
      <w:pPr>
        <w:spacing w:after="0" w:line="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______________________________</w:t>
      </w:r>
    </w:p>
    <w:p>
      <w:pPr>
        <w:spacing w:after="0" w:line="206" w:lineRule="exact"/>
        <w:rPr>
          <w:sz w:val="20"/>
          <w:szCs w:val="20"/>
          <w:color w:val="auto"/>
        </w:rPr>
      </w:pPr>
    </w:p>
    <w:p>
      <w:pPr>
        <w:sectPr>
          <w:pgSz w:w="11900" w:h="16838" w:orient="portrait"/>
          <w:cols w:equalWidth="0" w:num="2">
            <w:col w:w="2940" w:space="400"/>
            <w:col w:w="7900"/>
          </w:cols>
          <w:pgMar w:left="320" w:top="355" w:right="339" w:bottom="1440" w:gutter="0" w:footer="0" w:header="0"/>
          <w:type w:val="continuous"/>
        </w:sectPr>
      </w:pPr>
    </w:p>
    <w:p>
      <w:pPr>
        <w:spacing w:after="0" w:line="35" w:lineRule="exact"/>
        <w:rPr>
          <w:sz w:val="20"/>
          <w:szCs w:val="20"/>
          <w:color w:val="auto"/>
        </w:rPr>
      </w:pPr>
    </w:p>
    <w:p>
      <w:pPr>
        <w:ind w:left="760"/>
        <w:spacing w:after="0"/>
        <w:tabs>
          <w:tab w:leader="none" w:pos="4620" w:val="left"/>
        </w:tabs>
        <w:rPr>
          <w:sz w:val="20"/>
          <w:szCs w:val="20"/>
          <w:color w:val="auto"/>
        </w:rPr>
      </w:pPr>
      <w:r>
        <w:rPr>
          <w:rFonts w:ascii="Arial" w:cs="Arial" w:eastAsia="Arial" w:hAnsi="Arial"/>
          <w:sz w:val="22"/>
          <w:szCs w:val="22"/>
          <w:color w:val="auto"/>
        </w:rPr>
        <w:t>Total Number of Shares Subject to Option:</w:t>
      </w:r>
      <w:r>
        <w:rPr>
          <w:sz w:val="20"/>
          <w:szCs w:val="20"/>
          <w:color w:val="auto"/>
        </w:rPr>
        <w:tab/>
      </w:r>
      <w:r>
        <w:rPr>
          <w:rFonts w:ascii="Arial" w:cs="Arial" w:eastAsia="Arial" w:hAnsi="Arial"/>
          <w:sz w:val="19"/>
          <w:szCs w:val="19"/>
          <w:b w:val="1"/>
          <w:bCs w:val="1"/>
          <w:color w:val="auto"/>
        </w:rPr>
        <w:t>_______________________________</w:t>
      </w:r>
    </w:p>
    <w:p>
      <w:pPr>
        <w:sectPr>
          <w:pgSz w:w="11900" w:h="16838" w:orient="portrait"/>
          <w:cols w:equalWidth="0" w:num="1">
            <w:col w:w="11240"/>
          </w:cols>
          <w:pgMar w:left="320" w:top="355" w:right="339" w:bottom="1440" w:gutter="0" w:footer="0" w:header="0"/>
          <w:type w:val="continuous"/>
        </w:sectPr>
      </w:pPr>
    </w:p>
    <w:p>
      <w:pPr>
        <w:spacing w:after="0" w:line="2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Total Exercise Price: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______________________________</w:t>
      </w:r>
    </w:p>
    <w:p>
      <w:pPr>
        <w:spacing w:after="0" w:line="206" w:lineRule="exact"/>
        <w:rPr>
          <w:sz w:val="20"/>
          <w:szCs w:val="20"/>
          <w:color w:val="auto"/>
        </w:rPr>
      </w:pPr>
    </w:p>
    <w:p>
      <w:pPr>
        <w:sectPr>
          <w:pgSz w:w="11900" w:h="16838" w:orient="portrait"/>
          <w:cols w:equalWidth="0" w:num="2">
            <w:col w:w="2560" w:space="360"/>
            <w:col w:w="8320"/>
          </w:cols>
          <w:pgMar w:left="320" w:top="355" w:right="339" w:bottom="1440" w:gutter="0" w:footer="0" w:header="0"/>
          <w:type w:val="continuous"/>
        </w:sectPr>
      </w:pPr>
    </w:p>
    <w:p>
      <w:pPr>
        <w:spacing w:after="0" w:line="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Type of Option: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 Incentive Stock Option</w:t>
      </w:r>
    </w:p>
    <w:p>
      <w:pPr>
        <w:spacing w:after="0" w:line="200" w:lineRule="exact"/>
        <w:rPr>
          <w:sz w:val="20"/>
          <w:szCs w:val="20"/>
          <w:color w:val="auto"/>
        </w:rPr>
      </w:pPr>
    </w:p>
    <w:p>
      <w:pPr>
        <w:sectPr>
          <w:pgSz w:w="11900" w:h="16838" w:orient="portrait"/>
          <w:cols w:equalWidth="0" w:num="2">
            <w:col w:w="2140" w:space="340"/>
            <w:col w:w="8760"/>
          </w:cols>
          <w:pgMar w:left="320" w:top="355" w:right="339" w:bottom="1440" w:gutter="0" w:footer="0" w:header="0"/>
          <w:type w:val="continuous"/>
        </w:sectPr>
      </w:pPr>
    </w:p>
    <w:p>
      <w:pPr>
        <w:spacing w:after="0" w:line="41"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___ Nonstatutory Stock Option</w:t>
      </w:r>
    </w:p>
    <w:p>
      <w:pPr>
        <w:sectPr>
          <w:pgSz w:w="11900" w:h="16838" w:orient="portrait"/>
          <w:cols w:equalWidth="0" w:num="1">
            <w:col w:w="11240"/>
          </w:cols>
          <w:pgMar w:left="320" w:top="355" w:right="339" w:bottom="1440" w:gutter="0" w:footer="0" w:header="0"/>
          <w:type w:val="continuous"/>
        </w:sectPr>
      </w:pPr>
    </w:p>
    <w:p>
      <w:pPr>
        <w:spacing w:after="0" w:line="2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Term/Expiration Date: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w:t>
      </w:r>
    </w:p>
    <w:p>
      <w:pPr>
        <w:spacing w:after="0" w:line="206" w:lineRule="exact"/>
        <w:rPr>
          <w:sz w:val="20"/>
          <w:szCs w:val="20"/>
          <w:color w:val="auto"/>
        </w:rPr>
      </w:pPr>
    </w:p>
    <w:p>
      <w:pPr>
        <w:sectPr>
          <w:pgSz w:w="11900" w:h="16838" w:orient="portrait"/>
          <w:cols w:equalWidth="0" w:num="2">
            <w:col w:w="2700" w:space="220"/>
            <w:col w:w="8320"/>
          </w:cols>
          <w:pgMar w:left="320" w:top="355" w:right="339" w:bottom="1440" w:gutter="0" w:footer="0" w:header="0"/>
          <w:type w:val="continuous"/>
        </w:sectPr>
      </w:pP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ectPr>
          <w:pgSz w:w="11900" w:h="16838" w:orient="portrait"/>
          <w:cols w:equalWidth="0" w:num="1">
            <w:col w:w="11240"/>
          </w:cols>
          <w:pgMar w:left="320" w:top="355" w:right="339" w:bottom="1440" w:gutter="0" w:footer="0" w:header="0"/>
          <w:type w:val="continuous"/>
        </w:sectPr>
      </w:pPr>
    </w:p>
    <w:p>
      <w:pPr>
        <w:spacing w:after="0" w:line="258" w:lineRule="exact"/>
        <w:rPr>
          <w:sz w:val="20"/>
          <w:szCs w:val="20"/>
          <w:color w:val="auto"/>
        </w:rPr>
      </w:pPr>
    </w:p>
    <w:p>
      <w:pPr>
        <w:ind w:firstLine="749"/>
        <w:spacing w:after="0" w:line="239" w:lineRule="auto"/>
        <w:rPr>
          <w:sz w:val="20"/>
          <w:szCs w:val="20"/>
          <w:color w:val="auto"/>
        </w:rPr>
      </w:pPr>
      <w:r>
        <w:rPr>
          <w:rFonts w:ascii="Arial" w:cs="Arial" w:eastAsia="Arial" w:hAnsi="Arial"/>
          <w:sz w:val="22"/>
          <w:szCs w:val="22"/>
          <w:color w:val="auto"/>
        </w:rPr>
        <w:t>Subject to any acceleration provisions contained in the Plan, this Option Agreement or any other written agreement authorized by the Administrator between Participant and the Company (or</w:t>
      </w:r>
    </w:p>
    <w:p>
      <w:pPr>
        <w:ind w:left="2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52" w:name="page153"/>
    <w:bookmarkEnd w:id="152"/>
    <w:p>
      <w:pPr>
        <w:jc w:val="both"/>
        <w:spacing w:after="0" w:line="250" w:lineRule="auto"/>
        <w:rPr>
          <w:sz w:val="20"/>
          <w:szCs w:val="20"/>
          <w:color w:val="auto"/>
        </w:rPr>
      </w:pPr>
      <w:r>
        <w:rPr>
          <w:rFonts w:ascii="Arial" w:cs="Arial" w:eastAsia="Arial" w:hAnsi="Arial"/>
          <w:sz w:val="22"/>
          <w:szCs w:val="22"/>
          <w:color w:val="auto"/>
        </w:rPr>
        <w:t>any Parent or Subsidiary of the Company, as applicable) governing the terms of this Option, this Option shall vest and be exercisable, in whole or in part, according to the following vesting schedule:</w:t>
      </w:r>
    </w:p>
    <w:p>
      <w:pPr>
        <w:spacing w:after="0" w:line="17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One-fifth (1/5th) of the Total Number of Shares Subject to Option (as set forth above) shall be scheduled to vest on the one (1) year anniversary of the Vesting Commencement Date, and one sixtieth (1/60th) of the Total Number of Shares Subject to Option shall be scheduled to vest each month thereafter on the same day of the month as the Vesting Commencement Date (and if there is no corresponding day in a particular month, on the last day of the month), subject to Participant continuing to be a Service Provider through each such date.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Termination Period</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This Option shall be exercisable, to the extent vested, for three (3) months after Participant ceases to be a Service Provider, unless such cessation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15 of the Plan.</w:t>
      </w:r>
    </w:p>
    <w:p>
      <w:pPr>
        <w:spacing w:after="0" w:line="18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By Participant’s signature or by Participant’s acceptance of the Option Agreement via the Company’s designated electronic acceptance procedures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the Exercise Notice, attached hereto as </w:t>
      </w:r>
      <w:r>
        <w:rPr>
          <w:rFonts w:ascii="Arial" w:cs="Arial" w:eastAsia="Arial" w:hAnsi="Arial"/>
          <w:sz w:val="19"/>
          <w:szCs w:val="19"/>
          <w:b w:val="1"/>
          <w:bCs w:val="1"/>
          <w:color w:val="auto"/>
        </w:rPr>
        <w:t>Exhibit B</w:t>
      </w:r>
      <w:r>
        <w:rPr>
          <w:rFonts w:ascii="Arial" w:cs="Arial" w:eastAsia="Arial" w:hAnsi="Arial"/>
          <w:sz w:val="19"/>
          <w:szCs w:val="19"/>
          <w:color w:val="auto"/>
        </w:rPr>
        <w:t>, and all other exhibits, appendices and addenda attached hereto (including any Country Addendum and Restrictive</w:t>
      </w:r>
      <w:r>
        <w:rPr>
          <w:rFonts w:ascii="Arial" w:cs="Arial" w:eastAsia="Arial" w:hAnsi="Arial"/>
          <w:sz w:val="19"/>
          <w:szCs w:val="19"/>
          <w:b w:val="1"/>
          <w:bCs w:val="1"/>
          <w:color w:val="auto"/>
        </w:rPr>
        <w:t xml:space="preserve"> </w:t>
      </w:r>
      <w:r>
        <w:rPr>
          <w:rFonts w:ascii="Arial" w:cs="Arial" w:eastAsia="Arial" w:hAnsi="Arial"/>
          <w:sz w:val="19"/>
          <w:szCs w:val="19"/>
          <w:color w:val="auto"/>
        </w:rPr>
        <w:t>Covenants Addendum),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PAYMENTUS HOLDINGS, INC.</w:t>
      </w:r>
    </w:p>
    <w:p>
      <w:pPr>
        <w:spacing w:after="0" w:line="200" w:lineRule="exact"/>
        <w:rPr>
          <w:sz w:val="20"/>
          <w:szCs w:val="20"/>
          <w:color w:val="auto"/>
        </w:rPr>
      </w:pPr>
    </w:p>
    <w:p>
      <w:pPr>
        <w:sectPr>
          <w:pgSz w:w="11900" w:h="16838" w:orient="portrait"/>
          <w:cols w:equalWidth="0" w:num="2">
            <w:col w:w="1440" w:space="720"/>
            <w:col w:w="7979"/>
          </w:cols>
          <w:pgMar w:left="320" w:top="361"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62" w:lineRule="exact"/>
        <w:rPr>
          <w:sz w:val="20"/>
          <w:szCs w:val="20"/>
          <w:color w:val="auto"/>
        </w:rPr>
      </w:pPr>
    </w:p>
    <w:p>
      <w:pPr>
        <w:sectPr>
          <w:pgSz w:w="11900" w:h="16838" w:orient="portrait"/>
          <w:cols w:equalWidth="0" w:num="2">
            <w:col w:w="3900" w:space="420"/>
            <w:col w:w="5819"/>
          </w:cols>
          <w:pgMar w:left="320" w:top="36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Signature</w:t>
      </w:r>
    </w:p>
    <w:p>
      <w:pPr>
        <w:spacing w:after="0" w:line="89" w:lineRule="exact"/>
        <w:rPr>
          <w:sz w:val="20"/>
          <w:szCs w:val="20"/>
          <w:color w:val="auto"/>
        </w:rPr>
      </w:pPr>
    </w:p>
    <w:p>
      <w:pPr>
        <w:sectPr>
          <w:pgSz w:w="11900" w:h="16838" w:orient="portrait"/>
          <w:cols w:equalWidth="0" w:num="2">
            <w:col w:w="700" w:space="380"/>
            <w:col w:w="9059"/>
          </w:cols>
          <w:pgMar w:left="320" w:top="361" w:right="1440"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62" w:lineRule="exact"/>
        <w:rPr>
          <w:sz w:val="20"/>
          <w:szCs w:val="20"/>
          <w:color w:val="auto"/>
        </w:rPr>
      </w:pPr>
    </w:p>
    <w:p>
      <w:pPr>
        <w:sectPr>
          <w:pgSz w:w="11900" w:h="16838" w:orient="portrait"/>
          <w:cols w:equalWidth="0" w:num="2">
            <w:col w:w="3900" w:space="420"/>
            <w:col w:w="5819"/>
          </w:cols>
          <w:pgMar w:left="320" w:top="36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Print Name</w:t>
      </w:r>
    </w:p>
    <w:p>
      <w:pPr>
        <w:spacing w:after="0" w:line="89" w:lineRule="exact"/>
        <w:rPr>
          <w:sz w:val="20"/>
          <w:szCs w:val="20"/>
          <w:color w:val="auto"/>
        </w:rPr>
      </w:pPr>
    </w:p>
    <w:p>
      <w:pPr>
        <w:sectPr>
          <w:pgSz w:w="11900" w:h="16838" w:orient="portrait"/>
          <w:cols w:equalWidth="0" w:num="2">
            <w:col w:w="840" w:space="600"/>
            <w:col w:w="8699"/>
          </w:cols>
          <w:pgMar w:left="320" w:top="361" w:right="1440" w:bottom="1440" w:gutter="0" w:footer="0" w:header="0"/>
          <w:type w:val="continuous"/>
        </w:sectPr>
      </w:pPr>
    </w:p>
    <w:p>
      <w:pPr>
        <w:ind w:left="1300"/>
        <w:spacing w:after="0"/>
        <w:rPr>
          <w:sz w:val="20"/>
          <w:szCs w:val="20"/>
          <w:color w:val="auto"/>
        </w:rPr>
      </w:pPr>
      <w:r>
        <w:rPr>
          <w:rFonts w:ascii="Arial" w:cs="Arial" w:eastAsia="Arial" w:hAnsi="Arial"/>
          <w:sz w:val="19"/>
          <w:szCs w:val="19"/>
          <w:b w:val="1"/>
          <w:bCs w:val="1"/>
          <w:color w:val="auto"/>
        </w:rPr>
        <w:t>____________________________________</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Title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Residence Address: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type w:val="continuous"/>
        </w:sectPr>
      </w:pPr>
    </w:p>
    <w:bookmarkStart w:id="154" w:name="page155"/>
    <w:bookmarkEnd w:id="154"/>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AGREEMENT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AND CONDITIONS OF STOCK OPTION GRANT</w:t>
      </w:r>
    </w:p>
    <w:p>
      <w:pPr>
        <w:spacing w:after="0" w:line="206" w:lineRule="exact"/>
        <w:rPr>
          <w:sz w:val="20"/>
          <w:szCs w:val="20"/>
          <w:color w:val="auto"/>
        </w:rPr>
      </w:pPr>
    </w:p>
    <w:p>
      <w:pPr>
        <w:ind w:left="1500" w:hanging="743"/>
        <w:spacing w:after="0"/>
        <w:tabs>
          <w:tab w:leader="none" w:pos="1500" w:val="left"/>
        </w:tabs>
        <w:numPr>
          <w:ilvl w:val="0"/>
          <w:numId w:val="95"/>
        </w:numPr>
        <w:rPr>
          <w:rFonts w:ascii="Arial" w:cs="Arial" w:eastAsia="Arial" w:hAnsi="Arial"/>
          <w:sz w:val="22"/>
          <w:szCs w:val="22"/>
          <w:color w:val="auto"/>
        </w:rPr>
      </w:pPr>
      <w:r>
        <w:rPr>
          <w:rFonts w:ascii="Arial" w:cs="Arial" w:eastAsia="Arial" w:hAnsi="Arial"/>
          <w:sz w:val="22"/>
          <w:szCs w:val="22"/>
          <w:b w:val="1"/>
          <w:bCs w:val="1"/>
          <w:color w:val="auto"/>
        </w:rPr>
        <w:t>Grant of Option</w:t>
      </w:r>
      <w:r>
        <w:rPr>
          <w:rFonts w:ascii="Arial" w:cs="Arial" w:eastAsia="Arial" w:hAnsi="Arial"/>
          <w:sz w:val="22"/>
          <w:szCs w:val="22"/>
          <w:color w:val="auto"/>
        </w:rPr>
        <w:t>.</w:t>
      </w:r>
    </w:p>
    <w:p>
      <w:pPr>
        <w:spacing w:after="0" w:line="206" w:lineRule="exact"/>
        <w:rPr>
          <w:sz w:val="20"/>
          <w:szCs w:val="20"/>
          <w:color w:val="auto"/>
        </w:rPr>
      </w:pPr>
    </w:p>
    <w:p>
      <w:pPr>
        <w:ind w:right="80" w:firstLine="1497"/>
        <w:spacing w:after="0" w:line="235" w:lineRule="auto"/>
        <w:rPr>
          <w:sz w:val="20"/>
          <w:szCs w:val="20"/>
          <w:color w:val="auto"/>
        </w:rPr>
      </w:pPr>
      <w:r>
        <w:rPr>
          <w:rFonts w:ascii="Arial" w:cs="Arial" w:eastAsia="Arial" w:hAnsi="Arial"/>
          <w:sz w:val="22"/>
          <w:szCs w:val="22"/>
          <w:color w:val="auto"/>
        </w:rPr>
        <w:t>(a) The Company hereby grants to the individual (“</w:t>
      </w:r>
      <w:r>
        <w:rPr>
          <w:rFonts w:ascii="Arial" w:cs="Arial" w:eastAsia="Arial" w:hAnsi="Arial"/>
          <w:sz w:val="22"/>
          <w:szCs w:val="22"/>
          <w:b w:val="1"/>
          <w:bCs w:val="1"/>
          <w:color w:val="auto"/>
        </w:rPr>
        <w:t>Participant</w:t>
      </w:r>
      <w:r>
        <w:rPr>
          <w:rFonts w:ascii="Arial" w:cs="Arial" w:eastAsia="Arial" w:hAnsi="Arial"/>
          <w:sz w:val="22"/>
          <w:szCs w:val="22"/>
          <w:color w:val="auto"/>
        </w:rPr>
        <w:t>”) named in the Notice of Stock Option Grant of this Option Agreement (the “</w:t>
      </w:r>
      <w:r>
        <w:rPr>
          <w:rFonts w:ascii="Arial" w:cs="Arial" w:eastAsia="Arial" w:hAnsi="Arial"/>
          <w:sz w:val="22"/>
          <w:szCs w:val="22"/>
          <w:b w:val="1"/>
          <w:bCs w:val="1"/>
          <w:color w:val="auto"/>
        </w:rPr>
        <w:t>Notice of Grant</w:t>
      </w:r>
      <w:r>
        <w:rPr>
          <w:rFonts w:ascii="Arial" w:cs="Arial" w:eastAsia="Arial" w:hAnsi="Arial"/>
          <w:sz w:val="22"/>
          <w:szCs w:val="22"/>
          <w:color w:val="auto"/>
        </w:rPr>
        <w:t>”), on behalf of the Company and any Parent or Subsidiary by which the Participant is employed, an option (the “</w:t>
      </w:r>
      <w:r>
        <w:rPr>
          <w:rFonts w:ascii="Arial" w:cs="Arial" w:eastAsia="Arial" w:hAnsi="Arial"/>
          <w:sz w:val="22"/>
          <w:szCs w:val="22"/>
          <w:b w:val="1"/>
          <w:bCs w:val="1"/>
          <w:color w:val="auto"/>
        </w:rPr>
        <w:t>Option</w:t>
      </w:r>
      <w:r>
        <w:rPr>
          <w:rFonts w:ascii="Arial" w:cs="Arial" w:eastAsia="Arial" w:hAnsi="Arial"/>
          <w:sz w:val="22"/>
          <w:szCs w:val="22"/>
          <w:color w:val="auto"/>
        </w:rPr>
        <w:t>”) to purchase the number of Shares set forth in the Notice of Grant, at the exercise price per Share set forth in the Notice of Grant (the “</w:t>
      </w:r>
      <w:r>
        <w:rPr>
          <w:rFonts w:ascii="Arial" w:cs="Arial" w:eastAsia="Arial" w:hAnsi="Arial"/>
          <w:sz w:val="22"/>
          <w:szCs w:val="22"/>
          <w:b w:val="1"/>
          <w:bCs w:val="1"/>
          <w:color w:val="auto"/>
        </w:rPr>
        <w:t>Exercise Price</w:t>
      </w:r>
      <w:r>
        <w:rPr>
          <w:rFonts w:ascii="Arial" w:cs="Arial" w:eastAsia="Arial" w:hAnsi="Arial"/>
          <w:sz w:val="22"/>
          <w:szCs w:val="22"/>
          <w:color w:val="auto"/>
        </w:rPr>
        <w:t>”), subject to all of the terms and conditions in this Option Agreement and the Plan, which is incorporated herein by reference. Subject to Section 20 of the Plan, in the event of a conflict between the terms and conditions of the Plan and this Option Agreement, the terms and conditions of the Plan shall prevail.</w:t>
      </w:r>
    </w:p>
    <w:p>
      <w:pPr>
        <w:spacing w:after="0" w:line="183"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auto"/>
        </w:rPr>
        <w:t>(b) For U.S. taxpayers, if designated in the Notice of Grant as an Incentive Stock Option (“</w:t>
      </w:r>
      <w:r>
        <w:rPr>
          <w:rFonts w:ascii="Arial" w:cs="Arial" w:eastAsia="Arial" w:hAnsi="Arial"/>
          <w:sz w:val="21"/>
          <w:szCs w:val="21"/>
          <w:b w:val="1"/>
          <w:bCs w:val="1"/>
          <w:color w:val="auto"/>
        </w:rPr>
        <w:t>ISO</w:t>
      </w:r>
      <w:r>
        <w:rPr>
          <w:rFonts w:ascii="Arial" w:cs="Arial" w:eastAsia="Arial" w:hAnsi="Arial"/>
          <w:sz w:val="21"/>
          <w:szCs w:val="21"/>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21"/>
          <w:szCs w:val="21"/>
          <w:b w:val="1"/>
          <w:bCs w:val="1"/>
          <w:color w:val="auto"/>
        </w:rPr>
        <w:t>NSO</w:t>
      </w:r>
      <w:r>
        <w:rPr>
          <w:rFonts w:ascii="Arial" w:cs="Arial" w:eastAsia="Arial" w:hAnsi="Arial"/>
          <w:sz w:val="21"/>
          <w:szCs w:val="21"/>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For non-U.S. taxpayers, the Option will be designated as an NSO.</w:t>
      </w:r>
    </w:p>
    <w:p>
      <w:pPr>
        <w:spacing w:after="0" w:line="200" w:lineRule="exact"/>
        <w:rPr>
          <w:sz w:val="20"/>
          <w:szCs w:val="20"/>
          <w:color w:val="auto"/>
        </w:rPr>
      </w:pPr>
    </w:p>
    <w:p>
      <w:pPr>
        <w:jc w:val="both"/>
        <w:ind w:firstLine="757"/>
        <w:spacing w:after="0" w:line="280" w:lineRule="auto"/>
        <w:tabs>
          <w:tab w:leader="none" w:pos="1498" w:val="left"/>
        </w:tabs>
        <w:numPr>
          <w:ilvl w:val="0"/>
          <w:numId w:val="96"/>
        </w:numPr>
        <w:rPr>
          <w:rFonts w:ascii="Arial" w:cs="Arial" w:eastAsia="Arial" w:hAnsi="Arial"/>
          <w:sz w:val="19"/>
          <w:szCs w:val="19"/>
          <w:color w:val="auto"/>
        </w:rPr>
      </w:pPr>
      <w:r>
        <w:rPr>
          <w:rFonts w:ascii="Arial" w:cs="Arial" w:eastAsia="Arial" w:hAnsi="Arial"/>
          <w:sz w:val="19"/>
          <w:szCs w:val="19"/>
          <w:b w:val="1"/>
          <w:bCs w:val="1"/>
          <w:color w:val="auto"/>
        </w:rPr>
        <w:t>Vesting Schedule</w:t>
      </w:r>
      <w:r>
        <w:rPr>
          <w:rFonts w:ascii="Arial" w:cs="Arial" w:eastAsia="Arial" w:hAnsi="Arial"/>
          <w:sz w:val="19"/>
          <w:szCs w:val="19"/>
          <w:color w:val="auto"/>
        </w:rPr>
        <w:t>. Except as provided in Section 3, the Option awarded by this Option Agreement will vest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vesting provisions set forth in the Notice of Grant. Unless specifically provided otherwise in this Option Agreement or other written agreement authorized by the Administrator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44" w:lineRule="exact"/>
        <w:rPr>
          <w:rFonts w:ascii="Arial" w:cs="Arial" w:eastAsia="Arial" w:hAnsi="Arial"/>
          <w:sz w:val="19"/>
          <w:szCs w:val="19"/>
          <w:color w:val="auto"/>
        </w:rPr>
      </w:pPr>
    </w:p>
    <w:p>
      <w:pPr>
        <w:ind w:firstLine="757"/>
        <w:spacing w:after="0" w:line="256" w:lineRule="auto"/>
        <w:tabs>
          <w:tab w:leader="none" w:pos="1498"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Administrator Discretion</w:t>
      </w:r>
      <w:r>
        <w:rPr>
          <w:rFonts w:ascii="Arial" w:cs="Arial" w:eastAsia="Arial" w:hAnsi="Arial"/>
          <w:sz w:val="22"/>
          <w:szCs w:val="22"/>
          <w:color w:val="auto"/>
        </w:rPr>
        <w:t>. The Administrator, in its discretion, may accelerate the vesting of the balance, or</w:t>
      </w:r>
      <w:r>
        <w:rPr>
          <w:rFonts w:ascii="Arial" w:cs="Arial" w:eastAsia="Arial" w:hAnsi="Arial"/>
          <w:sz w:val="22"/>
          <w:szCs w:val="22"/>
          <w:b w:val="1"/>
          <w:bCs w:val="1"/>
          <w:color w:val="auto"/>
        </w:rPr>
        <w:t xml:space="preserve"> </w:t>
      </w:r>
      <w:r>
        <w:rPr>
          <w:rFonts w:ascii="Arial" w:cs="Arial" w:eastAsia="Arial" w:hAnsi="Arial"/>
          <w:sz w:val="22"/>
          <w:szCs w:val="22"/>
          <w:color w:val="auto"/>
        </w:rPr>
        <w:t>some lesser portion of the balance, of the unvested Option at any time,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55" w:name="page156"/>
    <w:bookmarkEnd w:id="155"/>
    <w:p>
      <w:pPr>
        <w:spacing w:after="0" w:line="250" w:lineRule="auto"/>
        <w:rPr>
          <w:sz w:val="20"/>
          <w:szCs w:val="20"/>
          <w:color w:val="auto"/>
        </w:rPr>
      </w:pPr>
      <w:r>
        <w:rPr>
          <w:rFonts w:ascii="Arial" w:cs="Arial" w:eastAsia="Arial" w:hAnsi="Arial"/>
          <w:sz w:val="22"/>
          <w:szCs w:val="22"/>
          <w:color w:val="auto"/>
        </w:rPr>
        <w:t>terms of the Plan. If so accelerated, such Option will be considered as having vested as of the date specified by the Administrator.</w:t>
      </w:r>
    </w:p>
    <w:p>
      <w:pPr>
        <w:spacing w:after="0" w:line="169" w:lineRule="exact"/>
        <w:rPr>
          <w:sz w:val="20"/>
          <w:szCs w:val="20"/>
          <w:color w:val="auto"/>
        </w:rPr>
      </w:pPr>
    </w:p>
    <w:p>
      <w:pPr>
        <w:ind w:left="1500" w:hanging="743"/>
        <w:spacing w:after="0"/>
        <w:tabs>
          <w:tab w:leader="none" w:pos="1500" w:val="left"/>
        </w:tabs>
        <w:numPr>
          <w:ilvl w:val="0"/>
          <w:numId w:val="97"/>
        </w:numPr>
        <w:rPr>
          <w:rFonts w:ascii="Arial" w:cs="Arial" w:eastAsia="Arial" w:hAnsi="Arial"/>
          <w:sz w:val="22"/>
          <w:szCs w:val="22"/>
          <w:color w:val="auto"/>
        </w:rPr>
      </w:pPr>
      <w:r>
        <w:rPr>
          <w:rFonts w:ascii="Arial" w:cs="Arial" w:eastAsia="Arial" w:hAnsi="Arial"/>
          <w:sz w:val="22"/>
          <w:szCs w:val="22"/>
          <w:b w:val="1"/>
          <w:bCs w:val="1"/>
          <w:color w:val="auto"/>
        </w:rPr>
        <w:t>Exercise of Option</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80"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b w:val="1"/>
          <w:bCs w:val="1"/>
          <w:color w:val="auto"/>
        </w:rPr>
        <w:t>Right to Exercise</w:t>
      </w:r>
      <w:r>
        <w:rPr>
          <w:rFonts w:ascii="Arial" w:cs="Arial" w:eastAsia="Arial" w:hAnsi="Arial"/>
          <w:sz w:val="21"/>
          <w:szCs w:val="21"/>
          <w:color w:val="auto"/>
        </w:rPr>
        <w:t>. This Option shall be exercisable during its term in accordance with the Vesting Schedule set out in the Notice of Grant and with the applicable provisions of the Plan and this Option Agreement.</w:t>
      </w:r>
    </w:p>
    <w:p>
      <w:pPr>
        <w:spacing w:after="0" w:line="139"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b w:val="1"/>
          <w:bCs w:val="1"/>
          <w:color w:val="auto"/>
        </w:rPr>
        <w:t>Method of Exercise</w:t>
      </w:r>
      <w:r>
        <w:rPr>
          <w:rFonts w:ascii="Arial" w:cs="Arial" w:eastAsia="Arial" w:hAnsi="Arial"/>
          <w:sz w:val="19"/>
          <w:szCs w:val="19"/>
          <w:color w:val="auto"/>
        </w:rPr>
        <w:t>.  This Option shall be exercisable by delivery of an exercise notice (the</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Exercise Notice</w:t>
      </w:r>
      <w:r>
        <w:rPr>
          <w:rFonts w:ascii="Arial" w:cs="Arial" w:eastAsia="Arial" w:hAnsi="Arial"/>
          <w:sz w:val="19"/>
          <w:szCs w:val="19"/>
          <w:color w:val="auto"/>
        </w:rPr>
        <w:t xml:space="preserve">”) in the form attached as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Arial" w:cs="Arial" w:eastAsia="Arial" w:hAnsi="Arial"/>
          <w:sz w:val="19"/>
          <w:szCs w:val="19"/>
          <w:b w:val="1"/>
          <w:bCs w:val="1"/>
          <w:color w:val="auto"/>
        </w:rPr>
        <w:t>Exercised Shares</w:t>
      </w:r>
      <w:r>
        <w:rPr>
          <w:rFonts w:ascii="Arial" w:cs="Arial" w:eastAsia="Arial" w:hAnsi="Arial"/>
          <w:sz w:val="19"/>
          <w:szCs w:val="19"/>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Withholding Obligations (as defined below). This Option shall be deemed to be exercised upon receipt by the Company of such fully executed Exercise Notice accompanied by the aggregate Exercise Price, together with any applicable Withholding Obligations.</w:t>
      </w:r>
    </w:p>
    <w:p>
      <w:pPr>
        <w:spacing w:after="0" w:line="159"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80" w:lineRule="exact"/>
        <w:rPr>
          <w:sz w:val="20"/>
          <w:szCs w:val="20"/>
          <w:color w:val="auto"/>
        </w:rPr>
      </w:pPr>
    </w:p>
    <w:p>
      <w:pPr>
        <w:ind w:firstLine="757"/>
        <w:spacing w:after="0" w:line="256" w:lineRule="auto"/>
        <w:tabs>
          <w:tab w:leader="none" w:pos="1498"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Method of Payment</w:t>
      </w:r>
      <w:r>
        <w:rPr>
          <w:rFonts w:ascii="Arial" w:cs="Arial" w:eastAsia="Arial" w:hAnsi="Arial"/>
          <w:sz w:val="22"/>
          <w:szCs w:val="22"/>
          <w:color w:val="auto"/>
        </w:rPr>
        <w:t>. Payment of the aggregate Exercise Price shall be by any of the following, or a</w:t>
      </w:r>
      <w:r>
        <w:rPr>
          <w:rFonts w:ascii="Arial" w:cs="Arial" w:eastAsia="Arial" w:hAnsi="Arial"/>
          <w:sz w:val="22"/>
          <w:szCs w:val="22"/>
          <w:b w:val="1"/>
          <w:bCs w:val="1"/>
          <w:color w:val="auto"/>
        </w:rPr>
        <w:t xml:space="preserve"> </w:t>
      </w:r>
      <w:r>
        <w:rPr>
          <w:rFonts w:ascii="Arial" w:cs="Arial" w:eastAsia="Arial" w:hAnsi="Arial"/>
          <w:sz w:val="22"/>
          <w:szCs w:val="22"/>
          <w:color w:val="auto"/>
        </w:rPr>
        <w:t>combination thereof, at the election of Participant:</w:t>
      </w:r>
    </w:p>
    <w:p>
      <w:pPr>
        <w:sectPr>
          <w:pgSz w:w="11900" w:h="16838" w:orient="portrait"/>
          <w:cols w:equalWidth="0" w:num="1">
            <w:col w:w="11240"/>
          </w:cols>
          <w:pgMar w:left="320" w:top="577" w:right="339" w:bottom="1440" w:gutter="0" w:footer="0" w:header="0"/>
        </w:sectPr>
      </w:pPr>
    </w:p>
    <w:p>
      <w:pPr>
        <w:spacing w:after="0" w:line="16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211" w:lineRule="exact"/>
        <w:rPr>
          <w:sz w:val="20"/>
          <w:szCs w:val="20"/>
          <w:color w:val="auto"/>
        </w:rPr>
      </w:pPr>
    </w:p>
    <w:p>
      <w:pPr>
        <w:sectPr>
          <w:pgSz w:w="11900" w:h="16838" w:orient="portrait"/>
          <w:cols w:equalWidth="0" w:num="2">
            <w:col w:w="2280" w:space="720"/>
            <w:col w:w="8240"/>
          </w:cols>
          <w:pgMar w:left="320" w:top="577" w:right="33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check;</w:t>
      </w:r>
    </w:p>
    <w:p>
      <w:pPr>
        <w:spacing w:after="0" w:line="222" w:lineRule="exact"/>
        <w:rPr>
          <w:sz w:val="20"/>
          <w:szCs w:val="20"/>
          <w:color w:val="auto"/>
        </w:rPr>
      </w:pPr>
    </w:p>
    <w:p>
      <w:pPr>
        <w:sectPr>
          <w:pgSz w:w="11900" w:h="16838" w:orient="portrait"/>
          <w:cols w:equalWidth="0" w:num="2">
            <w:col w:w="2280" w:space="720"/>
            <w:col w:w="8240"/>
          </w:cols>
          <w:pgMar w:left="320" w:top="577" w:right="339" w:bottom="1440" w:gutter="0" w:footer="0" w:header="0"/>
          <w:type w:val="continuous"/>
        </w:sectPr>
      </w:pPr>
    </w:p>
    <w:p>
      <w:pPr>
        <w:spacing w:after="0" w:line="18"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(c) consideration received by the Company under a formal cashless exercise program adopted by the Company in connection with the Plan; or</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if Participant is a U.S. employee, surrender of other Shares which (i) shall be valued at its fair</w:t>
      </w:r>
    </w:p>
    <w:p>
      <w:pPr>
        <w:sectPr>
          <w:pgSz w:w="11900" w:h="16838" w:orient="portrait"/>
          <w:cols w:equalWidth="0" w:num="1">
            <w:col w:w="11240"/>
          </w:cols>
          <w:pgMar w:left="320" w:top="577"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A non-U.S. resident’s methods of exercise may be restricted by the terms and conditions of any appendix to this Option Agreement for Participant’s country (including the Country Addendum, as defined below).</w:t>
      </w:r>
    </w:p>
    <w:p>
      <w:pPr>
        <w:spacing w:after="0" w:line="169" w:lineRule="exact"/>
        <w:rPr>
          <w:sz w:val="20"/>
          <w:szCs w:val="20"/>
          <w:color w:val="auto"/>
        </w:rPr>
      </w:pPr>
    </w:p>
    <w:p>
      <w:pPr>
        <w:ind w:firstLine="757"/>
        <w:spacing w:after="0" w:line="253" w:lineRule="auto"/>
        <w:tabs>
          <w:tab w:leader="none" w:pos="1498" w:val="left"/>
        </w:tabs>
        <w:numPr>
          <w:ilvl w:val="0"/>
          <w:numId w:val="99"/>
        </w:numPr>
        <w:rPr>
          <w:rFonts w:ascii="Arial" w:cs="Arial" w:eastAsia="Arial" w:hAnsi="Arial"/>
          <w:sz w:val="21"/>
          <w:szCs w:val="21"/>
          <w:color w:val="auto"/>
        </w:rPr>
      </w:pPr>
      <w:r>
        <w:rPr>
          <w:rFonts w:ascii="Arial" w:cs="Arial" w:eastAsia="Arial" w:hAnsi="Arial"/>
          <w:sz w:val="21"/>
          <w:szCs w:val="21"/>
          <w:b w:val="1"/>
          <w:bCs w:val="1"/>
          <w:color w:val="auto"/>
        </w:rPr>
        <w:t>Non-Transferability of Option</w:t>
      </w:r>
      <w:r>
        <w:rPr>
          <w:rFonts w:ascii="Arial" w:cs="Arial" w:eastAsia="Arial" w:hAnsi="Arial"/>
          <w:sz w:val="21"/>
          <w:szCs w:val="21"/>
          <w:color w:val="auto"/>
        </w:rPr>
        <w:t>. This Option may not be transferred in any manner otherwise than by will or</w:t>
      </w:r>
      <w:r>
        <w:rPr>
          <w:rFonts w:ascii="Arial" w:cs="Arial" w:eastAsia="Arial" w:hAnsi="Arial"/>
          <w:sz w:val="21"/>
          <w:szCs w:val="21"/>
          <w:b w:val="1"/>
          <w:bCs w:val="1"/>
          <w:color w:val="auto"/>
        </w:rPr>
        <w:t xml:space="preserve"> </w:t>
      </w:r>
      <w:r>
        <w:rPr>
          <w:rFonts w:ascii="Arial" w:cs="Arial" w:eastAsia="Arial" w:hAnsi="Arial"/>
          <w:sz w:val="21"/>
          <w:szCs w:val="21"/>
          <w:color w:val="auto"/>
        </w:rPr>
        <w:t>by the laws of descent or distribution and may be exercised during the lifetime of Participant only by Participant.</w:t>
      </w:r>
    </w:p>
    <w:p>
      <w:pPr>
        <w:ind w:left="280"/>
        <w:spacing w:after="0"/>
        <w:rPr>
          <w:rFonts w:ascii="Arial" w:cs="Arial" w:eastAsia="Arial" w:hAnsi="Arial"/>
          <w:sz w:val="21"/>
          <w:szCs w:val="21"/>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type w:val="continuous"/>
        </w:sectPr>
      </w:pPr>
    </w:p>
    <w:bookmarkStart w:id="156" w:name="page157"/>
    <w:bookmarkEnd w:id="156"/>
    <w:p>
      <w:pPr>
        <w:ind w:firstLine="757"/>
        <w:spacing w:after="0" w:line="256" w:lineRule="auto"/>
        <w:tabs>
          <w:tab w:leader="none" w:pos="1498"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Term of Option</w:t>
      </w:r>
      <w:r>
        <w:rPr>
          <w:rFonts w:ascii="Arial" w:cs="Arial" w:eastAsia="Arial" w:hAnsi="Arial"/>
          <w:sz w:val="22"/>
          <w:szCs w:val="22"/>
          <w:color w:val="auto"/>
        </w:rPr>
        <w:t>. This Option may be exercised only within the term set out in the Notice of Grant, and may be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exercised during such term only in accordance with the Plan and the terms of this Option Agreement.</w:t>
      </w:r>
    </w:p>
    <w:p>
      <w:pPr>
        <w:spacing w:after="0" w:line="162" w:lineRule="exact"/>
        <w:rPr>
          <w:rFonts w:ascii="Arial" w:cs="Arial" w:eastAsia="Arial" w:hAnsi="Arial"/>
          <w:sz w:val="22"/>
          <w:szCs w:val="22"/>
          <w:color w:val="auto"/>
        </w:rPr>
      </w:pPr>
    </w:p>
    <w:p>
      <w:pPr>
        <w:ind w:left="1500" w:hanging="743"/>
        <w:spacing w:after="0"/>
        <w:tabs>
          <w:tab w:leader="none" w:pos="1500"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Tax Obligations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or any Parent or Subsidiary to which Participant is providing services (together, the “</w:t>
      </w:r>
      <w:r>
        <w:rPr>
          <w:rFonts w:ascii="Arial" w:cs="Arial" w:eastAsia="Arial" w:hAnsi="Arial"/>
          <w:sz w:val="19"/>
          <w:szCs w:val="19"/>
          <w:b w:val="1"/>
          <w:bCs w:val="1"/>
          <w:color w:val="auto"/>
        </w:rPr>
        <w:t>Service Recipients</w:t>
      </w:r>
      <w:r>
        <w:rPr>
          <w:rFonts w:ascii="Arial" w:cs="Arial" w:eastAsia="Arial" w:hAnsi="Arial"/>
          <w:sz w:val="19"/>
          <w:szCs w:val="19"/>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tax-related items related to Participant’s participation in the Plan and legally applicable or deemed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Arial" w:cs="Arial" w:eastAsia="Arial" w:hAnsi="Arial"/>
          <w:sz w:val="19"/>
          <w:szCs w:val="19"/>
          <w:b w:val="1"/>
          <w:bCs w:val="1"/>
          <w:color w:val="auto"/>
        </w:rPr>
        <w:t>Tax Obligations</w:t>
      </w:r>
      <w:r>
        <w:rPr>
          <w:rFonts w:ascii="Arial" w:cs="Arial" w:eastAsia="Arial" w:hAnsi="Arial"/>
          <w:sz w:val="19"/>
          <w:szCs w:val="19"/>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60"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b w:val="1"/>
          <w:bCs w:val="1"/>
          <w:color w:val="auto"/>
        </w:rPr>
        <w:t>Tax Withholding</w:t>
      </w:r>
      <w:r>
        <w:rPr>
          <w:rFonts w:ascii="Arial" w:cs="Arial" w:eastAsia="Arial" w:hAnsi="Arial"/>
          <w:sz w:val="19"/>
          <w:szCs w:val="19"/>
          <w:color w:val="auto"/>
        </w:rPr>
        <w:t>. Pursuant to such procedures as the Administrator may specify from time to time, the applicable Service Recipient(s) will withhold the amount required to be withheld for the payment of Tax Obligations (the “</w:t>
      </w:r>
      <w:r>
        <w:rPr>
          <w:rFonts w:ascii="Arial" w:cs="Arial" w:eastAsia="Arial" w:hAnsi="Arial"/>
          <w:sz w:val="19"/>
          <w:szCs w:val="19"/>
          <w:b w:val="1"/>
          <w:bCs w:val="1"/>
          <w:color w:val="auto"/>
        </w:rPr>
        <w:t>Withholding Obligations</w:t>
      </w:r>
      <w:r>
        <w:rPr>
          <w:rFonts w:ascii="Arial" w:cs="Arial" w:eastAsia="Arial" w:hAnsi="Arial"/>
          <w:sz w:val="19"/>
          <w:szCs w:val="19"/>
          <w:color w:val="auto"/>
        </w:rPr>
        <w:t>”). The Administrator, in its sole discretion and pursuant to such procedures as it may specify from time to time, may permit Participant to satisfy such Withholding Obligations, in whole or in part (without limitation), if permissible by Applicable Laws, by (i) paying cash,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Arial" w:cs="Arial" w:eastAsia="Arial" w:hAnsi="Arial"/>
          <w:sz w:val="19"/>
          <w:szCs w:val="19"/>
          <w:b w:val="1"/>
          <w:bCs w:val="1"/>
          <w:color w:val="auto"/>
        </w:rPr>
        <w:t>Net Share Withholding</w:t>
      </w:r>
      <w:r>
        <w:rPr>
          <w:rFonts w:ascii="Arial" w:cs="Arial" w:eastAsia="Arial" w:hAnsi="Arial"/>
          <w:sz w:val="19"/>
          <w:szCs w:val="19"/>
          <w:color w:val="auto"/>
        </w:rPr>
        <w:t>”), (iii) withholding the amount of such Withholding Obligations from Participant’s wages or other cash compensation payable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or (v) selling a sufficient number of such Shares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7" w:name="page158"/>
    <w:bookmarkEnd w:id="157"/>
    <w:p>
      <w:pPr>
        <w:jc w:val="both"/>
        <w:spacing w:after="0" w:line="272" w:lineRule="auto"/>
        <w:rPr>
          <w:sz w:val="20"/>
          <w:szCs w:val="20"/>
          <w:color w:val="auto"/>
        </w:rPr>
      </w:pPr>
      <w:r>
        <w:rPr>
          <w:rFonts w:ascii="Arial" w:cs="Arial" w:eastAsia="Arial" w:hAnsi="Arial"/>
          <w:sz w:val="19"/>
          <w:szCs w:val="19"/>
          <w:color w:val="auto"/>
        </w:rPr>
        <w:t>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Arial" w:cs="Arial" w:eastAsia="Arial" w:hAnsi="Arial"/>
          <w:sz w:val="19"/>
          <w:szCs w:val="19"/>
          <w:b w:val="1"/>
          <w:bCs w:val="1"/>
          <w:color w:val="auto"/>
        </w:rPr>
        <w:t>Sell to Cover</w:t>
      </w:r>
      <w:r>
        <w:rPr>
          <w:rFonts w:ascii="Arial" w:cs="Arial" w:eastAsia="Arial" w:hAnsi="Arial"/>
          <w:sz w:val="19"/>
          <w:szCs w:val="19"/>
          <w:color w:val="auto"/>
        </w:rPr>
        <w:t>”).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150" w:lineRule="exact"/>
        <w:rPr>
          <w:sz w:val="20"/>
          <w:szCs w:val="20"/>
          <w:color w:val="auto"/>
        </w:rPr>
      </w:pPr>
    </w:p>
    <w:p>
      <w:pPr>
        <w:jc w:val="both"/>
        <w:ind w:left="1500"/>
        <w:spacing w:after="0"/>
        <w:tabs>
          <w:tab w:leader="none" w:pos="2980" w:val="left"/>
          <w:tab w:leader="none" w:pos="79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b w:val="1"/>
          <w:bCs w:val="1"/>
          <w:color w:val="auto"/>
        </w:rPr>
        <w:t>Notice of Disqualifying Disposition of ISO Shares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If the Option granted to Participant</w:t>
      </w:r>
    </w:p>
    <w:p>
      <w:pPr>
        <w:spacing w:after="0" w:line="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b w:val="1"/>
          <w:bCs w:val="1"/>
          <w:color w:val="auto"/>
        </w:rPr>
        <w:t>Section 409A.</w:t>
      </w:r>
      <w:r>
        <w:rPr>
          <w:rFonts w:ascii="Arial" w:cs="Arial" w:eastAsia="Arial" w:hAnsi="Arial"/>
          <w:sz w:val="21"/>
          <w:szCs w:val="21"/>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Arial" w:cs="Arial" w:eastAsia="Arial" w:hAnsi="Arial"/>
          <w:sz w:val="21"/>
          <w:szCs w:val="21"/>
          <w:b w:val="1"/>
          <w:bCs w:val="1"/>
          <w:color w:val="auto"/>
        </w:rPr>
        <w:t>IRS</w:t>
      </w:r>
      <w:r>
        <w:rPr>
          <w:rFonts w:ascii="Arial" w:cs="Arial" w:eastAsia="Arial" w:hAnsi="Arial"/>
          <w:sz w:val="21"/>
          <w:szCs w:val="21"/>
          <w:color w:val="auto"/>
        </w:rPr>
        <w:t>”) to be less than the fair market value of an underlying share on the date of grant (a “</w:t>
      </w:r>
      <w:r>
        <w:rPr>
          <w:rFonts w:ascii="Arial" w:cs="Arial" w:eastAsia="Arial" w:hAnsi="Arial"/>
          <w:sz w:val="21"/>
          <w:szCs w:val="21"/>
          <w:b w:val="1"/>
          <w:bCs w:val="1"/>
          <w:color w:val="auto"/>
        </w:rPr>
        <w:t>discount option</w:t>
      </w:r>
      <w:r>
        <w:rPr>
          <w:rFonts w:ascii="Arial" w:cs="Arial" w:eastAsia="Arial" w:hAnsi="Arial"/>
          <w:sz w:val="21"/>
          <w:szCs w:val="21"/>
          <w:color w:val="auto"/>
        </w:rPr>
        <w:t>”)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78" w:lineRule="exact"/>
        <w:rPr>
          <w:sz w:val="20"/>
          <w:szCs w:val="20"/>
          <w:color w:val="auto"/>
        </w:rPr>
      </w:pPr>
    </w:p>
    <w:p>
      <w:pPr>
        <w:jc w:val="both"/>
        <w:ind w:firstLine="757"/>
        <w:spacing w:after="0" w:line="236" w:lineRule="auto"/>
        <w:tabs>
          <w:tab w:leader="none" w:pos="1498"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Rights as Stockholder</w:t>
      </w:r>
      <w:r>
        <w:rPr>
          <w:rFonts w:ascii="Arial" w:cs="Arial" w:eastAsia="Arial" w:hAnsi="Arial"/>
          <w:sz w:val="22"/>
          <w:szCs w:val="22"/>
          <w:color w:val="auto"/>
        </w:rPr>
        <w:t>. Neither Participant nor any person claiming under or through Participant will have any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rights or privileges of a stockholder of the Company in respect of any Shares deliverable hereunder unless and until certificates representing such Shares (which may be in book entry form) will have been issued, recorded on the records of the Company or its transfer agents</w:t>
      </w:r>
    </w:p>
    <w:p>
      <w:pPr>
        <w:spacing w:after="0" w:line="1" w:lineRule="exact"/>
        <w:rPr>
          <w:rFonts w:ascii="Arial" w:cs="Arial" w:eastAsia="Arial" w:hAnsi="Arial"/>
          <w:sz w:val="22"/>
          <w:szCs w:val="22"/>
          <w:color w:val="auto"/>
        </w:rPr>
      </w:pPr>
    </w:p>
    <w:p>
      <w:pPr>
        <w:ind w:left="280"/>
        <w:spacing w:after="0"/>
        <w:rPr>
          <w:rFonts w:ascii="Arial" w:cs="Arial" w:eastAsia="Arial" w:hAnsi="Arial"/>
          <w:sz w:val="22"/>
          <w:szCs w:val="22"/>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8" w:name="page159"/>
    <w:bookmarkEnd w:id="158"/>
    <w:p>
      <w:pPr>
        <w:jc w:val="both"/>
        <w:spacing w:after="0"/>
        <w:rPr>
          <w:sz w:val="20"/>
          <w:szCs w:val="20"/>
          <w:color w:val="auto"/>
        </w:rPr>
      </w:pPr>
      <w:r>
        <w:rPr>
          <w:rFonts w:ascii="Arial" w:cs="Arial" w:eastAsia="Arial" w:hAnsi="Arial"/>
          <w:sz w:val="22"/>
          <w:szCs w:val="22"/>
          <w:color w:val="auto"/>
        </w:rPr>
        <w:t>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0" w:lineRule="exact"/>
        <w:rPr>
          <w:sz w:val="20"/>
          <w:szCs w:val="20"/>
          <w:color w:val="auto"/>
        </w:rPr>
      </w:pPr>
    </w:p>
    <w:p>
      <w:pPr>
        <w:jc w:val="both"/>
        <w:ind w:firstLine="757"/>
        <w:spacing w:after="0" w:line="283" w:lineRule="auto"/>
        <w:tabs>
          <w:tab w:leader="none" w:pos="1498"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Entire Agreement; Governing Law</w:t>
      </w:r>
      <w:r>
        <w:rPr>
          <w:rFonts w:ascii="Arial" w:cs="Arial" w:eastAsia="Arial" w:hAnsi="Arial"/>
          <w:sz w:val="19"/>
          <w:szCs w:val="19"/>
          <w:color w:val="auto"/>
        </w:rPr>
        <w:t>. The Plan is incorporated herein by reference. The Plan and this Option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spacing w:after="0" w:line="142" w:lineRule="exact"/>
        <w:rPr>
          <w:rFonts w:ascii="Arial" w:cs="Arial" w:eastAsia="Arial" w:hAnsi="Arial"/>
          <w:sz w:val="19"/>
          <w:szCs w:val="19"/>
          <w:color w:val="auto"/>
        </w:rPr>
      </w:pPr>
    </w:p>
    <w:p>
      <w:pPr>
        <w:jc w:val="both"/>
        <w:ind w:firstLine="757"/>
        <w:spacing w:after="0" w:line="244" w:lineRule="auto"/>
        <w:tabs>
          <w:tab w:leader="none" w:pos="1498" w:val="left"/>
        </w:tabs>
        <w:numPr>
          <w:ilvl w:val="0"/>
          <w:numId w:val="102"/>
        </w:numPr>
        <w:rPr>
          <w:rFonts w:ascii="Arial" w:cs="Arial" w:eastAsia="Arial" w:hAnsi="Arial"/>
          <w:sz w:val="21"/>
          <w:szCs w:val="21"/>
          <w:color w:val="auto"/>
        </w:rPr>
      </w:pPr>
      <w:r>
        <w:rPr>
          <w:rFonts w:ascii="Arial" w:cs="Arial" w:eastAsia="Arial" w:hAnsi="Arial"/>
          <w:sz w:val="21"/>
          <w:szCs w:val="21"/>
          <w:b w:val="1"/>
          <w:bCs w:val="1"/>
          <w:color w:val="auto"/>
        </w:rPr>
        <w:t>No Guarantee of Continued Service</w:t>
      </w:r>
      <w:r>
        <w:rPr>
          <w:rFonts w:ascii="Arial" w:cs="Arial" w:eastAsia="Arial" w:hAnsi="Arial"/>
          <w:sz w:val="21"/>
          <w:szCs w:val="21"/>
          <w:color w:val="auto"/>
        </w:rPr>
        <w:t>. PARTICIPANT ACKNOWLEDGES AND AGREES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OF SHARES PURSUANT TO THE VESTING SCHEDULE HEREOF IS EARNED ONLY BY CONTINUING AS A SERVICE PROVIDER, WHICH UNLESS PROVIDED OTHERWISE UNDER APPLICABLE LAWS IS AT THE WILL OF THE APPLICABLE SERVICE RECIPIENT AND NOT THROUGH THE ACT OF BEING HIRED, BEING GRANTED THIS OPTION OR ACQUIRING SHARES HEREUNDER. PARTICIPANT FURTHER ACKNOWLEDGES AND AGREES THAT THIS OPTION AGREEMENT, THE TRANSACTIONS CONTEMPLATED HEREUNDER AND THE VESTING SCHEDULE SET FORTH HEREIN SHALL NOT BE INTERPRETED AS FORMING OR AMENDING AN EMPLOYMENT OR SERVICE CONTRACT,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3" w:lineRule="exact"/>
        <w:rPr>
          <w:rFonts w:ascii="Arial" w:cs="Arial" w:eastAsia="Arial" w:hAnsi="Arial"/>
          <w:sz w:val="21"/>
          <w:szCs w:val="21"/>
          <w:color w:val="auto"/>
        </w:rPr>
      </w:pPr>
    </w:p>
    <w:p>
      <w:pPr>
        <w:ind w:left="1500" w:hanging="743"/>
        <w:spacing w:after="0"/>
        <w:tabs>
          <w:tab w:leader="none" w:pos="1500"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In accepting the Option, Participant acknowledges, understands and agrees that:</w:t>
      </w:r>
    </w:p>
    <w:p>
      <w:pPr>
        <w:spacing w:after="0" w:line="212"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 the grant of the Option is exceptional, voluntary and occasional and does not create any contractual or other right to receive future grants of options, or benefits in lieu of options, even if options have been granted in the past;</w:t>
      </w:r>
    </w:p>
    <w:p>
      <w:pPr>
        <w:sectPr>
          <w:pgSz w:w="11900" w:h="16838" w:orient="portrait"/>
          <w:cols w:equalWidth="0" w:num="1">
            <w:col w:w="11240"/>
          </w:cols>
          <w:pgMar w:left="320" w:top="577" w:right="339" w:bottom="1440" w:gutter="0" w:footer="0" w:header="0"/>
        </w:sectPr>
      </w:pP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(b)</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of the Administrator;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option or other grants, if any, will be at the sole discretion</w:t>
      </w:r>
    </w:p>
    <w:p>
      <w:pPr>
        <w:spacing w:after="0" w:line="460" w:lineRule="exact"/>
        <w:rPr>
          <w:sz w:val="20"/>
          <w:szCs w:val="20"/>
          <w:color w:val="auto"/>
        </w:rPr>
      </w:pPr>
    </w:p>
    <w:p>
      <w:pPr>
        <w:sectPr>
          <w:pgSz w:w="11900" w:h="16838" w:orient="portrait"/>
          <w:cols w:equalWidth="0" w:num="2">
            <w:col w:w="2280" w:space="720"/>
            <w:col w:w="8240"/>
          </w:cols>
          <w:pgMar w:left="320" w:top="577" w:right="339" w:bottom="1440" w:gutter="0" w:footer="0" w:header="0"/>
          <w:type w:val="continuous"/>
        </w:sectPr>
      </w:pPr>
    </w:p>
    <w:p>
      <w:pPr>
        <w:spacing w:after="0" w:line="2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Participant is voluntarily participating in the Plan;</w:t>
      </w:r>
    </w:p>
    <w:p>
      <w:pPr>
        <w:spacing w:after="0" w:line="200" w:lineRule="exact"/>
        <w:rPr>
          <w:sz w:val="20"/>
          <w:szCs w:val="20"/>
          <w:color w:val="auto"/>
        </w:rPr>
      </w:pPr>
    </w:p>
    <w:p>
      <w:pPr>
        <w:sectPr>
          <w:pgSz w:w="11900" w:h="16838" w:orient="portrait"/>
          <w:cols w:equalWidth="0" w:num="2">
            <w:col w:w="2280" w:space="720"/>
            <w:col w:w="8240"/>
          </w:cols>
          <w:pgMar w:left="320" w:top="577" w:right="339" w:bottom="1440" w:gutter="0" w:footer="0" w:header="0"/>
          <w:type w:val="continuous"/>
        </w:sectPr>
      </w:pPr>
    </w:p>
    <w:p>
      <w:pPr>
        <w:spacing w:after="0" w:line="41"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(d) the Option and any Shares acquired under the Plan and the income from and value of same, are not intended to replace any pension rights or compensation;</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Option and Shares acquired under the Plan and the income from and value of same, are not</w:t>
      </w:r>
    </w:p>
    <w:p>
      <w:pPr>
        <w:sectPr>
          <w:pgSz w:w="11900" w:h="16838" w:orient="portrait"/>
          <w:cols w:equalWidth="0" w:num="1">
            <w:col w:w="11240"/>
          </w:cols>
          <w:pgMar w:left="320" w:top="577" w:right="339" w:bottom="1440" w:gutter="0" w:footer="0" w:header="0"/>
          <w:type w:val="continuous"/>
        </w:sectPr>
      </w:pPr>
    </w:p>
    <w:p>
      <w:pPr>
        <w:spacing w:after="0" w:line="56"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part of normal or expected compensation for purposes of, including, but not limited to, calculating any severance, resignation, termination, redundancy, dismissal, end-of-service payments,</w:t>
      </w:r>
    </w:p>
    <w:p>
      <w:pPr>
        <w:ind w:left="2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22"/>
          <w:szCs w:val="22"/>
          <w:color w:val="auto"/>
        </w:rPr>
        <w:t>bonuses, holiday pay, long-service awards, pension or retirement or welfare benefits or similar payments;</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(f) unless otherwise agreed with the Company in writing, the Option and the Shares acquired from the Plan, and the income from and value of same, are not granted as consideration for, or in connection with, the service Participant may provide as a director of any Subsidiary or Parent of the Company;</w:t>
      </w:r>
    </w:p>
    <w:p>
      <w:pPr>
        <w:sectPr>
          <w:pgSz w:w="11900" w:h="16838" w:orient="portrait"/>
          <w:cols w:equalWidth="0" w:num="1">
            <w:col w:w="11240"/>
          </w:cols>
          <w:pgMar w:left="320" w:top="577" w:right="339" w:bottom="1440" w:gutter="0" w:footer="0" w:header="0"/>
        </w:sectPr>
      </w:pP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(g)</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be predicted with certainty;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future value of the Shares underlying the Option is unknown, indeterminable, and cannot</w:t>
      </w:r>
    </w:p>
    <w:p>
      <w:pPr>
        <w:spacing w:after="0" w:line="461" w:lineRule="exact"/>
        <w:rPr>
          <w:sz w:val="20"/>
          <w:szCs w:val="20"/>
          <w:color w:val="auto"/>
        </w:rPr>
      </w:pPr>
    </w:p>
    <w:p>
      <w:pPr>
        <w:sectPr>
          <w:pgSz w:w="11900" w:h="16838" w:orient="portrait"/>
          <w:cols w:equalWidth="0" w:num="2">
            <w:col w:w="2380" w:space="620"/>
            <w:col w:w="8240"/>
          </w:cols>
          <w:pgMar w:left="320" w:top="577" w:right="339" w:bottom="1440" w:gutter="0" w:footer="0" w:header="0"/>
          <w:type w:val="continuous"/>
        </w:sectPr>
      </w:pPr>
    </w:p>
    <w:p>
      <w:pPr>
        <w:spacing w:after="0" w:line="2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(h)</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1340"/>
        <w:spacing w:after="0"/>
        <w:rPr>
          <w:sz w:val="20"/>
          <w:szCs w:val="20"/>
          <w:color w:val="auto"/>
        </w:rPr>
      </w:pPr>
      <w:r>
        <w:rPr>
          <w:rFonts w:ascii="Arial" w:cs="Arial" w:eastAsia="Arial" w:hAnsi="Arial"/>
          <w:sz w:val="19"/>
          <w:szCs w:val="19"/>
          <w:color w:val="auto"/>
        </w:rPr>
        <w:t>if the underlying Shares do not increase in value, the Option will have no value;</w:t>
      </w:r>
    </w:p>
    <w:p>
      <w:pPr>
        <w:spacing w:after="0" w:line="222" w:lineRule="exact"/>
        <w:rPr>
          <w:sz w:val="20"/>
          <w:szCs w:val="20"/>
          <w:color w:val="auto"/>
        </w:rPr>
      </w:pPr>
    </w:p>
    <w:p>
      <w:pPr>
        <w:sectPr>
          <w:pgSz w:w="11900" w:h="16838" w:orient="portrait"/>
          <w:cols w:equalWidth="0" w:num="2">
            <w:col w:w="2280" w:space="720"/>
            <w:col w:w="8240"/>
          </w:cols>
          <w:pgMar w:left="320" w:top="577" w:right="339" w:bottom="1440" w:gutter="0" w:footer="0" w:header="0"/>
          <w:type w:val="continuous"/>
        </w:sectPr>
      </w:pPr>
    </w:p>
    <w:p>
      <w:pPr>
        <w:spacing w:after="0" w:line="18"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(i) if Participant exercises the Option and acquires Shares, the value of such Shares may increase or decrease in value, even below the Exercise Price;</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1"/>
          <w:szCs w:val="21"/>
          <w:color w:val="auto"/>
        </w:rPr>
        <w:t>(j)</w:t>
      </w:r>
      <w:r>
        <w:rPr>
          <w:sz w:val="20"/>
          <w:szCs w:val="20"/>
          <w:color w:val="auto"/>
        </w:rPr>
        <w:tab/>
      </w:r>
      <w:r>
        <w:rPr>
          <w:rFonts w:ascii="Arial" w:cs="Arial" w:eastAsia="Arial" w:hAnsi="Arial"/>
          <w:sz w:val="21"/>
          <w:szCs w:val="21"/>
          <w:color w:val="auto"/>
        </w:rPr>
        <w:t>for purposes of the Option, Participant’s status as a Service Provider will be considered</w:t>
      </w:r>
    </w:p>
    <w:p>
      <w:pPr>
        <w:sectPr>
          <w:pgSz w:w="11900" w:h="16838" w:orient="portrait"/>
          <w:cols w:equalWidth="0" w:num="1">
            <w:col w:w="11240"/>
          </w:cols>
          <w:pgMar w:left="320" w:top="577" w:right="339" w:bottom="1440" w:gutter="0" w:footer="0" w:header="0"/>
          <w:type w:val="continuous"/>
        </w:sectPr>
      </w:pPr>
    </w:p>
    <w:p>
      <w:pPr>
        <w:spacing w:after="0" w:line="3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Applicable Laws);</w:t>
      </w:r>
    </w:p>
    <w:p>
      <w:pPr>
        <w:spacing w:after="0" w:line="164"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(k) 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ectPr>
          <w:pgSz w:w="11900" w:h="16838" w:orient="portrait"/>
          <w:cols w:equalWidth="0" w:num="1">
            <w:col w:w="11240"/>
          </w:cols>
          <w:pgMar w:left="320" w:top="577" w:right="339" w:bottom="1440" w:gutter="0" w:footer="0" w:header="0"/>
          <w:type w:val="continuous"/>
        </w:sectPr>
      </w:pP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provisions apply only if Participant is providing services outside the United</w:t>
      </w:r>
    </w:p>
    <w:p>
      <w:pPr>
        <w:spacing w:after="0" w:line="23" w:lineRule="exact"/>
        <w:rPr>
          <w:sz w:val="20"/>
          <w:szCs w:val="20"/>
          <w:color w:val="auto"/>
        </w:rPr>
      </w:pPr>
    </w:p>
    <w:p>
      <w:pPr>
        <w:sectPr>
          <w:pgSz w:w="11900" w:h="16838" w:orient="portrait"/>
          <w:cols w:equalWidth="0" w:num="2">
            <w:col w:w="2280" w:space="720"/>
            <w:col w:w="8240"/>
          </w:cols>
          <w:pgMar w:left="320" w:top="577" w:right="339" w:bottom="1440" w:gutter="0" w:footer="0" w:header="0"/>
          <w:type w:val="continuous"/>
        </w:sectPr>
      </w:pPr>
    </w:p>
    <w:p>
      <w:pPr>
        <w:spacing w:after="0"/>
        <w:rPr>
          <w:sz w:val="20"/>
          <w:szCs w:val="20"/>
          <w:color w:val="auto"/>
        </w:rPr>
      </w:pPr>
      <w:r>
        <w:rPr>
          <w:rFonts w:ascii="Arial" w:cs="Arial" w:eastAsia="Arial" w:hAnsi="Arial"/>
          <w:sz w:val="22"/>
          <w:szCs w:val="22"/>
          <w:color w:val="auto"/>
        </w:rPr>
        <w:t>States:</w:t>
      </w:r>
    </w:p>
    <w:p>
      <w:pPr>
        <w:spacing w:after="0" w:line="185"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(i) the Option and the Shares subject to the Option, and the income from and value of same, are not part of normal or expected compensation or salary for any purpose;</w:t>
      </w:r>
    </w:p>
    <w:p>
      <w:pPr>
        <w:spacing w:after="0" w:line="175"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no Service Recipient shall be liable for any foreign exchange rate fluctuation</w:t>
      </w:r>
    </w:p>
    <w:p>
      <w:pPr>
        <w:sectPr>
          <w:pgSz w:w="11900" w:h="16838" w:orient="portrait"/>
          <w:cols w:equalWidth="0" w:num="1">
            <w:col w:w="11240"/>
          </w:cols>
          <w:pgMar w:left="320" w:top="577" w:right="339" w:bottom="1440" w:gutter="0" w:footer="0" w:header="0"/>
          <w:type w:val="continuous"/>
        </w:sectPr>
      </w:pP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type w:val="continuous"/>
        </w:sectPr>
      </w:pPr>
    </w:p>
    <w:bookmarkStart w:id="160" w:name="page161"/>
    <w:bookmarkEnd w:id="160"/>
    <w:p>
      <w:pPr>
        <w:jc w:val="both"/>
        <w:ind w:firstLine="2246"/>
        <w:spacing w:after="0" w:line="245" w:lineRule="auto"/>
        <w:rPr>
          <w:sz w:val="20"/>
          <w:szCs w:val="20"/>
          <w:color w:val="auto"/>
        </w:rPr>
      </w:pPr>
      <w:r>
        <w:rPr>
          <w:rFonts w:ascii="Arial" w:cs="Arial" w:eastAsia="Arial" w:hAnsi="Arial"/>
          <w:sz w:val="21"/>
          <w:szCs w:val="21"/>
          <w:color w:val="auto"/>
        </w:rPr>
        <w:t>(iii) 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8" w:lineRule="exact"/>
        <w:rPr>
          <w:sz w:val="20"/>
          <w:szCs w:val="20"/>
          <w:color w:val="auto"/>
        </w:rPr>
      </w:pPr>
    </w:p>
    <w:p>
      <w:pPr>
        <w:ind w:firstLine="757"/>
        <w:spacing w:after="0" w:line="280" w:lineRule="auto"/>
        <w:tabs>
          <w:tab w:leader="none" w:pos="1498" w:val="left"/>
        </w:tabs>
        <w:numPr>
          <w:ilvl w:val="0"/>
          <w:numId w:val="103"/>
        </w:numPr>
        <w:rPr>
          <w:rFonts w:ascii="Arial" w:cs="Arial" w:eastAsia="Arial" w:hAnsi="Arial"/>
          <w:sz w:val="21"/>
          <w:szCs w:val="21"/>
          <w:color w:val="auto"/>
        </w:rPr>
      </w:pPr>
      <w:r>
        <w:rPr>
          <w:rFonts w:ascii="Arial" w:cs="Arial" w:eastAsia="Arial" w:hAnsi="Arial"/>
          <w:sz w:val="21"/>
          <w:szCs w:val="21"/>
          <w:b w:val="1"/>
          <w:bCs w:val="1"/>
          <w:color w:val="auto"/>
        </w:rPr>
        <w:t>Restrictive Covenants</w:t>
      </w:r>
      <w:r>
        <w:rPr>
          <w:rFonts w:ascii="Arial" w:cs="Arial" w:eastAsia="Arial" w:hAnsi="Arial"/>
          <w:sz w:val="21"/>
          <w:szCs w:val="21"/>
          <w:color w:val="auto"/>
        </w:rPr>
        <w:t>. In consideration of this grant of the Option, Participant agrees to the restrictive</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set forth in Appendix 2 to this Option Agreement, the terms of which are incorporated by reference.</w:t>
      </w:r>
    </w:p>
    <w:p>
      <w:pPr>
        <w:spacing w:after="0" w:line="138" w:lineRule="exact"/>
        <w:rPr>
          <w:rFonts w:ascii="Arial" w:cs="Arial" w:eastAsia="Arial" w:hAnsi="Arial"/>
          <w:sz w:val="21"/>
          <w:szCs w:val="21"/>
          <w:color w:val="auto"/>
        </w:rPr>
      </w:pPr>
    </w:p>
    <w:p>
      <w:pPr>
        <w:jc w:val="both"/>
        <w:ind w:firstLine="757"/>
        <w:spacing w:after="0" w:line="254" w:lineRule="auto"/>
        <w:tabs>
          <w:tab w:leader="none" w:pos="1498" w:val="left"/>
        </w:tabs>
        <w:numPr>
          <w:ilvl w:val="0"/>
          <w:numId w:val="103"/>
        </w:numPr>
        <w:rPr>
          <w:rFonts w:ascii="Arial" w:cs="Arial" w:eastAsia="Arial" w:hAnsi="Arial"/>
          <w:sz w:val="21"/>
          <w:szCs w:val="21"/>
          <w:color w:val="auto"/>
        </w:rPr>
      </w:pPr>
      <w:r>
        <w:rPr>
          <w:rFonts w:ascii="Arial" w:cs="Arial" w:eastAsia="Arial" w:hAnsi="Arial"/>
          <w:sz w:val="21"/>
          <w:szCs w:val="21"/>
          <w:b w:val="1"/>
          <w:bCs w:val="1"/>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65" w:lineRule="exact"/>
        <w:rPr>
          <w:rFonts w:ascii="Arial" w:cs="Arial" w:eastAsia="Arial" w:hAnsi="Arial"/>
          <w:sz w:val="21"/>
          <w:szCs w:val="21"/>
          <w:color w:val="auto"/>
        </w:rPr>
      </w:pPr>
    </w:p>
    <w:p>
      <w:pPr>
        <w:jc w:val="both"/>
        <w:ind w:firstLine="757"/>
        <w:spacing w:after="0" w:line="254" w:lineRule="auto"/>
        <w:tabs>
          <w:tab w:leader="none" w:pos="1498" w:val="left"/>
        </w:tabs>
        <w:numPr>
          <w:ilvl w:val="0"/>
          <w:numId w:val="103"/>
        </w:numPr>
        <w:rPr>
          <w:rFonts w:ascii="Arial" w:cs="Arial" w:eastAsia="Arial" w:hAnsi="Arial"/>
          <w:sz w:val="21"/>
          <w:szCs w:val="21"/>
          <w:color w:val="auto"/>
        </w:rPr>
      </w:pPr>
      <w:r>
        <w:rPr>
          <w:rFonts w:ascii="Arial" w:cs="Arial" w:eastAsia="Arial" w:hAnsi="Arial"/>
          <w:sz w:val="21"/>
          <w:szCs w:val="21"/>
          <w:b w:val="1"/>
          <w:bCs w:val="1"/>
          <w:color w:val="auto"/>
        </w:rPr>
        <w:t>Data Privacy</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Participant hereby explicitly and unambiguously consents to the collection, use and transfer,</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in electronic or other form, of Participant’s personal data as described in this Option Agreement and any other Option grant materials by and among, as applicable, the Company and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spacing w:after="0" w:line="18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b w:val="1"/>
          <w:bCs w:val="1"/>
          <w:i w:val="1"/>
          <w:iCs w:val="1"/>
          <w:color w:val="auto"/>
        </w:rPr>
        <w:t>Participant understands that Data will be transferred to a third-party stock plan service provider,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1" w:name="page162"/>
    <w:bookmarkEnd w:id="161"/>
    <w:p>
      <w:pPr>
        <w:jc w:val="both"/>
        <w:spacing w:after="0" w:line="272" w:lineRule="auto"/>
        <w:rPr>
          <w:sz w:val="20"/>
          <w:szCs w:val="20"/>
          <w:color w:val="auto"/>
        </w:rPr>
      </w:pPr>
      <w:r>
        <w:rPr>
          <w:rFonts w:ascii="Arial" w:cs="Arial" w:eastAsia="Arial" w:hAnsi="Arial"/>
          <w:sz w:val="19"/>
          <w:szCs w:val="19"/>
          <w:b w:val="1"/>
          <w:bCs w:val="1"/>
          <w:i w:val="1"/>
          <w:iCs w:val="1"/>
          <w:color w:val="auto"/>
        </w:rPr>
        <w:t>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5" w:lineRule="exact"/>
        <w:rPr>
          <w:sz w:val="20"/>
          <w:szCs w:val="20"/>
          <w:color w:val="auto"/>
        </w:rPr>
      </w:pPr>
    </w:p>
    <w:p>
      <w:pPr>
        <w:ind w:right="40" w:firstLine="757"/>
        <w:spacing w:after="0" w:line="243" w:lineRule="auto"/>
        <w:tabs>
          <w:tab w:leader="none" w:pos="1498"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Address for Notices</w:t>
      </w:r>
      <w:r>
        <w:rPr>
          <w:rFonts w:ascii="Arial" w:cs="Arial" w:eastAsia="Arial" w:hAnsi="Arial"/>
          <w:sz w:val="22"/>
          <w:szCs w:val="22"/>
          <w:color w:val="auto"/>
        </w:rPr>
        <w:t>. Any notice to be given to the Company under the terms of this Option Agreement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addressed to the Company at Paymentus Holdings, Inc., 18390 NE 68th St., Redmond, WA 98052, Attention: General Counsel, or at such other address as the Company may hereafter designate in writing.</w:t>
      </w:r>
    </w:p>
    <w:p>
      <w:pPr>
        <w:spacing w:after="0" w:line="176" w:lineRule="exact"/>
        <w:rPr>
          <w:rFonts w:ascii="Arial" w:cs="Arial" w:eastAsia="Arial" w:hAnsi="Arial"/>
          <w:sz w:val="22"/>
          <w:szCs w:val="22"/>
          <w:color w:val="auto"/>
        </w:rPr>
      </w:pPr>
    </w:p>
    <w:p>
      <w:pPr>
        <w:jc w:val="both"/>
        <w:ind w:firstLine="757"/>
        <w:spacing w:after="0" w:line="237" w:lineRule="auto"/>
        <w:tabs>
          <w:tab w:leader="none" w:pos="1498"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Option Agreement to single or</w:t>
      </w:r>
      <w:r>
        <w:rPr>
          <w:rFonts w:ascii="Arial" w:cs="Arial" w:eastAsia="Arial" w:hAnsi="Arial"/>
          <w:sz w:val="22"/>
          <w:szCs w:val="22"/>
          <w:b w:val="1"/>
          <w:bCs w:val="1"/>
          <w:color w:val="auto"/>
        </w:rPr>
        <w:t xml:space="preserve"> </w:t>
      </w:r>
      <w:r>
        <w:rPr>
          <w:rFonts w:ascii="Arial" w:cs="Arial" w:eastAsia="Arial" w:hAnsi="Arial"/>
          <w:sz w:val="22"/>
          <w:szCs w:val="22"/>
          <w:color w:val="auto"/>
        </w:rPr>
        <w:t>multiple assignees, and this Option Agreement shall inure to the benefit of the successors and assigns of the Company. Subject to the restriction on transfer herein set forth, this Option Agreement shall be binding upon Participant and Participant’s heirs, executors, administrators, successors and assigns. The rights and obligations of Participant under this Option Agreement may be assigned only with the prior written consent of the Company.</w:t>
      </w:r>
    </w:p>
    <w:p>
      <w:pPr>
        <w:spacing w:after="0" w:line="181" w:lineRule="exact"/>
        <w:rPr>
          <w:rFonts w:ascii="Arial" w:cs="Arial" w:eastAsia="Arial" w:hAnsi="Arial"/>
          <w:sz w:val="22"/>
          <w:szCs w:val="22"/>
          <w:color w:val="auto"/>
        </w:rPr>
      </w:pPr>
    </w:p>
    <w:p>
      <w:pPr>
        <w:jc w:val="both"/>
        <w:ind w:firstLine="757"/>
        <w:spacing w:after="0" w:line="273" w:lineRule="auto"/>
        <w:tabs>
          <w:tab w:leader="none" w:pos="1498"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Additional Conditions to Issuance of Stock</w:t>
      </w:r>
      <w:r>
        <w:rPr>
          <w:rFonts w:ascii="Arial" w:cs="Arial" w:eastAsia="Arial" w:hAnsi="Arial"/>
          <w:sz w:val="19"/>
          <w:szCs w:val="19"/>
          <w:color w:val="auto"/>
        </w:rPr>
        <w:t>. If at any time the Company will determine, in its discretion,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398" w:lineRule="exact"/>
        <w:rPr>
          <w:rFonts w:ascii="Arial" w:cs="Arial" w:eastAsia="Arial" w:hAnsi="Arial"/>
          <w:sz w:val="19"/>
          <w:szCs w:val="19"/>
          <w:color w:val="auto"/>
        </w:rPr>
      </w:pPr>
    </w:p>
    <w:p>
      <w:pPr>
        <w:ind w:left="1500" w:hanging="743"/>
        <w:spacing w:after="0"/>
        <w:tabs>
          <w:tab w:leader="none" w:pos="1500"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Language</w:t>
      </w:r>
      <w:r>
        <w:rPr>
          <w:rFonts w:ascii="Arial" w:cs="Arial" w:eastAsia="Arial" w:hAnsi="Arial"/>
          <w:sz w:val="22"/>
          <w:szCs w:val="22"/>
          <w:color w:val="auto"/>
        </w:rPr>
        <w:t>. Participant acknowledges that Participant is sufficiently proficient in the</w:t>
      </w:r>
    </w:p>
    <w:p>
      <w:pPr>
        <w:spacing w:after="0" w:line="14"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English language, or has consulted with an adviser who is sufficiently proficient in the English language, so as to allow Participant to understand the terms and conditions of this Option Agreement.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2" w:name="page163"/>
    <w:bookmarkEnd w:id="162"/>
    <w:p>
      <w:pPr>
        <w:jc w:val="both"/>
        <w:spacing w:after="0"/>
        <w:rPr>
          <w:sz w:val="20"/>
          <w:szCs w:val="20"/>
          <w:color w:val="auto"/>
        </w:rPr>
      </w:pPr>
      <w:r>
        <w:rPr>
          <w:rFonts w:ascii="Arial" w:cs="Arial" w:eastAsia="Arial" w:hAnsi="Arial"/>
          <w:sz w:val="22"/>
          <w:szCs w:val="22"/>
          <w:color w:val="auto"/>
        </w:rPr>
        <w:t>If Participant has received this Option Agreement or any other document related to the Plan translated into a language other than the English language and if the meaning of the translated version is different than the English version, the English language version will control.</w:t>
      </w:r>
    </w:p>
    <w:p>
      <w:pPr>
        <w:spacing w:after="0" w:line="180" w:lineRule="exact"/>
        <w:rPr>
          <w:sz w:val="20"/>
          <w:szCs w:val="20"/>
          <w:color w:val="auto"/>
        </w:rPr>
      </w:pPr>
    </w:p>
    <w:p>
      <w:pPr>
        <w:jc w:val="both"/>
        <w:ind w:firstLine="757"/>
        <w:spacing w:after="0" w:line="247" w:lineRule="auto"/>
        <w:tabs>
          <w:tab w:leader="none" w:pos="1498" w:val="left"/>
        </w:tabs>
        <w:numPr>
          <w:ilvl w:val="0"/>
          <w:numId w:val="105"/>
        </w:numPr>
        <w:rPr>
          <w:rFonts w:ascii="Arial" w:cs="Arial" w:eastAsia="Arial" w:hAnsi="Arial"/>
          <w:sz w:val="21"/>
          <w:szCs w:val="21"/>
          <w:color w:val="auto"/>
        </w:rPr>
      </w:pPr>
      <w:r>
        <w:rPr>
          <w:rFonts w:ascii="Arial" w:cs="Arial" w:eastAsia="Arial" w:hAnsi="Arial"/>
          <w:sz w:val="21"/>
          <w:szCs w:val="21"/>
          <w:b w:val="1"/>
          <w:bCs w:val="1"/>
          <w:color w:val="auto"/>
        </w:rPr>
        <w:t>Interpretation</w:t>
      </w:r>
      <w:r>
        <w:rPr>
          <w:rFonts w:ascii="Arial" w:cs="Arial" w:eastAsia="Arial" w:hAnsi="Arial"/>
          <w:sz w:val="21"/>
          <w:szCs w:val="21"/>
          <w:color w:val="auto"/>
        </w:rPr>
        <w:t>. The Administrator will have the power to interpret the Plan and this Option Agreement and to</w:t>
      </w:r>
      <w:r>
        <w:rPr>
          <w:rFonts w:ascii="Arial" w:cs="Arial" w:eastAsia="Arial" w:hAnsi="Arial"/>
          <w:sz w:val="21"/>
          <w:szCs w:val="21"/>
          <w:b w:val="1"/>
          <w:bCs w:val="1"/>
          <w:color w:val="auto"/>
        </w:rPr>
        <w:t xml:space="preserve"> </w:t>
      </w:r>
      <w:r>
        <w:rPr>
          <w:rFonts w:ascii="Arial" w:cs="Arial" w:eastAsia="Arial" w:hAnsi="Arial"/>
          <w:sz w:val="21"/>
          <w:szCs w:val="21"/>
          <w:color w:val="auto"/>
        </w:rPr>
        <w:t>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77" w:lineRule="exact"/>
        <w:rPr>
          <w:rFonts w:ascii="Arial" w:cs="Arial" w:eastAsia="Arial" w:hAnsi="Arial"/>
          <w:sz w:val="21"/>
          <w:szCs w:val="21"/>
          <w:color w:val="auto"/>
        </w:rPr>
      </w:pPr>
    </w:p>
    <w:p>
      <w:pPr>
        <w:jc w:val="both"/>
        <w:ind w:firstLine="757"/>
        <w:spacing w:after="0" w:line="237" w:lineRule="auto"/>
        <w:tabs>
          <w:tab w:leader="none" w:pos="1498"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Electronic Delivery and Acceptance</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1" w:lineRule="exact"/>
        <w:rPr>
          <w:rFonts w:ascii="Arial" w:cs="Arial" w:eastAsia="Arial" w:hAnsi="Arial"/>
          <w:sz w:val="22"/>
          <w:szCs w:val="22"/>
          <w:color w:val="auto"/>
        </w:rPr>
      </w:pPr>
    </w:p>
    <w:p>
      <w:pPr>
        <w:ind w:right="20" w:firstLine="757"/>
        <w:spacing w:after="0" w:line="256" w:lineRule="auto"/>
        <w:tabs>
          <w:tab w:leader="none" w:pos="1498"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Captions provided herein are for convenience only and are not to serve as a basis for 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construction of this Option Agreement.</w:t>
      </w:r>
    </w:p>
    <w:p>
      <w:pPr>
        <w:spacing w:after="0" w:line="162" w:lineRule="exact"/>
        <w:rPr>
          <w:rFonts w:ascii="Arial" w:cs="Arial" w:eastAsia="Arial" w:hAnsi="Arial"/>
          <w:sz w:val="22"/>
          <w:szCs w:val="22"/>
          <w:color w:val="auto"/>
        </w:rPr>
      </w:pPr>
    </w:p>
    <w:p>
      <w:pPr>
        <w:jc w:val="both"/>
        <w:ind w:firstLine="757"/>
        <w:spacing w:after="0" w:line="243" w:lineRule="auto"/>
        <w:tabs>
          <w:tab w:leader="none" w:pos="1498"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Option Agreement Severable</w:t>
      </w:r>
      <w:r>
        <w:rPr>
          <w:rFonts w:ascii="Arial" w:cs="Arial" w:eastAsia="Arial" w:hAnsi="Arial"/>
          <w:sz w:val="22"/>
          <w:szCs w:val="22"/>
          <w:color w:val="auto"/>
        </w:rPr>
        <w:t>. In the event that any provision in this Option Agreement will be held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such provision will be severable from, and such invalidity or unenforceability will not be construed to have any effect on, the remaining provisions of this Option Agreement.</w:t>
      </w:r>
    </w:p>
    <w:p>
      <w:pPr>
        <w:spacing w:after="0" w:line="176" w:lineRule="exact"/>
        <w:rPr>
          <w:rFonts w:ascii="Arial" w:cs="Arial" w:eastAsia="Arial" w:hAnsi="Arial"/>
          <w:sz w:val="22"/>
          <w:szCs w:val="22"/>
          <w:color w:val="auto"/>
        </w:rPr>
      </w:pPr>
    </w:p>
    <w:p>
      <w:pPr>
        <w:jc w:val="both"/>
        <w:ind w:firstLine="757"/>
        <w:spacing w:after="0" w:line="239" w:lineRule="auto"/>
        <w:tabs>
          <w:tab w:leader="none" w:pos="1498"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Amendment, Suspension or Termination of the Plan</w:t>
      </w:r>
      <w:r>
        <w:rPr>
          <w:rFonts w:ascii="Arial" w:cs="Arial" w:eastAsia="Arial" w:hAnsi="Arial"/>
          <w:sz w:val="22"/>
          <w:szCs w:val="22"/>
          <w:color w:val="auto"/>
        </w:rPr>
        <w:t>. By accepting this Option, Participant expressly</w:t>
      </w:r>
      <w:r>
        <w:rPr>
          <w:rFonts w:ascii="Arial" w:cs="Arial" w:eastAsia="Arial" w:hAnsi="Arial"/>
          <w:sz w:val="22"/>
          <w:szCs w:val="22"/>
          <w:b w:val="1"/>
          <w:bCs w:val="1"/>
          <w:color w:val="auto"/>
        </w:rPr>
        <w:t xml:space="preserve"> </w:t>
      </w:r>
      <w:r>
        <w:rPr>
          <w:rFonts w:ascii="Arial" w:cs="Arial" w:eastAsia="Arial" w:hAnsi="Arial"/>
          <w:sz w:val="22"/>
          <w:szCs w:val="22"/>
          <w:color w:val="auto"/>
        </w:rPr>
        <w:t>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rFonts w:ascii="Arial" w:cs="Arial" w:eastAsia="Arial" w:hAnsi="Arial"/>
          <w:sz w:val="22"/>
          <w:szCs w:val="22"/>
          <w:color w:val="auto"/>
        </w:rPr>
      </w:pPr>
    </w:p>
    <w:p>
      <w:pPr>
        <w:jc w:val="both"/>
        <w:ind w:firstLine="757"/>
        <w:spacing w:after="0" w:line="280" w:lineRule="auto"/>
        <w:tabs>
          <w:tab w:leader="none" w:pos="1498"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Country Addendum</w:t>
      </w:r>
      <w:r>
        <w:rPr>
          <w:rFonts w:ascii="Arial" w:cs="Arial" w:eastAsia="Arial" w:hAnsi="Arial"/>
          <w:sz w:val="19"/>
          <w:szCs w:val="19"/>
          <w:color w:val="auto"/>
        </w:rPr>
        <w:t>. Notwithstanding any provisions in this Option Agreement, this Option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additional terms and conditions set forth in the Country Addendum (if any) for any country whose laws are applicable to Participant and this Option (as determined by the Administrator in its sole discretion). Moreover, if Participant relocates to one of the countries included in the Country Addendum, the additional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44" w:lineRule="exact"/>
        <w:rPr>
          <w:rFonts w:ascii="Arial" w:cs="Arial" w:eastAsia="Arial" w:hAnsi="Arial"/>
          <w:sz w:val="19"/>
          <w:szCs w:val="19"/>
          <w:color w:val="auto"/>
        </w:rPr>
      </w:pPr>
    </w:p>
    <w:p>
      <w:pPr>
        <w:jc w:val="both"/>
        <w:ind w:firstLine="757"/>
        <w:spacing w:after="0" w:line="273" w:lineRule="auto"/>
        <w:tabs>
          <w:tab w:leader="none" w:pos="1498"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Modifications to the Option Agreement</w:t>
      </w:r>
      <w:r>
        <w:rPr>
          <w:rFonts w:ascii="Arial" w:cs="Arial" w:eastAsia="Arial" w:hAnsi="Arial"/>
          <w:sz w:val="19"/>
          <w:szCs w:val="19"/>
          <w:color w:val="auto"/>
        </w:rPr>
        <w:t>. This Option Agreement constitutes the entire understanding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w:t>
      </w:r>
    </w:p>
    <w:p>
      <w:pPr>
        <w:spacing w:after="0" w:line="1" w:lineRule="exact"/>
        <w:rPr>
          <w:rFonts w:ascii="Arial" w:cs="Arial" w:eastAsia="Arial" w:hAnsi="Arial"/>
          <w:sz w:val="19"/>
          <w:szCs w:val="19"/>
          <w:color w:val="auto"/>
        </w:rPr>
      </w:pPr>
    </w:p>
    <w:p>
      <w:pPr>
        <w:ind w:left="280"/>
        <w:spacing w:after="0"/>
        <w:rPr>
          <w:rFonts w:ascii="Arial" w:cs="Arial" w:eastAsia="Arial" w:hAnsi="Arial"/>
          <w:sz w:val="19"/>
          <w:szCs w:val="19"/>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3" w:name="page164"/>
    <w:bookmarkEnd w:id="163"/>
    <w:p>
      <w:pPr>
        <w:jc w:val="both"/>
        <w:spacing w:after="0" w:line="238" w:lineRule="auto"/>
        <w:rPr>
          <w:sz w:val="20"/>
          <w:szCs w:val="20"/>
          <w:color w:val="auto"/>
        </w:rPr>
      </w:pPr>
      <w:r>
        <w:rPr>
          <w:rFonts w:ascii="Arial" w:cs="Arial" w:eastAsia="Arial" w:hAnsi="Arial"/>
          <w:sz w:val="22"/>
          <w:szCs w:val="22"/>
          <w:color w:val="auto"/>
        </w:rPr>
        <w:t>Notwithstanding anything to the contrary in the Plan or this Option Agreement, the Company reserves the right to revise this Option Agreement as it deems necessary or advisable, in its sole discretion and without the consent of Participant, to comply with Section 409A or to otherwise avoid imposition of any additional tax or income recognition under Section 409A in connection with the Option.</w:t>
      </w:r>
    </w:p>
    <w:p>
      <w:pPr>
        <w:spacing w:after="0" w:line="179" w:lineRule="exact"/>
        <w:rPr>
          <w:sz w:val="20"/>
          <w:szCs w:val="20"/>
          <w:color w:val="auto"/>
        </w:rPr>
      </w:pPr>
    </w:p>
    <w:p>
      <w:pPr>
        <w:jc w:val="both"/>
        <w:ind w:firstLine="757"/>
        <w:spacing w:after="0" w:line="289" w:lineRule="auto"/>
        <w:tabs>
          <w:tab w:leader="none" w:pos="1498" w:val="left"/>
        </w:tabs>
        <w:numPr>
          <w:ilvl w:val="0"/>
          <w:numId w:val="106"/>
        </w:numPr>
        <w:rPr>
          <w:rFonts w:ascii="Arial" w:cs="Arial" w:eastAsia="Arial" w:hAnsi="Arial"/>
          <w:sz w:val="19"/>
          <w:szCs w:val="19"/>
          <w:color w:val="auto"/>
        </w:rPr>
      </w:pPr>
      <w:r>
        <w:rPr>
          <w:rFonts w:ascii="Arial" w:cs="Arial" w:eastAsia="Arial" w:hAnsi="Arial"/>
          <w:sz w:val="19"/>
          <w:szCs w:val="19"/>
          <w:b w:val="1"/>
          <w:bCs w:val="1"/>
          <w:color w:val="auto"/>
        </w:rPr>
        <w:t>No Waiver</w:t>
      </w:r>
      <w:r>
        <w:rPr>
          <w:rFonts w:ascii="Arial" w:cs="Arial" w:eastAsia="Arial" w:hAnsi="Arial"/>
          <w:sz w:val="19"/>
          <w:szCs w:val="19"/>
          <w:color w:val="auto"/>
        </w:rPr>
        <w:t>. Either party’s failure to enforce any provision or provisions of this Option Agreement shall not in</w:t>
      </w:r>
      <w:r>
        <w:rPr>
          <w:rFonts w:ascii="Arial" w:cs="Arial" w:eastAsia="Arial" w:hAnsi="Arial"/>
          <w:sz w:val="19"/>
          <w:szCs w:val="19"/>
          <w:b w:val="1"/>
          <w:bCs w:val="1"/>
          <w:color w:val="auto"/>
        </w:rPr>
        <w:t xml:space="preserve"> </w:t>
      </w:r>
      <w:r>
        <w:rPr>
          <w:rFonts w:ascii="Arial" w:cs="Arial" w:eastAsia="Arial" w:hAnsi="Arial"/>
          <w:sz w:val="19"/>
          <w:szCs w:val="19"/>
          <w:color w:val="auto"/>
        </w:rPr>
        <w:t>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35" w:lineRule="exact"/>
        <w:rPr>
          <w:rFonts w:ascii="Arial" w:cs="Arial" w:eastAsia="Arial" w:hAnsi="Arial"/>
          <w:sz w:val="19"/>
          <w:szCs w:val="19"/>
          <w:color w:val="auto"/>
        </w:rPr>
      </w:pPr>
    </w:p>
    <w:p>
      <w:pPr>
        <w:jc w:val="both"/>
        <w:ind w:firstLine="757"/>
        <w:spacing w:after="0" w:line="273" w:lineRule="auto"/>
        <w:tabs>
          <w:tab w:leader="none" w:pos="1498" w:val="left"/>
        </w:tabs>
        <w:numPr>
          <w:ilvl w:val="0"/>
          <w:numId w:val="106"/>
        </w:numPr>
        <w:rPr>
          <w:rFonts w:ascii="Arial" w:cs="Arial" w:eastAsia="Arial" w:hAnsi="Arial"/>
          <w:sz w:val="19"/>
          <w:szCs w:val="19"/>
          <w:color w:val="auto"/>
        </w:rPr>
      </w:pPr>
      <w:r>
        <w:rPr>
          <w:rFonts w:ascii="Arial" w:cs="Arial" w:eastAsia="Arial" w:hAnsi="Arial"/>
          <w:sz w:val="19"/>
          <w:szCs w:val="19"/>
          <w:b w:val="1"/>
          <w:bCs w:val="1"/>
          <w:color w:val="auto"/>
        </w:rPr>
        <w:t>Insider Trading/Market Abuse Laws</w:t>
      </w:r>
      <w:r>
        <w:rPr>
          <w:rFonts w:ascii="Arial" w:cs="Arial" w:eastAsia="Arial" w:hAnsi="Arial"/>
          <w:sz w:val="19"/>
          <w:szCs w:val="19"/>
          <w:color w:val="auto"/>
        </w:rPr>
        <w:t>. Participant acknowledges that Participant may be subject to insider</w:t>
      </w:r>
      <w:r>
        <w:rPr>
          <w:rFonts w:ascii="Arial" w:cs="Arial" w:eastAsia="Arial" w:hAnsi="Arial"/>
          <w:sz w:val="19"/>
          <w:szCs w:val="19"/>
          <w:b w:val="1"/>
          <w:bCs w:val="1"/>
          <w:color w:val="auto"/>
        </w:rPr>
        <w:t xml:space="preserve"> </w:t>
      </w:r>
      <w:r>
        <w:rPr>
          <w:rFonts w:ascii="Arial" w:cs="Arial" w:eastAsia="Arial" w:hAnsi="Arial"/>
          <w:sz w:val="19"/>
          <w:szCs w:val="19"/>
          <w:color w:val="auto"/>
        </w:rPr>
        <w:t>trading restrictions and/or market abuse laws based on the exchange on which the Shares are listed and in applicable jurisdictions including, but not limited to, the United States and Participant’s country of residence, which may affect Participant’s ability to acquire or sell Shares or rights to Shares (e.g., Options)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third parties includes fellow employees.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155" w:lineRule="exact"/>
        <w:rPr>
          <w:rFonts w:ascii="Arial" w:cs="Arial" w:eastAsia="Arial" w:hAnsi="Arial"/>
          <w:sz w:val="19"/>
          <w:szCs w:val="19"/>
          <w:color w:val="auto"/>
        </w:rPr>
      </w:pPr>
    </w:p>
    <w:p>
      <w:pPr>
        <w:jc w:val="both"/>
        <w:ind w:firstLine="757"/>
        <w:spacing w:after="0" w:line="283" w:lineRule="auto"/>
        <w:tabs>
          <w:tab w:leader="none" w:pos="1498" w:val="left"/>
        </w:tabs>
        <w:numPr>
          <w:ilvl w:val="0"/>
          <w:numId w:val="106"/>
        </w:numPr>
        <w:rPr>
          <w:rFonts w:ascii="Arial" w:cs="Arial" w:eastAsia="Arial" w:hAnsi="Arial"/>
          <w:sz w:val="19"/>
          <w:szCs w:val="19"/>
          <w:color w:val="auto"/>
        </w:rPr>
      </w:pPr>
      <w:r>
        <w:rPr>
          <w:rFonts w:ascii="Arial" w:cs="Arial" w:eastAsia="Arial" w:hAnsi="Arial"/>
          <w:sz w:val="19"/>
          <w:szCs w:val="19"/>
          <w:b w:val="1"/>
          <w:bCs w:val="1"/>
          <w:color w:val="auto"/>
        </w:rPr>
        <w:t>Tax Consequences</w:t>
      </w:r>
      <w:r>
        <w:rPr>
          <w:rFonts w:ascii="Arial" w:cs="Arial" w:eastAsia="Arial" w:hAnsi="Arial"/>
          <w:sz w:val="19"/>
          <w:szCs w:val="19"/>
          <w:color w:val="auto"/>
        </w:rPr>
        <w:t>. Participant has reviewed with his or her own tax advisers the U.S. and non-U.S.,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local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42" w:lineRule="exact"/>
        <w:rPr>
          <w:rFonts w:ascii="Arial" w:cs="Arial" w:eastAsia="Arial" w:hAnsi="Arial"/>
          <w:sz w:val="19"/>
          <w:szCs w:val="19"/>
          <w:color w:val="auto"/>
        </w:rPr>
      </w:pPr>
    </w:p>
    <w:p>
      <w:pPr>
        <w:jc w:val="both"/>
        <w:ind w:firstLine="757"/>
        <w:spacing w:after="0" w:line="249" w:lineRule="auto"/>
        <w:tabs>
          <w:tab w:leader="none" w:pos="1498" w:val="left"/>
        </w:tabs>
        <w:numPr>
          <w:ilvl w:val="0"/>
          <w:numId w:val="106"/>
        </w:numPr>
        <w:rPr>
          <w:rFonts w:ascii="Arial" w:cs="Arial" w:eastAsia="Arial" w:hAnsi="Arial"/>
          <w:sz w:val="21"/>
          <w:szCs w:val="21"/>
          <w:color w:val="auto"/>
        </w:rPr>
      </w:pPr>
      <w:r>
        <w:rPr>
          <w:rFonts w:ascii="Arial" w:cs="Arial" w:eastAsia="Arial" w:hAnsi="Arial"/>
          <w:sz w:val="21"/>
          <w:szCs w:val="21"/>
          <w:b w:val="1"/>
          <w:bCs w:val="1"/>
          <w:color w:val="auto"/>
        </w:rPr>
        <w:t>Governing Law; Venue; Severability</w:t>
      </w:r>
      <w:r>
        <w:rPr>
          <w:rFonts w:ascii="Arial" w:cs="Arial" w:eastAsia="Arial" w:hAnsi="Arial"/>
          <w:sz w:val="21"/>
          <w:szCs w:val="21"/>
          <w:color w:val="auto"/>
        </w:rPr>
        <w:t>. This Option Agreement is governed by the internal substantive laws,</w:t>
      </w:r>
      <w:r>
        <w:rPr>
          <w:rFonts w:ascii="Arial" w:cs="Arial" w:eastAsia="Arial" w:hAnsi="Arial"/>
          <w:sz w:val="21"/>
          <w:szCs w:val="21"/>
          <w:b w:val="1"/>
          <w:bCs w:val="1"/>
          <w:color w:val="auto"/>
        </w:rPr>
        <w:t xml:space="preserve"> </w:t>
      </w:r>
      <w:r>
        <w:rPr>
          <w:rFonts w:ascii="Arial" w:cs="Arial" w:eastAsia="Arial" w:hAnsi="Arial"/>
          <w:sz w:val="21"/>
          <w:szCs w:val="21"/>
          <w:color w:val="auto"/>
        </w:rPr>
        <w:t>but not the choice of law rules, of the State of Delaware. For purposes of any action, lawsuit or other proceedings brought to enforce this Option Agreement, relating to it, or arising from it, the parties hereby submit to and consent to the sole and exclusive jurisdiction of the courts of the State of Delaware, and no other courts, where this grant is made and/or to be performed. In the event that any provision hereof becomes or is declared by a court of competent jurisdiction to be illegal, unenforceable or void, this Option Agreement shall continue in full force and effect.</w:t>
      </w:r>
    </w:p>
    <w:p>
      <w:pPr>
        <w:spacing w:after="0" w:line="200" w:lineRule="exact"/>
        <w:rPr>
          <w:sz w:val="20"/>
          <w:szCs w:val="20"/>
          <w:color w:val="auto"/>
        </w:rPr>
      </w:pPr>
    </w:p>
    <w:p>
      <w:pPr>
        <w:spacing w:after="0" w:line="220" w:lineRule="exact"/>
        <w:rPr>
          <w:sz w:val="20"/>
          <w:szCs w:val="20"/>
          <w:color w:val="auto"/>
        </w:rPr>
      </w:pPr>
    </w:p>
    <w:p>
      <w:pPr>
        <w:ind w:left="4920"/>
        <w:spacing w:after="0"/>
        <w:tabs>
          <w:tab w:leader="none" w:pos="5560" w:val="left"/>
          <w:tab w:leader="none" w:pos="62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NOTICE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Paymentus Holdings, Inc.</w:t>
      </w:r>
    </w:p>
    <w:p>
      <w:pPr>
        <w:spacing w:after="0" w:line="238" w:lineRule="auto"/>
        <w:rPr>
          <w:sz w:val="20"/>
          <w:szCs w:val="20"/>
          <w:color w:val="auto"/>
        </w:rPr>
      </w:pPr>
      <w:r>
        <w:rPr>
          <w:rFonts w:ascii="Arial" w:cs="Arial" w:eastAsia="Arial" w:hAnsi="Arial"/>
          <w:sz w:val="22"/>
          <w:szCs w:val="22"/>
          <w:color w:val="auto"/>
        </w:rPr>
        <w:t>18390 NE 68th St.</w:t>
      </w:r>
    </w:p>
    <w:p>
      <w:pPr>
        <w:spacing w:after="0"/>
        <w:rPr>
          <w:sz w:val="20"/>
          <w:szCs w:val="20"/>
          <w:color w:val="auto"/>
        </w:rPr>
      </w:pPr>
      <w:r>
        <w:rPr>
          <w:rFonts w:ascii="Arial" w:cs="Arial" w:eastAsia="Arial" w:hAnsi="Arial"/>
          <w:sz w:val="22"/>
          <w:szCs w:val="22"/>
          <w:color w:val="auto"/>
        </w:rPr>
        <w:t>Redmond, WA 98052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 / Stock Administration</w:t>
      </w:r>
    </w:p>
    <w:p>
      <w:pPr>
        <w:spacing w:after="0" w:line="200" w:lineRule="exact"/>
        <w:rPr>
          <w:sz w:val="20"/>
          <w:szCs w:val="20"/>
          <w:color w:val="auto"/>
        </w:rPr>
      </w:pPr>
    </w:p>
    <w:p>
      <w:pPr>
        <w:jc w:val="both"/>
        <w:ind w:firstLine="757"/>
        <w:spacing w:after="0" w:line="247" w:lineRule="auto"/>
        <w:tabs>
          <w:tab w:leader="none" w:pos="1498" w:val="left"/>
        </w:tabs>
        <w:numPr>
          <w:ilvl w:val="0"/>
          <w:numId w:val="107"/>
        </w:numPr>
        <w:rPr>
          <w:rFonts w:ascii="Arial" w:cs="Arial" w:eastAsia="Arial" w:hAnsi="Arial"/>
          <w:sz w:val="21"/>
          <w:szCs w:val="21"/>
          <w:color w:val="auto"/>
        </w:rPr>
      </w:pPr>
      <w:r>
        <w:rPr>
          <w:rFonts w:ascii="Arial" w:cs="Arial" w:eastAsia="Arial" w:hAnsi="Arial"/>
          <w:sz w:val="21"/>
          <w:szCs w:val="21"/>
          <w:b w:val="1"/>
          <w:bCs w:val="1"/>
          <w:color w:val="auto"/>
        </w:rPr>
        <w:t>Exercise of Option</w:t>
      </w:r>
      <w:r>
        <w:rPr>
          <w:rFonts w:ascii="Arial" w:cs="Arial" w:eastAsia="Arial" w:hAnsi="Arial"/>
          <w:sz w:val="21"/>
          <w:szCs w:val="21"/>
          <w:color w:val="auto"/>
        </w:rPr>
        <w:t>. Effective as of today, ________________, ____, the undersigned (“</w:t>
      </w:r>
      <w:r>
        <w:rPr>
          <w:rFonts w:ascii="Arial" w:cs="Arial" w:eastAsia="Arial" w:hAnsi="Arial"/>
          <w:sz w:val="21"/>
          <w:szCs w:val="21"/>
          <w:b w:val="1"/>
          <w:bCs w:val="1"/>
          <w:color w:val="auto"/>
        </w:rPr>
        <w:t>Participant</w:t>
      </w:r>
      <w:r>
        <w:rPr>
          <w:rFonts w:ascii="Arial" w:cs="Arial" w:eastAsia="Arial" w:hAnsi="Arial"/>
          <w:sz w:val="21"/>
          <w:szCs w:val="21"/>
          <w:color w:val="auto"/>
        </w:rPr>
        <w:t>”) hereby</w:t>
      </w:r>
      <w:r>
        <w:rPr>
          <w:rFonts w:ascii="Arial" w:cs="Arial" w:eastAsia="Arial" w:hAnsi="Arial"/>
          <w:sz w:val="21"/>
          <w:szCs w:val="21"/>
          <w:b w:val="1"/>
          <w:bCs w:val="1"/>
          <w:color w:val="auto"/>
        </w:rPr>
        <w:t xml:space="preserve"> </w:t>
      </w:r>
      <w:r>
        <w:rPr>
          <w:rFonts w:ascii="Arial" w:cs="Arial" w:eastAsia="Arial" w:hAnsi="Arial"/>
          <w:sz w:val="21"/>
          <w:szCs w:val="21"/>
          <w:color w:val="auto"/>
        </w:rPr>
        <w:t>elects to exercise Participant’s option (the “</w:t>
      </w:r>
      <w:r>
        <w:rPr>
          <w:rFonts w:ascii="Arial" w:cs="Arial" w:eastAsia="Arial" w:hAnsi="Arial"/>
          <w:sz w:val="21"/>
          <w:szCs w:val="21"/>
          <w:b w:val="1"/>
          <w:bCs w:val="1"/>
          <w:color w:val="auto"/>
        </w:rPr>
        <w:t>Option</w:t>
      </w:r>
      <w:r>
        <w:rPr>
          <w:rFonts w:ascii="Arial" w:cs="Arial" w:eastAsia="Arial" w:hAnsi="Arial"/>
          <w:sz w:val="21"/>
          <w:szCs w:val="21"/>
          <w:color w:val="auto"/>
        </w:rPr>
        <w:t>”) to purchase ________________ shares of the Common Stock (the “Shares”) of Paymentus Holdings, Inc. (the “</w:t>
      </w:r>
      <w:r>
        <w:rPr>
          <w:rFonts w:ascii="Arial" w:cs="Arial" w:eastAsia="Arial" w:hAnsi="Arial"/>
          <w:sz w:val="21"/>
          <w:szCs w:val="21"/>
          <w:b w:val="1"/>
          <w:bCs w:val="1"/>
          <w:color w:val="auto"/>
        </w:rPr>
        <w:t>Company</w:t>
      </w:r>
      <w:r>
        <w:rPr>
          <w:rFonts w:ascii="Arial" w:cs="Arial" w:eastAsia="Arial" w:hAnsi="Arial"/>
          <w:sz w:val="21"/>
          <w:szCs w:val="21"/>
          <w:color w:val="auto"/>
        </w:rPr>
        <w:t>”) under and pursuant to the 2021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xml:space="preserve">”) and the Stock Option Agreement dated ______________, _____, including the Notice of Stock Option Grant, and the Terms and Conditions of Stock Option Grant attached as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thereto, and other exhibits, appendices and addenda attached thereto (including any Country Addendum) (the “</w:t>
      </w:r>
      <w:r>
        <w:rPr>
          <w:rFonts w:ascii="Arial" w:cs="Arial" w:eastAsia="Arial" w:hAnsi="Arial"/>
          <w:sz w:val="21"/>
          <w:szCs w:val="21"/>
          <w:b w:val="1"/>
          <w:bCs w:val="1"/>
          <w:color w:val="auto"/>
        </w:rPr>
        <w:t>Option Agreement</w:t>
      </w:r>
      <w:r>
        <w:rPr>
          <w:rFonts w:ascii="Arial" w:cs="Arial" w:eastAsia="Arial" w:hAnsi="Arial"/>
          <w:sz w:val="21"/>
          <w:szCs w:val="21"/>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172" w:lineRule="exact"/>
        <w:rPr>
          <w:sz w:val="20"/>
          <w:szCs w:val="20"/>
          <w:color w:val="auto"/>
        </w:rPr>
      </w:pPr>
    </w:p>
    <w:p>
      <w:pPr>
        <w:ind w:firstLine="757"/>
        <w:spacing w:after="0" w:line="334" w:lineRule="auto"/>
        <w:tabs>
          <w:tab w:leader="none" w:pos="1498"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Delivery of Payment</w:t>
      </w:r>
      <w:r>
        <w:rPr>
          <w:rFonts w:ascii="Arial" w:cs="Arial" w:eastAsia="Arial" w:hAnsi="Arial"/>
          <w:sz w:val="19"/>
          <w:szCs w:val="19"/>
          <w:color w:val="auto"/>
        </w:rPr>
        <w:t>. Participant herewith delivers to the Company the full purchase price of the Shares, as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the Option Agreement, and any Withholding Obligations to be paid in connection with the exercise of the Option.</w:t>
      </w:r>
    </w:p>
    <w:p>
      <w:pPr>
        <w:spacing w:after="0" w:line="93" w:lineRule="exact"/>
        <w:rPr>
          <w:rFonts w:ascii="Arial" w:cs="Arial" w:eastAsia="Arial" w:hAnsi="Arial"/>
          <w:sz w:val="19"/>
          <w:szCs w:val="19"/>
          <w:color w:val="auto"/>
        </w:rPr>
      </w:pPr>
    </w:p>
    <w:p>
      <w:pPr>
        <w:ind w:firstLine="757"/>
        <w:spacing w:after="0" w:line="280" w:lineRule="auto"/>
        <w:tabs>
          <w:tab w:leader="none" w:pos="1498"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Representations of Participant</w:t>
      </w:r>
      <w:r>
        <w:rPr>
          <w:rFonts w:ascii="Arial" w:cs="Arial" w:eastAsia="Arial" w:hAnsi="Arial"/>
          <w:sz w:val="21"/>
          <w:szCs w:val="21"/>
          <w:color w:val="auto"/>
        </w:rPr>
        <w:t>. Participant acknowledges that Participant has received, read and understood</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and the Option Agreement and agrees to abide by and be bound by their terms and conditions.</w:t>
      </w:r>
    </w:p>
    <w:p>
      <w:pPr>
        <w:spacing w:after="0" w:line="138" w:lineRule="exact"/>
        <w:rPr>
          <w:rFonts w:ascii="Arial" w:cs="Arial" w:eastAsia="Arial" w:hAnsi="Arial"/>
          <w:sz w:val="21"/>
          <w:szCs w:val="21"/>
          <w:color w:val="auto"/>
        </w:rPr>
      </w:pPr>
    </w:p>
    <w:p>
      <w:pPr>
        <w:jc w:val="both"/>
        <w:ind w:firstLine="757"/>
        <w:spacing w:after="0" w:line="249" w:lineRule="auto"/>
        <w:tabs>
          <w:tab w:leader="none" w:pos="1498"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Rights as Stockholder</w:t>
      </w:r>
      <w:r>
        <w:rPr>
          <w:rFonts w:ascii="Arial" w:cs="Arial" w:eastAsia="Arial" w:hAnsi="Arial"/>
          <w:sz w:val="21"/>
          <w:szCs w:val="21"/>
          <w:color w:val="auto"/>
        </w:rPr>
        <w:t>. Until the issuance of the Shares (as evidenced by the appropriate entry on the books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15 of the Plan.</w:t>
      </w:r>
    </w:p>
    <w:p>
      <w:pPr>
        <w:spacing w:after="0" w:line="170" w:lineRule="exact"/>
        <w:rPr>
          <w:rFonts w:ascii="Arial" w:cs="Arial" w:eastAsia="Arial" w:hAnsi="Arial"/>
          <w:sz w:val="21"/>
          <w:szCs w:val="21"/>
          <w:color w:val="auto"/>
        </w:rPr>
      </w:pPr>
    </w:p>
    <w:p>
      <w:pPr>
        <w:jc w:val="both"/>
        <w:ind w:firstLine="757"/>
        <w:spacing w:after="0" w:line="243" w:lineRule="auto"/>
        <w:tabs>
          <w:tab w:leader="none" w:pos="1498"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Tax Consultation</w:t>
      </w:r>
      <w:r>
        <w:rPr>
          <w:rFonts w:ascii="Arial" w:cs="Arial" w:eastAsia="Arial" w:hAnsi="Arial"/>
          <w:sz w:val="22"/>
          <w:szCs w:val="22"/>
          <w:color w:val="auto"/>
        </w:rPr>
        <w:t>. Participant understands that Participant may suffer adverse tax consequences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purchase or disposition of the Shares. Participant represents that Participant has consulted with any tax consultants Participant deems advisable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the purchase or disposition of the Shares and that Participant is not relying on the Company for any tax advice.</w:t>
      </w:r>
    </w:p>
    <w:p>
      <w:pPr>
        <w:spacing w:after="0" w:line="200" w:lineRule="exact"/>
        <w:rPr>
          <w:sz w:val="20"/>
          <w:szCs w:val="20"/>
          <w:color w:val="auto"/>
        </w:rPr>
      </w:pPr>
    </w:p>
    <w:p>
      <w:pPr>
        <w:jc w:val="both"/>
        <w:ind w:firstLine="757"/>
        <w:spacing w:after="0" w:line="239" w:lineRule="auto"/>
        <w:tabs>
          <w:tab w:leader="none" w:pos="1498"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Exercise Notice shall be submitted by</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80" w:lineRule="exact"/>
        <w:rPr>
          <w:rFonts w:ascii="Arial" w:cs="Arial" w:eastAsia="Arial" w:hAnsi="Arial"/>
          <w:sz w:val="22"/>
          <w:szCs w:val="22"/>
          <w:color w:val="auto"/>
        </w:rPr>
      </w:pPr>
    </w:p>
    <w:p>
      <w:pPr>
        <w:jc w:val="both"/>
        <w:ind w:firstLine="757"/>
        <w:spacing w:after="0" w:line="236" w:lineRule="auto"/>
        <w:tabs>
          <w:tab w:leader="none" w:pos="1498"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Governing Law; Severability</w:t>
      </w:r>
      <w:r>
        <w:rPr>
          <w:rFonts w:ascii="Arial" w:cs="Arial" w:eastAsia="Arial" w:hAnsi="Arial"/>
          <w:sz w:val="22"/>
          <w:szCs w:val="22"/>
          <w:color w:val="auto"/>
        </w:rPr>
        <w:t>. This Exercise Notice is governed by the internal substantive laws, but not the</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rules, of the State of Delaware. For purposes of any action, lawsuit or other proceedings brought to enforce this Exercise Notice, relating to it, or arising from it, the parties hereby submit to and consent to the sole and exclusive jurisdiction of the courts of the State of Delaware, and no other courts, where this grant is made and/or to be performed. In the event that any provision hereof becomes or is declared by a court of competent jurisdiction to be illegal, unenforceable or void, this Exercise Notice shall continue in full force and effect.</w:t>
      </w:r>
    </w:p>
    <w:p>
      <w:pPr>
        <w:spacing w:after="0" w:line="181" w:lineRule="exact"/>
        <w:rPr>
          <w:rFonts w:ascii="Arial" w:cs="Arial" w:eastAsia="Arial" w:hAnsi="Arial"/>
          <w:sz w:val="22"/>
          <w:szCs w:val="22"/>
          <w:color w:val="auto"/>
        </w:rPr>
      </w:pPr>
    </w:p>
    <w:p>
      <w:pPr>
        <w:ind w:right="20" w:firstLine="757"/>
        <w:spacing w:after="0" w:line="247" w:lineRule="auto"/>
        <w:tabs>
          <w:tab w:leader="none" w:pos="1498" w:val="left"/>
        </w:tabs>
        <w:numPr>
          <w:ilvl w:val="0"/>
          <w:numId w:val="109"/>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The Plan and Option Agreement are incorporated herein by reference. The Plan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Notwithstanding the foregoing, the restrictive covenants set forth in Appendix 2 do not supersede or in any way modify any other restrictive covenants applicable to Participant in any employment or other agreement with the Company or any Parent or Subsidiary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2"/>
          </w:tcPr>
          <w:p>
            <w:pPr>
              <w:spacing w:after="0"/>
              <w:rPr>
                <w:sz w:val="20"/>
                <w:szCs w:val="20"/>
                <w:color w:val="auto"/>
              </w:rPr>
            </w:pPr>
            <w:r>
              <w:rPr>
                <w:rFonts w:ascii="Arial" w:cs="Arial" w:eastAsia="Arial" w:hAnsi="Arial"/>
                <w:sz w:val="22"/>
                <w:szCs w:val="22"/>
                <w:color w:val="auto"/>
                <w:w w:val="95"/>
              </w:rPr>
              <w:t>Submitted by:</w:t>
            </w:r>
          </w:p>
        </w:tc>
        <w:tc>
          <w:tcPr>
            <w:tcW w:w="100" w:type="dxa"/>
            <w:vAlign w:val="bottom"/>
          </w:tcPr>
          <w:p>
            <w:pPr>
              <w:spacing w:after="0"/>
              <w:rPr>
                <w:sz w:val="21"/>
                <w:szCs w:val="21"/>
                <w:color w:val="auto"/>
              </w:rPr>
            </w:pPr>
          </w:p>
        </w:tc>
        <w:tc>
          <w:tcPr>
            <w:tcW w:w="2720" w:type="dxa"/>
            <w:vAlign w:val="bottom"/>
          </w:tcPr>
          <w:p>
            <w:pPr>
              <w:ind w:left="340"/>
              <w:spacing w:after="0"/>
              <w:rPr>
                <w:sz w:val="20"/>
                <w:szCs w:val="20"/>
                <w:color w:val="auto"/>
              </w:rPr>
            </w:pPr>
            <w:r>
              <w:rPr>
                <w:rFonts w:ascii="Arial" w:cs="Arial" w:eastAsia="Arial" w:hAnsi="Arial"/>
                <w:sz w:val="22"/>
                <w:szCs w:val="22"/>
                <w:color w:val="auto"/>
              </w:rPr>
              <w:t>Accepted by:</w:t>
            </w:r>
          </w:p>
        </w:tc>
        <w:tc>
          <w:tcPr>
            <w:tcW w:w="1540" w:type="dxa"/>
            <w:vAlign w:val="bottom"/>
          </w:tcPr>
          <w:p>
            <w:pPr>
              <w:spacing w:after="0"/>
              <w:rPr>
                <w:sz w:val="21"/>
                <w:szCs w:val="21"/>
                <w:color w:val="auto"/>
              </w:rPr>
            </w:pPr>
          </w:p>
        </w:tc>
        <w:tc>
          <w:tcPr>
            <w:tcW w:w="5580" w:type="dxa"/>
            <w:vAlign w:val="bottom"/>
          </w:tcPr>
          <w:p>
            <w:pPr>
              <w:spacing w:after="0"/>
              <w:rPr>
                <w:sz w:val="21"/>
                <w:szCs w:val="21"/>
                <w:color w:val="auto"/>
              </w:rPr>
            </w:pPr>
          </w:p>
        </w:tc>
      </w:tr>
      <w:tr>
        <w:trPr>
          <w:trHeight w:val="274"/>
        </w:trPr>
        <w:tc>
          <w:tcPr>
            <w:tcW w:w="1400" w:type="dxa"/>
            <w:vAlign w:val="bottom"/>
            <w:gridSpan w:val="3"/>
          </w:tcPr>
          <w:p>
            <w:pPr>
              <w:spacing w:after="0"/>
              <w:rPr>
                <w:sz w:val="20"/>
                <w:szCs w:val="20"/>
                <w:color w:val="auto"/>
              </w:rPr>
            </w:pPr>
            <w:r>
              <w:rPr>
                <w:rFonts w:ascii="Arial" w:cs="Arial" w:eastAsia="Arial" w:hAnsi="Arial"/>
                <w:sz w:val="22"/>
                <w:szCs w:val="22"/>
                <w:color w:val="auto"/>
                <w:w w:val="94"/>
              </w:rPr>
              <w:t>PARTICIPANT</w:t>
            </w:r>
          </w:p>
        </w:tc>
        <w:tc>
          <w:tcPr>
            <w:tcW w:w="4260" w:type="dxa"/>
            <w:vAlign w:val="bottom"/>
            <w:gridSpan w:val="2"/>
          </w:tcPr>
          <w:p>
            <w:pPr>
              <w:ind w:left="760"/>
              <w:spacing w:after="0"/>
              <w:rPr>
                <w:sz w:val="20"/>
                <w:szCs w:val="20"/>
                <w:color w:val="auto"/>
              </w:rPr>
            </w:pPr>
            <w:r>
              <w:rPr>
                <w:rFonts w:ascii="Arial" w:cs="Arial" w:eastAsia="Arial" w:hAnsi="Arial"/>
                <w:sz w:val="22"/>
                <w:szCs w:val="22"/>
                <w:color w:val="auto"/>
              </w:rPr>
              <w:t>PAYMENTUS HOLDINGS, INC.</w:t>
            </w:r>
          </w:p>
        </w:tc>
        <w:tc>
          <w:tcPr>
            <w:tcW w:w="5580" w:type="dxa"/>
            <w:vAlign w:val="bottom"/>
          </w:tcPr>
          <w:p>
            <w:pPr>
              <w:spacing w:after="0"/>
              <w:rPr>
                <w:sz w:val="23"/>
                <w:szCs w:val="23"/>
                <w:color w:val="auto"/>
              </w:rPr>
            </w:pPr>
          </w:p>
        </w:tc>
      </w:tr>
      <w:tr>
        <w:trPr>
          <w:trHeight w:val="853"/>
        </w:trPr>
        <w:tc>
          <w:tcPr>
            <w:tcW w:w="4120" w:type="dxa"/>
            <w:vAlign w:val="bottom"/>
            <w:gridSpan w:val="4"/>
          </w:tcPr>
          <w:p>
            <w:pPr>
              <w:spacing w:after="0"/>
              <w:rPr>
                <w:sz w:val="20"/>
                <w:szCs w:val="20"/>
                <w:color w:val="auto"/>
              </w:rPr>
            </w:pPr>
            <w:r>
              <w:rPr>
                <w:rFonts w:ascii="Arial" w:cs="Arial" w:eastAsia="Arial" w:hAnsi="Arial"/>
                <w:sz w:val="22"/>
                <w:szCs w:val="22"/>
                <w:b w:val="1"/>
                <w:bCs w:val="1"/>
                <w:color w:val="auto"/>
                <w:w w:val="93"/>
              </w:rPr>
              <w:t>____________________________________</w:t>
            </w:r>
          </w:p>
        </w:tc>
        <w:tc>
          <w:tcPr>
            <w:tcW w:w="7120" w:type="dxa"/>
            <w:vAlign w:val="bottom"/>
            <w:gridSpan w:val="2"/>
          </w:tcPr>
          <w:p>
            <w:pPr>
              <w:jc w:val="center"/>
              <w:ind w:right="2730"/>
              <w:spacing w:after="0"/>
              <w:rPr>
                <w:sz w:val="20"/>
                <w:szCs w:val="20"/>
                <w:color w:val="auto"/>
              </w:rPr>
            </w:pPr>
            <w:r>
              <w:rPr>
                <w:rFonts w:ascii="Arial" w:cs="Arial" w:eastAsia="Arial" w:hAnsi="Arial"/>
                <w:sz w:val="22"/>
                <w:szCs w:val="22"/>
                <w:b w:val="1"/>
                <w:bCs w:val="1"/>
                <w:color w:val="auto"/>
                <w:w w:val="88"/>
              </w:rPr>
              <w:t>____________________________________</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Signature</w:t>
            </w:r>
          </w:p>
        </w:tc>
        <w:tc>
          <w:tcPr>
            <w:tcW w:w="340" w:type="dxa"/>
            <w:vAlign w:val="bottom"/>
          </w:tcPr>
          <w:p>
            <w:pPr>
              <w:ind w:left="120"/>
              <w:spacing w:after="0"/>
              <w:rPr>
                <w:sz w:val="20"/>
                <w:szCs w:val="20"/>
                <w:color w:val="auto"/>
              </w:rPr>
            </w:pPr>
            <w:r>
              <w:rPr>
                <w:rFonts w:ascii="Arial" w:cs="Arial" w:eastAsia="Arial" w:hAnsi="Arial"/>
                <w:sz w:val="18"/>
                <w:szCs w:val="18"/>
                <w:color w:val="auto"/>
                <w:w w:val="94"/>
              </w:rPr>
              <w:t>By</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323"/>
        </w:trPr>
        <w:tc>
          <w:tcPr>
            <w:tcW w:w="4120" w:type="dxa"/>
            <w:vAlign w:val="bottom"/>
            <w:gridSpan w:val="4"/>
          </w:tcPr>
          <w:p>
            <w:pPr>
              <w:spacing w:after="0"/>
              <w:rPr>
                <w:sz w:val="20"/>
                <w:szCs w:val="20"/>
                <w:color w:val="auto"/>
              </w:rPr>
            </w:pPr>
            <w:r>
              <w:rPr>
                <w:rFonts w:ascii="Arial" w:cs="Arial" w:eastAsia="Arial" w:hAnsi="Arial"/>
                <w:sz w:val="22"/>
                <w:szCs w:val="22"/>
                <w:b w:val="1"/>
                <w:bCs w:val="1"/>
                <w:color w:val="auto"/>
                <w:w w:val="93"/>
              </w:rPr>
              <w:t>____________________________________</w:t>
            </w:r>
          </w:p>
        </w:tc>
        <w:tc>
          <w:tcPr>
            <w:tcW w:w="7120" w:type="dxa"/>
            <w:vAlign w:val="bottom"/>
            <w:gridSpan w:val="2"/>
          </w:tcPr>
          <w:p>
            <w:pPr>
              <w:jc w:val="center"/>
              <w:ind w:right="2730"/>
              <w:spacing w:after="0"/>
              <w:rPr>
                <w:sz w:val="20"/>
                <w:szCs w:val="20"/>
                <w:color w:val="auto"/>
              </w:rPr>
            </w:pPr>
            <w:r>
              <w:rPr>
                <w:rFonts w:ascii="Arial" w:cs="Arial" w:eastAsia="Arial" w:hAnsi="Arial"/>
                <w:sz w:val="22"/>
                <w:szCs w:val="22"/>
                <w:b w:val="1"/>
                <w:bCs w:val="1"/>
                <w:color w:val="auto"/>
                <w:w w:val="88"/>
              </w:rPr>
              <w:t>____________________________________</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Print Name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Print Name</w:t>
            </w:r>
          </w:p>
        </w:tc>
        <w:tc>
          <w:tcPr>
            <w:tcW w:w="15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348"/>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Arial" w:cs="Arial" w:eastAsia="Arial" w:hAnsi="Arial"/>
                <w:sz w:val="22"/>
                <w:szCs w:val="22"/>
                <w:b w:val="1"/>
                <w:bCs w:val="1"/>
                <w:color w:val="auto"/>
                <w:w w:val="98"/>
              </w:rPr>
              <w:t>____________________________________</w:t>
            </w:r>
          </w:p>
        </w:tc>
        <w:tc>
          <w:tcPr>
            <w:tcW w:w="5580" w:type="dxa"/>
            <w:vAlign w:val="bottom"/>
          </w:tcPr>
          <w:p>
            <w:pPr>
              <w:jc w:val="center"/>
              <w:ind w:right="4230"/>
              <w:spacing w:after="0"/>
              <w:rPr>
                <w:sz w:val="20"/>
                <w:szCs w:val="20"/>
                <w:color w:val="auto"/>
              </w:rPr>
            </w:pPr>
            <w:r>
              <w:rPr>
                <w:rFonts w:ascii="Arial" w:cs="Arial" w:eastAsia="Arial" w:hAnsi="Arial"/>
                <w:sz w:val="18"/>
                <w:szCs w:val="18"/>
                <w:color w:val="auto"/>
                <w:w w:val="99"/>
              </w:rPr>
              <w:t>Title</w:t>
            </w:r>
          </w:p>
        </w:tc>
      </w:tr>
      <w:tr>
        <w:trPr>
          <w:trHeight w:val="432"/>
        </w:trPr>
        <w:tc>
          <w:tcPr>
            <w:tcW w:w="960" w:type="dxa"/>
            <w:vAlign w:val="bottom"/>
          </w:tcPr>
          <w:p>
            <w:pPr>
              <w:spacing w:after="0"/>
              <w:rPr>
                <w:sz w:val="20"/>
                <w:szCs w:val="20"/>
                <w:color w:val="auto"/>
              </w:rPr>
            </w:pPr>
            <w:r>
              <w:rPr>
                <w:rFonts w:ascii="Arial" w:cs="Arial" w:eastAsia="Arial" w:hAnsi="Arial"/>
                <w:sz w:val="22"/>
                <w:szCs w:val="22"/>
                <w:color w:val="auto"/>
              </w:rPr>
              <w:t>Address:</w:t>
            </w:r>
          </w:p>
        </w:tc>
        <w:tc>
          <w:tcPr>
            <w:tcW w:w="3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15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486"/>
        </w:trPr>
        <w:tc>
          <w:tcPr>
            <w:tcW w:w="4120" w:type="dxa"/>
            <w:vAlign w:val="bottom"/>
            <w:gridSpan w:val="4"/>
          </w:tcPr>
          <w:p>
            <w:pPr>
              <w:spacing w:after="0"/>
              <w:rPr>
                <w:sz w:val="20"/>
                <w:szCs w:val="20"/>
                <w:color w:val="auto"/>
              </w:rPr>
            </w:pPr>
            <w:r>
              <w:rPr>
                <w:rFonts w:ascii="Arial" w:cs="Arial" w:eastAsia="Arial" w:hAnsi="Arial"/>
                <w:sz w:val="22"/>
                <w:szCs w:val="22"/>
                <w:b w:val="1"/>
                <w:bCs w:val="1"/>
                <w:color w:val="auto"/>
                <w:w w:val="93"/>
              </w:rPr>
              <w:t>____________________________________</w:t>
            </w:r>
          </w:p>
        </w:tc>
        <w:tc>
          <w:tcPr>
            <w:tcW w:w="7120" w:type="dxa"/>
            <w:vAlign w:val="bottom"/>
            <w:gridSpan w:val="2"/>
          </w:tcPr>
          <w:p>
            <w:pPr>
              <w:jc w:val="center"/>
              <w:ind w:right="2730"/>
              <w:spacing w:after="0"/>
              <w:rPr>
                <w:sz w:val="20"/>
                <w:szCs w:val="20"/>
                <w:color w:val="auto"/>
              </w:rPr>
            </w:pPr>
            <w:r>
              <w:rPr>
                <w:rFonts w:ascii="Arial" w:cs="Arial" w:eastAsia="Arial" w:hAnsi="Arial"/>
                <w:sz w:val="22"/>
                <w:szCs w:val="22"/>
                <w:b w:val="1"/>
                <w:bCs w:val="1"/>
                <w:color w:val="auto"/>
                <w:w w:val="88"/>
              </w:rPr>
              <w:t>____________________________________</w:t>
            </w:r>
          </w:p>
        </w:tc>
      </w:tr>
      <w:tr>
        <w:trPr>
          <w:trHeight w:val="486"/>
        </w:trPr>
        <w:tc>
          <w:tcPr>
            <w:tcW w:w="4120" w:type="dxa"/>
            <w:vAlign w:val="bottom"/>
            <w:gridSpan w:val="4"/>
          </w:tcPr>
          <w:p>
            <w:pPr>
              <w:spacing w:after="0"/>
              <w:rPr>
                <w:sz w:val="20"/>
                <w:szCs w:val="20"/>
                <w:color w:val="auto"/>
              </w:rPr>
            </w:pPr>
            <w:r>
              <w:rPr>
                <w:rFonts w:ascii="Arial" w:cs="Arial" w:eastAsia="Arial" w:hAnsi="Arial"/>
                <w:sz w:val="22"/>
                <w:szCs w:val="22"/>
                <w:b w:val="1"/>
                <w:bCs w:val="1"/>
                <w:color w:val="auto"/>
                <w:w w:val="93"/>
              </w:rPr>
              <w:t>____________________________________</w:t>
            </w:r>
          </w:p>
        </w:tc>
        <w:tc>
          <w:tcPr>
            <w:tcW w:w="7120" w:type="dxa"/>
            <w:vAlign w:val="bottom"/>
            <w:gridSpan w:val="2"/>
          </w:tcPr>
          <w:p>
            <w:pPr>
              <w:jc w:val="center"/>
              <w:ind w:right="2730"/>
              <w:spacing w:after="0"/>
              <w:rPr>
                <w:sz w:val="20"/>
                <w:szCs w:val="20"/>
                <w:color w:val="auto"/>
              </w:rPr>
            </w:pPr>
            <w:r>
              <w:rPr>
                <w:rFonts w:ascii="Arial" w:cs="Arial" w:eastAsia="Arial" w:hAnsi="Arial"/>
                <w:sz w:val="22"/>
                <w:szCs w:val="22"/>
                <w:b w:val="1"/>
                <w:bCs w:val="1"/>
                <w:color w:val="auto"/>
                <w:w w:val="88"/>
              </w:rPr>
              <w:t>____________________________________</w:t>
            </w:r>
          </w:p>
        </w:tc>
      </w:tr>
      <w:tr>
        <w:trPr>
          <w:trHeight w:val="486"/>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Arial" w:cs="Arial" w:eastAsia="Arial" w:hAnsi="Arial"/>
                <w:sz w:val="22"/>
                <w:szCs w:val="22"/>
                <w:b w:val="1"/>
                <w:bCs w:val="1"/>
                <w:color w:val="auto"/>
                <w:w w:val="98"/>
              </w:rPr>
              <w:t>____________________________________</w:t>
            </w:r>
          </w:p>
        </w:tc>
        <w:tc>
          <w:tcPr>
            <w:tcW w:w="5580" w:type="dxa"/>
            <w:vAlign w:val="bottom"/>
          </w:tcPr>
          <w:p>
            <w:pPr>
              <w:spacing w:after="0"/>
              <w:rPr>
                <w:sz w:val="24"/>
                <w:szCs w:val="24"/>
                <w:color w:val="auto"/>
              </w:rPr>
            </w:pPr>
          </w:p>
        </w:tc>
      </w:tr>
      <w:tr>
        <w:trPr>
          <w:trHeight w:val="233"/>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Date Received</w:t>
            </w:r>
          </w:p>
        </w:tc>
        <w:tc>
          <w:tcPr>
            <w:tcW w:w="15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671"/>
        </w:trPr>
        <w:tc>
          <w:tcPr>
            <w:tcW w:w="960" w:type="dxa"/>
            <w:vAlign w:val="bottom"/>
          </w:tcPr>
          <w:p>
            <w:pPr>
              <w:ind w:left="280"/>
              <w:spacing w:after="0"/>
              <w:rPr>
                <w:sz w:val="20"/>
                <w:szCs w:val="20"/>
                <w:color w:val="auto"/>
              </w:rPr>
            </w:pPr>
            <w:r>
              <w:rPr>
                <w:rFonts w:ascii="Arial" w:cs="Arial" w:eastAsia="Arial" w:hAnsi="Arial"/>
                <w:sz w:val="22"/>
                <w:szCs w:val="22"/>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05"/>
        </w:trPr>
        <w:tc>
          <w:tcPr>
            <w:tcW w:w="9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342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APPENDIX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 ADDENDUM TO STOCK OPTION AGREEMENT</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otherwise defined herein, capitalized terms used in this Country Addendum to Stock Option Agreement (the “</w:t>
      </w:r>
      <w:r>
        <w:rPr>
          <w:rFonts w:ascii="Arial" w:cs="Arial" w:eastAsia="Arial" w:hAnsi="Arial"/>
          <w:sz w:val="21"/>
          <w:szCs w:val="21"/>
          <w:b w:val="1"/>
          <w:bCs w:val="1"/>
          <w:color w:val="auto"/>
        </w:rPr>
        <w:t>Country Addendum</w:t>
      </w:r>
      <w:r>
        <w:rPr>
          <w:rFonts w:ascii="Arial" w:cs="Arial" w:eastAsia="Arial" w:hAnsi="Arial"/>
          <w:sz w:val="21"/>
          <w:szCs w:val="21"/>
          <w:color w:val="auto"/>
        </w:rPr>
        <w:t>”) will be ascribed the same defined meanings as set forth in the Option Agreement of which this Country Addendum forms a part (or the Plan or other written agreement as specified in the Option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This Country Addendum includes additional terms and conditions that govern this Option granted to Participant under the Plan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transfers employment and/or residency to another country after the Option is granted, the Company, in its discretion, will determine to what extent the terms and conditions contained herein will apply to Participant.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This Country Addendum also includes information regarding securities laws, exchange controls and certain other issues of which Participant should be aware with respect to Participant’s participation in the Plan. The information is provided solely for Participant’s convenience and is based on the securities, exchange control, and other Applicable Laws in effect in the respective countries as of </w:t>
      </w:r>
      <w:r>
        <w:rPr>
          <w:rFonts w:ascii="Arial" w:cs="Arial" w:eastAsia="Arial" w:hAnsi="Arial"/>
          <w:sz w:val="19"/>
          <w:szCs w:val="19"/>
          <w:b w:val="1"/>
          <w:bCs w:val="1"/>
          <w:color w:val="auto"/>
        </w:rPr>
        <w:t>April 2021</w:t>
      </w:r>
      <w:r>
        <w:rPr>
          <w:rFonts w:ascii="Arial" w:cs="Arial" w:eastAsia="Arial" w:hAnsi="Arial"/>
          <w:sz w:val="19"/>
          <w:szCs w:val="19"/>
          <w:color w:val="auto"/>
        </w:rPr>
        <w:t>.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15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3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Finally, if Participant is a citizen or resident (or is considered as such for local law purposes) of a country other than the one in which Participant currently is residing and/or working, or if Participant transfers residence and/or employment to another country after the grant of the Option, the information in this Country Addendum may not apply to Participant in the same manner.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u w:val="single" w:color="auto"/>
          <w:color w:val="auto"/>
        </w:rPr>
        <w:t>Form of Payment</w:t>
      </w:r>
      <w:r>
        <w:rPr>
          <w:rFonts w:ascii="Arial" w:cs="Arial" w:eastAsia="Arial" w:hAnsi="Arial"/>
          <w:sz w:val="21"/>
          <w:szCs w:val="21"/>
          <w:color w:val="auto"/>
        </w:rPr>
        <w:t>. Notwithstanding anything in the Plan and the Option Agreement to the contrary, due to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considerations in Canada, Participant is prohibited from surrendering Shares that he or she already owns or attesting to the ownership of shares to pay the Exercise Price or any Tax Obligations in connection with this Option.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The following provision replaces Section 12(j) of the Option Agreement in its entirety:</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For purposes of the Option, Participant’s status as a Service Provider will be considered terminated (regardless of the reason for such termination and whether or not later found to be invalid or in breach of employment laws in the jurisdiction where Participant is a Service Provider or the terms of Participant’s employment or service agreement, if any) as of the date that is the earliest of: (i) the date of termination of Participant’s status as a Service Provider, (ii) the date on which Participant receives notice of termination of his or her status as a Service Provider, and (iii) the date on which Participant ceases to be providing services to the Company, the Service Recipient or any other Subsidiary or Parent of the Company, which date shall not be extended by any notice period or period of pay in lieu of such notice mandated under the employment laws of the jurisdiction in which Participant is providing service or the terms of Participant’s employment or other service agreement, if any. The Administrator shall have the exclusive discretion to determine when Participant no longer is actively providing services for purposes of the Option (including whether Participant may still be considered to be providing services while on a leave of absence).</w:t>
      </w:r>
    </w:p>
    <w:p>
      <w:pPr>
        <w:spacing w:after="0" w:line="18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vesting during a statutory notice period, Participant’s right to vest in the Option, if any, will terminate effective upon the expiry of the minimum statutory notice period, but Participant will not earn or be entitled to prorated vesting if the vesting date falls after the end of the statutory notice period, nor will Participant be entitled to any compensation in lieu of any such prorated vesting.</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Participants resident in Quebec:</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The parties acknowledge that it is Participant’s express wish that the Option Agreement, as well as all documents,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notices and legal proceedings entered into, given or instituted pursuant hereto or relating directly or indirectly hereto, be drawn up in English.</w:t>
      </w:r>
    </w:p>
    <w:p>
      <w:pPr>
        <w:spacing w:after="0" w:line="183" w:lineRule="exact"/>
        <w:rPr>
          <w:sz w:val="20"/>
          <w:szCs w:val="20"/>
          <w:color w:val="auto"/>
        </w:rPr>
      </w:pPr>
    </w:p>
    <w:p>
      <w:pPr>
        <w:ind w:right="120"/>
        <w:spacing w:after="0"/>
        <w:rPr>
          <w:sz w:val="20"/>
          <w:szCs w:val="20"/>
          <w:color w:val="auto"/>
        </w:rPr>
      </w:pPr>
      <w:r>
        <w:rPr>
          <w:rFonts w:ascii="Arial" w:cs="Arial" w:eastAsia="Arial" w:hAnsi="Arial"/>
          <w:sz w:val="22"/>
          <w:szCs w:val="22"/>
          <w:i w:val="1"/>
          <w:iCs w:val="1"/>
          <w:color w:val="auto"/>
        </w:rPr>
        <w:t>Les parties reconnaissent qu'elles souhaitent expressément que le contrat d'option, ainsi que tous les documents, avis et procédures judiciaires engagés, donnés ou intentés en vertu des présentes ou s'y rapportant directement ou indirectement, soient rédigés en anglais.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 This provision supplements Section 15 of the Option Agreement:</w:t>
      </w:r>
    </w:p>
    <w:p>
      <w:pPr>
        <w:spacing w:after="0" w:line="212" w:lineRule="exact"/>
        <w:rPr>
          <w:sz w:val="20"/>
          <w:szCs w:val="20"/>
          <w:color w:val="auto"/>
        </w:rPr>
      </w:pPr>
    </w:p>
    <w:p>
      <w:pPr>
        <w:jc w:val="both"/>
        <w:spacing w:after="0" w:line="247" w:lineRule="exact"/>
        <w:rPr>
          <w:sz w:val="20"/>
          <w:szCs w:val="20"/>
          <w:color w:val="auto"/>
        </w:rPr>
      </w:pPr>
      <w:r>
        <w:rPr>
          <w:rFonts w:ascii="Arial" w:cs="Arial" w:eastAsia="Arial" w:hAnsi="Arial"/>
          <w:sz w:val="22"/>
          <w:szCs w:val="22"/>
          <w:color w:val="auto"/>
        </w:rPr>
        <w:t>Participant hereby authorizes any Service Recipient, and any agents or representatives to (i) discuss with and obtain all relevant information from all personnel, professional or non</w:t>
      </w:r>
      <w:r>
        <w:rPr>
          <w:rFonts w:ascii="MS PGothic" w:cs="MS PGothic" w:eastAsia="MS PGothic" w:hAnsi="MS PGothic"/>
          <w:sz w:val="22"/>
          <w:szCs w:val="22"/>
          <w:color w:val="auto"/>
        </w:rPr>
        <w:t>‑</w:t>
      </w:r>
      <w:r>
        <w:rPr>
          <w:rFonts w:ascii="Arial" w:cs="Arial" w:eastAsia="Arial" w:hAnsi="Arial"/>
          <w:sz w:val="22"/>
          <w:szCs w:val="22"/>
          <w:color w:val="auto"/>
        </w:rPr>
        <w:t>professional, involved in the administration and operation of the Plan, and (ii) disclose and discuss any and all information relevant to the Plan with their advisers. Participant further authorizes the Company and any Service</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8" w:name="page169"/>
    <w:bookmarkEnd w:id="168"/>
    <w:p>
      <w:pPr>
        <w:ind w:right="800"/>
        <w:spacing w:after="0" w:line="432" w:lineRule="auto"/>
        <w:rPr>
          <w:sz w:val="20"/>
          <w:szCs w:val="20"/>
          <w:color w:val="auto"/>
        </w:rPr>
      </w:pPr>
      <w:r>
        <w:rPr>
          <w:rFonts w:ascii="Arial" w:cs="Arial" w:eastAsia="Arial" w:hAnsi="Arial"/>
          <w:sz w:val="22"/>
          <w:szCs w:val="22"/>
          <w:color w:val="auto"/>
        </w:rPr>
        <w:t xml:space="preserve">Recipient and any agents or representatives to record such information and to keep such information in Participant’s file. </w:t>
      </w:r>
      <w:r>
        <w:rPr>
          <w:rFonts w:ascii="Arial" w:cs="Arial" w:eastAsia="Arial" w:hAnsi="Arial"/>
          <w:sz w:val="22"/>
          <w:szCs w:val="22"/>
          <w:b w:val="1"/>
          <w:bCs w:val="1"/>
          <w:i w:val="1"/>
          <w:iCs w:val="1"/>
          <w:color w:val="auto"/>
        </w:rPr>
        <w:t>Notifications</w:t>
      </w:r>
    </w:p>
    <w:p>
      <w:pPr>
        <w:spacing w:after="0" w:line="1" w:lineRule="exact"/>
        <w:rPr>
          <w:sz w:val="20"/>
          <w:szCs w:val="20"/>
          <w:color w:val="auto"/>
        </w:rPr>
      </w:pPr>
    </w:p>
    <w:p>
      <w:pPr>
        <w:ind w:right="340"/>
        <w:spacing w:after="0" w:line="243" w:lineRule="auto"/>
        <w:rPr>
          <w:sz w:val="20"/>
          <w:szCs w:val="20"/>
          <w:color w:val="auto"/>
        </w:rPr>
      </w:pPr>
      <w:r>
        <w:rPr>
          <w:rFonts w:ascii="Arial" w:cs="Arial" w:eastAsia="Arial" w:hAnsi="Arial"/>
          <w:sz w:val="22"/>
          <w:szCs w:val="22"/>
          <w:b w:val="1"/>
          <w:bCs w:val="1"/>
          <w:u w:val="single" w:color="auto"/>
          <w:color w:val="auto"/>
        </w:rPr>
        <w:t>Securities Law Notification</w:t>
      </w:r>
      <w:r>
        <w:rPr>
          <w:rFonts w:ascii="Arial" w:cs="Arial" w:eastAsia="Arial" w:hAnsi="Arial"/>
          <w:sz w:val="22"/>
          <w:szCs w:val="22"/>
          <w:color w:val="auto"/>
        </w:rPr>
        <w:t>. Participant is permitted to sell Shares acquired under the Plan through the designated broker</w:t>
      </w:r>
      <w:r>
        <w:rPr>
          <w:rFonts w:ascii="Arial" w:cs="Arial" w:eastAsia="Arial" w:hAnsi="Arial"/>
          <w:sz w:val="22"/>
          <w:szCs w:val="22"/>
          <w:b w:val="1"/>
          <w:bCs w:val="1"/>
          <w:color w:val="auto"/>
        </w:rPr>
        <w:t xml:space="preserve"> </w:t>
      </w:r>
      <w:r>
        <w:rPr>
          <w:rFonts w:ascii="Arial" w:cs="Arial" w:eastAsia="Arial" w:hAnsi="Arial"/>
          <w:sz w:val="22"/>
          <w:szCs w:val="22"/>
          <w:color w:val="auto"/>
        </w:rPr>
        <w:t>appointed under the Plan, if any, provided the resale of Shares acquired under the Plan takes place outside Canada through the facilities of the exchange on which the Shares are then listed.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w:t>
      </w:r>
      <w:r>
        <w:rPr>
          <w:rFonts w:ascii="Arial" w:cs="Arial" w:eastAsia="Arial" w:hAnsi="Arial"/>
          <w:sz w:val="14"/>
          <w:szCs w:val="14"/>
          <w:b w:val="1"/>
          <w:bCs w:val="1"/>
          <w:u w:val="single" w:color="auto"/>
          <w:color w:val="auto"/>
        </w:rPr>
        <w:t>NDIA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u w:val="single" w:color="auto"/>
          <w:color w:val="auto"/>
        </w:rPr>
        <w:t>Exchange Control Notification</w:t>
      </w:r>
      <w:r>
        <w:rPr>
          <w:rFonts w:ascii="Arial" w:cs="Arial" w:eastAsia="Arial" w:hAnsi="Arial"/>
          <w:sz w:val="22"/>
          <w:szCs w:val="22"/>
          <w:color w:val="auto"/>
        </w:rPr>
        <w:t>. Participant is required to repatriate to India, or cause to be repatriated, any proceeds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sale of Shares acquired under the Plan and any dividends received in relation to the Shares within such time as prescribed under applicable Indian exchange control laws as may be amended from time to time. Participant should obtain a foreign inward remittance certificate (“</w:t>
      </w:r>
      <w:r>
        <w:rPr>
          <w:rFonts w:ascii="Arial" w:cs="Arial" w:eastAsia="Arial" w:hAnsi="Arial"/>
          <w:sz w:val="22"/>
          <w:szCs w:val="22"/>
          <w:u w:val="single" w:color="auto"/>
          <w:color w:val="auto"/>
        </w:rPr>
        <w:t>FIRC</w:t>
      </w:r>
      <w:r>
        <w:rPr>
          <w:rFonts w:ascii="Arial" w:cs="Arial" w:eastAsia="Arial" w:hAnsi="Arial"/>
          <w:sz w:val="22"/>
          <w:szCs w:val="22"/>
          <w:color w:val="auto"/>
        </w:rPr>
        <w:t xml:space="preserve">”) or other similar form from the bank where Participant deposits the funds and maintain the FIRC or other form as evidence of the repatriation of funds in the event the Reserve Bank of India or Participant’s employer requests proof of repatriation. </w:t>
      </w:r>
      <w:r>
        <w:rPr>
          <w:rFonts w:ascii="Arial" w:cs="Arial" w:eastAsia="Arial" w:hAnsi="Arial"/>
          <w:sz w:val="22"/>
          <w:szCs w:val="22"/>
          <w:i w:val="1"/>
          <w:iCs w:val="1"/>
          <w:color w:val="auto"/>
        </w:rPr>
        <w:t>Participant should consult with his or her personal legal adviser to ensure compliance with the applicable</w:t>
      </w:r>
      <w:r>
        <w:rPr>
          <w:rFonts w:ascii="Arial" w:cs="Arial" w:eastAsia="Arial" w:hAnsi="Arial"/>
          <w:sz w:val="22"/>
          <w:szCs w:val="22"/>
          <w:color w:val="auto"/>
        </w:rPr>
        <w:t xml:space="preserve"> </w:t>
      </w:r>
      <w:r>
        <w:rPr>
          <w:rFonts w:ascii="Arial" w:cs="Arial" w:eastAsia="Arial" w:hAnsi="Arial"/>
          <w:sz w:val="22"/>
          <w:szCs w:val="22"/>
          <w:i w:val="1"/>
          <w:iCs w:val="1"/>
          <w:color w:val="auto"/>
        </w:rPr>
        <w:t>requirements.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2"/>
          <w:szCs w:val="22"/>
          <w:color w:val="auto"/>
        </w:rPr>
        <w:t>APPENDIX 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RESTRICTIVE COVENANTS ADDENDUM TO STOCK OPTION AGREEMENT</w:t>
      </w:r>
    </w:p>
    <w:p>
      <w:pPr>
        <w:spacing w:after="0" w:line="212" w:lineRule="exact"/>
        <w:rPr>
          <w:sz w:val="20"/>
          <w:szCs w:val="20"/>
          <w:color w:val="auto"/>
        </w:rPr>
      </w:pPr>
    </w:p>
    <w:p>
      <w:pPr>
        <w:ind w:right="520" w:firstLine="749"/>
        <w:spacing w:after="0" w:line="297" w:lineRule="auto"/>
        <w:rPr>
          <w:sz w:val="20"/>
          <w:szCs w:val="20"/>
          <w:color w:val="auto"/>
        </w:rPr>
      </w:pPr>
      <w:r>
        <w:rPr>
          <w:rFonts w:ascii="Arial" w:cs="Arial" w:eastAsia="Arial" w:hAnsi="Arial"/>
          <w:sz w:val="19"/>
          <w:szCs w:val="19"/>
          <w:color w:val="auto"/>
        </w:rPr>
        <w:t>Unless otherwise defined herein, capitalized terms used in this Restrictive Covenants Addendum to Stock Option Agreement will be ascribed the same defined meanings as set forth in the Stock Option Agreement of which this Restrictive Covenants Addendum forms a part (or the Plan or other written agreement as specified in the Stock Option Agreement).</w:t>
      </w:r>
    </w:p>
    <w:p>
      <w:pPr>
        <w:spacing w:after="0" w:line="128" w:lineRule="exact"/>
        <w:rPr>
          <w:sz w:val="20"/>
          <w:szCs w:val="20"/>
          <w:color w:val="auto"/>
        </w:rPr>
      </w:pPr>
    </w:p>
    <w:p>
      <w:pPr>
        <w:ind w:left="760" w:hanging="752"/>
        <w:spacing w:after="0"/>
        <w:tabs>
          <w:tab w:leader="none" w:pos="760" w:val="left"/>
        </w:tabs>
        <w:numPr>
          <w:ilvl w:val="0"/>
          <w:numId w:val="11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Confidential Information</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71" w:lineRule="exact"/>
        <w:rPr>
          <w:rFonts w:ascii="Arial" w:cs="Arial" w:eastAsia="Arial" w:hAnsi="Arial"/>
          <w:sz w:val="22"/>
          <w:szCs w:val="22"/>
          <w:b w:val="1"/>
          <w:bCs w:val="1"/>
          <w:u w:val="single" w:color="auto"/>
          <w:color w:val="auto"/>
        </w:rPr>
      </w:pPr>
    </w:p>
    <w:p>
      <w:pPr>
        <w:jc w:val="both"/>
        <w:ind w:left="1500" w:hanging="743"/>
        <w:spacing w:after="0" w:line="271" w:lineRule="auto"/>
        <w:tabs>
          <w:tab w:leader="none" w:pos="150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Participant expressly agrees that, throughout the term of Participant’s employment with the Company and at all times following the cessation of Participant’s employment from the Company, for so long as the information remains confidential, Participant will not acquire, use, transfer, download, print, or disclose any Confidential Information other than for the purpose to carry out the duties of Participant’s employment for the benefit of the Company (but in all cases preserving confidentiality by following the Company’s policies and procedures). Participant agrees to take all reasonable measures to protect the secrecy of and avoid disclosure or use of Confidential Information in order to prevent it from falling into the public domain or into the possession of any Competing Business or any persons other than those persons authorized under this Restrictive Covenants Addendum to have such information for the benefit of the Company. Participant agrees to notify the Company in writing of any actual or suspected misuse, misappropriation, or unauthorized disclosure of Confidential Information that may come to Participant’s attention. Participant acknowledges that if Participant discloses or uses knowledge of the Company’s Confidential Information to gain an advantage for Participant, for any Competing Business, or for any other person or entity other than the Company, such an advantage so obtained would be unfair and detrimental to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jc w:val="both"/>
        <w:ind w:left="1500" w:hanging="743"/>
        <w:spacing w:after="0" w:line="236" w:lineRule="auto"/>
        <w:tabs>
          <w:tab w:leader="none" w:pos="150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6" w:lineRule="exact"/>
        <w:rPr>
          <w:rFonts w:ascii="Arial" w:cs="Arial" w:eastAsia="Arial" w:hAnsi="Arial"/>
          <w:sz w:val="22"/>
          <w:szCs w:val="22"/>
          <w:color w:val="auto"/>
        </w:rPr>
      </w:pPr>
    </w:p>
    <w:p>
      <w:pPr>
        <w:ind w:left="1500" w:hanging="743"/>
        <w:spacing w:after="0"/>
        <w:tabs>
          <w:tab w:leader="none" w:pos="150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Nothing contained in this Restrictive Covenants Addendum is intended to prohibit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0" w:name="page171"/>
    <w:bookmarkEnd w:id="170"/>
    <w:p>
      <w:pPr>
        <w:jc w:val="both"/>
        <w:ind w:left="1492"/>
        <w:spacing w:after="0" w:line="271" w:lineRule="auto"/>
        <w:rPr>
          <w:sz w:val="20"/>
          <w:szCs w:val="20"/>
          <w:color w:val="auto"/>
        </w:rPr>
      </w:pPr>
      <w:r>
        <w:rPr>
          <w:rFonts w:ascii="Arial" w:cs="Arial" w:eastAsia="Arial" w:hAnsi="Arial"/>
          <w:sz w:val="19"/>
          <w:szCs w:val="19"/>
          <w:color w:val="auto"/>
        </w:rPr>
        <w:t>Participant from disclosing or discussing information relating to compensation or working conditions protected by the National Labor Relations Act or applicable law. Additionally, nothing contained in this Restrictive Covenants Addendum prohibits or prevents Participant from filing a charge with or participating, testifying, or assisting in any investigation, hearing, whistleblower proceeding, or other proceeding before any federal, state, or local government agency (e.g., EEOC, NLRB, SEC, etc.) or in any legislative or judicial proceeding nor does anything in this Restrictive Covenants Addendum preclude, prohibit or otherwise limit, in any way, Participant’s rights and abilities to contact, communicate with or report unlawful conduct to federal, state, or local officials for investigation or participate in any whistleblower program administered by such agencies. The Company further acknowledges Participant’s rights to make truthful statements or disclosures required by law, regulation, or legal process and to request or receive confidential legal advice, and nothing in this Restrictive Covenants Addendum shall be deemed to impair those rights. The Company also acknowledges Participant’s rights to make truthful statements or disclosures about unlawful employment practices which are defined to mean any form of unlawful discrimination, harassment, or retaliation that is actionable under Title VII of the Civil Rights Act of 1964 or any comparable state statue or any other related federal or state rule or law that is enforced by the Equal Employment Opportunity Commission or any comparable state agency.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752" w:hanging="752"/>
        <w:spacing w:after="0" w:line="247" w:lineRule="auto"/>
        <w:tabs>
          <w:tab w:leader="none" w:pos="752" w:val="left"/>
        </w:tabs>
        <w:numPr>
          <w:ilvl w:val="0"/>
          <w:numId w:val="111"/>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Limited Non-Compete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acknowledge and agree that, as a result of Participant’s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(i) Participant has and will have access to and be involved in the development and utilization of the Company’s Confidential Information; (ii) Participant will develop and maintain critical relationships with the Company’s customers, prospective customers, employees, consultants, and independent contractors; and (iii) Participant will be responsible for further developing and strengthening the Company’s goodwill in the market. Accordingly, Participant expressly agrees that Participant will not Compete with the Company during the Restricted Period within the Restricted Territory on behalf of any Competing Business.</w:t>
      </w: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36" w:lineRule="exact"/>
        <w:rPr>
          <w:rFonts w:ascii="Arial" w:cs="Arial" w:eastAsia="Arial" w:hAnsi="Arial"/>
          <w:sz w:val="21"/>
          <w:szCs w:val="21"/>
          <w:b w:val="1"/>
          <w:bCs w:val="1"/>
          <w:u w:val="single" w:color="auto"/>
          <w:color w:val="auto"/>
        </w:rPr>
      </w:pPr>
    </w:p>
    <w:p>
      <w:pPr>
        <w:jc w:val="both"/>
        <w:ind w:left="752" w:hanging="752"/>
        <w:spacing w:after="0" w:line="278" w:lineRule="auto"/>
        <w:tabs>
          <w:tab w:leader="none" w:pos="752" w:val="left"/>
        </w:tabs>
        <w:numPr>
          <w:ilvl w:val="0"/>
          <w:numId w:val="11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Non-Solicitation of Customers/Prospective Customers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expressly agrees that during the Restricted Period,</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will not, directly or indirectly, either alone or by assisting or acting in concert with others, on behalf of themselves or any other person, business, entity, including but not limited to on behalf of a Competing Business, solicit, persuade, induce, encourage, divert, or attempt to solicit, persuade, induce, encourage, or divert, or otherwise accept business from, any Customer or Prospective Customer with whom Participant had Material Contact, for the purpose of interfering in the relationship between such Customer or Prospective Customer and the Company, or providing products or services that are competitive with or could replace the Company’s products or services in the Company’s Business.</w:t>
      </w:r>
    </w:p>
    <w:p>
      <w:pPr>
        <w:spacing w:after="0" w:line="354" w:lineRule="exact"/>
        <w:rPr>
          <w:sz w:val="20"/>
          <w:szCs w:val="20"/>
          <w:color w:val="auto"/>
        </w:rPr>
      </w:pPr>
    </w:p>
    <w:p>
      <w:pPr>
        <w:ind w:left="272"/>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171" w:name="page172"/>
    <w:bookmarkEnd w:id="171"/>
    <w:p>
      <w:pPr>
        <w:jc w:val="both"/>
        <w:ind w:left="752" w:hanging="752"/>
        <w:spacing w:after="0" w:line="236" w:lineRule="auto"/>
        <w:tabs>
          <w:tab w:leader="none" w:pos="752" w:val="left"/>
        </w:tabs>
        <w:numPr>
          <w:ilvl w:val="0"/>
          <w:numId w:val="11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Non-Recruitment of Protected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expressly agrees that during the Restricted Period,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directly or indirectly, either alone or by assisting or acting in concert with others, on behalf of themselves or any other person, business, entity, including but not limited to on behalf of a Competing Business, solicit, induce, encourage, or attempt to solicit, induce, or encourage any Protected Employee of the Company to alter or terminate their relationship with the Company, or hire, employ, recruit or attempt to hire, employ, or recruit any Protected Employee on behalf of a Competing Business.</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40" w:lineRule="exact"/>
        <w:rPr>
          <w:rFonts w:ascii="Arial" w:cs="Arial" w:eastAsia="Arial" w:hAnsi="Arial"/>
          <w:sz w:val="22"/>
          <w:szCs w:val="22"/>
          <w:b w:val="1"/>
          <w:bCs w:val="1"/>
          <w:u w:val="single" w:color="auto"/>
          <w:color w:val="auto"/>
        </w:rPr>
      </w:pPr>
    </w:p>
    <w:p>
      <w:pPr>
        <w:jc w:val="both"/>
        <w:ind w:left="752" w:hanging="378"/>
        <w:spacing w:after="0" w:line="270" w:lineRule="auto"/>
        <w:tabs>
          <w:tab w:leader="none" w:pos="752" w:val="left"/>
        </w:tabs>
        <w:numPr>
          <w:ilvl w:val="1"/>
          <w:numId w:val="112"/>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Participant breaches any of the restrictive covenants set forth in this Restrictive Covenants</w:t>
      </w:r>
      <w:r>
        <w:rPr>
          <w:rFonts w:ascii="Arial" w:cs="Arial" w:eastAsia="Arial" w:hAnsi="Arial"/>
          <w:sz w:val="19"/>
          <w:szCs w:val="19"/>
          <w:b w:val="1"/>
          <w:bCs w:val="1"/>
          <w:color w:val="auto"/>
        </w:rPr>
        <w:t xml:space="preserve"> </w:t>
      </w:r>
      <w:r>
        <w:rPr>
          <w:rFonts w:ascii="Arial" w:cs="Arial" w:eastAsia="Arial" w:hAnsi="Arial"/>
          <w:sz w:val="19"/>
          <w:szCs w:val="19"/>
          <w:color w:val="auto"/>
        </w:rPr>
        <w:t>Addendum, any portion of the Option awarded by this Option Agreement which is then-unexercised or unvested will thereupon be forfeited at no cost to the Company and Participant will have no further rights thereunder. Participant agrees that the obligations set forth in this Restrictive Covenants Addendum are necessary and reasonable in order to protect the Company’s legitimate business interests and (without limiting the foregoing) that the obligations set forth in this Restrictive Covenants Addendum are necessary and reasonable in order to protect the Company’s legitimate business interests in protecting its Confidential Information, customer and employee relationships and the goodwill associated therewith. Participant expressly agrees that due to the unique nature of the Company’s Confidential Information, and its relationships with its customers and employees, monetary damages would be inadequate to compensate the Company for any breach by Participant of the covenants and agreements set forth in this Restrictive Covenants Addendum. Accordingly, Participant agrees and acknowledges that any such violation or threatened violation shall cause irreparable injury to the Company and that, in addition to forfeiture of any portion of the Option which is unexercised or unvested and any other remedies that may be available in law, in equity, or otherwise, the Company shall be entitled: (a) to obtain injunctive relief against the threatened breach of this Restrictive Covenants Addendum or the continuation of any such breach by Participant, without the necessity of proving actual damages, and without necessity of posting bond; and (b) to recover any costs or attorneys’ fees, arising out of or in connection with any breach or threatened breach by Participant or any action relating to Participant’s obligations under this Restrictive Covenants Addendum. Any such equitable relief sought or obtained pursuant to this Restrictive Covenants Addendum will not be the Company’s exclusive remedy to address Participant’s breach or threatened breach of the provisions herein, and the Company shall be entitled to pursue all remedies available, including but not limited to actual damages, pursuant to applicable law. No claim, demand, action, or cause of action that Participant may have against the Company shall constitute a defense to the Company’s enforcement of any of its rights or Participant’s obligations hereunder by the Company or the Company’s successors or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52" w:hanging="752"/>
        <w:spacing w:after="0"/>
        <w:tabs>
          <w:tab w:leader="none" w:pos="752" w:val="left"/>
        </w:tabs>
        <w:numPr>
          <w:ilvl w:val="0"/>
          <w:numId w:val="113"/>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Tolling</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acknowledges and agrees that the Restricted Period shall be tolled on a day-for-day basis for all</w:t>
      </w:r>
    </w:p>
    <w:p>
      <w:pPr>
        <w:spacing w:after="0" w:line="49" w:lineRule="exact"/>
        <w:rPr>
          <w:sz w:val="20"/>
          <w:szCs w:val="20"/>
          <w:color w:val="auto"/>
        </w:rPr>
      </w:pPr>
    </w:p>
    <w:p>
      <w:pPr>
        <w:jc w:val="both"/>
        <w:ind w:left="752" w:right="20"/>
        <w:spacing w:after="0" w:line="266" w:lineRule="auto"/>
        <w:rPr>
          <w:sz w:val="20"/>
          <w:szCs w:val="20"/>
          <w:color w:val="auto"/>
        </w:rPr>
      </w:pPr>
      <w:r>
        <w:rPr>
          <w:rFonts w:ascii="Arial" w:cs="Arial" w:eastAsia="Arial" w:hAnsi="Arial"/>
          <w:sz w:val="19"/>
          <w:szCs w:val="19"/>
          <w:color w:val="auto"/>
        </w:rPr>
        <w:t>periods in which Participant is in breach of the obligations contained in this Restrictive Covenants Addendum, so that the Company receives the full benefit of the Restricted Period to which Participant has agreed herein. Participant also agrees that if Participant or the Company institutes litigation to enforce or challenge the protective covenants</w:t>
      </w:r>
    </w:p>
    <w:p>
      <w:pPr>
        <w:spacing w:after="0" w:line="3" w:lineRule="exact"/>
        <w:rPr>
          <w:sz w:val="20"/>
          <w:szCs w:val="20"/>
          <w:color w:val="auto"/>
        </w:rPr>
      </w:pPr>
    </w:p>
    <w:p>
      <w:pPr>
        <w:ind w:left="272"/>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71" w:right="339" w:bottom="1440" w:gutter="0" w:footer="0" w:header="0"/>
        </w:sectPr>
      </w:pPr>
    </w:p>
    <w:bookmarkStart w:id="172" w:name="page173"/>
    <w:bookmarkEnd w:id="172"/>
    <w:p>
      <w:pPr>
        <w:jc w:val="both"/>
        <w:ind w:left="752"/>
        <w:spacing w:after="0" w:line="287" w:lineRule="auto"/>
        <w:rPr>
          <w:sz w:val="20"/>
          <w:szCs w:val="20"/>
          <w:color w:val="auto"/>
        </w:rPr>
      </w:pPr>
      <w:r>
        <w:rPr>
          <w:rFonts w:ascii="Arial" w:cs="Arial" w:eastAsia="Arial" w:hAnsi="Arial"/>
          <w:sz w:val="19"/>
          <w:szCs w:val="19"/>
          <w:color w:val="auto"/>
        </w:rPr>
        <w:t>in this Restrictive Covenants Addendum, and Participant is not enjoined from breaching one or more of the protective covenants contained in this Restrictive Covenants Addendum, and a court thereafter determines that one or more of the protective covenants are enforceable, the Restricted Period shall be tolled (i.e. suspended) beginning on the date the litigation was instituted until the litigation is finally resolved and all periods of appeal have expired.</w:t>
      </w:r>
    </w:p>
    <w:p>
      <w:pPr>
        <w:spacing w:after="0" w:line="200" w:lineRule="exact"/>
        <w:rPr>
          <w:sz w:val="20"/>
          <w:szCs w:val="20"/>
          <w:color w:val="auto"/>
        </w:rPr>
      </w:pPr>
    </w:p>
    <w:p>
      <w:pPr>
        <w:spacing w:after="0" w:line="396" w:lineRule="exact"/>
        <w:rPr>
          <w:sz w:val="20"/>
          <w:szCs w:val="20"/>
          <w:color w:val="auto"/>
        </w:rPr>
      </w:pPr>
    </w:p>
    <w:p>
      <w:pPr>
        <w:ind w:left="752" w:hanging="752"/>
        <w:spacing w:after="0" w:line="256" w:lineRule="auto"/>
        <w:tabs>
          <w:tab w:leader="none" w:pos="752" w:val="left"/>
        </w:tabs>
        <w:numPr>
          <w:ilvl w:val="0"/>
          <w:numId w:val="11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For all purposes throughout this Restrictive Covenants Addendum, the terms defined below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meanings specified in this section.</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27" w:lineRule="exact"/>
        <w:rPr>
          <w:rFonts w:ascii="Arial" w:cs="Arial" w:eastAsia="Arial" w:hAnsi="Arial"/>
          <w:sz w:val="22"/>
          <w:szCs w:val="22"/>
          <w:b w:val="1"/>
          <w:bCs w:val="1"/>
          <w:u w:val="single" w:color="auto"/>
          <w:color w:val="auto"/>
        </w:rPr>
      </w:pPr>
    </w:p>
    <w:p>
      <w:pPr>
        <w:jc w:val="both"/>
        <w:ind w:left="1492" w:hanging="743"/>
        <w:spacing w:after="0"/>
        <w:tabs>
          <w:tab w:leader="none" w:pos="14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“Business” means the business of investing and operating in payments, payments networks, billing, billing solutions, software and technology-enabled businesses, including a continuous program of research, development, production and marketing.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jc w:val="both"/>
        <w:ind w:left="1492" w:hanging="743"/>
        <w:spacing w:after="0" w:line="234" w:lineRule="auto"/>
        <w:tabs>
          <w:tab w:leader="none" w:pos="14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“Cause” shall mean voluntary resignation, disability that renders Participant incapable of performing the essential functions of Participant’s job, with or without reasonable accommodation, after Participant has exhausted any leave available under applicable law or Company policy, job abandonment, substandard performance, engaging in any act or omission deemed to be against the best interests of the Company, unsafe, threatening or violent activity or conduct, and any other conduct that could reasonably be perceived as damaging the Company’s reputation or interfering with its business interests. A termination for Cause may be based on conduct that takes place in or outside the workplace. Cause shall be determined in the sole discretion of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jc w:val="both"/>
        <w:ind w:left="1492" w:hanging="743"/>
        <w:spacing w:after="0" w:line="234" w:lineRule="auto"/>
        <w:tabs>
          <w:tab w:leader="none" w:pos="14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“Compete” shall mean: (i) providing the same or similar services or expertise Participant provided to the Company at any time during the twelve (12) months prior to cessation of employment; (ii) any involvement where Participant will be responsible for managing others, participating in strategic decision-making, engaging in research or development, or personally selling products or services that are the same as or substantially similar to the products or services market, sold, or provided by the Company; or (iii) any other capacity where Participant’s knowledge of the Company’s Confidential Information could provide a competitive advantage to any Competing Business.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92" w:hanging="743"/>
        <w:spacing w:after="0"/>
        <w:tabs>
          <w:tab w:leader="none" w:pos="1492" w:val="left"/>
        </w:tabs>
        <w:numPr>
          <w:ilvl w:val="1"/>
          <w:numId w:val="114"/>
        </w:numPr>
        <w:rPr>
          <w:rFonts w:ascii="Arial" w:cs="Arial" w:eastAsia="Arial" w:hAnsi="Arial"/>
          <w:sz w:val="21"/>
          <w:szCs w:val="21"/>
          <w:color w:val="auto"/>
        </w:rPr>
      </w:pPr>
      <w:r>
        <w:rPr>
          <w:rFonts w:ascii="Arial" w:cs="Arial" w:eastAsia="Arial" w:hAnsi="Arial"/>
          <w:sz w:val="21"/>
          <w:szCs w:val="21"/>
          <w:color w:val="auto"/>
        </w:rPr>
        <w:t>“Competing Business” shall mean any person or entity in the business of developing, distributing, selling,</w:t>
      </w:r>
    </w:p>
    <w:p>
      <w:pPr>
        <w:spacing w:after="0" w:line="20" w:lineRule="exact"/>
        <w:rPr>
          <w:sz w:val="20"/>
          <w:szCs w:val="20"/>
          <w:color w:val="auto"/>
        </w:rPr>
      </w:pPr>
    </w:p>
    <w:p>
      <w:pPr>
        <w:jc w:val="both"/>
        <w:ind w:left="1492"/>
        <w:spacing w:after="0" w:line="266" w:lineRule="auto"/>
        <w:rPr>
          <w:sz w:val="20"/>
          <w:szCs w:val="20"/>
          <w:color w:val="auto"/>
        </w:rPr>
      </w:pPr>
      <w:r>
        <w:rPr>
          <w:rFonts w:ascii="Arial" w:cs="Arial" w:eastAsia="Arial" w:hAnsi="Arial"/>
          <w:sz w:val="19"/>
          <w:szCs w:val="19"/>
          <w:color w:val="auto"/>
        </w:rPr>
        <w:t>supplying or otherwise dealing with (including but not limited to technical and product support, professional services, technical advice and other customer services) billing and payment solutions (products and services) that offer billers the ability to send bills via electronic channels, receive payments of all types,</w:t>
      </w:r>
    </w:p>
    <w:p>
      <w:pPr>
        <w:spacing w:after="0" w:line="3" w:lineRule="exact"/>
        <w:rPr>
          <w:sz w:val="20"/>
          <w:szCs w:val="20"/>
          <w:color w:val="auto"/>
        </w:rPr>
      </w:pPr>
    </w:p>
    <w:p>
      <w:pPr>
        <w:ind w:left="272"/>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173" w:name="page174"/>
    <w:bookmarkEnd w:id="173"/>
    <w:p>
      <w:pPr>
        <w:jc w:val="both"/>
        <w:ind w:left="1220"/>
        <w:spacing w:after="0" w:line="257" w:lineRule="auto"/>
        <w:rPr>
          <w:sz w:val="20"/>
          <w:szCs w:val="20"/>
          <w:color w:val="auto"/>
        </w:rPr>
      </w:pPr>
      <w:r>
        <w:rPr>
          <w:rFonts w:ascii="Arial" w:cs="Arial" w:eastAsia="Arial" w:hAnsi="Arial"/>
          <w:sz w:val="21"/>
          <w:szCs w:val="21"/>
          <w:color w:val="auto"/>
        </w:rPr>
        <w:t>reconcile payments in real time, and empower customers to work with a self-service billing portal and any other products or services that could replace and are therefore competitive with those offered by the Company or any predecessor within the two (2) years prior to the cessation of Participant’s employment.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20" w:hanging="743"/>
        <w:spacing w:after="0" w:line="269" w:lineRule="auto"/>
        <w:tabs>
          <w:tab w:leader="none" w:pos="12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“Confidential Information” shall mean sensitive business information having actual or potential value to the Company or its affiliates because it is not generally known to the general public or ascertainable by a Competing Business, and which has been disclosed to Participant, or of which Participant will become aware, as a consequence of the employment with the Company. Confidential Information includes, but is not limited to, the Company’s investment strategies, management planning information, business plans, operational methods, market studies, marketing plans or strategies, patent information, business acquisition plans, past, current and planned research and development, formulas, methods, patterns, processes, procedures, instructions, designs, inventions, operations, engineering, drawings, equipment, devices, technology, software systems, price lists, sales reports and records, sales books and manuals, code books, financial information and projections, personnel data such as compensation, strengths, weaknesses, and experience, names of customers, customer lists and contact information, customer pricing and purchasing information, lists of targeted prospective customers, supplier lists, product/service and marketing data and programs, product/service plans, product development, advertising campaigns, new product designs or roll out, agreements with third parties, or any information designated by the Company as being “confidential.” Confidential Information may be in written or non-written form, as well as information held on electronic media or networks, magnetic storage, cloud storage service, or other similar media. The Company has invested and will continue to invest extensive time, resources, talent, and effort to develop its Confidential Information, all of which generates goodwill for the Company. Participant acknowledges that the Company has taken reasonable and adequate steps to control access to the Confidential Information and to prevent unauthorized disclosure, which could cause injury to the Company. This definition shall not limit any broader definition of “confidential information” or any equivalent term under applicable state or federal law. Confidential Information shall not include any information that (i) is or becomes generally available to the public other than as a result of an unauthorized or unintentional disclosure, (ii) has been independently developed and disclosed by others without violating any obligations to the Company or applicable law, or (iii) otherwise enters the public domain through lawful means.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1220" w:hanging="743"/>
        <w:spacing w:after="0" w:line="297" w:lineRule="auto"/>
        <w:tabs>
          <w:tab w:leader="none" w:pos="12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“Customer” of the Company shall mean any business or entity that agreed, verbally or in writing, to purchase products or services from the Company or actually purchased products or services from the Company within the twelve (12) months preceding the cessation of Participant’s employment with the Company.</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62865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77" w:right="339" w:bottom="1440" w:gutter="0" w:footer="0" w:header="0"/>
        </w:sectPr>
      </w:pPr>
    </w:p>
    <w:bookmarkStart w:id="174" w:name="page175"/>
    <w:bookmarkEnd w:id="174"/>
    <w:p>
      <w:pPr>
        <w:ind w:left="1220" w:hanging="743"/>
        <w:spacing w:after="0" w:line="250" w:lineRule="auto"/>
        <w:tabs>
          <w:tab w:leader="none" w:pos="12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term “employment” shall include service as an employee, consultant, or other service provider of the Company or any Subsidiary or Parent of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1220" w:hanging="743"/>
        <w:spacing w:after="0" w:line="273" w:lineRule="auto"/>
        <w:tabs>
          <w:tab w:leader="none" w:pos="12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Participant will be deemed to have had “Material Contact” with any Customer or Prospective Customer of the Company if, in the twelve (12) months prior to the cessation of Participant’s employment with the Company, the Customer or Prospective Customer is one: (i) with whom or which Participant dealt on behalf of the Company;</w:t>
      </w:r>
    </w:p>
    <w:p>
      <w:pPr>
        <w:spacing w:after="0" w:line="1" w:lineRule="exact"/>
        <w:rPr>
          <w:rFonts w:ascii="Arial" w:cs="Arial" w:eastAsia="Arial" w:hAnsi="Arial"/>
          <w:sz w:val="19"/>
          <w:szCs w:val="19"/>
          <w:color w:val="auto"/>
        </w:rPr>
      </w:pPr>
    </w:p>
    <w:p>
      <w:pPr>
        <w:jc w:val="both"/>
        <w:ind w:left="1220" w:firstLine="6"/>
        <w:spacing w:after="0" w:line="280" w:lineRule="auto"/>
        <w:tabs>
          <w:tab w:leader="none" w:pos="1599" w:val="left"/>
        </w:tabs>
        <w:numPr>
          <w:ilvl w:val="1"/>
          <w:numId w:val="116"/>
        </w:numPr>
        <w:rPr>
          <w:rFonts w:ascii="Arial" w:cs="Arial" w:eastAsia="Arial" w:hAnsi="Arial"/>
          <w:sz w:val="19"/>
          <w:szCs w:val="19"/>
          <w:color w:val="auto"/>
        </w:rPr>
      </w:pPr>
      <w:r>
        <w:rPr>
          <w:rFonts w:ascii="Arial" w:cs="Arial" w:eastAsia="Arial" w:hAnsi="Arial"/>
          <w:sz w:val="19"/>
          <w:szCs w:val="19"/>
          <w:color w:val="auto"/>
        </w:rPr>
        <w:t>whose dealings with the Company were coordinated or supervised by Participant; (iii) about whom Participant obtained Confidential Information in the ordinary course of business as a result of Participant’s employment with the Company; or (iv) who received products or services authorized by the Company, the sale or provision of which resulted in compensation, commissions, or earnings for Participant.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left="1220" w:hanging="743"/>
        <w:spacing w:after="0" w:line="238" w:lineRule="auto"/>
        <w:tabs>
          <w:tab w:leader="none" w:pos="12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“Prospective Customer” shall mean any business or entity that is not a Customer, but to whom Participant provided a bid, quote for products or services, or about whom Participant obtained Confidential Information for the purposes of securing a sale, during the twelve (12) months preceding cessation of Participant’s employment with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jc w:val="both"/>
        <w:ind w:left="1220" w:hanging="743"/>
        <w:spacing w:after="0" w:line="274" w:lineRule="auto"/>
        <w:tabs>
          <w:tab w:leader="none" w:pos="12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“Protected Employee” shall mean any employee of the Company who has access to or knowledge of the Company’s Confidential Information, such that their employment with or engagement by a Competing Business could result in unfair competition with or damage to the Company, and (i) with whom Participant had material, business-related contact in the last twelve (12) months prior to Participant’s cessation of employment with the Company; or (ii) about whom Participant obtained Confidential Information in the regular course of business in the last twelve (12) months prior to Participant’s cessation of employment with the Company. “Protected Employee” applies only to those individuals actually employed by the Company at the time of the conduct prohibited by Section 4 of this Restrictive Covenants Addendum, or who were employed by the Company within three (3) months prior to the conduct prohibited by Section 4.</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1220" w:hanging="743"/>
        <w:spacing w:after="0" w:line="250" w:lineRule="auto"/>
        <w:tabs>
          <w:tab w:leader="none" w:pos="12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“Restricted Period” shall mean the entire period of Participant’s employment with the Company and a twelve (12) month period immediately following the cessation of Participant’s employment.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220" w:right="20" w:hanging="743"/>
        <w:spacing w:after="0" w:line="239" w:lineRule="auto"/>
        <w:tabs>
          <w:tab w:leader="none" w:pos="12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“Restricted Territory” shall mean (i) Participant’s designated territory or area of responsibility as of the cessation of Participant’s employment with the Company; and</w:t>
      </w: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51435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77" w:right="339" w:bottom="1440" w:gutter="0" w:footer="0" w:header="0"/>
        </w:sectPr>
      </w:pPr>
    </w:p>
    <w:bookmarkStart w:id="175" w:name="page176"/>
    <w:bookmarkEnd w:id="175"/>
    <w:p>
      <w:pPr>
        <w:jc w:val="both"/>
        <w:ind w:left="1492" w:firstLine="6"/>
        <w:spacing w:after="0" w:line="236" w:lineRule="auto"/>
        <w:tabs>
          <w:tab w:leader="none" w:pos="1831" w:val="left"/>
        </w:tabs>
        <w:numPr>
          <w:ilvl w:val="2"/>
          <w:numId w:val="117"/>
        </w:numPr>
        <w:rPr>
          <w:rFonts w:ascii="Arial" w:cs="Arial" w:eastAsia="Arial" w:hAnsi="Arial"/>
          <w:sz w:val="22"/>
          <w:szCs w:val="22"/>
          <w:color w:val="auto"/>
        </w:rPr>
      </w:pPr>
      <w:r>
        <w:rPr>
          <w:rFonts w:ascii="Arial" w:cs="Arial" w:eastAsia="Arial" w:hAnsi="Arial"/>
          <w:sz w:val="22"/>
          <w:szCs w:val="22"/>
          <w:color w:val="auto"/>
        </w:rPr>
        <w:t>the geographic areas in which Participant, during any time in the last twelve (12) months of employment with the Company, provided services or had a material presence or influence. Acts done by Participant outside the “Restricted Territory” shall be deemed to be done within the “Restricted Territory” where their primary purpose or effect is to compete with the Company on behalf of a Competing Business within the “Restricted Territory.”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jc w:val="both"/>
        <w:ind w:left="752" w:hanging="752"/>
        <w:spacing w:after="0" w:line="239" w:lineRule="auto"/>
        <w:tabs>
          <w:tab w:leader="none" w:pos="752" w:val="left"/>
        </w:tabs>
        <w:numPr>
          <w:ilvl w:val="0"/>
          <w:numId w:val="11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Participant’s right to consult with counsel</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acknowledges that Participant has been provided an</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and has been made aware of Participant’s right, to consult with counsel of their choosing at Participant’s expense prior to entering into the Option Agreement, including specifically (but without limitation) the restrictive covenants in this Restrictive Covenants Addendum.</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39" w:lineRule="exact"/>
        <w:rPr>
          <w:rFonts w:ascii="Arial" w:cs="Arial" w:eastAsia="Arial" w:hAnsi="Arial"/>
          <w:sz w:val="22"/>
          <w:szCs w:val="22"/>
          <w:b w:val="1"/>
          <w:bCs w:val="1"/>
          <w:u w:val="single" w:color="auto"/>
          <w:color w:val="auto"/>
        </w:rPr>
      </w:pPr>
    </w:p>
    <w:p>
      <w:pPr>
        <w:jc w:val="both"/>
        <w:ind w:left="752" w:hanging="752"/>
        <w:spacing w:after="0" w:line="275" w:lineRule="auto"/>
        <w:tabs>
          <w:tab w:leader="none" w:pos="752" w:val="left"/>
        </w:tabs>
        <w:numPr>
          <w:ilvl w:val="0"/>
          <w:numId w:val="11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Notification of New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Before Participant accepts employment or enters into any consulting,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 or other professional or business engagement with any other person or entity while any of the provisions of this Restrictive Covenants Addendum are in effect, Participant will provide such person or entity with written notice of the provisions of this Restrictive Covenants Addendum and will deliver a copy of that notice to the Company. While any of the restrictive covenant provisions of this Restrictive Covenants Addendum are in effect, Participant agrees that, upon the request of the Company, Participant will furnish the Company with the name and address of any new employer or entity for whom Participant provides contractor or consulting services, as well as the capacity in which Participant will be employed or otherwise engaged. Participant hereby consents to the Company’s notifying Participant’s new employer about Participant’s responsibilities, restrictions and obligations under this Restrictive Covenants Addendum.</w:t>
      </w:r>
    </w:p>
    <w:p>
      <w:pPr>
        <w:spacing w:after="0" w:line="200" w:lineRule="exact"/>
        <w:rPr>
          <w:rFonts w:ascii="Arial" w:cs="Arial" w:eastAsia="Arial" w:hAnsi="Arial"/>
          <w:sz w:val="19"/>
          <w:szCs w:val="19"/>
          <w:b w:val="1"/>
          <w:bCs w:val="1"/>
          <w:u w:val="single" w:color="auto"/>
          <w:color w:val="auto"/>
        </w:rPr>
      </w:pPr>
    </w:p>
    <w:p>
      <w:pPr>
        <w:spacing w:after="0" w:line="200" w:lineRule="exact"/>
        <w:rPr>
          <w:rFonts w:ascii="Arial" w:cs="Arial" w:eastAsia="Arial" w:hAnsi="Arial"/>
          <w:sz w:val="19"/>
          <w:szCs w:val="19"/>
          <w:b w:val="1"/>
          <w:bCs w:val="1"/>
          <w:u w:val="single" w:color="auto"/>
          <w:color w:val="auto"/>
        </w:rPr>
      </w:pPr>
    </w:p>
    <w:p>
      <w:pPr>
        <w:spacing w:after="0" w:line="208" w:lineRule="exact"/>
        <w:rPr>
          <w:rFonts w:ascii="Arial" w:cs="Arial" w:eastAsia="Arial" w:hAnsi="Arial"/>
          <w:sz w:val="19"/>
          <w:szCs w:val="19"/>
          <w:b w:val="1"/>
          <w:bCs w:val="1"/>
          <w:u w:val="single" w:color="auto"/>
          <w:color w:val="auto"/>
        </w:rPr>
      </w:pPr>
    </w:p>
    <w:p>
      <w:pPr>
        <w:jc w:val="both"/>
        <w:ind w:left="752" w:hanging="752"/>
        <w:spacing w:after="0" w:line="235" w:lineRule="auto"/>
        <w:tabs>
          <w:tab w:leader="none" w:pos="752" w:val="left"/>
        </w:tabs>
        <w:numPr>
          <w:ilvl w:val="0"/>
          <w:numId w:val="11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State Law Exceptions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acknowledges and agrees that, in certain states the covenants contained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Covenants Addendum may have limited or no applicability. The Company intends for this Restrictive Covenants Addendum to comply fully with state and local laws and, as such, acknowledges that this Restrictive Covenants Addendum is limited or not applicable in the following states. To the extent that there are additional limitations not acknowledged herein, the Company intends for this</w:t>
      </w:r>
    </w:p>
    <w:p>
      <w:pPr>
        <w:jc w:val="both"/>
        <w:ind w:left="752"/>
        <w:spacing w:after="0" w:line="233" w:lineRule="auto"/>
        <w:rPr>
          <w:rFonts w:ascii="Arial" w:cs="Arial" w:eastAsia="Arial" w:hAnsi="Arial"/>
          <w:sz w:val="22"/>
          <w:szCs w:val="22"/>
          <w:b w:val="1"/>
          <w:bCs w:val="1"/>
          <w:u w:val="single" w:color="auto"/>
          <w:color w:val="auto"/>
        </w:rPr>
      </w:pPr>
      <w:r>
        <w:rPr>
          <w:rFonts w:ascii="Arial" w:cs="Arial" w:eastAsia="Arial" w:hAnsi="Arial"/>
          <w:sz w:val="22"/>
          <w:szCs w:val="22"/>
          <w:color w:val="auto"/>
        </w:rPr>
        <w:t>Restrictive Covenants Addendum to be read and applied in full compliance with applicable state laws. Further, to the extent any state not listed limits enforceability of a covenant if Participant’s annual compensation is insufficient for enforceable post-employment non-competition or non-solicitation restrictions, such limitation is incorporated by reference.</w:t>
      </w:r>
    </w:p>
    <w:p>
      <w:pPr>
        <w:spacing w:after="0" w:line="187" w:lineRule="exact"/>
        <w:rPr>
          <w:rFonts w:ascii="Arial" w:cs="Arial" w:eastAsia="Arial" w:hAnsi="Arial"/>
          <w:sz w:val="22"/>
          <w:szCs w:val="22"/>
          <w:b w:val="1"/>
          <w:bCs w:val="1"/>
          <w:u w:val="single" w:color="auto"/>
          <w:color w:val="auto"/>
        </w:rPr>
      </w:pPr>
    </w:p>
    <w:p>
      <w:pPr>
        <w:jc w:val="both"/>
        <w:ind w:left="1492" w:hanging="743"/>
        <w:spacing w:after="0" w:line="236" w:lineRule="auto"/>
        <w:tabs>
          <w:tab w:leader="none" w:pos="1492"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Arizona</w:t>
      </w:r>
      <w:r>
        <w:rPr>
          <w:rFonts w:ascii="Arial" w:cs="Arial" w:eastAsia="Arial" w:hAnsi="Arial"/>
          <w:sz w:val="22"/>
          <w:szCs w:val="22"/>
          <w:color w:val="auto"/>
        </w:rPr>
        <w:t>. If Participant’s primary work location is in Arizona as of the date Participant’s employment with the Company ceases, Sections 3 and 4 of this Restrictive Covenants Addendum will prohibit Participant from engaging in the conduct described only in the “Restricted Territory.”</w:t>
      </w:r>
    </w:p>
    <w:p>
      <w:pPr>
        <w:spacing w:after="0" w:line="1" w:lineRule="exact"/>
        <w:rPr>
          <w:sz w:val="20"/>
          <w:szCs w:val="20"/>
          <w:color w:val="auto"/>
        </w:rPr>
      </w:pPr>
    </w:p>
    <w:p>
      <w:pPr>
        <w:ind w:left="272"/>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176" w:name="page177"/>
    <w:bookmarkEnd w:id="176"/>
    <w:p>
      <w:pPr>
        <w:jc w:val="both"/>
        <w:ind w:left="1220" w:hanging="743"/>
        <w:spacing w:after="0" w:line="287" w:lineRule="auto"/>
        <w:tabs>
          <w:tab w:leader="none" w:pos="122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California</w:t>
      </w:r>
      <w:r>
        <w:rPr>
          <w:rFonts w:ascii="Arial" w:cs="Arial" w:eastAsia="Arial" w:hAnsi="Arial"/>
          <w:sz w:val="19"/>
          <w:szCs w:val="19"/>
          <w:color w:val="auto"/>
        </w:rPr>
        <w:t>. If Participant’s primary work location is in California as of the date Participant’s employment with the Company ceases, Sections 2, 3, 4 and 6 of this Restrictive Covenants Addendum do not apply to Participant after Participant’s last day of employment. Further, Section 5 of this Restrictive Covenants Addendum shall provide for attorneys’ fees to the prevailing party as required under California Civil Code § 1717.</w:t>
      </w:r>
    </w:p>
    <w:p>
      <w:pPr>
        <w:spacing w:after="0" w:line="142" w:lineRule="exact"/>
        <w:rPr>
          <w:rFonts w:ascii="Arial" w:cs="Arial" w:eastAsia="Arial" w:hAnsi="Arial"/>
          <w:sz w:val="19"/>
          <w:szCs w:val="19"/>
          <w:color w:val="auto"/>
        </w:rPr>
      </w:pPr>
    </w:p>
    <w:p>
      <w:pPr>
        <w:jc w:val="both"/>
        <w:ind w:left="1220" w:hanging="743"/>
        <w:spacing w:after="0" w:line="297" w:lineRule="auto"/>
        <w:tabs>
          <w:tab w:leader="none" w:pos="122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Connecticut</w:t>
      </w:r>
      <w:r>
        <w:rPr>
          <w:rFonts w:ascii="Arial" w:cs="Arial" w:eastAsia="Arial" w:hAnsi="Arial"/>
          <w:sz w:val="19"/>
          <w:szCs w:val="19"/>
          <w:color w:val="auto"/>
        </w:rPr>
        <w:t>. If Participant’s primary work location is in Connecticut, Section 1 of this Restrictive Covenants Addendum shall not be interpreted to preclude Participant from discussing at any time the compensation of any employee of the Company who has voluntarily disclosed that compensation information to Participant.</w:t>
      </w:r>
    </w:p>
    <w:p>
      <w:pPr>
        <w:spacing w:after="0" w:line="133" w:lineRule="exact"/>
        <w:rPr>
          <w:rFonts w:ascii="Arial" w:cs="Arial" w:eastAsia="Arial" w:hAnsi="Arial"/>
          <w:sz w:val="19"/>
          <w:szCs w:val="19"/>
          <w:color w:val="auto"/>
        </w:rPr>
      </w:pPr>
    </w:p>
    <w:p>
      <w:pPr>
        <w:jc w:val="both"/>
        <w:ind w:left="1220" w:right="20" w:hanging="743"/>
        <w:spacing w:after="0"/>
        <w:tabs>
          <w:tab w:leader="none" w:pos="12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Florida</w:t>
      </w:r>
      <w:r>
        <w:rPr>
          <w:rFonts w:ascii="Arial" w:cs="Arial" w:eastAsia="Arial" w:hAnsi="Arial"/>
          <w:sz w:val="22"/>
          <w:szCs w:val="22"/>
          <w:color w:val="auto"/>
        </w:rPr>
        <w:t>. If Participant’s primary work location is in Florida as of the date Participant’s employment with the Company ceases, then the phrase “and without necessity of posting bond” shall be struck from Section 5 of this Restrictive Covenants Addendum.</w:t>
      </w:r>
    </w:p>
    <w:p>
      <w:pPr>
        <w:spacing w:after="0" w:line="186" w:lineRule="exact"/>
        <w:rPr>
          <w:rFonts w:ascii="Arial" w:cs="Arial" w:eastAsia="Arial" w:hAnsi="Arial"/>
          <w:sz w:val="22"/>
          <w:szCs w:val="22"/>
          <w:color w:val="auto"/>
        </w:rPr>
      </w:pPr>
    </w:p>
    <w:p>
      <w:pPr>
        <w:jc w:val="both"/>
        <w:ind w:left="1220" w:hanging="743"/>
        <w:spacing w:after="0" w:line="238" w:lineRule="auto"/>
        <w:tabs>
          <w:tab w:leader="none" w:pos="12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Hawaii</w:t>
      </w:r>
      <w:r>
        <w:rPr>
          <w:rFonts w:ascii="Arial" w:cs="Arial" w:eastAsia="Arial" w:hAnsi="Arial"/>
          <w:sz w:val="22"/>
          <w:szCs w:val="22"/>
          <w:color w:val="auto"/>
        </w:rPr>
        <w:t>. If Participant’s primary work location is in Hawaii as of the date Participant’s employment with the Company ceases, then after the last day of employment the restrictions in Section 2 of this Restrictive Covenants Addendum will apply geographically only to the specific island(s) within the State of Hawaii for which Participant had managerial and/or sales responsibility.</w:t>
      </w:r>
    </w:p>
    <w:p>
      <w:pPr>
        <w:spacing w:after="0" w:line="184" w:lineRule="exact"/>
        <w:rPr>
          <w:rFonts w:ascii="Arial" w:cs="Arial" w:eastAsia="Arial" w:hAnsi="Arial"/>
          <w:sz w:val="22"/>
          <w:szCs w:val="22"/>
          <w:color w:val="auto"/>
        </w:rPr>
      </w:pPr>
    </w:p>
    <w:p>
      <w:pPr>
        <w:jc w:val="both"/>
        <w:ind w:left="1220" w:hanging="743"/>
        <w:spacing w:after="0" w:line="245" w:lineRule="auto"/>
        <w:tabs>
          <w:tab w:leader="none" w:pos="122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Idaho</w:t>
      </w:r>
      <w:r>
        <w:rPr>
          <w:rFonts w:ascii="Arial" w:cs="Arial" w:eastAsia="Arial" w:hAnsi="Arial"/>
          <w:sz w:val="21"/>
          <w:szCs w:val="21"/>
          <w:color w:val="auto"/>
        </w:rPr>
        <w:t>. If Participant’s primary work location is in Idaho as of the date Participant’s employment with the Company ceases, then after the last day of employment the restrictions in Sections 2, 3, and 4 of this Restrictive Covenants Addendum shall apply only if Participant is a “key employee.” As used herein, the phrase “key employee” means an employee who, by reason of the employer’s investment of time, money, trust, exposure to the public, or exposure to technologies, intellectual property, business plans, business processes and methods of operation, customers, vendors or other business relationships during the course of employment, has gained a high level of inside knowledge, influence, credibility, notoriety, fame, reputation or public persona as a representative or spokesperson of the employer and, as a result, has the ability to harm or threaten an employer’s legitimate business interests.</w:t>
      </w:r>
    </w:p>
    <w:p>
      <w:pPr>
        <w:spacing w:after="0" w:line="184" w:lineRule="exact"/>
        <w:rPr>
          <w:rFonts w:ascii="Arial" w:cs="Arial" w:eastAsia="Arial" w:hAnsi="Arial"/>
          <w:sz w:val="21"/>
          <w:szCs w:val="21"/>
          <w:color w:val="auto"/>
        </w:rPr>
      </w:pPr>
    </w:p>
    <w:p>
      <w:pPr>
        <w:jc w:val="both"/>
        <w:ind w:left="1220" w:hanging="743"/>
        <w:spacing w:after="0" w:line="268" w:lineRule="auto"/>
        <w:tabs>
          <w:tab w:leader="none" w:pos="122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Nebraska</w:t>
      </w:r>
      <w:r>
        <w:rPr>
          <w:rFonts w:ascii="Arial" w:cs="Arial" w:eastAsia="Arial" w:hAnsi="Arial"/>
          <w:sz w:val="19"/>
          <w:szCs w:val="19"/>
          <w:color w:val="auto"/>
        </w:rPr>
        <w:t>. If Participant’s primary work location is in Nebraska as of the date Participant’s employment with the Company ceases, then after the last day of employment the restrictions in Section 2 of this Restrictive Covenants Addendum will not apply. After Participant’s employment with the Company ceases, the restrictions of Section 3 of this Restrictive Covenants Addendum will only apply to the Company’s current Customers, and not to Prospective Customers. Also after Participant’s employment with the Company ceases, (1) the definition of “Customer” in Section 7(f) of this Restrictive Covenants Addendum shall only apply to any business or entity that is a current customer of the Company; (2) the definition of “Material Contact” in Section 7(h) of this Restrictive Covenants Addendum shall mean doing business and having personal contact with Customers during Participant’s employment with the Company; and (3) the definition of “Protected Employee” in Section 7(j) of this Restrictive Covenants Addendum shall mean any employee of the Company whom</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51435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77" w:right="339" w:bottom="1440" w:gutter="0" w:footer="0" w:header="0"/>
        </w:sectPr>
      </w:pPr>
    </w:p>
    <w:bookmarkStart w:id="177" w:name="page178"/>
    <w:bookmarkEnd w:id="177"/>
    <w:p>
      <w:pPr>
        <w:jc w:val="both"/>
        <w:ind w:left="1220"/>
        <w:spacing w:after="0" w:line="252" w:lineRule="auto"/>
        <w:rPr>
          <w:sz w:val="20"/>
          <w:szCs w:val="20"/>
          <w:color w:val="auto"/>
        </w:rPr>
      </w:pPr>
      <w:r>
        <w:rPr>
          <w:rFonts w:ascii="Arial" w:cs="Arial" w:eastAsia="Arial" w:hAnsi="Arial"/>
          <w:sz w:val="21"/>
          <w:szCs w:val="21"/>
          <w:color w:val="auto"/>
        </w:rPr>
        <w:t>Participant had material business-related contact during Participant’s employment with the Company, and who is actually employed by the Company at the time of the conduct prohibited by Section 4 of this Restrictive Covenants Addendum, or who were employed by the Company within three (3) months prior to the contact prohibited by Section 4 of this Restrictive Covenants Addendum.</w:t>
      </w:r>
    </w:p>
    <w:p>
      <w:pPr>
        <w:spacing w:after="0" w:line="174" w:lineRule="exact"/>
        <w:rPr>
          <w:sz w:val="20"/>
          <w:szCs w:val="20"/>
          <w:color w:val="auto"/>
        </w:rPr>
      </w:pPr>
    </w:p>
    <w:p>
      <w:pPr>
        <w:jc w:val="both"/>
        <w:ind w:left="1220" w:hanging="743"/>
        <w:spacing w:after="0"/>
        <w:tabs>
          <w:tab w:leader="none" w:pos="122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Tennessee</w:t>
      </w:r>
      <w:r>
        <w:rPr>
          <w:rFonts w:ascii="Arial" w:cs="Arial" w:eastAsia="Arial" w:hAnsi="Arial"/>
          <w:sz w:val="22"/>
          <w:szCs w:val="22"/>
          <w:color w:val="auto"/>
        </w:rPr>
        <w:t>. If Participant’s primary work location is in Tennessee as of the date Participant’s employment with the Company ceases, Sections 3 and 4 of this Restrictive Covenants Addendum will prohibit Participant from engaging in the conduct described only in the “Restricted Territory.”</w:t>
      </w:r>
    </w:p>
    <w:p>
      <w:pPr>
        <w:spacing w:after="0" w:line="186" w:lineRule="exact"/>
        <w:rPr>
          <w:rFonts w:ascii="Arial" w:cs="Arial" w:eastAsia="Arial" w:hAnsi="Arial"/>
          <w:sz w:val="22"/>
          <w:szCs w:val="22"/>
          <w:color w:val="auto"/>
        </w:rPr>
      </w:pPr>
    </w:p>
    <w:p>
      <w:pPr>
        <w:jc w:val="both"/>
        <w:ind w:left="1220" w:hanging="743"/>
        <w:spacing w:after="0" w:line="234" w:lineRule="auto"/>
        <w:tabs>
          <w:tab w:leader="none" w:pos="122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Virginia</w:t>
      </w:r>
      <w:r>
        <w:rPr>
          <w:rFonts w:ascii="Arial" w:cs="Arial" w:eastAsia="Arial" w:hAnsi="Arial"/>
          <w:sz w:val="22"/>
          <w:szCs w:val="22"/>
          <w:color w:val="auto"/>
        </w:rPr>
        <w:t>. If Participant’s primary work location is in Virginia, then: (i) at any time that Participant is a “low-wage employee” within the meaning of Virginia Code § 40.1-28.7:8, Section 2 of this Restrictive Covenants Addendum does not apply and Section 3 of this Restrictive Covenants Addendum is modified by deleting the phrase “or otherwise accept business from”; and (ii) as of the date Participant’s employment with the Company ceases, “Compete” as defined in Section 7(c), shall mean: providing the same or similar services or expertise Participant provided to the Company at any time during the twelve (12) months prior to cessation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62865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77"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b w:val="1"/>
          <w:bCs w:val="1"/>
          <w:color w:val="auto"/>
        </w:rPr>
        <w:t>Exhibit 10.18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GRANT</w:t>
      </w:r>
    </w:p>
    <w:p>
      <w:pPr>
        <w:spacing w:after="0" w:line="21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Unless otherwise defined herein, the terms defined in the Paymentus Holdings, Inc. 2021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will have the same defined meanings in this Restricted Stock Unit Agreement, which includes the Notice of Restricted Stock Unit Grant (the “</w:t>
      </w:r>
      <w:r>
        <w:rPr>
          <w:rFonts w:ascii="Arial" w:cs="Arial" w:eastAsia="Arial" w:hAnsi="Arial"/>
          <w:sz w:val="21"/>
          <w:szCs w:val="21"/>
          <w:b w:val="1"/>
          <w:bCs w:val="1"/>
          <w:color w:val="auto"/>
        </w:rPr>
        <w:t>Notice of Grant</w:t>
      </w:r>
      <w:r>
        <w:rPr>
          <w:rFonts w:ascii="Arial" w:cs="Arial" w:eastAsia="Arial" w:hAnsi="Arial"/>
          <w:sz w:val="21"/>
          <w:szCs w:val="21"/>
          <w:color w:val="auto"/>
        </w:rPr>
        <w:t xml:space="preserve">”), the Terms and Conditions of Restricted Stock Unit Grant, attached hereto as </w:t>
      </w:r>
      <w:r>
        <w:rPr>
          <w:rFonts w:ascii="Arial" w:cs="Arial" w:eastAsia="Arial" w:hAnsi="Arial"/>
          <w:sz w:val="21"/>
          <w:szCs w:val="21"/>
          <w:b w:val="1"/>
          <w:bCs w:val="1"/>
          <w:color w:val="auto"/>
        </w:rPr>
        <w:t>Exhibit</w:t>
      </w:r>
      <w:r>
        <w:rPr>
          <w:rFonts w:ascii="Arial" w:cs="Arial" w:eastAsia="Arial" w:hAnsi="Arial"/>
          <w:sz w:val="21"/>
          <w:szCs w:val="21"/>
          <w:color w:val="auto"/>
        </w:rPr>
        <w:t xml:space="preserve"> </w:t>
      </w:r>
      <w:r>
        <w:rPr>
          <w:rFonts w:ascii="Arial" w:cs="Arial" w:eastAsia="Arial" w:hAnsi="Arial"/>
          <w:sz w:val="21"/>
          <w:szCs w:val="21"/>
          <w:b w:val="1"/>
          <w:bCs w:val="1"/>
          <w:color w:val="auto"/>
        </w:rPr>
        <w:t>A</w:t>
      </w:r>
      <w:r>
        <w:rPr>
          <w:rFonts w:ascii="Arial" w:cs="Arial" w:eastAsia="Arial" w:hAnsi="Arial"/>
          <w:sz w:val="21"/>
          <w:szCs w:val="21"/>
          <w:color w:val="auto"/>
        </w:rPr>
        <w:t>, and all other exhibits, appendices, and addenda attached hereto (including any additional terms and conditions for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set forth in Appendix 1 to the Terms and Conditions of Restricted Stock Unit Grant (the “</w:t>
      </w:r>
      <w:r>
        <w:rPr>
          <w:rFonts w:ascii="Arial" w:cs="Arial" w:eastAsia="Arial" w:hAnsi="Arial"/>
          <w:sz w:val="21"/>
          <w:szCs w:val="21"/>
          <w:b w:val="1"/>
          <w:bCs w:val="1"/>
          <w:color w:val="auto"/>
        </w:rPr>
        <w:t>Country Addendum</w:t>
      </w:r>
      <w:r>
        <w:rPr>
          <w:rFonts w:ascii="Arial" w:cs="Arial" w:eastAsia="Arial" w:hAnsi="Arial"/>
          <w:sz w:val="21"/>
          <w:szCs w:val="21"/>
          <w:color w:val="auto"/>
        </w:rPr>
        <w:t>”) and restrictive covenants set forth in Appendix 2 to the Terms and Conditions of Restricted Stock Unit Grant (the “</w:t>
      </w:r>
      <w:r>
        <w:rPr>
          <w:rFonts w:ascii="Arial" w:cs="Arial" w:eastAsia="Arial" w:hAnsi="Arial"/>
          <w:sz w:val="21"/>
          <w:szCs w:val="21"/>
          <w:b w:val="1"/>
          <w:bCs w:val="1"/>
          <w:color w:val="auto"/>
        </w:rPr>
        <w:t>Restrictive</w:t>
      </w:r>
      <w:r>
        <w:rPr>
          <w:rFonts w:ascii="Arial" w:cs="Arial" w:eastAsia="Arial" w:hAnsi="Arial"/>
          <w:sz w:val="21"/>
          <w:szCs w:val="21"/>
          <w:color w:val="auto"/>
        </w:rPr>
        <w:t xml:space="preserve"> </w:t>
      </w:r>
      <w:r>
        <w:rPr>
          <w:rFonts w:ascii="Arial" w:cs="Arial" w:eastAsia="Arial" w:hAnsi="Arial"/>
          <w:sz w:val="21"/>
          <w:szCs w:val="21"/>
          <w:b w:val="1"/>
          <w:bCs w:val="1"/>
          <w:color w:val="auto"/>
        </w:rPr>
        <w:t>Covenants Addendum</w:t>
      </w:r>
      <w:r>
        <w:rPr>
          <w:rFonts w:ascii="Arial" w:cs="Arial" w:eastAsia="Arial" w:hAnsi="Arial"/>
          <w:sz w:val="21"/>
          <w:szCs w:val="21"/>
          <w:color w:val="auto"/>
        </w:rPr>
        <w:t>”)) (together, the “</w:t>
      </w:r>
      <w:r>
        <w:rPr>
          <w:rFonts w:ascii="Arial" w:cs="Arial" w:eastAsia="Arial" w:hAnsi="Arial"/>
          <w:sz w:val="21"/>
          <w:szCs w:val="21"/>
          <w:b w:val="1"/>
          <w:bCs w:val="1"/>
          <w:color w:val="auto"/>
        </w:rPr>
        <w:t>Award Agreement</w:t>
      </w:r>
      <w:r>
        <w:rPr>
          <w:rFonts w:ascii="Arial" w:cs="Arial" w:eastAsia="Arial" w:hAnsi="Arial"/>
          <w:sz w:val="21"/>
          <w:szCs w:val="21"/>
          <w:color w:val="auto"/>
        </w:rPr>
        <w:t>”).</w:t>
      </w: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Address:</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undersigned Participant has been granted an Award of Restricted Stock Units, subject to the terms and conditions of the Plan and this Award Agreement, as follows:</w:t>
      </w:r>
    </w:p>
    <w:p>
      <w:pPr>
        <w:sectPr>
          <w:pgSz w:w="11900" w:h="16838" w:orient="portrait"/>
          <w:cols w:equalWidth="0" w:num="1">
            <w:col w:w="11240"/>
          </w:cols>
          <w:pgMar w:left="320" w:top="315" w:right="339" w:bottom="1440" w:gutter="0" w:footer="0" w:header="0"/>
        </w:sectPr>
      </w:pP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Grant Number: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3060" w:space="720"/>
            <w:col w:w="7460"/>
          </w:cols>
          <w:pgMar w:left="320" w:top="315" w:right="339" w:bottom="1440" w:gutter="0" w:footer="0" w:header="0"/>
          <w:type w:val="continuous"/>
        </w:sectPr>
      </w:pPr>
    </w:p>
    <w:p>
      <w:pPr>
        <w:spacing w:after="0" w:line="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3060" w:space="720"/>
            <w:col w:w="7460"/>
          </w:cols>
          <w:pgMar w:left="320" w:top="315" w:right="339" w:bottom="1440" w:gutter="0" w:footer="0" w:header="0"/>
          <w:type w:val="continuous"/>
        </w:sectPr>
      </w:pPr>
    </w:p>
    <w:p>
      <w:pPr>
        <w:spacing w:after="0" w:line="41" w:lineRule="exact"/>
        <w:rPr>
          <w:sz w:val="20"/>
          <w:szCs w:val="20"/>
          <w:color w:val="auto"/>
        </w:rPr>
      </w:pPr>
    </w:p>
    <w:p>
      <w:pPr>
        <w:jc w:val="center"/>
        <w:ind w:left="66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3500" w:space="720"/>
            <w:col w:w="7020"/>
          </w:cols>
          <w:pgMar w:left="320" w:top="315" w:right="339" w:bottom="1440" w:gutter="0" w:footer="0" w:header="0"/>
          <w:type w:val="continuous"/>
        </w:sectPr>
      </w:pPr>
    </w:p>
    <w:p>
      <w:pPr>
        <w:spacing w:after="0" w:line="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Total Number of Restricted Stock Units: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4260" w:space="380"/>
            <w:col w:w="6600"/>
          </w:cols>
          <w:pgMar w:left="320" w:top="315"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ectPr>
          <w:pgSz w:w="11900" w:h="16838" w:orient="portrait"/>
          <w:cols w:equalWidth="0" w:num="1">
            <w:col w:w="11240"/>
          </w:cols>
          <w:pgMar w:left="320" w:top="315" w:right="3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hanging="42"/>
        <w:spacing w:after="0" w:line="256" w:lineRule="auto"/>
        <w:rPr>
          <w:sz w:val="20"/>
          <w:szCs w:val="20"/>
          <w:color w:val="auto"/>
        </w:rPr>
      </w:pPr>
      <w:r>
        <w:rPr>
          <w:rFonts w:ascii="Arial" w:cs="Arial" w:eastAsia="Arial" w:hAnsi="Arial"/>
          <w:sz w:val="22"/>
          <w:szCs w:val="22"/>
          <w:color w:val="auto"/>
        </w:rPr>
        <w:t>For purposes of this Award Agreement, “</w:t>
      </w:r>
      <w:r>
        <w:rPr>
          <w:rFonts w:ascii="Arial" w:cs="Arial" w:eastAsia="Arial" w:hAnsi="Arial"/>
          <w:sz w:val="22"/>
          <w:szCs w:val="22"/>
          <w:b w:val="1"/>
          <w:bCs w:val="1"/>
          <w:color w:val="auto"/>
        </w:rPr>
        <w:t>Quarterly Vesting Dates</w:t>
      </w:r>
      <w:r>
        <w:rPr>
          <w:rFonts w:ascii="Arial" w:cs="Arial" w:eastAsia="Arial" w:hAnsi="Arial"/>
          <w:sz w:val="22"/>
          <w:szCs w:val="22"/>
          <w:color w:val="auto"/>
        </w:rPr>
        <w:t>” with respect to any calendar year means [ ], and [ ].</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448" w:lineRule="exact"/>
        <w:rPr>
          <w:sz w:val="20"/>
          <w:szCs w:val="20"/>
          <w:color w:val="auto"/>
        </w:rPr>
      </w:pPr>
    </w:p>
    <w:p>
      <w:pPr>
        <w:sectPr>
          <w:pgSz w:w="11900" w:h="16838" w:orient="portrait"/>
          <w:cols w:equalWidth="0" w:num="3">
            <w:col w:w="260" w:space="540"/>
            <w:col w:w="9500" w:space="680"/>
            <w:col w:w="260"/>
          </w:cols>
          <w:pgMar w:left="320" w:top="315" w:right="339" w:bottom="1440" w:gutter="0" w:footer="0" w:header="0"/>
          <w:type w:val="continuous"/>
        </w:sectPr>
      </w:pPr>
    </w:p>
    <w:p>
      <w:pPr>
        <w:jc w:val="both"/>
        <w:ind w:firstLine="749"/>
        <w:spacing w:after="0" w:line="238" w:lineRule="auto"/>
        <w:rPr>
          <w:sz w:val="20"/>
          <w:szCs w:val="20"/>
          <w:color w:val="auto"/>
        </w:rPr>
      </w:pPr>
      <w:r>
        <w:rPr>
          <w:rFonts w:ascii="Arial" w:cs="Arial" w:eastAsia="Arial" w:hAnsi="Arial"/>
          <w:sz w:val="22"/>
          <w:szCs w:val="22"/>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One-__________ (1/__</w:t>
      </w:r>
      <w:r>
        <w:rPr>
          <w:rFonts w:ascii="Arial" w:cs="Arial" w:eastAsia="Arial" w:hAnsi="Arial"/>
          <w:sz w:val="13"/>
          <w:szCs w:val="13"/>
          <w:color w:val="auto"/>
        </w:rPr>
        <w:t>th</w:t>
      </w:r>
      <w:r>
        <w:rPr>
          <w:rFonts w:ascii="Arial" w:cs="Arial" w:eastAsia="Arial" w:hAnsi="Arial"/>
          <w:sz w:val="20"/>
          <w:szCs w:val="20"/>
          <w:color w:val="auto"/>
        </w:rPr>
        <w:t>) of the Total Number of Restricted Stock Units (as set forth above) subject to this Award</w:t>
      </w:r>
    </w:p>
    <w:p>
      <w:pPr>
        <w:spacing w:after="0" w:line="31" w:lineRule="exact"/>
        <w:rPr>
          <w:sz w:val="20"/>
          <w:szCs w:val="20"/>
          <w:color w:val="auto"/>
        </w:rPr>
      </w:pPr>
    </w:p>
    <w:p>
      <w:pPr>
        <w:ind w:left="5440" w:right="5440" w:hanging="5435"/>
        <w:spacing w:after="0" w:line="497" w:lineRule="auto"/>
        <w:rPr>
          <w:sz w:val="20"/>
          <w:szCs w:val="20"/>
          <w:color w:val="auto"/>
        </w:rPr>
      </w:pPr>
      <w:r>
        <w:rPr>
          <w:rFonts w:ascii="Arial" w:cs="Arial" w:eastAsia="Arial" w:hAnsi="Arial"/>
          <w:sz w:val="15"/>
          <w:szCs w:val="15"/>
          <w:color w:val="auto"/>
        </w:rPr>
        <w:t>Agreement will be scheduled to vest on the first Quarterly Vesting - 1 -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179" w:name="page180"/>
    <w:bookmarkEnd w:id="179"/>
    <w:p>
      <w:pPr>
        <w:jc w:val="both"/>
        <w:spacing w:after="0" w:line="252" w:lineRule="exact"/>
        <w:rPr>
          <w:sz w:val="20"/>
          <w:szCs w:val="20"/>
          <w:color w:val="auto"/>
        </w:rPr>
      </w:pPr>
      <w:r>
        <w:rPr>
          <w:rFonts w:ascii="Arial" w:cs="Arial" w:eastAsia="Arial" w:hAnsi="Arial"/>
          <w:sz w:val="20"/>
          <w:szCs w:val="20"/>
          <w:color w:val="auto"/>
        </w:rPr>
        <w:t>Date on or immediately following the one (1) year anniversary of the Vesting Commencement Date (such first vesting date, the “</w:t>
      </w:r>
      <w:r>
        <w:rPr>
          <w:rFonts w:ascii="Arial" w:cs="Arial" w:eastAsia="Arial" w:hAnsi="Arial"/>
          <w:sz w:val="20"/>
          <w:szCs w:val="20"/>
          <w:b w:val="1"/>
          <w:bCs w:val="1"/>
          <w:color w:val="auto"/>
        </w:rPr>
        <w:t>First Vesting Date</w:t>
      </w:r>
      <w:r>
        <w:rPr>
          <w:rFonts w:ascii="Arial" w:cs="Arial" w:eastAsia="Arial" w:hAnsi="Arial"/>
          <w:sz w:val="20"/>
          <w:szCs w:val="20"/>
          <w:color w:val="auto"/>
        </w:rPr>
        <w:t>”), and thereafter, one</w:t>
      </w:r>
      <w:r>
        <w:rPr>
          <w:rFonts w:ascii="MS PGothic" w:cs="MS PGothic" w:eastAsia="MS PGothic" w:hAnsi="MS PGothic"/>
          <w:sz w:val="20"/>
          <w:szCs w:val="20"/>
          <w:color w:val="auto"/>
        </w:rPr>
        <w:t>‑</w:t>
      </w:r>
      <w:r>
        <w:rPr>
          <w:rFonts w:ascii="Arial" w:cs="Arial" w:eastAsia="Arial" w:hAnsi="Arial"/>
          <w:sz w:val="20"/>
          <w:szCs w:val="20"/>
          <w:color w:val="auto"/>
        </w:rPr>
        <w:t>____________ (1/__</w:t>
      </w:r>
      <w:r>
        <w:rPr>
          <w:rFonts w:ascii="Arial" w:cs="Arial" w:eastAsia="Arial" w:hAnsi="Arial"/>
          <w:sz w:val="13"/>
          <w:szCs w:val="13"/>
          <w:color w:val="auto"/>
        </w:rPr>
        <w:t>th</w:t>
      </w:r>
      <w:r>
        <w:rPr>
          <w:rFonts w:ascii="Arial" w:cs="Arial" w:eastAsia="Arial" w:hAnsi="Arial"/>
          <w:sz w:val="20"/>
          <w:szCs w:val="20"/>
          <w:color w:val="auto"/>
        </w:rPr>
        <w:t>) of the Total Number of Restricted Stock Units subject to this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Award Agreement will be scheduled to vest on each of the ____________ (___) Quarterly Vesting Dates that occur after the First</w:t>
      </w: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 xml:space="preserve">Vesting Date, subject to Participant continuing to be a Service Provider through the applicable vesting date. </w:t>
      </w:r>
      <w:r>
        <w:rPr>
          <w:rFonts w:ascii="Arial" w:cs="Arial" w:eastAsia="Arial" w:hAnsi="Arial"/>
          <w:sz w:val="21"/>
          <w:szCs w:val="21"/>
          <w:color w:val="1D1C1D"/>
          <w:highlight w:val="white"/>
        </w:rPr>
        <w:t>Any vesting date that</w:t>
      </w:r>
      <w:r>
        <w:rPr>
          <w:rFonts w:ascii="Arial" w:cs="Arial" w:eastAsia="Arial" w:hAnsi="Arial"/>
          <w:sz w:val="21"/>
          <w:szCs w:val="21"/>
          <w:color w:val="auto"/>
        </w:rPr>
        <w:t xml:space="preserve"> </w:t>
      </w:r>
      <w:r>
        <w:rPr>
          <w:rFonts w:ascii="Arial" w:cs="Arial" w:eastAsia="Arial" w:hAnsi="Arial"/>
          <w:sz w:val="21"/>
          <w:szCs w:val="21"/>
          <w:color w:val="1D1C1D"/>
          <w:highlight w:val="white"/>
        </w:rPr>
        <w:t>is scheduled to occur on a day that is not a Trading Day, shall be deemed to occur on the next Trading Day.</w:t>
      </w:r>
    </w:p>
    <w:p>
      <w:pPr>
        <w:spacing w:after="0" w:line="6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By Participant’s signature or by Participant’s acceptance of the Award Agreement via the Company’s designated electronic acceptance procedures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21"/>
          <w:szCs w:val="21"/>
          <w:b w:val="1"/>
          <w:bCs w:val="1"/>
          <w:color w:val="auto"/>
        </w:rPr>
        <w:t>Exhibit A</w:t>
      </w:r>
      <w:r>
        <w:rPr>
          <w:rFonts w:ascii="Arial" w:cs="Arial" w:eastAsia="Arial" w:hAnsi="Arial"/>
          <w:sz w:val="21"/>
          <w:szCs w:val="21"/>
          <w:color w:val="auto"/>
        </w:rPr>
        <w:t>, and all other exhibits, appendices and addenda attached hereto (including any Country Addendum and Restrictive Covenants Addendum),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ectPr>
          <w:pgSz w:w="11900" w:h="16838" w:orient="portrait"/>
          <w:cols w:equalWidth="0" w:num="1">
            <w:col w:w="11240"/>
          </w:cols>
          <w:pgMar w:left="320" w:top="429"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PAYMENTUS HOLDINGS, INC.</w:t>
      </w:r>
    </w:p>
    <w:p>
      <w:pPr>
        <w:spacing w:after="0" w:line="200" w:lineRule="exact"/>
        <w:rPr>
          <w:sz w:val="20"/>
          <w:szCs w:val="20"/>
          <w:color w:val="auto"/>
        </w:rPr>
      </w:pPr>
    </w:p>
    <w:p>
      <w:pPr>
        <w:sectPr>
          <w:pgSz w:w="11900" w:h="16838" w:orient="portrait"/>
          <w:cols w:equalWidth="0" w:num="2">
            <w:col w:w="1440" w:space="720"/>
            <w:col w:w="9080"/>
          </w:cols>
          <w:pgMar w:left="320" w:top="429"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62" w:lineRule="exact"/>
        <w:rPr>
          <w:sz w:val="20"/>
          <w:szCs w:val="20"/>
          <w:color w:val="auto"/>
        </w:rPr>
      </w:pPr>
    </w:p>
    <w:p>
      <w:pPr>
        <w:sectPr>
          <w:pgSz w:w="11900" w:h="16838" w:orient="portrait"/>
          <w:cols w:equalWidth="0" w:num="2">
            <w:col w:w="3900" w:space="420"/>
            <w:col w:w="6920"/>
          </w:cols>
          <w:pgMar w:left="320" w:top="429" w:right="339" w:bottom="1440" w:gutter="0" w:footer="0" w:header="0"/>
          <w:type w:val="continuous"/>
        </w:sect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ectPr>
          <w:pgSz w:w="11900" w:h="16838" w:orient="portrait"/>
          <w:cols w:equalWidth="0" w:num="2">
            <w:col w:w="700" w:space="380"/>
            <w:col w:w="10160"/>
          </w:cols>
          <w:pgMar w:left="320" w:top="42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62" w:lineRule="exact"/>
        <w:rPr>
          <w:sz w:val="20"/>
          <w:szCs w:val="20"/>
          <w:color w:val="auto"/>
        </w:rPr>
      </w:pPr>
    </w:p>
    <w:p>
      <w:pPr>
        <w:sectPr>
          <w:pgSz w:w="11900" w:h="16838" w:orient="portrait"/>
          <w:cols w:equalWidth="0" w:num="2">
            <w:col w:w="3900" w:space="420"/>
            <w:col w:w="6920"/>
          </w:cols>
          <w:pgMar w:left="320" w:top="429" w:right="339" w:bottom="1440" w:gutter="0" w:footer="0" w:header="0"/>
          <w:type w:val="continuous"/>
        </w:sect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Print Name</w:t>
      </w:r>
    </w:p>
    <w:p>
      <w:pPr>
        <w:spacing w:after="0" w:line="200" w:lineRule="exact"/>
        <w:rPr>
          <w:sz w:val="20"/>
          <w:szCs w:val="20"/>
          <w:color w:val="auto"/>
        </w:rPr>
      </w:pPr>
    </w:p>
    <w:p>
      <w:pPr>
        <w:sectPr>
          <w:pgSz w:w="11900" w:h="16838" w:orient="portrait"/>
          <w:cols w:equalWidth="0" w:num="2">
            <w:col w:w="840" w:space="600"/>
            <w:col w:w="9800"/>
          </w:cols>
          <w:pgMar w:left="320" w:top="429" w:right="339" w:bottom="1440" w:gutter="0" w:footer="0" w:header="0"/>
          <w:type w:val="continuous"/>
        </w:sectPr>
      </w:pPr>
    </w:p>
    <w:p>
      <w:pPr>
        <w:spacing w:after="0" w:line="2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____________________________________</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Residence Address: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RESTRICTED STOCK UNIT GRANT</w:t>
      </w:r>
    </w:p>
    <w:p>
      <w:pPr>
        <w:spacing w:after="0" w:line="206" w:lineRule="exact"/>
        <w:rPr>
          <w:sz w:val="20"/>
          <w:szCs w:val="20"/>
          <w:color w:val="auto"/>
        </w:rPr>
      </w:pPr>
    </w:p>
    <w:p>
      <w:pPr>
        <w:jc w:val="both"/>
        <w:ind w:firstLine="757"/>
        <w:spacing w:after="0" w:line="236" w:lineRule="auto"/>
        <w:tabs>
          <w:tab w:leader="none" w:pos="1498"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Grant of Restricted Stock Units</w:t>
      </w:r>
      <w:r>
        <w:rPr>
          <w:rFonts w:ascii="Arial" w:cs="Arial" w:eastAsia="Arial" w:hAnsi="Arial"/>
          <w:sz w:val="22"/>
          <w:szCs w:val="22"/>
          <w:color w:val="auto"/>
        </w:rPr>
        <w:t>. The Company hereby grants to the individual (“</w:t>
      </w:r>
      <w:r>
        <w:rPr>
          <w:rFonts w:ascii="Arial" w:cs="Arial" w:eastAsia="Arial" w:hAnsi="Arial"/>
          <w:sz w:val="22"/>
          <w:szCs w:val="22"/>
          <w:b w:val="1"/>
          <w:bCs w:val="1"/>
          <w:color w:val="auto"/>
        </w:rPr>
        <w:t>Participant</w:t>
      </w:r>
      <w:r>
        <w:rPr>
          <w:rFonts w:ascii="Arial" w:cs="Arial" w:eastAsia="Arial" w:hAnsi="Arial"/>
          <w:sz w:val="22"/>
          <w:szCs w:val="22"/>
          <w:color w:val="auto"/>
        </w:rPr>
        <w:t>”) named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of Restricted Stock Unit Grant of this Award Agreement (the “</w:t>
      </w:r>
      <w:r>
        <w:rPr>
          <w:rFonts w:ascii="Arial" w:cs="Arial" w:eastAsia="Arial" w:hAnsi="Arial"/>
          <w:sz w:val="22"/>
          <w:szCs w:val="22"/>
          <w:b w:val="1"/>
          <w:bCs w:val="1"/>
          <w:color w:val="auto"/>
        </w:rPr>
        <w:t>Notice of Grant</w:t>
      </w:r>
      <w:r>
        <w:rPr>
          <w:rFonts w:ascii="Arial" w:cs="Arial" w:eastAsia="Arial" w:hAnsi="Arial"/>
          <w:sz w:val="22"/>
          <w:szCs w:val="22"/>
          <w:color w:val="auto"/>
        </w:rPr>
        <w:t>”) under the Plan, on behalf of the Company and any Parent or Subsidiary by which Participant is employed,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81" w:lineRule="exact"/>
        <w:rPr>
          <w:rFonts w:ascii="Arial" w:cs="Arial" w:eastAsia="Arial" w:hAnsi="Arial"/>
          <w:sz w:val="22"/>
          <w:szCs w:val="22"/>
          <w:color w:val="auto"/>
        </w:rPr>
      </w:pPr>
    </w:p>
    <w:p>
      <w:pPr>
        <w:jc w:val="both"/>
        <w:ind w:firstLine="757"/>
        <w:spacing w:after="0" w:line="237" w:lineRule="auto"/>
        <w:tabs>
          <w:tab w:leader="none" w:pos="1498"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Company’s Obligation to Pay</w:t>
      </w:r>
      <w:r>
        <w:rPr>
          <w:rFonts w:ascii="Arial" w:cs="Arial" w:eastAsia="Arial" w:hAnsi="Arial"/>
          <w:sz w:val="22"/>
          <w:szCs w:val="22"/>
          <w:color w:val="auto"/>
        </w:rPr>
        <w:t>. Each Restricted Stock Unit represents the right to receive a Share on the date it</w:t>
      </w:r>
      <w:r>
        <w:rPr>
          <w:rFonts w:ascii="Arial" w:cs="Arial" w:eastAsia="Arial" w:hAnsi="Arial"/>
          <w:sz w:val="22"/>
          <w:szCs w:val="22"/>
          <w:b w:val="1"/>
          <w:bCs w:val="1"/>
          <w:color w:val="auto"/>
        </w:rPr>
        <w:t xml:space="preserve"> </w:t>
      </w:r>
      <w:r>
        <w:rPr>
          <w:rFonts w:ascii="Arial" w:cs="Arial" w:eastAsia="Arial" w:hAnsi="Arial"/>
          <w:sz w:val="22"/>
          <w:szCs w:val="22"/>
          <w:color w:val="auto"/>
        </w:rPr>
        <w:t>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1" w:lineRule="exact"/>
        <w:rPr>
          <w:rFonts w:ascii="Arial" w:cs="Arial" w:eastAsia="Arial" w:hAnsi="Arial"/>
          <w:sz w:val="22"/>
          <w:szCs w:val="22"/>
          <w:color w:val="auto"/>
        </w:rPr>
      </w:pPr>
    </w:p>
    <w:p>
      <w:pPr>
        <w:jc w:val="both"/>
        <w:ind w:firstLine="757"/>
        <w:spacing w:after="0" w:line="247" w:lineRule="auto"/>
        <w:tabs>
          <w:tab w:leader="none" w:pos="1498" w:val="left"/>
        </w:tabs>
        <w:numPr>
          <w:ilvl w:val="0"/>
          <w:numId w:val="121"/>
        </w:numPr>
        <w:rPr>
          <w:rFonts w:ascii="Arial" w:cs="Arial" w:eastAsia="Arial" w:hAnsi="Arial"/>
          <w:sz w:val="21"/>
          <w:szCs w:val="21"/>
          <w:color w:val="auto"/>
        </w:rPr>
      </w:pPr>
      <w:r>
        <w:rPr>
          <w:rFonts w:ascii="Arial" w:cs="Arial" w:eastAsia="Arial" w:hAnsi="Arial"/>
          <w:sz w:val="21"/>
          <w:szCs w:val="21"/>
          <w:b w:val="1"/>
          <w:bCs w:val="1"/>
          <w:color w:val="auto"/>
        </w:rPr>
        <w:t>Vesting Schedule</w:t>
      </w:r>
      <w:r>
        <w:rPr>
          <w:rFonts w:ascii="Arial" w:cs="Arial" w:eastAsia="Arial" w:hAnsi="Arial"/>
          <w:sz w:val="21"/>
          <w:szCs w:val="21"/>
          <w:color w:val="auto"/>
        </w:rPr>
        <w:t>. Except as provided in Section 4, and subject to Section 5, the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77" w:lineRule="exact"/>
        <w:rPr>
          <w:rFonts w:ascii="Arial" w:cs="Arial" w:eastAsia="Arial" w:hAnsi="Arial"/>
          <w:sz w:val="21"/>
          <w:szCs w:val="21"/>
          <w:color w:val="auto"/>
        </w:rPr>
      </w:pPr>
    </w:p>
    <w:p>
      <w:pPr>
        <w:ind w:left="1500" w:hanging="743"/>
        <w:spacing w:after="0"/>
        <w:tabs>
          <w:tab w:leader="none" w:pos="150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Payment after Vesting</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General Rule</w:t>
      </w:r>
      <w:r>
        <w:rPr>
          <w:rFonts w:ascii="Arial" w:cs="Arial" w:eastAsia="Arial" w:hAnsi="Arial"/>
          <w:sz w:val="22"/>
          <w:szCs w:val="22"/>
          <w:color w:val="auto"/>
        </w:rPr>
        <w:t>. Subject to Section 7, any Restricted Stock Units that vest will be paid to Participant (or in the event of Participant’s death, to his or her properly and validly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8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color w:val="auto"/>
        </w:rPr>
        <w:t>Discretionary Acceleration</w:t>
      </w:r>
      <w:r>
        <w:rPr>
          <w:rFonts w:ascii="Arial" w:cs="Arial" w:eastAsia="Arial" w:hAnsi="Arial"/>
          <w:sz w:val="22"/>
          <w:szCs w:val="22"/>
          <w:color w:val="auto"/>
        </w:rPr>
        <w:t>. The Administrator, in its discretion, may accelerate the vesting of the balance, or some lesser portion of the balance, of the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81" w:name="page182"/>
    <w:bookmarkEnd w:id="181"/>
    <w:p>
      <w:pPr>
        <w:spacing w:after="0" w:line="250" w:lineRule="auto"/>
        <w:rPr>
          <w:sz w:val="20"/>
          <w:szCs w:val="20"/>
          <w:color w:val="auto"/>
        </w:rPr>
      </w:pPr>
      <w:r>
        <w:rPr>
          <w:rFonts w:ascii="Arial" w:cs="Arial" w:eastAsia="Arial" w:hAnsi="Arial"/>
          <w:sz w:val="22"/>
          <w:szCs w:val="22"/>
          <w:color w:val="auto"/>
        </w:rPr>
        <w:t>at any time, subject to the terms of the Plan. If so accelerated, such Restricted Stock Units will be considered as having vested as of the date specified by the Administrator.</w:t>
      </w:r>
    </w:p>
    <w:p>
      <w:pPr>
        <w:sectPr>
          <w:pgSz w:w="11900" w:h="16838" w:orient="portrait"/>
          <w:cols w:equalWidth="0" w:num="1">
            <w:col w:w="11240"/>
          </w:cols>
          <w:pgMar w:left="320" w:top="537" w:right="339" w:bottom="1440" w:gutter="0" w:footer="0" w:header="0"/>
        </w:sectPr>
      </w:pP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05" w:lineRule="exact"/>
        <w:rPr>
          <w:sz w:val="20"/>
          <w:szCs w:val="20"/>
          <w:color w:val="auto"/>
        </w:rPr>
      </w:pPr>
    </w:p>
    <w:p>
      <w:pPr>
        <w:sectPr>
          <w:pgSz w:w="11900" w:h="16838" w:orient="portrait"/>
          <w:cols w:equalWidth="0" w:num="2">
            <w:col w:w="2280" w:space="720"/>
            <w:col w:w="8240"/>
          </w:cols>
          <w:pgMar w:left="320" w:top="537" w:right="339" w:bottom="1440" w:gutter="0" w:footer="0" w:header="0"/>
          <w:type w:val="continuous"/>
        </w:sectPr>
      </w:pPr>
    </w:p>
    <w:p>
      <w:pPr>
        <w:spacing w:after="0" w:line="41"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If Participant is a U.S. taxpayer, the payment of Shares vesting pursuant to</w:t>
      </w:r>
    </w:p>
    <w:p>
      <w:pPr>
        <w:sectPr>
          <w:pgSz w:w="11900" w:h="16838" w:orient="portrait"/>
          <w:cols w:equalWidth="0" w:num="1">
            <w:col w:w="11240"/>
          </w:cols>
          <w:pgMar w:left="320" w:top="537"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6" w:lineRule="exact"/>
        <w:rPr>
          <w:sz w:val="20"/>
          <w:szCs w:val="20"/>
          <w:color w:val="auto"/>
        </w:rPr>
      </w:pPr>
    </w:p>
    <w:p>
      <w:pPr>
        <w:jc w:val="both"/>
        <w:ind w:firstLine="2246"/>
        <w:spacing w:after="0" w:line="269" w:lineRule="auto"/>
        <w:rPr>
          <w:sz w:val="20"/>
          <w:szCs w:val="20"/>
          <w:color w:val="auto"/>
        </w:rPr>
      </w:pPr>
      <w:r>
        <w:rPr>
          <w:rFonts w:ascii="Arial" w:cs="Arial" w:eastAsia="Arial" w:hAnsi="Arial"/>
          <w:sz w:val="19"/>
          <w:szCs w:val="19"/>
          <w:color w:val="auto"/>
        </w:rPr>
        <w:t>(ii) 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w:t>
      </w:r>
    </w:p>
    <w:p>
      <w:pPr>
        <w:spacing w:after="0" w:line="5" w:lineRule="exact"/>
        <w:rPr>
          <w:sz w:val="20"/>
          <w:szCs w:val="20"/>
          <w:color w:val="auto"/>
        </w:rPr>
      </w:pPr>
    </w:p>
    <w:p>
      <w:pPr>
        <w:jc w:val="both"/>
        <w:ind w:firstLine="8"/>
        <w:spacing w:after="0" w:line="280" w:lineRule="auto"/>
        <w:tabs>
          <w:tab w:leader="none" w:pos="3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50"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(iii)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55" w:lineRule="exact"/>
        <w:rPr>
          <w:sz w:val="20"/>
          <w:szCs w:val="20"/>
          <w:color w:val="auto"/>
        </w:rPr>
      </w:pPr>
    </w:p>
    <w:p>
      <w:pPr>
        <w:jc w:val="both"/>
        <w:ind w:firstLine="757"/>
        <w:spacing w:after="0" w:line="246" w:lineRule="auto"/>
        <w:tabs>
          <w:tab w:leader="none" w:pos="1498" w:val="left"/>
        </w:tabs>
        <w:numPr>
          <w:ilvl w:val="0"/>
          <w:numId w:val="123"/>
        </w:numPr>
        <w:rPr>
          <w:rFonts w:ascii="Arial" w:cs="Arial" w:eastAsia="Arial" w:hAnsi="Arial"/>
          <w:sz w:val="21"/>
          <w:szCs w:val="21"/>
          <w:color w:val="auto"/>
        </w:rPr>
      </w:pPr>
      <w:r>
        <w:rPr>
          <w:rFonts w:ascii="Arial" w:cs="Arial" w:eastAsia="Arial" w:hAnsi="Arial"/>
          <w:sz w:val="21"/>
          <w:szCs w:val="21"/>
          <w:b w:val="1"/>
          <w:bCs w:val="1"/>
          <w:color w:val="auto"/>
        </w:rPr>
        <w:t>Forfeiture Upon Termination as a Service Provider</w:t>
      </w:r>
      <w:r>
        <w:rPr>
          <w:rFonts w:ascii="Arial" w:cs="Arial" w:eastAsia="Arial" w:hAnsi="Arial"/>
          <w:sz w:val="21"/>
          <w:szCs w:val="21"/>
          <w:color w:val="auto"/>
        </w:rPr>
        <w:t>. Unless specifically provided otherwise in this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type w:val="continuous"/>
        </w:sectPr>
      </w:pPr>
    </w:p>
    <w:bookmarkStart w:id="182" w:name="page183"/>
    <w:bookmarkEnd w:id="182"/>
    <w:p>
      <w:pPr>
        <w:jc w:val="both"/>
        <w:ind w:firstLine="757"/>
        <w:spacing w:after="0" w:line="247" w:lineRule="auto"/>
        <w:tabs>
          <w:tab w:leader="none" w:pos="1498" w:val="left"/>
        </w:tabs>
        <w:numPr>
          <w:ilvl w:val="0"/>
          <w:numId w:val="124"/>
        </w:numPr>
        <w:rPr>
          <w:rFonts w:ascii="Arial" w:cs="Arial" w:eastAsia="Arial" w:hAnsi="Arial"/>
          <w:sz w:val="21"/>
          <w:szCs w:val="21"/>
          <w:color w:val="auto"/>
        </w:rPr>
      </w:pPr>
      <w:r>
        <w:rPr>
          <w:rFonts w:ascii="Arial" w:cs="Arial" w:eastAsia="Arial" w:hAnsi="Arial"/>
          <w:sz w:val="21"/>
          <w:szCs w:val="21"/>
          <w:b w:val="1"/>
          <w:bCs w:val="1"/>
          <w:color w:val="auto"/>
        </w:rPr>
        <w:t>Death of Participant</w:t>
      </w:r>
      <w:r>
        <w:rPr>
          <w:rFonts w:ascii="Arial" w:cs="Arial" w:eastAsia="Arial" w:hAnsi="Arial"/>
          <w:sz w:val="21"/>
          <w:szCs w:val="21"/>
          <w:color w:val="auto"/>
        </w:rPr>
        <w:t>. Any distribution or delivery to be made to Participant under this Award Agreement, if</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is then deceased, will be made to Participant’s designated beneficiary: provided, however, that the Administrator has permitted the designation and such designation is valid under Applicable Laws. If no beneficiary survives Participant, or if the designation was not permitted by the Administrator or not valid under Applicable Laws, distribution or delivery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7" w:lineRule="exact"/>
        <w:rPr>
          <w:rFonts w:ascii="Arial" w:cs="Arial" w:eastAsia="Arial" w:hAnsi="Arial"/>
          <w:sz w:val="21"/>
          <w:szCs w:val="21"/>
          <w:color w:val="auto"/>
        </w:rPr>
      </w:pPr>
    </w:p>
    <w:p>
      <w:pPr>
        <w:ind w:left="1500" w:hanging="743"/>
        <w:spacing w:after="0"/>
        <w:tabs>
          <w:tab w:leader="none" w:pos="1500"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Tax Obligations</w:t>
      </w:r>
    </w:p>
    <w:p>
      <w:pPr>
        <w:spacing w:after="0" w:line="20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or any Parent or Subsidiary of the Company to which Participant is providing services (together, the “</w:t>
      </w:r>
      <w:r>
        <w:rPr>
          <w:rFonts w:ascii="Arial" w:cs="Arial" w:eastAsia="Arial" w:hAnsi="Arial"/>
          <w:sz w:val="19"/>
          <w:szCs w:val="19"/>
          <w:b w:val="1"/>
          <w:bCs w:val="1"/>
          <w:color w:val="auto"/>
        </w:rPr>
        <w:t>Service Recipients</w:t>
      </w:r>
      <w:r>
        <w:rPr>
          <w:rFonts w:ascii="Arial" w:cs="Arial" w:eastAsia="Arial" w:hAnsi="Arial"/>
          <w:sz w:val="19"/>
          <w:szCs w:val="19"/>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tax-related items related to Participant’s participation in the Plan and legally applicable or deemed legally applicable to Participant, (ii) Participant’s and, to the extent required by any Service Recipient, the Service Recipient’s fringe benefit tax liability, if any, associated with the grant, vesting, or settlement of the Restricted Stock Units or sale of Shares, and</w:t>
      </w:r>
    </w:p>
    <w:p>
      <w:pPr>
        <w:spacing w:after="0" w:line="2" w:lineRule="exact"/>
        <w:rPr>
          <w:sz w:val="20"/>
          <w:szCs w:val="20"/>
          <w:color w:val="auto"/>
        </w:rPr>
      </w:pPr>
    </w:p>
    <w:p>
      <w:pPr>
        <w:jc w:val="both"/>
        <w:ind w:firstLine="8"/>
        <w:spacing w:after="0" w:line="271" w:lineRule="auto"/>
        <w:tabs>
          <w:tab w:leader="none" w:pos="40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any other Service Recipient taxes the responsibility for which Participant has, or has agreed to bear, with respect to the Restricted Stock Units (or settlement thereof or issuance of Shares thereunder) (collectively, the “</w:t>
      </w:r>
      <w:r>
        <w:rPr>
          <w:rFonts w:ascii="Arial" w:cs="Arial" w:eastAsia="Arial" w:hAnsi="Arial"/>
          <w:sz w:val="19"/>
          <w:szCs w:val="19"/>
          <w:b w:val="1"/>
          <w:bCs w:val="1"/>
          <w:color w:val="auto"/>
        </w:rPr>
        <w:t>Tax Obligations</w:t>
      </w:r>
      <w:r>
        <w:rPr>
          <w:rFonts w:ascii="Arial" w:cs="Arial" w:eastAsia="Arial" w:hAnsi="Arial"/>
          <w:sz w:val="19"/>
          <w:szCs w:val="19"/>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151"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b w:val="1"/>
          <w:bCs w:val="1"/>
          <w:color w:val="auto"/>
        </w:rPr>
        <w:t>Tax Withholding</w:t>
      </w:r>
      <w:r>
        <w:rPr>
          <w:rFonts w:ascii="Arial" w:cs="Arial" w:eastAsia="Arial" w:hAnsi="Arial"/>
          <w:sz w:val="21"/>
          <w:szCs w:val="21"/>
          <w:color w:val="auto"/>
        </w:rPr>
        <w:t>. Pursuant to such procedures as the Administrator may specify from time to time, the applicable Service Recipient(s) will withhold the amount required to be withheld for the payment of Tax Obligations (the “</w:t>
      </w:r>
      <w:r>
        <w:rPr>
          <w:rFonts w:ascii="Arial" w:cs="Arial" w:eastAsia="Arial" w:hAnsi="Arial"/>
          <w:sz w:val="21"/>
          <w:szCs w:val="21"/>
          <w:b w:val="1"/>
          <w:bCs w:val="1"/>
          <w:color w:val="auto"/>
        </w:rPr>
        <w:t>Withholding Obligations</w:t>
      </w:r>
      <w:r>
        <w:rPr>
          <w:rFonts w:ascii="Arial" w:cs="Arial" w:eastAsia="Arial" w:hAnsi="Arial"/>
          <w:sz w:val="21"/>
          <w:szCs w:val="21"/>
          <w:color w:val="auto"/>
        </w:rPr>
        <w:t>”). The Administrator, in its sole discretion and pursuant to such procedures as it may specify from time to time, may permit Participant to satisfy such Withholding Obligations, in whole or in part (without limitation), if permissible by Applicable Laws, by: (i) paying cash in U.S. dollars, (ii) having the Company withhold otherwise deliverable Shares having a fair market value equal to the minimum amount that is necessary to meet the withholding requirement for such Withholding Obligations (or such greater amount as Participant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83" w:name="page184"/>
    <w:bookmarkEnd w:id="183"/>
    <w:p>
      <w:pPr>
        <w:jc w:val="both"/>
        <w:spacing w:after="0" w:line="269" w:lineRule="auto"/>
        <w:rPr>
          <w:sz w:val="20"/>
          <w:szCs w:val="20"/>
          <w:color w:val="auto"/>
        </w:rPr>
      </w:pPr>
      <w:r>
        <w:rPr>
          <w:rFonts w:ascii="Arial" w:cs="Arial" w:eastAsia="Arial" w:hAnsi="Arial"/>
          <w:sz w:val="19"/>
          <w:szCs w:val="19"/>
          <w:color w:val="auto"/>
        </w:rPr>
        <w:t>may elect if permitted by the Administrator, if such greater amount would not result in adverse financial accounting consequences) (“</w:t>
      </w:r>
      <w:r>
        <w:rPr>
          <w:rFonts w:ascii="Arial" w:cs="Arial" w:eastAsia="Arial" w:hAnsi="Arial"/>
          <w:sz w:val="19"/>
          <w:szCs w:val="19"/>
          <w:b w:val="1"/>
          <w:bCs w:val="1"/>
          <w:color w:val="auto"/>
        </w:rPr>
        <w:t>Net Share Withholding</w:t>
      </w:r>
      <w:r>
        <w:rPr>
          <w:rFonts w:ascii="Arial" w:cs="Arial" w:eastAsia="Arial" w:hAnsi="Arial"/>
          <w:sz w:val="19"/>
          <w:szCs w:val="19"/>
          <w:color w:val="auto"/>
        </w:rPr>
        <w:t>”), (iii) withholding the amount of such Withholding Obligations from Participant’s wages or other cash compensation payable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Arial" w:cs="Arial" w:eastAsia="Arial" w:hAnsi="Arial"/>
          <w:sz w:val="19"/>
          <w:szCs w:val="19"/>
          <w:b w:val="1"/>
          <w:bCs w:val="1"/>
          <w:color w:val="auto"/>
        </w:rPr>
        <w:t>Sell to Cover</w:t>
      </w:r>
      <w:r>
        <w:rPr>
          <w:rFonts w:ascii="Arial" w:cs="Arial" w:eastAsia="Arial" w:hAnsi="Arial"/>
          <w:sz w:val="19"/>
          <w:szCs w:val="19"/>
          <w:color w:val="auto"/>
        </w:rPr>
        <w:t>”), or (vi) such other means as the Administrator deems appropriate. If the Withholding Obligations are satisfied by Net Share Withholding,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200" w:lineRule="exact"/>
        <w:rPr>
          <w:sz w:val="20"/>
          <w:szCs w:val="20"/>
          <w:color w:val="auto"/>
        </w:rPr>
      </w:pPr>
    </w:p>
    <w:p>
      <w:pPr>
        <w:spacing w:after="0" w:line="213"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Tax Consequences</w:t>
      </w:r>
      <w:r>
        <w:rPr>
          <w:rFonts w:ascii="Arial" w:cs="Arial" w:eastAsia="Arial" w:hAnsi="Arial"/>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2"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b w:val="1"/>
          <w:bCs w:val="1"/>
          <w:color w:val="auto"/>
        </w:rPr>
        <w:t>Company’s Obligation to Deliver Shares</w:t>
      </w:r>
      <w:r>
        <w:rPr>
          <w:rFonts w:ascii="Arial" w:cs="Arial" w:eastAsia="Arial" w:hAnsi="Arial"/>
          <w:sz w:val="21"/>
          <w:szCs w:val="21"/>
          <w:color w:val="auto"/>
        </w:rPr>
        <w:t>.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satisfied at the time they are due.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84" w:name="page185"/>
    <w:bookmarkEnd w:id="184"/>
    <w:p>
      <w:pPr>
        <w:jc w:val="both"/>
        <w:ind w:firstLine="757"/>
        <w:spacing w:after="0" w:line="280" w:lineRule="auto"/>
        <w:tabs>
          <w:tab w:leader="none" w:pos="1498" w:val="left"/>
        </w:tabs>
        <w:numPr>
          <w:ilvl w:val="0"/>
          <w:numId w:val="126"/>
        </w:numPr>
        <w:rPr>
          <w:rFonts w:ascii="Arial" w:cs="Arial" w:eastAsia="Arial" w:hAnsi="Arial"/>
          <w:sz w:val="19"/>
          <w:szCs w:val="19"/>
          <w:color w:val="auto"/>
        </w:rPr>
      </w:pPr>
      <w:r>
        <w:rPr>
          <w:rFonts w:ascii="Arial" w:cs="Arial" w:eastAsia="Arial" w:hAnsi="Arial"/>
          <w:sz w:val="19"/>
          <w:szCs w:val="19"/>
          <w:b w:val="1"/>
          <w:bCs w:val="1"/>
          <w:color w:val="auto"/>
        </w:rPr>
        <w:t>Rights as Stockholder</w:t>
      </w:r>
      <w:r>
        <w:rPr>
          <w:rFonts w:ascii="Arial" w:cs="Arial" w:eastAsia="Arial" w:hAnsi="Arial"/>
          <w:sz w:val="19"/>
          <w:szCs w:val="19"/>
          <w:color w:val="auto"/>
        </w:rPr>
        <w:t>. Neither Participant nor any person claiming under or through Participant will have any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44" w:lineRule="exact"/>
        <w:rPr>
          <w:rFonts w:ascii="Arial" w:cs="Arial" w:eastAsia="Arial" w:hAnsi="Arial"/>
          <w:sz w:val="19"/>
          <w:szCs w:val="19"/>
          <w:color w:val="auto"/>
        </w:rPr>
      </w:pPr>
    </w:p>
    <w:p>
      <w:pPr>
        <w:jc w:val="both"/>
        <w:ind w:firstLine="757"/>
        <w:spacing w:after="0" w:line="244" w:lineRule="auto"/>
        <w:tabs>
          <w:tab w:leader="none" w:pos="1498" w:val="left"/>
        </w:tabs>
        <w:numPr>
          <w:ilvl w:val="0"/>
          <w:numId w:val="126"/>
        </w:numPr>
        <w:rPr>
          <w:rFonts w:ascii="Arial" w:cs="Arial" w:eastAsia="Arial" w:hAnsi="Arial"/>
          <w:sz w:val="21"/>
          <w:szCs w:val="21"/>
          <w:color w:val="auto"/>
        </w:rPr>
      </w:pPr>
      <w:r>
        <w:rPr>
          <w:rFonts w:ascii="Arial" w:cs="Arial" w:eastAsia="Arial" w:hAnsi="Arial"/>
          <w:sz w:val="21"/>
          <w:szCs w:val="21"/>
          <w:b w:val="1"/>
          <w:bCs w:val="1"/>
          <w:color w:val="auto"/>
        </w:rPr>
        <w:t>No Guarantee of Continued Service</w:t>
      </w:r>
      <w:r>
        <w:rPr>
          <w:rFonts w:ascii="Arial" w:cs="Arial" w:eastAsia="Arial" w:hAnsi="Arial"/>
          <w:sz w:val="21"/>
          <w:szCs w:val="21"/>
          <w:color w:val="auto"/>
        </w:rPr>
        <w:t>. PARTICIPANT ACKNOWLEDGES AND AGREES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SHALL NOT BE INTERPRETED AS FORMING OR AMENDING AN EMPLOYMENT OR SERVICE CONTRACT,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3" w:lineRule="exact"/>
        <w:rPr>
          <w:rFonts w:ascii="Arial" w:cs="Arial" w:eastAsia="Arial" w:hAnsi="Arial"/>
          <w:sz w:val="21"/>
          <w:szCs w:val="21"/>
          <w:color w:val="auto"/>
        </w:rPr>
      </w:pPr>
    </w:p>
    <w:p>
      <w:pPr>
        <w:jc w:val="both"/>
        <w:ind w:firstLine="757"/>
        <w:spacing w:after="0" w:line="236" w:lineRule="auto"/>
        <w:tabs>
          <w:tab w:leader="none" w:pos="1498"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Grant is Not Transferable</w:t>
      </w:r>
      <w:r>
        <w:rPr>
          <w:rFonts w:ascii="Arial" w:cs="Arial" w:eastAsia="Arial" w:hAnsi="Arial"/>
          <w:sz w:val="22"/>
          <w:szCs w:val="22"/>
          <w:color w:val="auto"/>
        </w:rPr>
        <w:t>. Except to the limited extent provided in Section 6, this Award and the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1" w:lineRule="exact"/>
        <w:rPr>
          <w:rFonts w:ascii="Arial" w:cs="Arial" w:eastAsia="Arial" w:hAnsi="Arial"/>
          <w:sz w:val="22"/>
          <w:szCs w:val="22"/>
          <w:color w:val="auto"/>
        </w:rPr>
      </w:pPr>
    </w:p>
    <w:p>
      <w:pPr>
        <w:ind w:left="1500" w:hanging="743"/>
        <w:spacing w:after="0"/>
        <w:tabs>
          <w:tab w:leader="none" w:pos="1500" w:val="left"/>
        </w:tabs>
        <w:numPr>
          <w:ilvl w:val="0"/>
          <w:numId w:val="126"/>
        </w:numPr>
        <w:rPr>
          <w:rFonts w:ascii="Arial" w:cs="Arial" w:eastAsia="Arial" w:hAnsi="Arial"/>
          <w:sz w:val="19"/>
          <w:szCs w:val="19"/>
          <w:color w:val="auto"/>
        </w:rPr>
      </w:pPr>
      <w:r>
        <w:rPr>
          <w:rFonts w:ascii="Arial" w:cs="Arial" w:eastAsia="Arial" w:hAnsi="Arial"/>
          <w:sz w:val="19"/>
          <w:szCs w:val="19"/>
          <w:b w:val="1"/>
          <w:bCs w:val="1"/>
          <w:color w:val="auto"/>
        </w:rPr>
        <w:t>Nature of Grant</w:t>
      </w:r>
      <w:r>
        <w:rPr>
          <w:rFonts w:ascii="Arial" w:cs="Arial" w:eastAsia="Arial" w:hAnsi="Arial"/>
          <w:sz w:val="19"/>
          <w:szCs w:val="19"/>
          <w:color w:val="auto"/>
        </w:rPr>
        <w:t>.  In accepting this Award of Restricted Stock Units, Participant acknowledges, understands</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agrees that:</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 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ind w:left="1500"/>
              <w:spacing w:after="0"/>
              <w:rPr>
                <w:sz w:val="20"/>
                <w:szCs w:val="20"/>
                <w:color w:val="auto"/>
              </w:rPr>
            </w:pPr>
            <w:r>
              <w:rPr>
                <w:rFonts w:ascii="Arial" w:cs="Arial" w:eastAsia="Arial" w:hAnsi="Arial"/>
                <w:sz w:val="22"/>
                <w:szCs w:val="22"/>
                <w:color w:val="auto"/>
              </w:rPr>
              <w:t>(b)</w:t>
            </w:r>
          </w:p>
        </w:tc>
        <w:tc>
          <w:tcPr>
            <w:tcW w:w="8860" w:type="dxa"/>
            <w:vAlign w:val="bottom"/>
          </w:tcPr>
          <w:p>
            <w:pPr>
              <w:ind w:left="620"/>
              <w:spacing w:after="0"/>
              <w:rPr>
                <w:sz w:val="20"/>
                <w:szCs w:val="20"/>
                <w:color w:val="auto"/>
              </w:rPr>
            </w:pPr>
            <w:r>
              <w:rPr>
                <w:rFonts w:ascii="Arial" w:cs="Arial" w:eastAsia="Arial" w:hAnsi="Arial"/>
                <w:sz w:val="22"/>
                <w:szCs w:val="22"/>
                <w:color w:val="auto"/>
                <w:w w:val="91"/>
              </w:rPr>
              <w:t>all decisions with respect to future Restricted Stock Units or other grants, if any, will be at the</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sole discretion of the Administrator;</w:t>
            </w:r>
          </w:p>
        </w:tc>
      </w:tr>
      <w:tr>
        <w:trPr>
          <w:trHeight w:val="428"/>
        </w:trPr>
        <w:tc>
          <w:tcPr>
            <w:tcW w:w="2380" w:type="dxa"/>
            <w:vAlign w:val="bottom"/>
          </w:tcPr>
          <w:p>
            <w:pPr>
              <w:ind w:left="1500"/>
              <w:spacing w:after="0"/>
              <w:rPr>
                <w:sz w:val="20"/>
                <w:szCs w:val="20"/>
                <w:color w:val="auto"/>
              </w:rPr>
            </w:pPr>
            <w:r>
              <w:rPr>
                <w:rFonts w:ascii="Arial" w:cs="Arial" w:eastAsia="Arial" w:hAnsi="Arial"/>
                <w:sz w:val="22"/>
                <w:szCs w:val="22"/>
                <w:color w:val="auto"/>
              </w:rPr>
              <w:t>(c)</w:t>
            </w:r>
          </w:p>
        </w:tc>
        <w:tc>
          <w:tcPr>
            <w:tcW w:w="8860" w:type="dxa"/>
            <w:vAlign w:val="bottom"/>
          </w:tcPr>
          <w:p>
            <w:pPr>
              <w:ind w:left="620"/>
              <w:spacing w:after="0"/>
              <w:rPr>
                <w:sz w:val="20"/>
                <w:szCs w:val="20"/>
                <w:color w:val="auto"/>
              </w:rPr>
            </w:pPr>
            <w:r>
              <w:rPr>
                <w:rFonts w:ascii="Arial" w:cs="Arial" w:eastAsia="Arial" w:hAnsi="Arial"/>
                <w:sz w:val="22"/>
                <w:szCs w:val="22"/>
                <w:color w:val="auto"/>
              </w:rPr>
              <w:t>Participant is voluntarily participating in the Plan;</w:t>
            </w:r>
          </w:p>
        </w:tc>
      </w:tr>
      <w:tr>
        <w:trPr>
          <w:trHeight w:val="274"/>
        </w:trPr>
        <w:tc>
          <w:tcPr>
            <w:tcW w:w="2380" w:type="dxa"/>
            <w:vAlign w:val="bottom"/>
          </w:tcPr>
          <w:p>
            <w:pPr>
              <w:spacing w:after="0"/>
              <w:rPr>
                <w:sz w:val="23"/>
                <w:szCs w:val="23"/>
                <w:color w:val="auto"/>
              </w:rPr>
            </w:pPr>
          </w:p>
        </w:tc>
        <w:tc>
          <w:tcPr>
            <w:tcW w:w="8860" w:type="dxa"/>
            <w:vAlign w:val="bottom"/>
          </w:tcPr>
          <w:p>
            <w:pPr>
              <w:jc w:val="right"/>
              <w:ind w:right="5372"/>
              <w:spacing w:after="0"/>
              <w:rPr>
                <w:sz w:val="20"/>
                <w:szCs w:val="20"/>
                <w:color w:val="auto"/>
              </w:rPr>
            </w:pPr>
            <w:r>
              <w:rPr>
                <w:rFonts w:ascii="Arial" w:cs="Arial" w:eastAsia="Arial" w:hAnsi="Arial"/>
                <w:sz w:val="22"/>
                <w:szCs w:val="22"/>
                <w:color w:val="auto"/>
              </w:rPr>
              <w:t>-5-</w:t>
            </w:r>
          </w:p>
        </w:tc>
      </w:tr>
      <w:tr>
        <w:trPr>
          <w:trHeight w:val="267"/>
        </w:trPr>
        <w:tc>
          <w:tcPr>
            <w:tcW w:w="2380" w:type="dxa"/>
            <w:vAlign w:val="bottom"/>
            <w:tcBorders>
              <w:bottom w:val="single" w:sz="8" w:color="9A9A9A"/>
            </w:tcBorders>
          </w:tcPr>
          <w:p>
            <w:pPr>
              <w:spacing w:after="0"/>
              <w:rPr>
                <w:sz w:val="23"/>
                <w:szCs w:val="23"/>
                <w:color w:val="auto"/>
              </w:rPr>
            </w:pPr>
          </w:p>
        </w:tc>
        <w:tc>
          <w:tcPr>
            <w:tcW w:w="88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85" w:name="page186"/>
    <w:bookmarkEnd w:id="185"/>
    <w:p>
      <w:pPr>
        <w:jc w:val="both"/>
        <w:ind w:firstLine="1497"/>
        <w:spacing w:after="0" w:line="250" w:lineRule="auto"/>
        <w:rPr>
          <w:sz w:val="20"/>
          <w:szCs w:val="20"/>
          <w:color w:val="auto"/>
        </w:rPr>
      </w:pPr>
      <w:r>
        <w:rPr>
          <w:rFonts w:ascii="Arial" w:cs="Arial" w:eastAsia="Arial" w:hAnsi="Arial"/>
          <w:sz w:val="22"/>
          <w:szCs w:val="22"/>
          <w:color w:val="auto"/>
        </w:rPr>
        <w:t>(d) the Restricted Stock Units and the Shares subject to the Restricted Stock Units, and the income from and value of same, are not intended to replace any pension rights or compensation;</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Restricted Stock Units and the Shares subject to the Restricted Stock Units, and the income</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from and value of same, are not part of normal or expected compensation for purposes of, including, but not limited to, calculating any severance, resignation, termination, redundancy, dismissal, end-of-service payments, bonuses, holiday pay, long-service awards, pension or retirement or welfare benefits or similar payments;</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(f) 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any Subsidiary or Parent of the Company;</w:t>
      </w:r>
    </w:p>
    <w:p>
      <w:pPr>
        <w:sectPr>
          <w:pgSz w:w="11900" w:h="16838" w:orient="portrait"/>
          <w:cols w:equalWidth="0" w:num="1">
            <w:col w:w="11240"/>
          </w:cols>
          <w:pgMar w:left="320" w:top="537" w:right="339" w:bottom="1440" w:gutter="0" w:footer="0" w:header="0"/>
        </w:sectPr>
      </w:pPr>
    </w:p>
    <w:p>
      <w:pPr>
        <w:spacing w:after="0" w:line="186" w:lineRule="exact"/>
        <w:rPr>
          <w:sz w:val="20"/>
          <w:szCs w:val="20"/>
          <w:color w:val="auto"/>
        </w:rPr>
      </w:pPr>
    </w:p>
    <w:p>
      <w:pPr>
        <w:ind w:left="1500"/>
        <w:spacing w:after="0"/>
        <w:tabs>
          <w:tab w:leader="none" w:pos="2980" w:val="left"/>
          <w:tab w:leader="none" w:pos="3400" w:val="left"/>
          <w:tab w:leader="none" w:pos="40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the</w:t>
        <w:tab/>
        <w:t>future</w:t>
      </w:r>
      <w:r>
        <w:rPr>
          <w:sz w:val="20"/>
          <w:szCs w:val="20"/>
          <w:color w:val="auto"/>
        </w:rPr>
        <w:tab/>
      </w:r>
      <w:r>
        <w:rPr>
          <w:rFonts w:ascii="Arial" w:cs="Arial" w:eastAsia="Arial" w:hAnsi="Arial"/>
          <w:sz w:val="21"/>
          <w:szCs w:val="21"/>
          <w:color w:val="auto"/>
        </w:rPr>
        <w:t>value  of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underlying</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Stock</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Units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unknown,</w:t>
      </w:r>
    </w:p>
    <w:p>
      <w:pPr>
        <w:spacing w:after="0" w:line="46" w:lineRule="exact"/>
        <w:rPr>
          <w:sz w:val="20"/>
          <w:szCs w:val="20"/>
          <w:color w:val="auto"/>
        </w:rPr>
      </w:pPr>
    </w:p>
    <w:p>
      <w:pPr>
        <w:sectPr>
          <w:pgSz w:w="11900" w:h="16838" w:orient="portrait"/>
          <w:cols w:equalWidth="0" w:num="10">
            <w:col w:w="4920" w:space="160"/>
            <w:col w:w="260" w:space="160"/>
            <w:col w:w="580" w:space="160"/>
            <w:col w:w="940" w:space="160"/>
            <w:col w:w="260" w:space="160"/>
            <w:col w:w="880" w:space="160"/>
            <w:col w:w="480" w:space="160"/>
            <w:col w:w="480" w:space="160"/>
            <w:col w:w="140" w:space="160"/>
            <w:col w:w="860"/>
          </w:cols>
          <w:pgMar w:left="320" w:top="537" w:right="339" w:bottom="1440" w:gutter="0" w:footer="0" w:header="0"/>
          <w:type w:val="continuous"/>
        </w:sectPr>
      </w:pPr>
    </w:p>
    <w:p>
      <w:pPr>
        <w:spacing w:after="0"/>
        <w:rPr>
          <w:sz w:val="20"/>
          <w:szCs w:val="20"/>
          <w:color w:val="auto"/>
        </w:rPr>
      </w:pPr>
      <w:r>
        <w:rPr>
          <w:rFonts w:ascii="Arial" w:cs="Arial" w:eastAsia="Arial" w:hAnsi="Arial"/>
          <w:sz w:val="22"/>
          <w:szCs w:val="22"/>
          <w:color w:val="auto"/>
        </w:rPr>
        <w:t>indeterminable, and cannot be predicted with certainty;</w:t>
      </w:r>
    </w:p>
    <w:p>
      <w:pPr>
        <w:spacing w:after="0" w:line="18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9"/>
          <w:szCs w:val="19"/>
          <w:color w:val="auto"/>
        </w:rPr>
        <w:t>for purposes of the Restricted Stock Units, Participant’s status as a Service Provider will be</w:t>
      </w:r>
    </w:p>
    <w:p>
      <w:pPr>
        <w:sectPr>
          <w:pgSz w:w="11900" w:h="16838" w:orient="portrait"/>
          <w:cols w:equalWidth="0" w:num="1">
            <w:col w:w="11240"/>
          </w:cols>
          <w:pgMar w:left="320" w:top="537" w:right="339" w:bottom="1440" w:gutter="0" w:footer="0" w:header="0"/>
          <w:type w:val="continuous"/>
        </w:sectPr>
      </w:pP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Applicable Laws).</w:t>
      </w:r>
    </w:p>
    <w:p>
      <w:pPr>
        <w:spacing w:after="0" w:line="191"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(i) 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ectPr>
          <w:pgSz w:w="11900" w:h="16838" w:orient="portrait"/>
          <w:cols w:equalWidth="0" w:num="1">
            <w:col w:w="11240"/>
          </w:cols>
          <w:pgMar w:left="320" w:top="537" w:right="339" w:bottom="1440" w:gutter="0" w:footer="0" w:header="0"/>
          <w:type w:val="continuous"/>
        </w:sectPr>
      </w:pP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(j)</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provisions apply only if Participant is providing services outside the United</w:t>
      </w:r>
    </w:p>
    <w:p>
      <w:pPr>
        <w:spacing w:after="0" w:line="23" w:lineRule="exact"/>
        <w:rPr>
          <w:sz w:val="20"/>
          <w:szCs w:val="20"/>
          <w:color w:val="auto"/>
        </w:rPr>
      </w:pPr>
    </w:p>
    <w:p>
      <w:pPr>
        <w:sectPr>
          <w:pgSz w:w="11900" w:h="16838" w:orient="portrait"/>
          <w:cols w:equalWidth="0" w:num="2">
            <w:col w:w="2280" w:space="720"/>
            <w:col w:w="8240"/>
          </w:cols>
          <w:pgMar w:left="320" w:top="537" w:right="339" w:bottom="1440" w:gutter="0" w:footer="0" w:header="0"/>
          <w:type w:val="continuous"/>
        </w:sectPr>
      </w:pPr>
    </w:p>
    <w:p>
      <w:pPr>
        <w:spacing w:after="0"/>
        <w:rPr>
          <w:sz w:val="20"/>
          <w:szCs w:val="20"/>
          <w:color w:val="auto"/>
        </w:rPr>
      </w:pPr>
      <w:r>
        <w:rPr>
          <w:rFonts w:ascii="Arial" w:cs="Arial" w:eastAsia="Arial" w:hAnsi="Arial"/>
          <w:sz w:val="22"/>
          <w:szCs w:val="22"/>
          <w:color w:val="auto"/>
        </w:rPr>
        <w:t>States:</w:t>
      </w:r>
    </w:p>
    <w:p>
      <w:pPr>
        <w:spacing w:after="0" w:line="185"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the Restricted Stock Units and the Shares subject to the Restricted Stock</w:t>
      </w:r>
    </w:p>
    <w:p>
      <w:pPr>
        <w:sectPr>
          <w:pgSz w:w="11900" w:h="16838" w:orient="portrait"/>
          <w:cols w:equalWidth="0" w:num="1">
            <w:col w:w="11240"/>
          </w:cols>
          <w:pgMar w:left="320" w:top="537" w:right="339" w:bottom="1440" w:gutter="0" w:footer="0" w:header="0"/>
          <w:type w:val="continuous"/>
        </w:sectPr>
      </w:pPr>
    </w:p>
    <w:p>
      <w:pPr>
        <w:spacing w:after="0" w:line="56" w:lineRule="exact"/>
        <w:rPr>
          <w:sz w:val="20"/>
          <w:szCs w:val="20"/>
          <w:color w:val="auto"/>
        </w:rPr>
      </w:pPr>
    </w:p>
    <w:p>
      <w:pPr>
        <w:ind w:left="5500" w:right="660" w:hanging="5489"/>
        <w:spacing w:after="0" w:line="230" w:lineRule="auto"/>
        <w:rPr>
          <w:sz w:val="20"/>
          <w:szCs w:val="20"/>
          <w:color w:val="auto"/>
        </w:rPr>
      </w:pPr>
      <w:r>
        <w:rPr>
          <w:rFonts w:ascii="Arial" w:cs="Arial" w:eastAsia="Arial" w:hAnsi="Arial"/>
          <w:sz w:val="22"/>
          <w:szCs w:val="22"/>
          <w:color w:val="auto"/>
        </w:rPr>
        <w:t>Units, and the income from and value of same, are not part of normal or expected compensation or salary for any purpose;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type w:val="continuous"/>
        </w:sectPr>
      </w:pPr>
    </w:p>
    <w:bookmarkStart w:id="186" w:name="page187"/>
    <w:bookmarkEnd w:id="186"/>
    <w:p>
      <w:pPr>
        <w:jc w:val="both"/>
        <w:ind w:firstLine="2246"/>
        <w:spacing w:after="0" w:line="238" w:lineRule="auto"/>
        <w:rPr>
          <w:sz w:val="20"/>
          <w:szCs w:val="20"/>
          <w:color w:val="auto"/>
        </w:rPr>
      </w:pPr>
      <w:r>
        <w:rPr>
          <w:rFonts w:ascii="Arial" w:cs="Arial" w:eastAsia="Arial" w:hAnsi="Arial"/>
          <w:sz w:val="22"/>
          <w:szCs w:val="22"/>
          <w:color w:val="auto"/>
        </w:rPr>
        <w:t>(ii) neither the Company nor any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5" w:lineRule="exact"/>
        <w:rPr>
          <w:sz w:val="20"/>
          <w:szCs w:val="20"/>
          <w:color w:val="auto"/>
        </w:rPr>
      </w:pPr>
    </w:p>
    <w:p>
      <w:pPr>
        <w:jc w:val="both"/>
        <w:ind w:firstLine="2246"/>
        <w:spacing w:after="0" w:line="274" w:lineRule="auto"/>
        <w:rPr>
          <w:sz w:val="20"/>
          <w:szCs w:val="20"/>
          <w:color w:val="auto"/>
        </w:rPr>
      </w:pPr>
      <w:r>
        <w:rPr>
          <w:rFonts w:ascii="Arial" w:cs="Arial" w:eastAsia="Arial" w:hAnsi="Arial"/>
          <w:sz w:val="19"/>
          <w:szCs w:val="19"/>
          <w:color w:val="auto"/>
        </w:rPr>
        <w:t>(iii) 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2" w:lineRule="exact"/>
        <w:rPr>
          <w:sz w:val="20"/>
          <w:szCs w:val="20"/>
          <w:color w:val="auto"/>
        </w:rPr>
      </w:pPr>
    </w:p>
    <w:p>
      <w:pPr>
        <w:ind w:firstLine="757"/>
        <w:spacing w:after="0" w:line="280" w:lineRule="auto"/>
        <w:tabs>
          <w:tab w:leader="none" w:pos="1498" w:val="left"/>
        </w:tabs>
        <w:numPr>
          <w:ilvl w:val="0"/>
          <w:numId w:val="127"/>
        </w:numPr>
        <w:rPr>
          <w:rFonts w:ascii="Arial" w:cs="Arial" w:eastAsia="Arial" w:hAnsi="Arial"/>
          <w:sz w:val="21"/>
          <w:szCs w:val="21"/>
          <w:color w:val="auto"/>
        </w:rPr>
      </w:pPr>
      <w:r>
        <w:rPr>
          <w:rFonts w:ascii="Arial" w:cs="Arial" w:eastAsia="Arial" w:hAnsi="Arial"/>
          <w:sz w:val="21"/>
          <w:szCs w:val="21"/>
          <w:b w:val="1"/>
          <w:bCs w:val="1"/>
          <w:color w:val="auto"/>
        </w:rPr>
        <w:t>Restrictive Covenants</w:t>
      </w:r>
      <w:r>
        <w:rPr>
          <w:rFonts w:ascii="Arial" w:cs="Arial" w:eastAsia="Arial" w:hAnsi="Arial"/>
          <w:sz w:val="21"/>
          <w:szCs w:val="21"/>
          <w:color w:val="auto"/>
        </w:rPr>
        <w:t>. In consideration of this grant of Restricted Stock Units, Participant agrees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restrictive covenants set forth in Appendix 2 to this Award Agreement, the terms of which are incorporated by reference.</w:t>
      </w:r>
    </w:p>
    <w:p>
      <w:pPr>
        <w:spacing w:after="0" w:line="138" w:lineRule="exact"/>
        <w:rPr>
          <w:rFonts w:ascii="Arial" w:cs="Arial" w:eastAsia="Arial" w:hAnsi="Arial"/>
          <w:sz w:val="21"/>
          <w:szCs w:val="21"/>
          <w:color w:val="auto"/>
        </w:rPr>
      </w:pPr>
    </w:p>
    <w:p>
      <w:pPr>
        <w:jc w:val="both"/>
        <w:ind w:firstLine="757"/>
        <w:spacing w:after="0" w:line="289" w:lineRule="auto"/>
        <w:tabs>
          <w:tab w:leader="none" w:pos="1498"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No Advice Regarding Grant</w:t>
      </w:r>
      <w:r>
        <w:rPr>
          <w:rFonts w:ascii="Arial" w:cs="Arial" w:eastAsia="Arial" w:hAnsi="Arial"/>
          <w:sz w:val="19"/>
          <w:szCs w:val="19"/>
          <w:color w:val="auto"/>
        </w:rPr>
        <w:t>. The Company is not providing any tax, legal or financial advice, nor is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41" w:lineRule="exact"/>
        <w:rPr>
          <w:rFonts w:ascii="Arial" w:cs="Arial" w:eastAsia="Arial" w:hAnsi="Arial"/>
          <w:sz w:val="19"/>
          <w:szCs w:val="19"/>
          <w:color w:val="auto"/>
        </w:rPr>
      </w:pPr>
    </w:p>
    <w:p>
      <w:pPr>
        <w:jc w:val="both"/>
        <w:ind w:firstLine="757"/>
        <w:spacing w:after="0" w:line="287" w:lineRule="auto"/>
        <w:tabs>
          <w:tab w:leader="none" w:pos="1498" w:val="left"/>
        </w:tabs>
        <w:numPr>
          <w:ilvl w:val="0"/>
          <w:numId w:val="127"/>
        </w:numPr>
        <w:rPr>
          <w:rFonts w:ascii="Arial" w:cs="Arial" w:eastAsia="Arial" w:hAnsi="Arial"/>
          <w:sz w:val="19"/>
          <w:szCs w:val="19"/>
          <w:color w:val="auto"/>
        </w:rPr>
      </w:pPr>
      <w:r>
        <w:rPr>
          <w:rFonts w:ascii="Arial" w:cs="Arial" w:eastAsia="Arial" w:hAnsi="Arial"/>
          <w:sz w:val="19"/>
          <w:szCs w:val="19"/>
          <w:b w:val="1"/>
          <w:bCs w:val="1"/>
          <w:i w:val="1"/>
          <w:iCs w:val="1"/>
          <w:color w:val="auto"/>
        </w:rPr>
        <w:t>Data Privacy. Participant hereby explicitly and unambiguously consents to the collection, use and transfer, in electronic or other form, of Participant’s personal data as described in this Award Agreement and any other Restricted Stock Unit grant materials by and among, as applicable, the Company and the Service Recipients for the exclusive purpose of implementing, administering and managing Participant’s participation in the Plan.</w:t>
      </w:r>
    </w:p>
    <w:p>
      <w:pPr>
        <w:spacing w:after="0" w:line="14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auto"/>
        </w:rPr>
        <w:t>Participant understands that Data will be transferred to a third-party stock plan service provider, which is assisting the Company with the implementation, administration and management of the Plan. Participant understands that the recipients of the Data may be located in the United States or elsewhere, and that the recipients’ country of operation (e.g., the United States) may have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87" w:name="page188"/>
    <w:bookmarkEnd w:id="187"/>
    <w:p>
      <w:pPr>
        <w:jc w:val="both"/>
        <w:spacing w:after="0" w:line="270" w:lineRule="auto"/>
        <w:rPr>
          <w:sz w:val="20"/>
          <w:szCs w:val="20"/>
          <w:color w:val="auto"/>
        </w:rPr>
      </w:pPr>
      <w:r>
        <w:rPr>
          <w:rFonts w:ascii="Arial" w:cs="Arial" w:eastAsia="Arial" w:hAnsi="Arial"/>
          <w:sz w:val="19"/>
          <w:szCs w:val="19"/>
          <w:b w:val="1"/>
          <w:bCs w:val="1"/>
          <w:i w:val="1"/>
          <w:iCs w:val="1"/>
          <w:color w:val="auto"/>
        </w:rPr>
        <w:t>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60" w:lineRule="exact"/>
        <w:rPr>
          <w:sz w:val="20"/>
          <w:szCs w:val="20"/>
          <w:color w:val="auto"/>
        </w:rPr>
      </w:pPr>
    </w:p>
    <w:p>
      <w:pPr>
        <w:jc w:val="both"/>
        <w:ind w:firstLine="757"/>
        <w:spacing w:after="0" w:line="243" w:lineRule="auto"/>
        <w:tabs>
          <w:tab w:leader="none" w:pos="1498"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Address for Notices</w:t>
      </w:r>
      <w:r>
        <w:rPr>
          <w:rFonts w:ascii="Arial" w:cs="Arial" w:eastAsia="Arial" w:hAnsi="Arial"/>
          <w:sz w:val="22"/>
          <w:szCs w:val="22"/>
          <w:color w:val="auto"/>
        </w:rPr>
        <w:t>. Any notice to be given to the Company under the terms of this Award Agreement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addressed to the Company at Paymentus Holdings, Inc., 18390 NE 68th St., Redmond, WA 98052, Attention: General Counsel, or at such other address as the Company may hereafter designate in writing.</w:t>
      </w:r>
    </w:p>
    <w:p>
      <w:pPr>
        <w:spacing w:after="0" w:line="176" w:lineRule="exact"/>
        <w:rPr>
          <w:rFonts w:ascii="Arial" w:cs="Arial" w:eastAsia="Arial" w:hAnsi="Arial"/>
          <w:sz w:val="22"/>
          <w:szCs w:val="22"/>
          <w:color w:val="auto"/>
        </w:rPr>
      </w:pPr>
    </w:p>
    <w:p>
      <w:pPr>
        <w:jc w:val="both"/>
        <w:ind w:firstLine="757"/>
        <w:spacing w:after="0" w:line="237" w:lineRule="auto"/>
        <w:tabs>
          <w:tab w:leader="none" w:pos="1498"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Award Agreement to single or</w:t>
      </w:r>
      <w:r>
        <w:rPr>
          <w:rFonts w:ascii="Arial" w:cs="Arial" w:eastAsia="Arial" w:hAnsi="Arial"/>
          <w:sz w:val="22"/>
          <w:szCs w:val="22"/>
          <w:b w:val="1"/>
          <w:bCs w:val="1"/>
          <w:color w:val="auto"/>
        </w:rPr>
        <w:t xml:space="preserve"> </w:t>
      </w:r>
      <w:r>
        <w:rPr>
          <w:rFonts w:ascii="Arial" w:cs="Arial" w:eastAsia="Arial" w:hAnsi="Arial"/>
          <w:sz w:val="22"/>
          <w:szCs w:val="22"/>
          <w:color w:val="auto"/>
        </w:rPr>
        <w:t>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81" w:lineRule="exact"/>
        <w:rPr>
          <w:rFonts w:ascii="Arial" w:cs="Arial" w:eastAsia="Arial" w:hAnsi="Arial"/>
          <w:sz w:val="22"/>
          <w:szCs w:val="22"/>
          <w:color w:val="auto"/>
        </w:rPr>
      </w:pPr>
    </w:p>
    <w:p>
      <w:pPr>
        <w:jc w:val="both"/>
        <w:ind w:firstLine="757"/>
        <w:spacing w:after="0" w:line="269" w:lineRule="auto"/>
        <w:tabs>
          <w:tab w:leader="none" w:pos="1498"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Additional Conditions to Issuance of Stock</w:t>
      </w:r>
      <w:r>
        <w:rPr>
          <w:rFonts w:ascii="Arial" w:cs="Arial" w:eastAsia="Arial" w:hAnsi="Arial"/>
          <w:sz w:val="19"/>
          <w:szCs w:val="19"/>
          <w:color w:val="auto"/>
        </w:rPr>
        <w:t>. If at any time the Company will determine, in its discretion,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88" w:name="page189"/>
    <w:bookmarkEnd w:id="188"/>
    <w:p>
      <w:pPr>
        <w:ind w:right="20"/>
        <w:spacing w:after="0" w:line="250" w:lineRule="auto"/>
        <w:rPr>
          <w:sz w:val="20"/>
          <w:szCs w:val="20"/>
          <w:color w:val="auto"/>
        </w:rPr>
      </w:pPr>
      <w:r>
        <w:rPr>
          <w:rFonts w:ascii="Arial" w:cs="Arial" w:eastAsia="Arial" w:hAnsi="Arial"/>
          <w:sz w:val="22"/>
          <w:szCs w:val="22"/>
          <w:color w:val="auto"/>
        </w:rPr>
        <w:t>reasonable period of time following the date of vesting of the Restricted Stock Units as the Administrator may establish from time to time for reasons of administrative convenience.</w:t>
      </w:r>
    </w:p>
    <w:p>
      <w:pPr>
        <w:spacing w:after="0" w:line="169" w:lineRule="exact"/>
        <w:rPr>
          <w:sz w:val="20"/>
          <w:szCs w:val="20"/>
          <w:color w:val="auto"/>
        </w:rPr>
      </w:pPr>
    </w:p>
    <w:p>
      <w:pPr>
        <w:ind w:left="1500" w:hanging="743"/>
        <w:spacing w:after="0"/>
        <w:tabs>
          <w:tab w:leader="none" w:pos="1500"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Language</w:t>
      </w:r>
      <w:r>
        <w:rPr>
          <w:rFonts w:ascii="Arial" w:cs="Arial" w:eastAsia="Arial" w:hAnsi="Arial"/>
          <w:sz w:val="22"/>
          <w:szCs w:val="22"/>
          <w:color w:val="auto"/>
        </w:rPr>
        <w:t>. Participant acknowledges that Participant is sufficiently proficient in the</w:t>
      </w:r>
    </w:p>
    <w:p>
      <w:pPr>
        <w:spacing w:after="0" w:line="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English language, or has consulted with an adviser who is sufficiently proficient in the English language, so as to allow Participant to understand the terms and conditions of this Award Agreement. If Participant has received this Award Agreement or any other document related to the Plan translated into a language other than the English language and if the meaning of the translated version is different than the English version, the English language version will control.</w:t>
      </w:r>
    </w:p>
    <w:p>
      <w:pPr>
        <w:spacing w:after="0" w:line="174" w:lineRule="exact"/>
        <w:rPr>
          <w:sz w:val="20"/>
          <w:szCs w:val="20"/>
          <w:color w:val="auto"/>
        </w:rPr>
      </w:pPr>
    </w:p>
    <w:p>
      <w:pPr>
        <w:jc w:val="both"/>
        <w:ind w:firstLine="757"/>
        <w:spacing w:after="0" w:line="247" w:lineRule="auto"/>
        <w:tabs>
          <w:tab w:leader="none" w:pos="1498" w:val="left"/>
        </w:tabs>
        <w:numPr>
          <w:ilvl w:val="0"/>
          <w:numId w:val="130"/>
        </w:numPr>
        <w:rPr>
          <w:rFonts w:ascii="Arial" w:cs="Arial" w:eastAsia="Arial" w:hAnsi="Arial"/>
          <w:sz w:val="21"/>
          <w:szCs w:val="21"/>
          <w:color w:val="auto"/>
        </w:rPr>
      </w:pPr>
      <w:r>
        <w:rPr>
          <w:rFonts w:ascii="Arial" w:cs="Arial" w:eastAsia="Arial" w:hAnsi="Arial"/>
          <w:sz w:val="21"/>
          <w:szCs w:val="21"/>
          <w:b w:val="1"/>
          <w:bCs w:val="1"/>
          <w:color w:val="auto"/>
        </w:rPr>
        <w:t>Interpretation</w:t>
      </w:r>
      <w:r>
        <w:rPr>
          <w:rFonts w:ascii="Arial" w:cs="Arial" w:eastAsia="Arial" w:hAnsi="Arial"/>
          <w:sz w:val="21"/>
          <w:szCs w:val="21"/>
          <w:color w:val="auto"/>
        </w:rPr>
        <w:t>. The Administrator will have the power to interpret the Plan and this Award Agreement and to</w:t>
      </w:r>
      <w:r>
        <w:rPr>
          <w:rFonts w:ascii="Arial" w:cs="Arial" w:eastAsia="Arial" w:hAnsi="Arial"/>
          <w:sz w:val="21"/>
          <w:szCs w:val="21"/>
          <w:b w:val="1"/>
          <w:bCs w:val="1"/>
          <w:color w:val="auto"/>
        </w:rPr>
        <w:t xml:space="preserve"> </w:t>
      </w:r>
      <w:r>
        <w:rPr>
          <w:rFonts w:ascii="Arial" w:cs="Arial" w:eastAsia="Arial" w:hAnsi="Arial"/>
          <w:sz w:val="21"/>
          <w:szCs w:val="21"/>
          <w:color w:val="auto"/>
        </w:rPr>
        <w:t>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7" w:lineRule="exact"/>
        <w:rPr>
          <w:rFonts w:ascii="Arial" w:cs="Arial" w:eastAsia="Arial" w:hAnsi="Arial"/>
          <w:sz w:val="21"/>
          <w:szCs w:val="21"/>
          <w:color w:val="auto"/>
        </w:rPr>
      </w:pPr>
    </w:p>
    <w:p>
      <w:pPr>
        <w:jc w:val="both"/>
        <w:ind w:firstLine="757"/>
        <w:spacing w:after="0" w:line="283" w:lineRule="auto"/>
        <w:tabs>
          <w:tab w:leader="none" w:pos="1498"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Electronic Delivery and Acceptance</w:t>
      </w:r>
      <w:r>
        <w:rPr>
          <w:rFonts w:ascii="Arial" w:cs="Arial" w:eastAsia="Arial" w:hAnsi="Arial"/>
          <w:sz w:val="19"/>
          <w:szCs w:val="19"/>
          <w:color w:val="auto"/>
        </w:rPr>
        <w:t>. The Company may, in its sole discretion, decide to deliver any</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2" w:lineRule="exact"/>
        <w:rPr>
          <w:rFonts w:ascii="Arial" w:cs="Arial" w:eastAsia="Arial" w:hAnsi="Arial"/>
          <w:sz w:val="19"/>
          <w:szCs w:val="19"/>
          <w:color w:val="auto"/>
        </w:rPr>
      </w:pPr>
    </w:p>
    <w:p>
      <w:pPr>
        <w:ind w:right="20" w:firstLine="757"/>
        <w:spacing w:after="0" w:line="256" w:lineRule="auto"/>
        <w:tabs>
          <w:tab w:leader="none" w:pos="149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Captions provided herein are for convenience only and are not to serve as a basis for 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construction of this Award Agreement.</w:t>
      </w:r>
    </w:p>
    <w:p>
      <w:pPr>
        <w:spacing w:after="0" w:line="162" w:lineRule="exact"/>
        <w:rPr>
          <w:rFonts w:ascii="Arial" w:cs="Arial" w:eastAsia="Arial" w:hAnsi="Arial"/>
          <w:sz w:val="22"/>
          <w:szCs w:val="22"/>
          <w:color w:val="auto"/>
        </w:rPr>
      </w:pPr>
    </w:p>
    <w:p>
      <w:pPr>
        <w:jc w:val="both"/>
        <w:ind w:firstLine="757"/>
        <w:spacing w:after="0" w:line="239" w:lineRule="auto"/>
        <w:tabs>
          <w:tab w:leader="none" w:pos="149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Amendment, Suspension or Termination of the Plan</w:t>
      </w:r>
      <w:r>
        <w:rPr>
          <w:rFonts w:ascii="Arial" w:cs="Arial" w:eastAsia="Arial" w:hAnsi="Arial"/>
          <w:sz w:val="22"/>
          <w:szCs w:val="22"/>
          <w:color w:val="auto"/>
        </w:rPr>
        <w:t>. By accepting this Award, Participant expressly</w:t>
      </w:r>
      <w:r>
        <w:rPr>
          <w:rFonts w:ascii="Arial" w:cs="Arial" w:eastAsia="Arial" w:hAnsi="Arial"/>
          <w:sz w:val="22"/>
          <w:szCs w:val="22"/>
          <w:b w:val="1"/>
          <w:bCs w:val="1"/>
          <w:color w:val="auto"/>
        </w:rPr>
        <w:t xml:space="preserve"> </w:t>
      </w:r>
      <w:r>
        <w:rPr>
          <w:rFonts w:ascii="Arial" w:cs="Arial" w:eastAsia="Arial" w:hAnsi="Arial"/>
          <w:sz w:val="22"/>
          <w:szCs w:val="22"/>
          <w:color w:val="auto"/>
        </w:rPr>
        <w:t>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rFonts w:ascii="Arial" w:cs="Arial" w:eastAsia="Arial" w:hAnsi="Arial"/>
          <w:sz w:val="22"/>
          <w:szCs w:val="22"/>
          <w:color w:val="auto"/>
        </w:rPr>
      </w:pPr>
    </w:p>
    <w:p>
      <w:pPr>
        <w:jc w:val="both"/>
        <w:ind w:firstLine="757"/>
        <w:spacing w:after="0" w:line="235" w:lineRule="auto"/>
        <w:tabs>
          <w:tab w:leader="none" w:pos="149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Country Addendum</w:t>
      </w:r>
      <w:r>
        <w:rPr>
          <w:rFonts w:ascii="Arial" w:cs="Arial" w:eastAsia="Arial" w:hAnsi="Arial"/>
          <w:sz w:val="22"/>
          <w:szCs w:val="22"/>
          <w:color w:val="auto"/>
        </w:rPr>
        <w:t>. Notwithstanding any provisions in this Award Agreement, the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grant shall be subject to any additional terms and conditions set forth in the Country Addendum (if any) for any country whose laws are applicable to Participant and this Award of Restricted Stock Units (as determined by the Administrator in its sole discretion). Moreover, if Participant relocates to one of the countries included in the Country Addendum, the additional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3" w:lineRule="exact"/>
        <w:rPr>
          <w:rFonts w:ascii="Arial" w:cs="Arial" w:eastAsia="Arial" w:hAnsi="Arial"/>
          <w:sz w:val="22"/>
          <w:szCs w:val="22"/>
          <w:color w:val="auto"/>
        </w:rPr>
      </w:pPr>
    </w:p>
    <w:p>
      <w:pPr>
        <w:jc w:val="both"/>
        <w:ind w:firstLine="757"/>
        <w:spacing w:after="0" w:line="238" w:lineRule="auto"/>
        <w:tabs>
          <w:tab w:leader="none" w:pos="1498"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Modifications to the Award Agreement</w:t>
      </w:r>
      <w:r>
        <w:rPr>
          <w:rFonts w:ascii="Arial" w:cs="Arial" w:eastAsia="Arial" w:hAnsi="Arial"/>
          <w:sz w:val="22"/>
          <w:szCs w:val="22"/>
          <w:color w:val="auto"/>
        </w:rPr>
        <w:t>. This Award Agreement constitutes the entire understanding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on the subjects covered. Participant expressly warrants that he or she is not accepting this Award Agreement in reliance on any promises, representations, or</w:t>
      </w: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89" w:name="page190"/>
    <w:bookmarkEnd w:id="189"/>
    <w:p>
      <w:pPr>
        <w:jc w:val="both"/>
        <w:spacing w:after="0" w:line="282" w:lineRule="auto"/>
        <w:rPr>
          <w:sz w:val="20"/>
          <w:szCs w:val="20"/>
          <w:color w:val="auto"/>
        </w:rPr>
      </w:pPr>
      <w:r>
        <w:rPr>
          <w:rFonts w:ascii="Arial" w:cs="Arial" w:eastAsia="Arial" w:hAnsi="Arial"/>
          <w:sz w:val="19"/>
          <w:szCs w:val="19"/>
          <w:color w:val="auto"/>
        </w:rPr>
        <w:t>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41" w:lineRule="exact"/>
        <w:rPr>
          <w:sz w:val="20"/>
          <w:szCs w:val="20"/>
          <w:color w:val="auto"/>
        </w:rPr>
      </w:pPr>
    </w:p>
    <w:p>
      <w:pPr>
        <w:jc w:val="both"/>
        <w:ind w:firstLine="757"/>
        <w:spacing w:after="0" w:line="254" w:lineRule="auto"/>
        <w:tabs>
          <w:tab w:leader="none" w:pos="1498" w:val="left"/>
        </w:tabs>
        <w:numPr>
          <w:ilvl w:val="0"/>
          <w:numId w:val="131"/>
        </w:numPr>
        <w:rPr>
          <w:rFonts w:ascii="Arial" w:cs="Arial" w:eastAsia="Arial" w:hAnsi="Arial"/>
          <w:sz w:val="21"/>
          <w:szCs w:val="21"/>
          <w:color w:val="auto"/>
        </w:rPr>
      </w:pPr>
      <w:r>
        <w:rPr>
          <w:rFonts w:ascii="Arial" w:cs="Arial" w:eastAsia="Arial" w:hAnsi="Arial"/>
          <w:sz w:val="21"/>
          <w:szCs w:val="21"/>
          <w:b w:val="1"/>
          <w:bCs w:val="1"/>
          <w:color w:val="auto"/>
        </w:rPr>
        <w:t>No Waiver</w:t>
      </w:r>
      <w:r>
        <w:rPr>
          <w:rFonts w:ascii="Arial" w:cs="Arial" w:eastAsia="Arial" w:hAnsi="Arial"/>
          <w:sz w:val="21"/>
          <w:szCs w:val="21"/>
          <w:color w:val="auto"/>
        </w:rPr>
        <w:t>. Either party’s failure to enforce any provision or provisions of this Award Agreement shall not in</w:t>
      </w:r>
      <w:r>
        <w:rPr>
          <w:rFonts w:ascii="Arial" w:cs="Arial" w:eastAsia="Arial" w:hAnsi="Arial"/>
          <w:sz w:val="21"/>
          <w:szCs w:val="21"/>
          <w:b w:val="1"/>
          <w:bCs w:val="1"/>
          <w:color w:val="auto"/>
        </w:rPr>
        <w:t xml:space="preserve"> </w:t>
      </w:r>
      <w:r>
        <w:rPr>
          <w:rFonts w:ascii="Arial" w:cs="Arial" w:eastAsia="Arial" w:hAnsi="Arial"/>
          <w:sz w:val="21"/>
          <w:szCs w:val="21"/>
          <w:color w:val="auto"/>
        </w:rPr>
        <w:t>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5" w:lineRule="exact"/>
        <w:rPr>
          <w:rFonts w:ascii="Arial" w:cs="Arial" w:eastAsia="Arial" w:hAnsi="Arial"/>
          <w:sz w:val="21"/>
          <w:szCs w:val="21"/>
          <w:color w:val="auto"/>
        </w:rPr>
      </w:pPr>
    </w:p>
    <w:p>
      <w:pPr>
        <w:jc w:val="both"/>
        <w:ind w:firstLine="757"/>
        <w:spacing w:after="0" w:line="273" w:lineRule="auto"/>
        <w:tabs>
          <w:tab w:leader="none" w:pos="1498"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Insider Trading/Market Abuse Laws</w:t>
      </w:r>
      <w:r>
        <w:rPr>
          <w:rFonts w:ascii="Arial" w:cs="Arial" w:eastAsia="Arial" w:hAnsi="Arial"/>
          <w:sz w:val="19"/>
          <w:szCs w:val="19"/>
          <w:color w:val="auto"/>
        </w:rPr>
        <w:t>. Participant acknowledges that Participant may be subject to insider</w:t>
      </w:r>
      <w:r>
        <w:rPr>
          <w:rFonts w:ascii="Arial" w:cs="Arial" w:eastAsia="Arial" w:hAnsi="Arial"/>
          <w:sz w:val="19"/>
          <w:szCs w:val="19"/>
          <w:b w:val="1"/>
          <w:bCs w:val="1"/>
          <w:color w:val="auto"/>
        </w:rPr>
        <w:t xml:space="preserve"> </w:t>
      </w:r>
      <w:r>
        <w:rPr>
          <w:rFonts w:ascii="Arial" w:cs="Arial" w:eastAsia="Arial" w:hAnsi="Arial"/>
          <w:sz w:val="19"/>
          <w:szCs w:val="19"/>
          <w:color w:val="auto"/>
        </w:rPr>
        <w:t>trading restrictions and/or market abuse laws based on the exchange on which the Shares are listed and in applicable jurisdictions including, but not limited to, the United States and Participant’s country of residence, which may affect Participant’s ability to acquire or sell Shares or rights to Shares (e.g., Restricted Stock Units)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third parties includes fellow employees.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155" w:lineRule="exact"/>
        <w:rPr>
          <w:rFonts w:ascii="Arial" w:cs="Arial" w:eastAsia="Arial" w:hAnsi="Arial"/>
          <w:sz w:val="19"/>
          <w:szCs w:val="19"/>
          <w:color w:val="auto"/>
        </w:rPr>
      </w:pPr>
    </w:p>
    <w:p>
      <w:pPr>
        <w:jc w:val="both"/>
        <w:ind w:firstLine="757"/>
        <w:spacing w:after="0" w:line="280" w:lineRule="auto"/>
        <w:tabs>
          <w:tab w:leader="none" w:pos="1498"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Governing Law; Venue; Severability</w:t>
      </w:r>
      <w:r>
        <w:rPr>
          <w:rFonts w:ascii="Arial" w:cs="Arial" w:eastAsia="Arial" w:hAnsi="Arial"/>
          <w:sz w:val="19"/>
          <w:szCs w:val="19"/>
          <w:color w:val="auto"/>
        </w:rPr>
        <w:t>. This Award Agreement and the Restricted Stock Units are governed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internal substantive laws, but not the choice of law rules, of the State of Delaware. For purposes of any action, lawsuit or other proceedings brought to enforce this Award Agreement, relating to it, or arising from it, the parties hereby submit to and consent to the sole and exclusive jurisdiction of the courts of the State of Delaware, and no other courts, where this grant is made and/or to be performed. In the event that any provision hereof becomes or is declared by a court of competent jurisdiction to be illegal, unenforceable or void, this Award Agreement shall continue in full force and effect.</w:t>
      </w:r>
    </w:p>
    <w:p>
      <w:pPr>
        <w:spacing w:after="0" w:line="144" w:lineRule="exact"/>
        <w:rPr>
          <w:rFonts w:ascii="Arial" w:cs="Arial" w:eastAsia="Arial" w:hAnsi="Arial"/>
          <w:sz w:val="19"/>
          <w:szCs w:val="19"/>
          <w:color w:val="auto"/>
        </w:rPr>
      </w:pPr>
    </w:p>
    <w:p>
      <w:pPr>
        <w:jc w:val="both"/>
        <w:ind w:firstLine="757"/>
        <w:spacing w:after="0" w:line="270" w:lineRule="auto"/>
        <w:tabs>
          <w:tab w:leader="none" w:pos="1498"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The Plan is incorporated herein by reference. The Plan and this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Notwithstanding the foregoing, the restrictive covenants set forth in Appendix 2 do not supersede or in any way modify any other restrictive covenants applicable to Participant in any employment or other agreement with the Company or any Parent or Subsidiary of the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90" w:name="page191"/>
    <w:bookmarkEnd w:id="190"/>
    <w:p>
      <w:pPr>
        <w:ind w:left="3800"/>
        <w:spacing w:after="0"/>
        <w:tabs>
          <w:tab w:leader="none" w:pos="4440" w:val="left"/>
          <w:tab w:leader="none" w:pos="50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ectPr>
          <w:pgSz w:w="11900" w:h="16838" w:orient="portrait"/>
          <w:cols w:equalWidth="0" w:num="1">
            <w:col w:w="9019"/>
          </w:cols>
          <w:pgMar w:left="1440" w:top="5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187960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type w:val="continuous"/>
        </w:sectPr>
      </w:pPr>
    </w:p>
    <w:bookmarkStart w:id="191" w:name="page192"/>
    <w:bookmarkEnd w:id="191"/>
    <w:p>
      <w:pPr>
        <w:jc w:val="center"/>
        <w:spacing w:after="0"/>
        <w:rPr>
          <w:sz w:val="20"/>
          <w:szCs w:val="20"/>
          <w:color w:val="auto"/>
        </w:rPr>
      </w:pPr>
      <w:r>
        <w:rPr>
          <w:rFonts w:ascii="Arial" w:cs="Arial" w:eastAsia="Arial" w:hAnsi="Arial"/>
          <w:sz w:val="22"/>
          <w:szCs w:val="22"/>
          <w:b w:val="1"/>
          <w:bCs w:val="1"/>
          <w:color w:val="auto"/>
        </w:rPr>
        <w:t>APPENDIX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 ADDENDUM TO RESTRICTED STOCK UNIT AGREEMENT</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Unless otherwise defined herein, capitalized terms used in this Country Addendum to Restricted Stock Unit Agreement (the “</w:t>
      </w:r>
      <w:r>
        <w:rPr>
          <w:rFonts w:ascii="Arial" w:cs="Arial" w:eastAsia="Arial" w:hAnsi="Arial"/>
          <w:sz w:val="22"/>
          <w:szCs w:val="22"/>
          <w:b w:val="1"/>
          <w:bCs w:val="1"/>
          <w:color w:val="auto"/>
        </w:rPr>
        <w:t>Country Addendum</w:t>
      </w:r>
      <w:r>
        <w:rPr>
          <w:rFonts w:ascii="Arial" w:cs="Arial" w:eastAsia="Arial" w:hAnsi="Arial"/>
          <w:sz w:val="22"/>
          <w:szCs w:val="22"/>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This Country Addendum includes additional terms and conditions that govern the Award of Restricted Stock Units granted to Participant under the Plan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transfers employment and/or residency to another country after the Award of Restricted Stock Units is granted, the Company, in its discretion, will determine to what extent the terms and conditions contained herein will apply to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This Country Addendum also includes information regarding securities laws, exchange controls and certain other issues of which Participant should be aware with respect to Participant’s participation in the Plan. The information is provided solely for Participant’s convenience and is based on the securities, exchange control and other Applicable Laws in effect in the respective countries as of </w:t>
      </w:r>
      <w:r>
        <w:rPr>
          <w:rFonts w:ascii="Arial" w:cs="Arial" w:eastAsia="Arial" w:hAnsi="Arial"/>
          <w:sz w:val="21"/>
          <w:szCs w:val="21"/>
          <w:b w:val="1"/>
          <w:bCs w:val="1"/>
          <w:color w:val="auto"/>
        </w:rPr>
        <w:t>April 2021</w:t>
      </w:r>
      <w:r>
        <w:rPr>
          <w:rFonts w:ascii="Arial" w:cs="Arial" w:eastAsia="Arial" w:hAnsi="Arial"/>
          <w:sz w:val="21"/>
          <w:szCs w:val="21"/>
          <w:color w:val="auto"/>
        </w:rPr>
        <w:t>.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18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3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Finally, if Participant is a citizen or resident (or is considered as such for local law purposes) of a country other than the one in which Participant currently is residing and/or working, or if Participant transfers residence and/or employment to another country after the grant of the Restricted Stock Units, the information in this Country Addendum may not apply to Participant in the same manner.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u w:val="single" w:color="auto"/>
          <w:color w:val="auto"/>
        </w:rPr>
        <w:t>Settlement of Restricted Stock Units</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discretion in Section 9.4 of the Plan and without prejudice to</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7(b) of the Restricted Stock Unit Agreement, Restricted Stock Units will be settled in Shares only, not in cash.</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The following provision replaces the second paragraph of Sections 5 and 11(h) of the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its entirety:</w:t>
      </w:r>
    </w:p>
    <w:p>
      <w:pPr>
        <w:spacing w:after="0" w:line="168"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21"/>
          <w:szCs w:val="21"/>
          <w:color w:val="auto"/>
        </w:rPr>
        <w:t>For purposes of the Restricted Stock Units, Participant’s status as a Service Provider will be considered terminated (regardless of the reason for such termination and whether or not later found to be invalid or in breach of employment laws in the jurisdiction where Participant is a Service Provider or the terms of Participant’s employment or service agreement, if any) as of the date that is the earliest of: (i) the date of termination of Participant’s status as a Service Provider, (ii) the date on which Participant receives notice of termination of his or her status as a Service Provider, and (iii) the date on which Participant ceases to be providing services to the Company, the Service Recipient or any other Subsidiary or Parent of the Company, which date shall not be extended by any notice period or period of pay in lieu of such notice mandated under the employment laws of the jurisdiction in which Participant is providing service or the terms of Participant’s employment or other service agreement, if any. The Administrator shall have the exclusive discretion to determine when Participant no longer is actively providing services for purposes of the Award (including whether Participant may still be considered to be providing services while on a leave of absence).</w:t>
      </w:r>
    </w:p>
    <w:p>
      <w:pPr>
        <w:spacing w:after="0" w:line="18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vesting during a statutory notice period, Participant’s right to vest in the Award, if any, will terminate effective upon the expiry of the minimum statutory notice period, but Participant will not earn or be entitled to prorated vesting if the vesting date falls after the end of the statutory notice period, nor will Participant be entitled to any compensation in lieu of any such prorated vesting.</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The parties acknowledge that it is Participant’s express wish that the Restricted Stock Unit Agreement, as well as all</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notices and legal proceedings entered into, given or instituted pursuant hereto or relating directly or indirectly hereto, be drawn up in English.</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Les parties reconnaissent que le participant souhaite expressément que le contrat d'attribution, ainsi que tous les documents, avis et procédures judiciaires conclus, donnés ou intentés en vertu des présentes ou s'y rapportant directement ou indirectement, soient rédigés en anglais.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 This provision supplements Section 14 of the Restricted Stock Unit Agreement:</w:t>
      </w:r>
    </w:p>
    <w:p>
      <w:pPr>
        <w:spacing w:after="0" w:line="21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Participant hereby authorizes any Service Recipient, and any agents or representatives to (i) discuss with and obtain all relevant information from all personnel, professional or non-professional, involved in the administration and operation of the Plan, and (ii) disclose and discuss any and all information relevant to the Plan with their advisers. Participant further authorizes the Company and any Service Recipient and any agents or representatives to record such information and to keep such information in Participant’s file.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Securities Law Notification</w:t>
      </w:r>
      <w:r>
        <w:rPr>
          <w:rFonts w:ascii="Arial" w:cs="Arial" w:eastAsia="Arial" w:hAnsi="Arial"/>
          <w:sz w:val="22"/>
          <w:szCs w:val="22"/>
          <w:color w:val="auto"/>
        </w:rPr>
        <w:t>. Participant is permitted to sell Shares acquired under the Plan through the designated broker</w:t>
      </w:r>
      <w:r>
        <w:rPr>
          <w:rFonts w:ascii="Arial" w:cs="Arial" w:eastAsia="Arial" w:hAnsi="Arial"/>
          <w:sz w:val="22"/>
          <w:szCs w:val="22"/>
          <w:b w:val="1"/>
          <w:bCs w:val="1"/>
          <w:color w:val="auto"/>
        </w:rPr>
        <w:t xml:space="preserve"> </w:t>
      </w:r>
      <w:r>
        <w:rPr>
          <w:rFonts w:ascii="Arial" w:cs="Arial" w:eastAsia="Arial" w:hAnsi="Arial"/>
          <w:sz w:val="22"/>
          <w:szCs w:val="22"/>
          <w:color w:val="auto"/>
        </w:rPr>
        <w:t>appointed under the Plan, if any, provided the resale of Shares acquired under the Plan takes place outside Canada through the facilities of the exchange on which the Shares are then listed.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w:t>
      </w:r>
      <w:r>
        <w:rPr>
          <w:rFonts w:ascii="Arial" w:cs="Arial" w:eastAsia="Arial" w:hAnsi="Arial"/>
          <w:sz w:val="14"/>
          <w:szCs w:val="14"/>
          <w:b w:val="1"/>
          <w:bCs w:val="1"/>
          <w:u w:val="single" w:color="auto"/>
          <w:color w:val="auto"/>
        </w:rPr>
        <w:t>NDIA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u w:val="single" w:color="auto"/>
          <w:color w:val="auto"/>
        </w:rPr>
        <w:t>Exchange Control Notification</w:t>
      </w:r>
      <w:r>
        <w:rPr>
          <w:rFonts w:ascii="Arial" w:cs="Arial" w:eastAsia="Arial" w:hAnsi="Arial"/>
          <w:sz w:val="22"/>
          <w:szCs w:val="22"/>
          <w:color w:val="auto"/>
        </w:rPr>
        <w:t>. Participant is required to repatriate to India, or cause to be repatriated, any proceeds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sale of Shares acquired under the Plan and any dividends received in relation to the Shares within such time as prescribed under applicable Indian exchange control laws as may be amended from time to time. Participant should obtain a foreign inward remittance certificate (“</w:t>
      </w:r>
      <w:r>
        <w:rPr>
          <w:rFonts w:ascii="Arial" w:cs="Arial" w:eastAsia="Arial" w:hAnsi="Arial"/>
          <w:sz w:val="22"/>
          <w:szCs w:val="22"/>
          <w:u w:val="single" w:color="auto"/>
          <w:color w:val="auto"/>
        </w:rPr>
        <w:t>FIRC</w:t>
      </w:r>
      <w:r>
        <w:rPr>
          <w:rFonts w:ascii="Arial" w:cs="Arial" w:eastAsia="Arial" w:hAnsi="Arial"/>
          <w:sz w:val="22"/>
          <w:szCs w:val="22"/>
          <w:color w:val="auto"/>
        </w:rPr>
        <w:t xml:space="preserve">”) or other similar form from the bank where Participant deposits the funds and maintain the FIRC or other form as evidence of the repatriation of funds in the event the Reserve Bank of India or Participant’s employer requests proof of repatriation. </w:t>
      </w:r>
      <w:r>
        <w:rPr>
          <w:rFonts w:ascii="Arial" w:cs="Arial" w:eastAsia="Arial" w:hAnsi="Arial"/>
          <w:sz w:val="22"/>
          <w:szCs w:val="22"/>
          <w:i w:val="1"/>
          <w:iCs w:val="1"/>
          <w:color w:val="auto"/>
        </w:rPr>
        <w:t>Participant should consult with his or her personal legal adviser to ensure compliance with the applicable</w:t>
      </w:r>
      <w:r>
        <w:rPr>
          <w:rFonts w:ascii="Arial" w:cs="Arial" w:eastAsia="Arial" w:hAnsi="Arial"/>
          <w:sz w:val="22"/>
          <w:szCs w:val="22"/>
          <w:color w:val="auto"/>
        </w:rPr>
        <w:t xml:space="preserve"> </w:t>
      </w:r>
      <w:r>
        <w:rPr>
          <w:rFonts w:ascii="Arial" w:cs="Arial" w:eastAsia="Arial" w:hAnsi="Arial"/>
          <w:sz w:val="22"/>
          <w:szCs w:val="22"/>
          <w:i w:val="1"/>
          <w:iCs w:val="1"/>
          <w:color w:val="auto"/>
        </w:rPr>
        <w:t>requirements.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22"/>
          <w:szCs w:val="22"/>
          <w:color w:val="auto"/>
        </w:rPr>
        <w:t>APPENDIX 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RESTRICTIVE COVENANTS ADDENDUM TO RESTRICTED STOCK UNIT AGREEMENT</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Unless otherwise defined herein, capitalized terms used in this Restrictive Covenants Addendum to Restricted Stock Unit Agreement will be ascribed the same defined meanings as set forth in the Restricted Stock Unit Agreement of which this Restrictive Covenants Addendum forms a part (or the Plan or other written agreement as specified in the Restricted Stock Unit Agreement).</w:t>
      </w:r>
    </w:p>
    <w:p>
      <w:pPr>
        <w:spacing w:after="0" w:line="179" w:lineRule="exact"/>
        <w:rPr>
          <w:sz w:val="20"/>
          <w:szCs w:val="20"/>
          <w:color w:val="auto"/>
        </w:rPr>
      </w:pPr>
    </w:p>
    <w:p>
      <w:pPr>
        <w:ind w:left="760" w:hanging="752"/>
        <w:spacing w:after="0"/>
        <w:tabs>
          <w:tab w:leader="none" w:pos="760" w:val="left"/>
        </w:tabs>
        <w:numPr>
          <w:ilvl w:val="0"/>
          <w:numId w:val="13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Confidential Information</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71" w:lineRule="exact"/>
        <w:rPr>
          <w:rFonts w:ascii="Arial" w:cs="Arial" w:eastAsia="Arial" w:hAnsi="Arial"/>
          <w:sz w:val="22"/>
          <w:szCs w:val="22"/>
          <w:b w:val="1"/>
          <w:bCs w:val="1"/>
          <w:u w:val="single" w:color="auto"/>
          <w:color w:val="auto"/>
        </w:rPr>
      </w:pPr>
    </w:p>
    <w:p>
      <w:pPr>
        <w:jc w:val="both"/>
        <w:ind w:left="1500" w:hanging="743"/>
        <w:spacing w:after="0" w:line="271" w:lineRule="auto"/>
        <w:tabs>
          <w:tab w:leader="none" w:pos="15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Participant expressly agrees that, throughout the term of Participant’s employment with the Company and at all times following the cessation of Participant’s employment from the Company, for so long as the information remains confidential, Participant will not acquire, use, transfer, download, print, or disclose any Confidential Information other than for the purpose to carry out the duties of Participant’s employment for the benefit of the Company (but in all cases preserving confidentiality by following the Company’s policies and procedures). Participant agrees to take all reasonable measures to protect the secrecy of and avoid disclosure or use of Confidential Information in order to prevent it from falling into the public domain or into the possession of any Competing Business or any persons other than those persons authorized under this Restrictive Covenants Addendum to have such information for the benefit of the Company. Participant agrees to notify the Company in writing of any actual or suspected misuse, misappropriation, or unauthorized disclosure of Confidential Information that may come to Participant’s attention. Participant acknowledges that if Participant discloses or uses knowledge of the Company’s Confidential Information to gain an advantage for Participant, for any Competing Business, or for any other person or entity other than the Company, such an advantage so obtained would be unfair and detrimental to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jc w:val="both"/>
        <w:ind w:left="1500" w:hanging="743"/>
        <w:spacing w:after="0" w:line="236" w:lineRule="auto"/>
        <w:tabs>
          <w:tab w:leader="none" w:pos="15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5" w:name="page196"/>
    <w:bookmarkEnd w:id="195"/>
    <w:p>
      <w:pPr>
        <w:jc w:val="both"/>
        <w:ind w:left="1500" w:hanging="743"/>
        <w:spacing w:after="0" w:line="271" w:lineRule="auto"/>
        <w:tabs>
          <w:tab w:leader="none" w:pos="150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Nothing contained in this Restrictive Covenants Addendum is intended to prohibit Participant from disclosing or discussing information relating to compensation or working conditions protected by the National Labor Relations Act or applicable law. Additionally, nothing contained in this Restrictive Covenants Addendum prohibits or prevents Participant from filing a charge with or participating, testifying, or assisting in any investigation, hearing, whistleblower proceeding, or other proceeding before any federal, state, or local government agency (e.g., EEOC, NLRB, SEC, etc.) or in any legislative or judicial proceeding nor does anything in this Restrictive Covenants Addendum preclude, prohibit or otherwise limit, in any way, Participant’s rights and abilities to contact, communicate with or report unlawful conduct to federal, state, or local officials for investigation or participate in any whistleblower program administered by such agencies. The Company further acknowledges Participant’s rights to make truthful statements or disclosures required by law, regulation, or legal process and to request or receive confidential legal advice, and nothing in this Restrictive Covenants Addendum shall be deemed to impair those rights. The Company also acknowledges Participant’s rights to make truthful statements or disclosures about unlawful employment practices which are defined to mean any form of unlawful discrimination, harassment, or retaliation that is actionable under Title VII of the Civil Rights Act of 1964 or any comparable state statue or any other related federal or state rule or law that is enforced by the Equal Employment Opportunity Commission or any comparable state agency.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left="760" w:hanging="752"/>
        <w:spacing w:after="0" w:line="247" w:lineRule="auto"/>
        <w:tabs>
          <w:tab w:leader="none" w:pos="760" w:val="left"/>
        </w:tabs>
        <w:numPr>
          <w:ilvl w:val="0"/>
          <w:numId w:val="134"/>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Limited Non-Compete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acknowledge and agree that, as a result of Participant’s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(i) Participant has and will have access to and be involved in the development and utilization of the Company’s Confidential Information; (ii) Participant will develop and maintain critical relationships with the Company’s customers, prospective customers, employees, consultants, and independent contractors; and (iii) Participant will be responsible for further developing and strengthening the Company’s goodwill in the market. Accordingly, Participant expressly agrees that Participant will not Compete with the Company during the Restricted Period within the Restricted Territory on behalf of any Competing Business.</w:t>
      </w: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36" w:lineRule="exact"/>
        <w:rPr>
          <w:rFonts w:ascii="Arial" w:cs="Arial" w:eastAsia="Arial" w:hAnsi="Arial"/>
          <w:sz w:val="21"/>
          <w:szCs w:val="21"/>
          <w:b w:val="1"/>
          <w:bCs w:val="1"/>
          <w:u w:val="single" w:color="auto"/>
          <w:color w:val="auto"/>
        </w:rPr>
      </w:pPr>
    </w:p>
    <w:p>
      <w:pPr>
        <w:jc w:val="both"/>
        <w:ind w:left="760" w:hanging="752"/>
        <w:spacing w:after="0" w:line="270" w:lineRule="auto"/>
        <w:tabs>
          <w:tab w:leader="none" w:pos="760" w:val="left"/>
        </w:tabs>
        <w:numPr>
          <w:ilvl w:val="0"/>
          <w:numId w:val="134"/>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Non-Solicitation of Customers/Prospective Customers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expressly agrees that during the Restricted Period,</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will not, directly or indirectly, either alone or by assisting or acting in concert with others, on behalf of themselves or any other person, business, entity, including but not limited to on behalf of a Competing Business, solicit, persuade, induce, encourage, divert, or attempt to solicit, persuade, induce, encourage, or divert, or otherwise accept business from, any Customer or Prospective Customer with whom Participant had Material Contact, for the purpose of interfering in the relationship between such Customer or Prospective Customer and the Company, or providing products or services that are competitive with or could replace the Company’s products or services in the Company’s Business.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96" w:name="page197"/>
    <w:bookmarkEnd w:id="196"/>
    <w:p>
      <w:pPr>
        <w:jc w:val="both"/>
        <w:ind w:left="760" w:hanging="752"/>
        <w:spacing w:after="0" w:line="236" w:lineRule="auto"/>
        <w:tabs>
          <w:tab w:leader="none" w:pos="760" w:val="left"/>
        </w:tabs>
        <w:numPr>
          <w:ilvl w:val="0"/>
          <w:numId w:val="13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Non-Recruitment of Protected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expressly agrees that during the Restricted Period,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directly or indirectly, either alone or by assisting or acting in concert with others, on behalf of themselves or any other person, business, entity, including but not limited to on behalf of a Competing Business, solicit, induce, encourage, or attempt to solicit, induce, or encourage any Protected Employee of the Company to alter or terminate their relationship with the Company, or hire, employ, recruit or attempt to hire, employ, or recruit any Protected Employee on behalf of a Competing Business.</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40" w:lineRule="exact"/>
        <w:rPr>
          <w:rFonts w:ascii="Arial" w:cs="Arial" w:eastAsia="Arial" w:hAnsi="Arial"/>
          <w:sz w:val="22"/>
          <w:szCs w:val="22"/>
          <w:b w:val="1"/>
          <w:bCs w:val="1"/>
          <w:u w:val="single" w:color="auto"/>
          <w:color w:val="auto"/>
        </w:rPr>
      </w:pPr>
    </w:p>
    <w:p>
      <w:pPr>
        <w:jc w:val="both"/>
        <w:ind w:left="760" w:hanging="752"/>
        <w:spacing w:after="0" w:line="270" w:lineRule="auto"/>
        <w:tabs>
          <w:tab w:leader="none" w:pos="760" w:val="left"/>
        </w:tabs>
        <w:numPr>
          <w:ilvl w:val="0"/>
          <w:numId w:val="135"/>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Participant breaches any of the restrictive covenants set forth in this Restrictive Covenants</w:t>
      </w:r>
      <w:r>
        <w:rPr>
          <w:rFonts w:ascii="Arial" w:cs="Arial" w:eastAsia="Arial" w:hAnsi="Arial"/>
          <w:sz w:val="19"/>
          <w:szCs w:val="19"/>
          <w:b w:val="1"/>
          <w:bCs w:val="1"/>
          <w:color w:val="auto"/>
        </w:rPr>
        <w:t xml:space="preserve"> </w:t>
      </w:r>
      <w:r>
        <w:rPr>
          <w:rFonts w:ascii="Arial" w:cs="Arial" w:eastAsia="Arial" w:hAnsi="Arial"/>
          <w:sz w:val="19"/>
          <w:szCs w:val="19"/>
          <w:color w:val="auto"/>
        </w:rPr>
        <w:t>Addendum, the then-unvested Restricted Stock Units awarded by this Award Agreement will thereupon be forfeited at no cost to the Company and Participant will have no further rights thereunder. Participant agrees that the obligations set forth in this Restrictive Covenants Addendum are necessary and reasonable in order to protect the Company’s legitimate business interests and (without limiting the foregoing) that the obligations set forth in this Restrictive Covenants Addendum are necessary and reasonable in order to protect the Company’s legitimate business interests in protecting its Confidential Information, customer and employee relationships and the goodwill associated therewith. Participant expressly agrees that due to the unique nature of the Company’s Confidential Information, and its relationships with its customers and employees, monetary damages would be inadequate to compensate the Company for any breach by Participant of the covenants and agreements set forth in this Restrictive Covenants Addendum. Accordingly, Participant agrees and acknowledges that any such violation or threatened violation shall cause irreparable injury to the Company and that, in addition to forfeiture of any unvested Restricted Stock Units and any other remedies that may be available in law, in equity, or otherwise, the Company shall be entitled: (a) to obtain injunctive relief against the threatened breach of this Restrictive Covenants Addendum or the continuation of any such breach by Participant, without the necessity of proving actual damages, and without necessity of posting bond; and (b) to recover any costs or attorneys’ fees, arising out of or in connection with any breach or threatened breach by Participant or any action relating to Participant’s obligations under this Restrictive Covenants Addendum. Any such equitable relief sought or obtained pursuant to this Restrictive Covenants Addendum will not be the Company’s exclusive remedy to address Participant’s breach or threatened breach of the provisions herein, and the Company shall be entitled to pursue all remedies available, including but not limited to actual damages, pursuant to applicable law. No claim, demand, action, or cause of action that Participant may have against the Company shall constitute a defense to the Company’s enforcement of any of its rights or Participant’s obligations hereunder by the Company or the Company’s successors or assigns.</w:t>
      </w:r>
    </w:p>
    <w:p>
      <w:pPr>
        <w:spacing w:after="0" w:line="200" w:lineRule="exact"/>
        <w:rPr>
          <w:rFonts w:ascii="Arial" w:cs="Arial" w:eastAsia="Arial" w:hAnsi="Arial"/>
          <w:sz w:val="19"/>
          <w:szCs w:val="19"/>
          <w:b w:val="1"/>
          <w:bCs w:val="1"/>
          <w:u w:val="single" w:color="auto"/>
          <w:color w:val="auto"/>
        </w:rPr>
      </w:pPr>
    </w:p>
    <w:p>
      <w:pPr>
        <w:spacing w:after="0" w:line="200" w:lineRule="exact"/>
        <w:rPr>
          <w:rFonts w:ascii="Arial" w:cs="Arial" w:eastAsia="Arial" w:hAnsi="Arial"/>
          <w:sz w:val="19"/>
          <w:szCs w:val="19"/>
          <w:b w:val="1"/>
          <w:bCs w:val="1"/>
          <w:u w:val="single" w:color="auto"/>
          <w:color w:val="auto"/>
        </w:rPr>
      </w:pPr>
    </w:p>
    <w:p>
      <w:pPr>
        <w:spacing w:after="0" w:line="213" w:lineRule="exact"/>
        <w:rPr>
          <w:rFonts w:ascii="Arial" w:cs="Arial" w:eastAsia="Arial" w:hAnsi="Arial"/>
          <w:sz w:val="19"/>
          <w:szCs w:val="19"/>
          <w:b w:val="1"/>
          <w:bCs w:val="1"/>
          <w:u w:val="single" w:color="auto"/>
          <w:color w:val="auto"/>
        </w:rPr>
      </w:pPr>
    </w:p>
    <w:p>
      <w:pPr>
        <w:ind w:left="760" w:hanging="752"/>
        <w:spacing w:after="0"/>
        <w:tabs>
          <w:tab w:leader="none" w:pos="760" w:val="left"/>
        </w:tabs>
        <w:numPr>
          <w:ilvl w:val="0"/>
          <w:numId w:val="135"/>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Tolling</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acknowledges and agrees that the Restricted Period shall be tolled on a day-for-day basis for all</w:t>
      </w:r>
    </w:p>
    <w:p>
      <w:pPr>
        <w:spacing w:after="0" w:line="49" w:lineRule="exact"/>
        <w:rPr>
          <w:sz w:val="20"/>
          <w:szCs w:val="20"/>
          <w:color w:val="auto"/>
        </w:rPr>
      </w:pPr>
    </w:p>
    <w:p>
      <w:pPr>
        <w:jc w:val="both"/>
        <w:ind w:left="760" w:right="20"/>
        <w:spacing w:after="0" w:line="230" w:lineRule="auto"/>
        <w:rPr>
          <w:sz w:val="20"/>
          <w:szCs w:val="20"/>
          <w:color w:val="auto"/>
        </w:rPr>
      </w:pPr>
      <w:r>
        <w:rPr>
          <w:rFonts w:ascii="Arial" w:cs="Arial" w:eastAsia="Arial" w:hAnsi="Arial"/>
          <w:sz w:val="22"/>
          <w:szCs w:val="22"/>
          <w:color w:val="auto"/>
        </w:rPr>
        <w:t>periods in which Participant is in breach of the obligations contained in this Restrictive Covenants Addendum, so that the Company receives the full benefit of the Restricted Period to which Participant has agreed herein. Participant also agrees that if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97" w:name="page198"/>
    <w:bookmarkEnd w:id="197"/>
    <w:p>
      <w:pPr>
        <w:jc w:val="both"/>
        <w:ind w:left="752"/>
        <w:spacing w:after="0" w:line="249" w:lineRule="auto"/>
        <w:rPr>
          <w:sz w:val="20"/>
          <w:szCs w:val="20"/>
          <w:color w:val="auto"/>
        </w:rPr>
      </w:pPr>
      <w:r>
        <w:rPr>
          <w:rFonts w:ascii="Arial" w:cs="Arial" w:eastAsia="Arial" w:hAnsi="Arial"/>
          <w:sz w:val="21"/>
          <w:szCs w:val="21"/>
          <w:color w:val="auto"/>
        </w:rPr>
        <w:t>Participant or the Company institutes litigation to enforce or challenge the protective covenants in this Restrictive Covenants Addendum, and Participant is not enjoined from breaching one or more of the protective covenants contained in this Restrictive Covenants Addendum, and a court thereafter determines that one or more of the protective covenants are enforceable, the Restricted Period shall be tolled (i.e. suspended) beginning on the date the litigation was instituted until the litigation is finally resolved and all periods of appeal have expired.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52" w:hanging="752"/>
        <w:spacing w:after="0" w:line="256" w:lineRule="auto"/>
        <w:tabs>
          <w:tab w:leader="none" w:pos="752" w:val="left"/>
        </w:tabs>
        <w:numPr>
          <w:ilvl w:val="0"/>
          <w:numId w:val="13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For all purposes throughout this Restrictive Covenants Addendum, the terms defined below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meanings specified in this section.</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27" w:lineRule="exact"/>
        <w:rPr>
          <w:rFonts w:ascii="Arial" w:cs="Arial" w:eastAsia="Arial" w:hAnsi="Arial"/>
          <w:sz w:val="22"/>
          <w:szCs w:val="22"/>
          <w:b w:val="1"/>
          <w:bCs w:val="1"/>
          <w:u w:val="single" w:color="auto"/>
          <w:color w:val="auto"/>
        </w:rPr>
      </w:pPr>
    </w:p>
    <w:p>
      <w:pPr>
        <w:jc w:val="both"/>
        <w:ind w:left="1492" w:hanging="743"/>
        <w:spacing w:after="0"/>
        <w:tabs>
          <w:tab w:leader="none" w:pos="149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“Business” means the business of investing and operating in payments, payments networks, billing, billing solutions, software and technology-enabled businesses, including a continuous program of research, development, production and marketing.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jc w:val="both"/>
        <w:ind w:left="1492" w:hanging="743"/>
        <w:spacing w:after="0" w:line="234" w:lineRule="auto"/>
        <w:tabs>
          <w:tab w:leader="none" w:pos="149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“Cause” shall mean voluntary resignation, disability that renders Participant incapable of performing the essential functions of Participant’s job, with or without reasonable accommodation, after Participant has exhausted any leave available under applicable law or Company policy, job abandonment, substandard performance, engaging in any act or omission deemed to be against the best interests of the Company, unsafe, threatening or violent activity or conduct, and any other conduct that could reasonably be perceived as damaging the Company’s reputation or interfering with its business interests. A termination for Cause may be based on conduct that takes place in or outside the workplace. Cause shall be determined in the sole discretion of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jc w:val="both"/>
        <w:ind w:left="1492" w:hanging="743"/>
        <w:spacing w:after="0" w:line="234" w:lineRule="auto"/>
        <w:tabs>
          <w:tab w:leader="none" w:pos="149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“Compete” shall mean: (i) providing the same or similar services or expertise Participant provided to the Company at any time during the twelve (12) months prior to cessation of employment; (ii) any involvement where Participant will be responsible for managing others, participating in strategic decision-making, engaging in research or development, or personally selling products or services that are the same as or substantially similar to the products or services market, sold, or provided by the Company; or (iii) any other capacity where Participant’s knowledge of the Company’s Confidential Information could provide a competitive advantage to any Competing Business.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492" w:hanging="743"/>
        <w:spacing w:after="0" w:line="273" w:lineRule="auto"/>
        <w:tabs>
          <w:tab w:leader="none" w:pos="1492" w:val="left"/>
        </w:tabs>
        <w:numPr>
          <w:ilvl w:val="1"/>
          <w:numId w:val="136"/>
        </w:numPr>
        <w:rPr>
          <w:rFonts w:ascii="Arial" w:cs="Arial" w:eastAsia="Arial" w:hAnsi="Arial"/>
          <w:sz w:val="19"/>
          <w:szCs w:val="19"/>
          <w:color w:val="auto"/>
        </w:rPr>
      </w:pPr>
      <w:r>
        <w:rPr>
          <w:rFonts w:ascii="Arial" w:cs="Arial" w:eastAsia="Arial" w:hAnsi="Arial"/>
          <w:sz w:val="19"/>
          <w:szCs w:val="19"/>
          <w:color w:val="auto"/>
        </w:rPr>
        <w:t>“Competing Business” shall mean any person or entity in the business of developing, distributing, selling, supplying or otherwise dealing with (including but not limited to technical and product support, professional services, technical advice and other customer services) billing and payment solutions (products and services)</w:t>
      </w:r>
    </w:p>
    <w:p>
      <w:pPr>
        <w:ind w:left="1492"/>
        <w:spacing w:after="0" w:line="231" w:lineRule="auto"/>
        <w:rPr>
          <w:sz w:val="20"/>
          <w:szCs w:val="20"/>
          <w:color w:val="auto"/>
        </w:rPr>
      </w:pPr>
      <w:r>
        <w:rPr>
          <w:rFonts w:ascii="Arial" w:cs="Arial" w:eastAsia="Arial" w:hAnsi="Arial"/>
          <w:sz w:val="22"/>
          <w:szCs w:val="22"/>
          <w:color w:val="auto"/>
        </w:rPr>
        <w:t>that offer</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154305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37" w:right="339" w:bottom="1440" w:gutter="0" w:footer="0" w:header="0"/>
        </w:sectPr>
      </w:pPr>
    </w:p>
    <w:bookmarkStart w:id="198" w:name="page199"/>
    <w:bookmarkEnd w:id="198"/>
    <w:p>
      <w:pPr>
        <w:jc w:val="both"/>
        <w:ind w:left="743"/>
        <w:spacing w:after="0" w:line="252" w:lineRule="auto"/>
        <w:rPr>
          <w:sz w:val="20"/>
          <w:szCs w:val="20"/>
          <w:color w:val="auto"/>
        </w:rPr>
      </w:pPr>
      <w:r>
        <w:rPr>
          <w:rFonts w:ascii="Arial" w:cs="Arial" w:eastAsia="Arial" w:hAnsi="Arial"/>
          <w:sz w:val="21"/>
          <w:szCs w:val="21"/>
          <w:color w:val="auto"/>
        </w:rPr>
        <w:t>billers the ability to send bills via electronic channels, receive payments of all types, reconcile payments in real time, and empower customers to work with a self-service billing portal and any other products or services that could replace and are therefore competitive with those offered by the Company or any predecessor within the two (2) years prior to the cessation of Participant’s employment.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743" w:hanging="743"/>
        <w:spacing w:after="0" w:line="269" w:lineRule="auto"/>
        <w:tabs>
          <w:tab w:leader="none" w:pos="74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“Confidential Information” shall mean sensitive business information having actual or potential value to the Company or its affiliates because it is not generally known to the general public or ascertainable by a Competing Business, and which has been disclosed to Participant, or of which Participant will become aware, as a consequence of the employment with the Company. Confidential Information includes, but is not limited to, the Company’s investment strategies, management planning information, business plans, operational methods, market studies, marketing plans or strategies, patent information, business acquisition plans, past, current and planned research and development, formulas, methods, patterns, processes, procedures, instructions, designs, inventions, operations, engineering, drawings, equipment, devices, technology, software systems, price lists, sales reports and records, sales books and manuals, code books, financial information and projections, personnel data such as compensation, strengths, weaknesses, and experience, names of customers, customer lists and contact information, customer pricing and purchasing information, lists of targeted prospective customers, supplier lists, product/service and marketing data and programs, product/service plans, product development, advertising campaigns, new product designs or roll out, agreements with third parties, or any information designated by the Company as being “confidential.” Confidential Information may be in written or non-written form, as well as information held on electronic media or networks, magnetic storage, cloud storage service, or other similar media. The Company has invested and will continue to invest extensive time, resources, talent, and effort to develop its Confidential Information, all of which generates goodwill for the Company. Participant acknowledges that the Company has taken reasonable and adequate steps to control access to the Confidential Information and to prevent unauthorized disclosure, which could cause injury to the Company. This definition shall not limit any broader definition of “confidential information” or any equivalent term under applicable state or federal law. Confidential Information shall not include any information that (i) is or becomes generally available to the public other than as a result of an unauthorized or unintentional disclosure, (ii) has been independently developed and disclosed by others without violating any obligations to the Company or applicable law, or (iii) otherwise enters the public domain through lawful means.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743" w:hanging="743"/>
        <w:spacing w:after="0" w:line="273" w:lineRule="auto"/>
        <w:tabs>
          <w:tab w:leader="none" w:pos="74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“Customer” of the Company shall mean any business or entity that agreed, verbally or in writing, to purchase products or services from the Company or actually purchased products or services from the Company within the twelve (12) months preceding the cessation of Participant’s employment with the Company.</w:t>
      </w:r>
    </w:p>
    <w:p>
      <w:pPr>
        <w:spacing w:after="0" w:line="1" w:lineRule="exact"/>
        <w:rPr>
          <w:sz w:val="20"/>
          <w:szCs w:val="20"/>
          <w:color w:val="auto"/>
        </w:rPr>
      </w:pPr>
    </w:p>
    <w:p>
      <w:pPr>
        <w:ind w:left="4743"/>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154305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7" w:right="339" w:bottom="1440" w:gutter="0" w:footer="0" w:header="0"/>
        </w:sectPr>
      </w:pPr>
    </w:p>
    <w:bookmarkStart w:id="199" w:name="page200"/>
    <w:bookmarkEnd w:id="199"/>
    <w:p>
      <w:pPr>
        <w:ind w:left="743" w:hanging="743"/>
        <w:spacing w:after="0" w:line="250" w:lineRule="auto"/>
        <w:tabs>
          <w:tab w:leader="none" w:pos="74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term “employment” shall include service as an employee, consultant, or other service provider of the Company or any Subsidiary or Parent of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743" w:hanging="743"/>
        <w:spacing w:after="0" w:line="273" w:lineRule="auto"/>
        <w:tabs>
          <w:tab w:leader="none" w:pos="74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Participant will be deemed to have had “Material Contact” with any Customer or Prospective Customer of the Company if, in the twelve (12) months prior to the cessation of Participant’s employment with the Company, the Customer or Prospective Customer is one: (i) with whom or which Participant dealt on behalf of the Company;</w:t>
      </w:r>
    </w:p>
    <w:p>
      <w:pPr>
        <w:spacing w:after="0" w:line="1" w:lineRule="exact"/>
        <w:rPr>
          <w:rFonts w:ascii="Arial" w:cs="Arial" w:eastAsia="Arial" w:hAnsi="Arial"/>
          <w:sz w:val="19"/>
          <w:szCs w:val="19"/>
          <w:color w:val="auto"/>
        </w:rPr>
      </w:pPr>
    </w:p>
    <w:p>
      <w:pPr>
        <w:jc w:val="both"/>
        <w:ind w:left="743" w:firstLine="6"/>
        <w:spacing w:after="0" w:line="280" w:lineRule="auto"/>
        <w:tabs>
          <w:tab w:leader="none" w:pos="1122" w:val="left"/>
        </w:tabs>
        <w:numPr>
          <w:ilvl w:val="1"/>
          <w:numId w:val="138"/>
        </w:numPr>
        <w:rPr>
          <w:rFonts w:ascii="Arial" w:cs="Arial" w:eastAsia="Arial" w:hAnsi="Arial"/>
          <w:sz w:val="19"/>
          <w:szCs w:val="19"/>
          <w:color w:val="auto"/>
        </w:rPr>
      </w:pPr>
      <w:r>
        <w:rPr>
          <w:rFonts w:ascii="Arial" w:cs="Arial" w:eastAsia="Arial" w:hAnsi="Arial"/>
          <w:sz w:val="19"/>
          <w:szCs w:val="19"/>
          <w:color w:val="auto"/>
        </w:rPr>
        <w:t>whose dealings with the Company were coordinated or supervised by Participant; (iii) about whom Participant obtained Confidential Information in the ordinary course of business as a result of Participant’s employment with the Company; or (iv) who received products or services authorized by the Company, the sale or provision of which resulted in compensation, commissions, or earnings for Participant.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left="743" w:hanging="743"/>
        <w:spacing w:after="0" w:line="238" w:lineRule="auto"/>
        <w:tabs>
          <w:tab w:leader="none" w:pos="74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“Prospective Customer” shall mean any business or entity that is not a Customer, but to whom Participant provided a bid, quote for products or services, or about whom Participant obtained Confidential Information for the purposes of securing a sale, during the twelve (12) months preceding cessation of Participant’s employment with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jc w:val="both"/>
        <w:ind w:left="743" w:hanging="743"/>
        <w:spacing w:after="0" w:line="274" w:lineRule="auto"/>
        <w:tabs>
          <w:tab w:leader="none" w:pos="74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“Protected Employee” shall mean any employee of the Company who has access to or knowledge of the Company’s Confidential Information, such that their employment with or engagement by a Competing Business could result in unfair competition with or damage to the Company, and (i) with whom Participant had material, business-related contact in the last twelve (12) months prior to Participant’s cessation of employment with the Company; or (ii) about whom Participant obtained Confidential Information in the regular course of business in the last twelve (12) months prior to Participant’s cessation of employment with the Company. “Protected Employee” applies only to those individuals actually employed by the Company at the time of the conduct prohibited by Section 4 of this Restrictive Covenants Addendum, or who were employed by the Company within three (3) months prior to the conduct prohibited by Section 4.</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743" w:hanging="743"/>
        <w:spacing w:after="0" w:line="250" w:lineRule="auto"/>
        <w:tabs>
          <w:tab w:leader="none" w:pos="74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“Restricted Period” shall mean the entire period of Participant’s employment with the Company and a twelve (12) month period immediately following the cessation of Participant’s employment.</w:t>
      </w:r>
    </w:p>
    <w:p>
      <w:pPr>
        <w:spacing w:after="0" w:line="377" w:lineRule="exact"/>
        <w:rPr>
          <w:sz w:val="20"/>
          <w:szCs w:val="20"/>
          <w:color w:val="auto"/>
        </w:rPr>
      </w:pPr>
    </w:p>
    <w:p>
      <w:pPr>
        <w:ind w:left="4743"/>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165735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96" w:right="339" w:bottom="1440" w:gutter="0" w:footer="0" w:header="0"/>
        </w:sectPr>
      </w:pPr>
    </w:p>
    <w:bookmarkStart w:id="200" w:name="page201"/>
    <w:bookmarkEnd w:id="200"/>
    <w:p>
      <w:pPr>
        <w:jc w:val="both"/>
        <w:ind w:left="1492" w:hanging="743"/>
        <w:spacing w:after="0" w:line="279" w:lineRule="auto"/>
        <w:tabs>
          <w:tab w:leader="none" w:pos="1492" w:val="left"/>
        </w:tabs>
        <w:numPr>
          <w:ilvl w:val="1"/>
          <w:numId w:val="139"/>
        </w:numPr>
        <w:rPr>
          <w:rFonts w:ascii="Arial" w:cs="Arial" w:eastAsia="Arial" w:hAnsi="Arial"/>
          <w:sz w:val="19"/>
          <w:szCs w:val="19"/>
          <w:color w:val="auto"/>
        </w:rPr>
      </w:pPr>
      <w:r>
        <w:rPr>
          <w:rFonts w:ascii="Arial" w:cs="Arial" w:eastAsia="Arial" w:hAnsi="Arial"/>
          <w:sz w:val="19"/>
          <w:szCs w:val="19"/>
          <w:color w:val="auto"/>
        </w:rPr>
        <w:t>“Restricted Territory” shall mean (i) Participant’s designated territory or area of responsibility as of the cessation of Participant’s employment with the Company; and (ii) the geographic areas in which Participant, during any time in the last twelve (12) months of employment with the Company, provided services or had a material presence or influence. Acts done by Participant outside the “Restricted Territory” shall be deemed to be done within the “Restricted Territory” where their primary purpose or effect is to compete with the Company on behalf of a Competing Business within the “Restricted Territory.”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752" w:hanging="752"/>
        <w:spacing w:after="0" w:line="239" w:lineRule="auto"/>
        <w:tabs>
          <w:tab w:leader="none" w:pos="752" w:val="left"/>
        </w:tabs>
        <w:numPr>
          <w:ilvl w:val="0"/>
          <w:numId w:val="14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Participant’s right to consult with counsel</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acknowledges that Participant has been provided an</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and has been made aware of Participant’s right, to consult with counsel of their choosing at Participant’s expense prior to entering into the Award Agreement, including specifically (but without limitation) the restrictive covenants in this Restrictive Covenants Addendum.</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39" w:lineRule="exact"/>
        <w:rPr>
          <w:rFonts w:ascii="Arial" w:cs="Arial" w:eastAsia="Arial" w:hAnsi="Arial"/>
          <w:sz w:val="22"/>
          <w:szCs w:val="22"/>
          <w:b w:val="1"/>
          <w:bCs w:val="1"/>
          <w:u w:val="single" w:color="auto"/>
          <w:color w:val="auto"/>
        </w:rPr>
      </w:pPr>
    </w:p>
    <w:p>
      <w:pPr>
        <w:jc w:val="both"/>
        <w:ind w:left="752" w:hanging="752"/>
        <w:spacing w:after="0" w:line="275" w:lineRule="auto"/>
        <w:tabs>
          <w:tab w:leader="none" w:pos="752" w:val="left"/>
        </w:tabs>
        <w:numPr>
          <w:ilvl w:val="0"/>
          <w:numId w:val="14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Notification of New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Before Participant accepts employment or enters into any consulting,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 or other professional or business engagement with any other person or entity while any of the provisions of this Restrictive Covenants Addendum are in effect, Participant will provide such person or entity with written notice of the provisions of this Restrictive Covenants Addendum and will deliver a copy of that notice to the Company. While any of the restrictive covenant provisions of this Restrictive Covenants Addendum are in effect, Participant agrees that, upon the request of the Company, Participant will furnish the Company with the name and address of any new employer or entity for whom Participant provides contractor or consulting services, as well as the capacity in which Participant will be employed or otherwise engaged. Participant hereby consents to the Company’s notifying Participant’s new employer about Participant’s responsibilities, restrictions and obligations under this Restrictive Covenants Addendum.</w:t>
      </w:r>
    </w:p>
    <w:p>
      <w:pPr>
        <w:spacing w:after="0" w:line="200" w:lineRule="exact"/>
        <w:rPr>
          <w:rFonts w:ascii="Arial" w:cs="Arial" w:eastAsia="Arial" w:hAnsi="Arial"/>
          <w:sz w:val="19"/>
          <w:szCs w:val="19"/>
          <w:b w:val="1"/>
          <w:bCs w:val="1"/>
          <w:u w:val="single" w:color="auto"/>
          <w:color w:val="auto"/>
        </w:rPr>
      </w:pPr>
    </w:p>
    <w:p>
      <w:pPr>
        <w:spacing w:after="0" w:line="200" w:lineRule="exact"/>
        <w:rPr>
          <w:rFonts w:ascii="Arial" w:cs="Arial" w:eastAsia="Arial" w:hAnsi="Arial"/>
          <w:sz w:val="19"/>
          <w:szCs w:val="19"/>
          <w:b w:val="1"/>
          <w:bCs w:val="1"/>
          <w:u w:val="single" w:color="auto"/>
          <w:color w:val="auto"/>
        </w:rPr>
      </w:pPr>
    </w:p>
    <w:p>
      <w:pPr>
        <w:spacing w:after="0" w:line="208" w:lineRule="exact"/>
        <w:rPr>
          <w:rFonts w:ascii="Arial" w:cs="Arial" w:eastAsia="Arial" w:hAnsi="Arial"/>
          <w:sz w:val="19"/>
          <w:szCs w:val="19"/>
          <w:b w:val="1"/>
          <w:bCs w:val="1"/>
          <w:u w:val="single" w:color="auto"/>
          <w:color w:val="auto"/>
        </w:rPr>
      </w:pPr>
    </w:p>
    <w:p>
      <w:pPr>
        <w:jc w:val="both"/>
        <w:ind w:left="752" w:hanging="752"/>
        <w:spacing w:after="0" w:line="235" w:lineRule="auto"/>
        <w:tabs>
          <w:tab w:leader="none" w:pos="752" w:val="left"/>
        </w:tabs>
        <w:numPr>
          <w:ilvl w:val="0"/>
          <w:numId w:val="14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State Law Exceptions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acknowledges and agrees that, in certain states the covenants contained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Covenants Addendum may have limited or no applicability. The Company intends for this Restrictive Covenants Addendum to comply fully with state and local laws and, as such, acknowledges that this Restrictive Covenants Addendum is limited or not applicable in the following states. To the extent that there are additional limitations not acknowledged herein, the Company intends for this</w:t>
      </w:r>
    </w:p>
    <w:p>
      <w:pPr>
        <w:jc w:val="both"/>
        <w:ind w:left="752"/>
        <w:spacing w:after="0" w:line="233" w:lineRule="auto"/>
        <w:rPr>
          <w:rFonts w:ascii="Arial" w:cs="Arial" w:eastAsia="Arial" w:hAnsi="Arial"/>
          <w:sz w:val="22"/>
          <w:szCs w:val="22"/>
          <w:b w:val="1"/>
          <w:bCs w:val="1"/>
          <w:u w:val="single" w:color="auto"/>
          <w:color w:val="auto"/>
        </w:rPr>
      </w:pPr>
      <w:r>
        <w:rPr>
          <w:rFonts w:ascii="Arial" w:cs="Arial" w:eastAsia="Arial" w:hAnsi="Arial"/>
          <w:sz w:val="22"/>
          <w:szCs w:val="22"/>
          <w:color w:val="auto"/>
        </w:rPr>
        <w:t>Restrictive Covenants Addendum to be read and applied in full compliance with applicable state laws. Further, to the extent any state not listed limits enforceability of a covenant if Participant’s annual compensation is insufficient for enforceable post-employment non-competition or non-solicitation restrictions, such limitation is incorporated by reference.</w:t>
      </w:r>
    </w:p>
    <w:p>
      <w:pPr>
        <w:spacing w:after="0" w:line="187" w:lineRule="exact"/>
        <w:rPr>
          <w:rFonts w:ascii="Arial" w:cs="Arial" w:eastAsia="Arial" w:hAnsi="Arial"/>
          <w:sz w:val="22"/>
          <w:szCs w:val="22"/>
          <w:b w:val="1"/>
          <w:bCs w:val="1"/>
          <w:u w:val="single" w:color="auto"/>
          <w:color w:val="auto"/>
        </w:rPr>
      </w:pPr>
    </w:p>
    <w:p>
      <w:pPr>
        <w:ind w:left="1492" w:hanging="743"/>
        <w:spacing w:after="0"/>
        <w:tabs>
          <w:tab w:leader="none" w:pos="1492"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Arizona</w:t>
      </w:r>
      <w:r>
        <w:rPr>
          <w:rFonts w:ascii="Arial" w:cs="Arial" w:eastAsia="Arial" w:hAnsi="Arial"/>
          <w:sz w:val="19"/>
          <w:szCs w:val="19"/>
          <w:color w:val="auto"/>
        </w:rPr>
        <w:t>. If Participant’s primary work location is in Arizona as of the date Participant’s employment with the</w:t>
      </w:r>
    </w:p>
    <w:p>
      <w:pPr>
        <w:spacing w:after="0" w:line="33" w:lineRule="exact"/>
        <w:rPr>
          <w:sz w:val="20"/>
          <w:szCs w:val="20"/>
          <w:color w:val="auto"/>
        </w:rPr>
      </w:pPr>
    </w:p>
    <w:p>
      <w:pPr>
        <w:ind w:left="1492"/>
        <w:spacing w:after="0"/>
        <w:rPr>
          <w:sz w:val="20"/>
          <w:szCs w:val="20"/>
          <w:color w:val="auto"/>
        </w:rPr>
      </w:pPr>
      <w:r>
        <w:rPr>
          <w:rFonts w:ascii="Arial" w:cs="Arial" w:eastAsia="Arial" w:hAnsi="Arial"/>
          <w:sz w:val="22"/>
          <w:szCs w:val="22"/>
          <w:color w:val="auto"/>
        </w:rPr>
        <w:t>Company ceases, Sections 3 and 4 of this Restrictive Covenants</w:t>
      </w:r>
    </w:p>
    <w:p>
      <w:pPr>
        <w:ind w:left="5492"/>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154305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37" w:right="339" w:bottom="1440" w:gutter="0" w:footer="0" w:header="0"/>
        </w:sectPr>
      </w:pPr>
    </w:p>
    <w:bookmarkStart w:id="201" w:name="page202"/>
    <w:bookmarkEnd w:id="201"/>
    <w:p>
      <w:pPr>
        <w:ind w:left="743"/>
        <w:spacing w:after="0"/>
        <w:rPr>
          <w:sz w:val="20"/>
          <w:szCs w:val="20"/>
          <w:color w:val="auto"/>
        </w:rPr>
      </w:pPr>
      <w:r>
        <w:rPr>
          <w:rFonts w:ascii="Arial" w:cs="Arial" w:eastAsia="Arial" w:hAnsi="Arial"/>
          <w:sz w:val="19"/>
          <w:szCs w:val="19"/>
          <w:color w:val="auto"/>
        </w:rPr>
        <w:t>Addendum will prohibit Participant from engaging in the conduct described only in the “Restricted Territory.”</w:t>
      </w:r>
    </w:p>
    <w:p>
      <w:pPr>
        <w:spacing w:after="0" w:line="241" w:lineRule="exact"/>
        <w:rPr>
          <w:sz w:val="20"/>
          <w:szCs w:val="20"/>
          <w:color w:val="auto"/>
        </w:rPr>
      </w:pPr>
    </w:p>
    <w:p>
      <w:pPr>
        <w:jc w:val="both"/>
        <w:ind w:left="743" w:hanging="743"/>
        <w:spacing w:after="0" w:line="287" w:lineRule="auto"/>
        <w:tabs>
          <w:tab w:leader="none" w:pos="743"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California</w:t>
      </w:r>
      <w:r>
        <w:rPr>
          <w:rFonts w:ascii="Arial" w:cs="Arial" w:eastAsia="Arial" w:hAnsi="Arial"/>
          <w:sz w:val="19"/>
          <w:szCs w:val="19"/>
          <w:color w:val="auto"/>
        </w:rPr>
        <w:t>. If Participant’s primary work location is in California as of the date Participant’s employment with the Company ceases, Sections 2, 3, 4 and 6 of this Restrictive Covenants Addendum do not apply to Participant after Participant’s last day of employment. Further, Section 5 of this Restrictive Covenants Addendum shall provide for attorneys’ fees to the prevailing party as required under California Civil Code § 1717.</w:t>
      </w:r>
    </w:p>
    <w:p>
      <w:pPr>
        <w:spacing w:after="0" w:line="142" w:lineRule="exact"/>
        <w:rPr>
          <w:rFonts w:ascii="Arial" w:cs="Arial" w:eastAsia="Arial" w:hAnsi="Arial"/>
          <w:sz w:val="19"/>
          <w:szCs w:val="19"/>
          <w:color w:val="auto"/>
        </w:rPr>
      </w:pPr>
    </w:p>
    <w:p>
      <w:pPr>
        <w:jc w:val="both"/>
        <w:ind w:left="743" w:hanging="743"/>
        <w:spacing w:after="0" w:line="297" w:lineRule="auto"/>
        <w:tabs>
          <w:tab w:leader="none" w:pos="743"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Connecticut</w:t>
      </w:r>
      <w:r>
        <w:rPr>
          <w:rFonts w:ascii="Arial" w:cs="Arial" w:eastAsia="Arial" w:hAnsi="Arial"/>
          <w:sz w:val="19"/>
          <w:szCs w:val="19"/>
          <w:color w:val="auto"/>
        </w:rPr>
        <w:t>. If Participant’s primary work location is in Connecticut, Section 1 of this Restrictive Covenants Addendum shall not be interpreted to preclude Participant from discussing at any time the compensation of any employee of the Company who has voluntarily disclosed that compensation information to Participant.</w:t>
      </w:r>
    </w:p>
    <w:p>
      <w:pPr>
        <w:spacing w:after="0" w:line="133" w:lineRule="exact"/>
        <w:rPr>
          <w:rFonts w:ascii="Arial" w:cs="Arial" w:eastAsia="Arial" w:hAnsi="Arial"/>
          <w:sz w:val="19"/>
          <w:szCs w:val="19"/>
          <w:color w:val="auto"/>
        </w:rPr>
      </w:pPr>
    </w:p>
    <w:p>
      <w:pPr>
        <w:jc w:val="both"/>
        <w:ind w:left="743" w:right="20" w:hanging="743"/>
        <w:spacing w:after="0"/>
        <w:tabs>
          <w:tab w:leader="none" w:pos="743"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Florida</w:t>
      </w:r>
      <w:r>
        <w:rPr>
          <w:rFonts w:ascii="Arial" w:cs="Arial" w:eastAsia="Arial" w:hAnsi="Arial"/>
          <w:sz w:val="22"/>
          <w:szCs w:val="22"/>
          <w:color w:val="auto"/>
        </w:rPr>
        <w:t>. If Participant’s primary work location is in Florida as of the date Participant’s employment with the Company ceases, then the phrase “and without necessity of posting bond” shall be struck from Section 5 of this Restrictive Covenants Addendum.</w:t>
      </w:r>
    </w:p>
    <w:p>
      <w:pPr>
        <w:spacing w:after="0" w:line="186" w:lineRule="exact"/>
        <w:rPr>
          <w:rFonts w:ascii="Arial" w:cs="Arial" w:eastAsia="Arial" w:hAnsi="Arial"/>
          <w:sz w:val="22"/>
          <w:szCs w:val="22"/>
          <w:color w:val="auto"/>
        </w:rPr>
      </w:pPr>
    </w:p>
    <w:p>
      <w:pPr>
        <w:jc w:val="both"/>
        <w:ind w:left="743" w:hanging="743"/>
        <w:spacing w:after="0" w:line="238" w:lineRule="auto"/>
        <w:tabs>
          <w:tab w:leader="none" w:pos="743"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Hawaii</w:t>
      </w:r>
      <w:r>
        <w:rPr>
          <w:rFonts w:ascii="Arial" w:cs="Arial" w:eastAsia="Arial" w:hAnsi="Arial"/>
          <w:sz w:val="22"/>
          <w:szCs w:val="22"/>
          <w:color w:val="auto"/>
        </w:rPr>
        <w:t>. If Participant’s primary work location is in Hawaii as of the date Participant’s employment with the Company ceases, then after the last day of employment the restrictions in Section 2 of this Restrictive Covenants Addendum will apply geographically only to the specific island(s) within the State of Hawaii for which Participant had managerial and/or sales responsibility.</w:t>
      </w:r>
    </w:p>
    <w:p>
      <w:pPr>
        <w:spacing w:after="0" w:line="184" w:lineRule="exact"/>
        <w:rPr>
          <w:rFonts w:ascii="Arial" w:cs="Arial" w:eastAsia="Arial" w:hAnsi="Arial"/>
          <w:sz w:val="22"/>
          <w:szCs w:val="22"/>
          <w:color w:val="auto"/>
        </w:rPr>
      </w:pPr>
    </w:p>
    <w:p>
      <w:pPr>
        <w:jc w:val="both"/>
        <w:ind w:left="743" w:hanging="743"/>
        <w:spacing w:after="0" w:line="245" w:lineRule="auto"/>
        <w:tabs>
          <w:tab w:leader="none" w:pos="743"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Idaho</w:t>
      </w:r>
      <w:r>
        <w:rPr>
          <w:rFonts w:ascii="Arial" w:cs="Arial" w:eastAsia="Arial" w:hAnsi="Arial"/>
          <w:sz w:val="21"/>
          <w:szCs w:val="21"/>
          <w:color w:val="auto"/>
        </w:rPr>
        <w:t>. If Participant’s primary work location is in Idaho as of the date Participant’s employment with the Company ceases, then after the last day of employment the restrictions in Sections 2, 3, and 4 of this Restrictive Covenants Addendum shall apply only if Participant is a “key employee.” As used herein, the phrase “key employee” means an employee who, by reason of the employer’s investment of time, money, trust, exposure to the public, or exposure to technologies, intellectual property, business plans, business processes and methods of operation, customers, vendors or other business relationships during the course of employment, has gained a high level of inside knowledge, influence, credibility, notoriety, fame, reputation or public persona as a representative or spokesperson of the employer and, as a result, has the ability to harm or threaten an employer’s legitimate business interests.</w:t>
      </w:r>
    </w:p>
    <w:p>
      <w:pPr>
        <w:spacing w:after="0" w:line="184" w:lineRule="exact"/>
        <w:rPr>
          <w:rFonts w:ascii="Arial" w:cs="Arial" w:eastAsia="Arial" w:hAnsi="Arial"/>
          <w:sz w:val="21"/>
          <w:szCs w:val="21"/>
          <w:color w:val="auto"/>
        </w:rPr>
      </w:pPr>
    </w:p>
    <w:p>
      <w:pPr>
        <w:jc w:val="both"/>
        <w:ind w:left="743" w:hanging="743"/>
        <w:spacing w:after="0" w:line="271" w:lineRule="auto"/>
        <w:tabs>
          <w:tab w:leader="none" w:pos="743"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Nebraska</w:t>
      </w:r>
      <w:r>
        <w:rPr>
          <w:rFonts w:ascii="Arial" w:cs="Arial" w:eastAsia="Arial" w:hAnsi="Arial"/>
          <w:sz w:val="19"/>
          <w:szCs w:val="19"/>
          <w:color w:val="auto"/>
        </w:rPr>
        <w:t>. If Participant’s primary work location is in Nebraska as of the date Participant’s employment with the Company ceases, then after the last day of employment the restrictions in Section 2 of this Restrictive Covenants Addendum will not apply. After Participant’s employment with the Company ceases, the restrictions of Section 3 of this Restrictive Covenants Addendum will only apply to the Company’s current Customers, and</w:t>
      </w:r>
    </w:p>
    <w:p>
      <w:pPr>
        <w:spacing w:after="0" w:line="3" w:lineRule="exact"/>
        <w:rPr>
          <w:sz w:val="20"/>
          <w:szCs w:val="20"/>
          <w:color w:val="auto"/>
        </w:rPr>
      </w:pPr>
    </w:p>
    <w:p>
      <w:pPr>
        <w:jc w:val="both"/>
        <w:ind w:left="743"/>
        <w:spacing w:after="0" w:line="230" w:lineRule="auto"/>
        <w:rPr>
          <w:sz w:val="20"/>
          <w:szCs w:val="20"/>
          <w:color w:val="auto"/>
        </w:rPr>
      </w:pPr>
      <w:r>
        <w:rPr>
          <w:rFonts w:ascii="Arial" w:cs="Arial" w:eastAsia="Arial" w:hAnsi="Arial"/>
          <w:sz w:val="22"/>
          <w:szCs w:val="22"/>
          <w:color w:val="auto"/>
        </w:rPr>
        <w:t>not to Prospective Customers. Also after Participant’s employment with the Company ceases, (1) the definition of “Customer” in Section 7(f) of this Restrictive Covenants Addendum shall only apply to any business or entity that is a current customer of the Company; (2) the definition of “Material Contact” in Section 7(h) of this Restrictive Covenants Addendum shall mean doing business and</w:t>
      </w:r>
    </w:p>
    <w:p>
      <w:pPr>
        <w:spacing w:after="0" w:line="2" w:lineRule="exact"/>
        <w:rPr>
          <w:sz w:val="20"/>
          <w:szCs w:val="20"/>
          <w:color w:val="auto"/>
        </w:rPr>
      </w:pPr>
    </w:p>
    <w:p>
      <w:pPr>
        <w:ind w:left="4743"/>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154305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7" w:right="339" w:bottom="1440" w:gutter="0" w:footer="0" w:header="0"/>
        </w:sectPr>
      </w:pPr>
    </w:p>
    <w:bookmarkStart w:id="202" w:name="page203"/>
    <w:bookmarkEnd w:id="202"/>
    <w:p>
      <w:pPr>
        <w:jc w:val="both"/>
        <w:ind w:left="743"/>
        <w:spacing w:after="0" w:line="279" w:lineRule="auto"/>
        <w:rPr>
          <w:sz w:val="20"/>
          <w:szCs w:val="20"/>
          <w:color w:val="auto"/>
        </w:rPr>
      </w:pPr>
      <w:r>
        <w:rPr>
          <w:rFonts w:ascii="Arial" w:cs="Arial" w:eastAsia="Arial" w:hAnsi="Arial"/>
          <w:sz w:val="19"/>
          <w:szCs w:val="19"/>
          <w:color w:val="auto"/>
        </w:rPr>
        <w:t>having personal contact with Customers during Participant’s employment with the Company; and (3) the definition of “Protected Employee” in Section 7(j) of this Restrictive Covenants Addendum shall mean any employee of the Company whom Participant had material business-related contact during Participant’s employment with the Company, and who is actually employed by the Company at the time of the conduct prohibited by Section 4 of this Restrictive Covenants Addendum, or who were employed by the Company within three (3) months prior to the contact prohibited by Section 4 of this Restrictive Covenants Addendum.</w:t>
      </w:r>
    </w:p>
    <w:p>
      <w:pPr>
        <w:spacing w:after="0" w:line="150" w:lineRule="exact"/>
        <w:rPr>
          <w:sz w:val="20"/>
          <w:szCs w:val="20"/>
          <w:color w:val="auto"/>
        </w:rPr>
      </w:pPr>
    </w:p>
    <w:p>
      <w:pPr>
        <w:jc w:val="both"/>
        <w:ind w:left="743" w:hanging="743"/>
        <w:spacing w:after="0"/>
        <w:tabs>
          <w:tab w:leader="none" w:pos="743"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Tennessee</w:t>
      </w:r>
      <w:r>
        <w:rPr>
          <w:rFonts w:ascii="Arial" w:cs="Arial" w:eastAsia="Arial" w:hAnsi="Arial"/>
          <w:sz w:val="22"/>
          <w:szCs w:val="22"/>
          <w:color w:val="auto"/>
        </w:rPr>
        <w:t>. If Participant’s primary work location is in Tennessee as of the date Participant’s employment with the Company ceases, Sections 3 and 4 of this Restrictive Covenants Addendum will prohibit Participant from engaging in the conduct described only in the “Restricted Territory.”</w:t>
      </w:r>
    </w:p>
    <w:p>
      <w:pPr>
        <w:spacing w:after="0" w:line="186" w:lineRule="exact"/>
        <w:rPr>
          <w:rFonts w:ascii="Arial" w:cs="Arial" w:eastAsia="Arial" w:hAnsi="Arial"/>
          <w:sz w:val="22"/>
          <w:szCs w:val="22"/>
          <w:color w:val="auto"/>
        </w:rPr>
      </w:pPr>
    </w:p>
    <w:p>
      <w:pPr>
        <w:jc w:val="both"/>
        <w:ind w:left="743" w:hanging="743"/>
        <w:spacing w:after="0" w:line="234" w:lineRule="auto"/>
        <w:tabs>
          <w:tab w:leader="none" w:pos="743"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Virginia</w:t>
      </w:r>
      <w:r>
        <w:rPr>
          <w:rFonts w:ascii="Arial" w:cs="Arial" w:eastAsia="Arial" w:hAnsi="Arial"/>
          <w:sz w:val="22"/>
          <w:szCs w:val="22"/>
          <w:color w:val="auto"/>
        </w:rPr>
        <w:t>. If Participant’s primary work location is in Virginia, then: (i) at any time that Participant is a “low-wage employee” within the meaning of Virginia Code § 40.1-28.7:8, Section 2 of this Restrictive Covenants Addendum does not apply and Section 3 of this Restrictive Covenants Addendum is modified by deleting the phrase “or otherwise accept business from”; and (ii) as of the date Participant’s employment with the Company ceases, “Compete” as defined in Section 7(c), shall mean: providing the same or similar services or expertise Participant provided to the Company at any time during the twelve (12) months prior to cessation of employment.</w:t>
      </w:r>
    </w:p>
    <w:p>
      <w:pPr>
        <w:spacing w:after="0" w:line="393" w:lineRule="exact"/>
        <w:rPr>
          <w:sz w:val="20"/>
          <w:szCs w:val="20"/>
          <w:color w:val="auto"/>
        </w:rPr>
      </w:pPr>
    </w:p>
    <w:p>
      <w:pPr>
        <w:ind w:left="4743"/>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165735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7" w:right="3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720" w:type="dxa"/>
            <w:vAlign w:val="bottom"/>
            <w:gridSpan w:val="2"/>
          </w:tcPr>
          <w:p>
            <w:pPr>
              <w:ind w:left="3720"/>
              <w:spacing w:after="0"/>
              <w:rPr>
                <w:sz w:val="20"/>
                <w:szCs w:val="20"/>
                <w:color w:val="auto"/>
              </w:rPr>
            </w:pPr>
            <w:r>
              <w:rPr>
                <w:rFonts w:ascii="Arial" w:cs="Arial" w:eastAsia="Arial" w:hAnsi="Arial"/>
                <w:sz w:val="18"/>
                <w:szCs w:val="18"/>
                <w:b w:val="1"/>
                <w:bCs w:val="1"/>
                <w:color w:val="auto"/>
                <w:w w:val="97"/>
              </w:rPr>
              <w:t>Exhibit 21.1</w:t>
            </w:r>
          </w:p>
        </w:tc>
      </w:tr>
      <w:tr>
        <w:trPr>
          <w:trHeight w:val="405"/>
        </w:trPr>
        <w:tc>
          <w:tcPr>
            <w:tcW w:w="2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4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SUBSIDIARIES OF PAYMENTUS HOLDINGS, INC.</w:t>
            </w:r>
          </w:p>
        </w:tc>
      </w:tr>
      <w:tr>
        <w:trPr>
          <w:trHeight w:val="364"/>
        </w:trPr>
        <w:tc>
          <w:tcPr>
            <w:tcW w:w="3200" w:type="dxa"/>
            <w:vAlign w:val="bottom"/>
            <w:gridSpan w:val="3"/>
          </w:tcPr>
          <w:p>
            <w:pPr>
              <w:ind w:left="2480"/>
              <w:spacing w:after="0"/>
              <w:rPr>
                <w:sz w:val="20"/>
                <w:szCs w:val="20"/>
                <w:color w:val="auto"/>
              </w:rPr>
            </w:pPr>
            <w:r>
              <w:rPr>
                <w:rFonts w:ascii="Arial" w:cs="Arial" w:eastAsia="Arial" w:hAnsi="Arial"/>
                <w:sz w:val="18"/>
                <w:szCs w:val="18"/>
                <w:b w:val="1"/>
                <w:bCs w:val="1"/>
                <w:color w:val="auto"/>
              </w:rPr>
              <w:t>Name</w:t>
            </w:r>
          </w:p>
        </w:tc>
        <w:tc>
          <w:tcPr>
            <w:tcW w:w="3220" w:type="dxa"/>
            <w:vAlign w:val="bottom"/>
          </w:tcPr>
          <w:p>
            <w:pPr>
              <w:spacing w:after="0"/>
              <w:rPr>
                <w:sz w:val="24"/>
                <w:szCs w:val="24"/>
                <w:color w:val="auto"/>
              </w:rPr>
            </w:pPr>
          </w:p>
        </w:tc>
        <w:tc>
          <w:tcPr>
            <w:tcW w:w="47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9"/>
              </w:rPr>
              <w:t>Jurisdiction of Incorporation or Organization</w:t>
            </w: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Paymentus Group, Inc.</w:t>
            </w: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900" w:type="dxa"/>
            <w:vAlign w:val="bottom"/>
          </w:tcPr>
          <w:p>
            <w:pPr>
              <w:spacing w:after="0"/>
              <w:rPr>
                <w:sz w:val="19"/>
                <w:szCs w:val="19"/>
                <w:color w:val="auto"/>
              </w:rPr>
            </w:pP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Paymentus Acquisition Corp. (1).</w:t>
            </w:r>
          </w:p>
        </w:tc>
        <w:tc>
          <w:tcPr>
            <w:tcW w:w="3220" w:type="dxa"/>
            <w:vAlign w:val="bottom"/>
          </w:tcPr>
          <w:p>
            <w:pPr>
              <w:spacing w:after="0"/>
              <w:rPr>
                <w:sz w:val="19"/>
                <w:szCs w:val="19"/>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Delaware</w:t>
            </w:r>
          </w:p>
        </w:tc>
      </w:tr>
      <w:tr>
        <w:trPr>
          <w:trHeight w:val="203"/>
        </w:trPr>
        <w:tc>
          <w:tcPr>
            <w:tcW w:w="3200" w:type="dxa"/>
            <w:vAlign w:val="bottom"/>
            <w:gridSpan w:val="3"/>
          </w:tcPr>
          <w:p>
            <w:pPr>
              <w:spacing w:after="0" w:line="202" w:lineRule="exact"/>
              <w:rPr>
                <w:sz w:val="20"/>
                <w:szCs w:val="20"/>
                <w:color w:val="auto"/>
              </w:rPr>
            </w:pPr>
            <w:r>
              <w:rPr>
                <w:rFonts w:ascii="Arial" w:cs="Arial" w:eastAsia="Arial" w:hAnsi="Arial"/>
                <w:sz w:val="18"/>
                <w:szCs w:val="18"/>
                <w:color w:val="auto"/>
              </w:rPr>
              <w:t>Paymentus (Canada) Corporation (2)</w:t>
            </w:r>
          </w:p>
        </w:tc>
        <w:tc>
          <w:tcPr>
            <w:tcW w:w="3220" w:type="dxa"/>
            <w:vAlign w:val="bottom"/>
          </w:tcPr>
          <w:p>
            <w:pPr>
              <w:spacing w:after="0"/>
              <w:rPr>
                <w:sz w:val="17"/>
                <w:szCs w:val="17"/>
                <w:color w:val="auto"/>
              </w:rPr>
            </w:pPr>
          </w:p>
        </w:tc>
        <w:tc>
          <w:tcPr>
            <w:tcW w:w="4720" w:type="dxa"/>
            <w:vAlign w:val="bottom"/>
            <w:gridSpan w:val="2"/>
          </w:tcPr>
          <w:p>
            <w:pPr>
              <w:jc w:val="center"/>
              <w:ind w:right="900"/>
              <w:spacing w:after="0" w:line="202" w:lineRule="exact"/>
              <w:rPr>
                <w:sz w:val="20"/>
                <w:szCs w:val="20"/>
                <w:color w:val="auto"/>
              </w:rPr>
            </w:pPr>
            <w:r>
              <w:rPr>
                <w:rFonts w:ascii="Arial" w:cs="Arial" w:eastAsia="Arial" w:hAnsi="Arial"/>
                <w:sz w:val="18"/>
                <w:szCs w:val="18"/>
                <w:color w:val="auto"/>
                <w:w w:val="99"/>
              </w:rPr>
              <w:t>Nova Scotia, Canada</w:t>
            </w:r>
          </w:p>
        </w:tc>
      </w:tr>
      <w:tr>
        <w:trPr>
          <w:trHeight w:val="203"/>
        </w:trPr>
        <w:tc>
          <w:tcPr>
            <w:tcW w:w="3200" w:type="dxa"/>
            <w:vAlign w:val="bottom"/>
            <w:gridSpan w:val="3"/>
          </w:tcPr>
          <w:p>
            <w:pPr>
              <w:spacing w:after="0" w:line="202" w:lineRule="exact"/>
              <w:rPr>
                <w:sz w:val="20"/>
                <w:szCs w:val="20"/>
                <w:color w:val="auto"/>
              </w:rPr>
            </w:pPr>
            <w:r>
              <w:rPr>
                <w:rFonts w:ascii="Arial" w:cs="Arial" w:eastAsia="Arial" w:hAnsi="Arial"/>
                <w:sz w:val="18"/>
                <w:szCs w:val="18"/>
                <w:color w:val="auto"/>
              </w:rPr>
              <w:t>Paymentus Corporation (1)</w:t>
            </w:r>
          </w:p>
        </w:tc>
        <w:tc>
          <w:tcPr>
            <w:tcW w:w="3220" w:type="dxa"/>
            <w:vAlign w:val="bottom"/>
          </w:tcPr>
          <w:p>
            <w:pPr>
              <w:spacing w:after="0"/>
              <w:rPr>
                <w:sz w:val="17"/>
                <w:szCs w:val="17"/>
                <w:color w:val="auto"/>
              </w:rPr>
            </w:pPr>
          </w:p>
        </w:tc>
        <w:tc>
          <w:tcPr>
            <w:tcW w:w="4720" w:type="dxa"/>
            <w:vAlign w:val="bottom"/>
            <w:gridSpan w:val="2"/>
          </w:tcPr>
          <w:p>
            <w:pPr>
              <w:jc w:val="center"/>
              <w:ind w:right="88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3200" w:type="dxa"/>
            <w:vAlign w:val="bottom"/>
            <w:gridSpan w:val="3"/>
          </w:tcPr>
          <w:p>
            <w:pPr>
              <w:spacing w:after="0" w:line="202" w:lineRule="exact"/>
              <w:rPr>
                <w:sz w:val="20"/>
                <w:szCs w:val="20"/>
                <w:color w:val="auto"/>
              </w:rPr>
            </w:pPr>
            <w:r>
              <w:rPr>
                <w:rFonts w:ascii="Arial" w:cs="Arial" w:eastAsia="Arial" w:hAnsi="Arial"/>
                <w:sz w:val="18"/>
                <w:szCs w:val="18"/>
                <w:color w:val="auto"/>
              </w:rPr>
              <w:t>Tele-Works, Inc. (1)</w:t>
            </w:r>
          </w:p>
        </w:tc>
        <w:tc>
          <w:tcPr>
            <w:tcW w:w="3220" w:type="dxa"/>
            <w:vAlign w:val="bottom"/>
          </w:tcPr>
          <w:p>
            <w:pPr>
              <w:spacing w:after="0"/>
              <w:rPr>
                <w:sz w:val="17"/>
                <w:szCs w:val="17"/>
                <w:color w:val="auto"/>
              </w:rPr>
            </w:pPr>
          </w:p>
        </w:tc>
        <w:tc>
          <w:tcPr>
            <w:tcW w:w="4720" w:type="dxa"/>
            <w:vAlign w:val="bottom"/>
            <w:gridSpan w:val="2"/>
          </w:tcPr>
          <w:p>
            <w:pPr>
              <w:jc w:val="center"/>
              <w:ind w:right="880"/>
              <w:spacing w:after="0" w:line="202" w:lineRule="exact"/>
              <w:rPr>
                <w:sz w:val="20"/>
                <w:szCs w:val="20"/>
                <w:color w:val="auto"/>
              </w:rPr>
            </w:pPr>
            <w:r>
              <w:rPr>
                <w:rFonts w:ascii="Arial" w:cs="Arial" w:eastAsia="Arial" w:hAnsi="Arial"/>
                <w:sz w:val="18"/>
                <w:szCs w:val="18"/>
                <w:color w:val="auto"/>
                <w:w w:val="99"/>
              </w:rPr>
              <w:t>Virginia</w:t>
            </w:r>
          </w:p>
        </w:tc>
      </w:tr>
      <w:tr>
        <w:trPr>
          <w:trHeight w:val="203"/>
        </w:trPr>
        <w:tc>
          <w:tcPr>
            <w:tcW w:w="3200" w:type="dxa"/>
            <w:vAlign w:val="bottom"/>
            <w:gridSpan w:val="3"/>
          </w:tcPr>
          <w:p>
            <w:pPr>
              <w:spacing w:after="0" w:line="202" w:lineRule="exact"/>
              <w:rPr>
                <w:sz w:val="20"/>
                <w:szCs w:val="20"/>
                <w:color w:val="auto"/>
              </w:rPr>
            </w:pPr>
            <w:r>
              <w:rPr>
                <w:rFonts w:ascii="Arial" w:cs="Arial" w:eastAsia="Arial" w:hAnsi="Arial"/>
                <w:sz w:val="18"/>
                <w:szCs w:val="18"/>
                <w:color w:val="auto"/>
              </w:rPr>
              <w:t>Paxcom India Private Limited (1)</w:t>
            </w:r>
          </w:p>
        </w:tc>
        <w:tc>
          <w:tcPr>
            <w:tcW w:w="3220" w:type="dxa"/>
            <w:vAlign w:val="bottom"/>
          </w:tcPr>
          <w:p>
            <w:pPr>
              <w:spacing w:after="0"/>
              <w:rPr>
                <w:sz w:val="17"/>
                <w:szCs w:val="17"/>
                <w:color w:val="auto"/>
              </w:rPr>
            </w:pPr>
          </w:p>
        </w:tc>
        <w:tc>
          <w:tcPr>
            <w:tcW w:w="4720" w:type="dxa"/>
            <w:vAlign w:val="bottom"/>
            <w:gridSpan w:val="2"/>
          </w:tcPr>
          <w:p>
            <w:pPr>
              <w:jc w:val="center"/>
              <w:ind w:right="900"/>
              <w:spacing w:after="0" w:line="202" w:lineRule="exact"/>
              <w:rPr>
                <w:sz w:val="20"/>
                <w:szCs w:val="20"/>
                <w:color w:val="auto"/>
              </w:rPr>
            </w:pPr>
            <w:r>
              <w:rPr>
                <w:rFonts w:ascii="Arial" w:cs="Arial" w:eastAsia="Arial" w:hAnsi="Arial"/>
                <w:sz w:val="18"/>
                <w:szCs w:val="18"/>
                <w:color w:val="auto"/>
                <w:w w:val="97"/>
              </w:rPr>
              <w:t>India</w:t>
            </w:r>
          </w:p>
        </w:tc>
      </w:tr>
      <w:tr>
        <w:trPr>
          <w:trHeight w:val="203"/>
        </w:trPr>
        <w:tc>
          <w:tcPr>
            <w:tcW w:w="3200" w:type="dxa"/>
            <w:vAlign w:val="bottom"/>
            <w:gridSpan w:val="3"/>
          </w:tcPr>
          <w:p>
            <w:pPr>
              <w:spacing w:after="0" w:line="202" w:lineRule="exact"/>
              <w:rPr>
                <w:sz w:val="20"/>
                <w:szCs w:val="20"/>
                <w:color w:val="auto"/>
              </w:rPr>
            </w:pPr>
            <w:r>
              <w:rPr>
                <w:rFonts w:ascii="Arial" w:cs="Arial" w:eastAsia="Arial" w:hAnsi="Arial"/>
                <w:sz w:val="18"/>
                <w:szCs w:val="18"/>
                <w:color w:val="auto"/>
              </w:rPr>
              <w:t>Payveris, LLC (1)</w:t>
            </w:r>
          </w:p>
        </w:tc>
        <w:tc>
          <w:tcPr>
            <w:tcW w:w="3220" w:type="dxa"/>
            <w:vAlign w:val="bottom"/>
          </w:tcPr>
          <w:p>
            <w:pPr>
              <w:spacing w:after="0"/>
              <w:rPr>
                <w:sz w:val="17"/>
                <w:szCs w:val="17"/>
                <w:color w:val="auto"/>
              </w:rPr>
            </w:pPr>
          </w:p>
        </w:tc>
        <w:tc>
          <w:tcPr>
            <w:tcW w:w="4720" w:type="dxa"/>
            <w:vAlign w:val="bottom"/>
            <w:gridSpan w:val="2"/>
          </w:tcPr>
          <w:p>
            <w:pPr>
              <w:jc w:val="center"/>
              <w:ind w:right="88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3200" w:type="dxa"/>
            <w:vAlign w:val="bottom"/>
            <w:gridSpan w:val="3"/>
          </w:tcPr>
          <w:p>
            <w:pPr>
              <w:spacing w:after="0" w:line="202" w:lineRule="exact"/>
              <w:rPr>
                <w:sz w:val="20"/>
                <w:szCs w:val="20"/>
                <w:color w:val="auto"/>
              </w:rPr>
            </w:pPr>
            <w:r>
              <w:rPr>
                <w:rFonts w:ascii="Arial" w:cs="Arial" w:eastAsia="Arial" w:hAnsi="Arial"/>
                <w:sz w:val="18"/>
                <w:szCs w:val="18"/>
                <w:color w:val="auto"/>
              </w:rPr>
              <w:t>Payveris Cooperative LLC (3)</w:t>
            </w:r>
          </w:p>
        </w:tc>
        <w:tc>
          <w:tcPr>
            <w:tcW w:w="3220" w:type="dxa"/>
            <w:vAlign w:val="bottom"/>
          </w:tcPr>
          <w:p>
            <w:pPr>
              <w:spacing w:after="0"/>
              <w:rPr>
                <w:sz w:val="17"/>
                <w:szCs w:val="17"/>
                <w:color w:val="auto"/>
              </w:rPr>
            </w:pPr>
          </w:p>
        </w:tc>
        <w:tc>
          <w:tcPr>
            <w:tcW w:w="4720" w:type="dxa"/>
            <w:vAlign w:val="bottom"/>
            <w:gridSpan w:val="2"/>
          </w:tcPr>
          <w:p>
            <w:pPr>
              <w:jc w:val="center"/>
              <w:ind w:right="88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3200" w:type="dxa"/>
            <w:vAlign w:val="bottom"/>
            <w:gridSpan w:val="3"/>
          </w:tcPr>
          <w:p>
            <w:pPr>
              <w:spacing w:after="0" w:line="202" w:lineRule="exact"/>
              <w:rPr>
                <w:sz w:val="20"/>
                <w:szCs w:val="20"/>
                <w:color w:val="auto"/>
              </w:rPr>
            </w:pPr>
            <w:r>
              <w:rPr>
                <w:rFonts w:ascii="Arial" w:cs="Arial" w:eastAsia="Arial" w:hAnsi="Arial"/>
                <w:sz w:val="18"/>
                <w:szCs w:val="18"/>
                <w:color w:val="auto"/>
              </w:rPr>
              <w:t>Finovera, Inc. (1)</w:t>
            </w:r>
          </w:p>
        </w:tc>
        <w:tc>
          <w:tcPr>
            <w:tcW w:w="3220" w:type="dxa"/>
            <w:vAlign w:val="bottom"/>
          </w:tcPr>
          <w:p>
            <w:pPr>
              <w:spacing w:after="0"/>
              <w:rPr>
                <w:sz w:val="17"/>
                <w:szCs w:val="17"/>
                <w:color w:val="auto"/>
              </w:rPr>
            </w:pPr>
          </w:p>
        </w:tc>
        <w:tc>
          <w:tcPr>
            <w:tcW w:w="4720" w:type="dxa"/>
            <w:vAlign w:val="bottom"/>
            <w:gridSpan w:val="2"/>
          </w:tcPr>
          <w:p>
            <w:pPr>
              <w:jc w:val="center"/>
              <w:ind w:right="880"/>
              <w:spacing w:after="0" w:line="202" w:lineRule="exact"/>
              <w:rPr>
                <w:sz w:val="20"/>
                <w:szCs w:val="20"/>
                <w:color w:val="auto"/>
              </w:rPr>
            </w:pPr>
            <w:r>
              <w:rPr>
                <w:rFonts w:ascii="Arial" w:cs="Arial" w:eastAsia="Arial" w:hAnsi="Arial"/>
                <w:sz w:val="18"/>
                <w:szCs w:val="18"/>
                <w:color w:val="auto"/>
                <w:w w:val="99"/>
              </w:rPr>
              <w:t>Delaware</w:t>
            </w:r>
          </w:p>
        </w:tc>
      </w:tr>
      <w:tr>
        <w:trPr>
          <w:trHeight w:val="217"/>
        </w:trPr>
        <w:tc>
          <w:tcPr>
            <w:tcW w:w="3200" w:type="dxa"/>
            <w:vAlign w:val="bottom"/>
            <w:gridSpan w:val="3"/>
          </w:tcPr>
          <w:p>
            <w:pPr>
              <w:spacing w:after="0"/>
              <w:rPr>
                <w:sz w:val="20"/>
                <w:szCs w:val="20"/>
                <w:color w:val="auto"/>
              </w:rPr>
            </w:pPr>
            <w:r>
              <w:rPr>
                <w:rFonts w:ascii="Arial" w:cs="Arial" w:eastAsia="Arial" w:hAnsi="Arial"/>
                <w:sz w:val="18"/>
                <w:szCs w:val="18"/>
                <w:color w:val="auto"/>
              </w:rPr>
              <w:t>Fiport Software India Pvt Ltd (4)</w:t>
            </w:r>
          </w:p>
        </w:tc>
        <w:tc>
          <w:tcPr>
            <w:tcW w:w="3220" w:type="dxa"/>
            <w:vAlign w:val="bottom"/>
          </w:tcPr>
          <w:p>
            <w:pPr>
              <w:spacing w:after="0"/>
              <w:rPr>
                <w:sz w:val="18"/>
                <w:szCs w:val="18"/>
                <w:color w:val="auto"/>
              </w:rPr>
            </w:pPr>
          </w:p>
        </w:tc>
        <w:tc>
          <w:tcPr>
            <w:tcW w:w="4720" w:type="dxa"/>
            <w:vAlign w:val="bottom"/>
            <w:gridSpan w:val="2"/>
          </w:tcPr>
          <w:p>
            <w:pPr>
              <w:jc w:val="center"/>
              <w:ind w:right="900"/>
              <w:spacing w:after="0"/>
              <w:rPr>
                <w:sz w:val="20"/>
                <w:szCs w:val="20"/>
                <w:color w:val="auto"/>
              </w:rPr>
            </w:pPr>
            <w:r>
              <w:rPr>
                <w:rFonts w:ascii="Arial" w:cs="Arial" w:eastAsia="Arial" w:hAnsi="Arial"/>
                <w:sz w:val="18"/>
                <w:szCs w:val="18"/>
                <w:color w:val="auto"/>
                <w:w w:val="97"/>
              </w:rPr>
              <w:t>India</w:t>
            </w:r>
          </w:p>
        </w:tc>
      </w:tr>
    </w:tbl>
    <w:p>
      <w:pPr>
        <w:spacing w:after="0" w:line="184" w:lineRule="exact"/>
        <w:rPr>
          <w:sz w:val="20"/>
          <w:szCs w:val="20"/>
          <w:color w:val="auto"/>
        </w:rPr>
      </w:pPr>
    </w:p>
    <w:p>
      <w:pPr>
        <w:ind w:left="660" w:hanging="378"/>
        <w:spacing w:after="0"/>
        <w:tabs>
          <w:tab w:leader="none" w:pos="66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Wholly owned by Paymentus Group, Inc.</w:t>
      </w:r>
    </w:p>
    <w:p>
      <w:pPr>
        <w:ind w:left="660" w:hanging="378"/>
        <w:spacing w:after="0" w:line="234" w:lineRule="auto"/>
        <w:tabs>
          <w:tab w:leader="none" w:pos="66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Wholly owned by Paymentus Acquisition Corp.</w:t>
      </w:r>
    </w:p>
    <w:p>
      <w:pPr>
        <w:ind w:left="660" w:hanging="378"/>
        <w:spacing w:after="0" w:line="234" w:lineRule="auto"/>
        <w:tabs>
          <w:tab w:leader="none" w:pos="66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Wholly owned by Payveris, LLC</w:t>
      </w:r>
    </w:p>
    <w:p>
      <w:pPr>
        <w:ind w:left="660" w:hanging="378"/>
        <w:spacing w:after="0"/>
        <w:tabs>
          <w:tab w:leader="none" w:pos="66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Wholly owned by Finovera,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53340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18"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333-256505) of Paymentus Holdings, Inc. of our report dated March 3, 2022, relating to the financial statements, which appears in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5709920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ind w:left="9200"/>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336550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06" w:name="page207"/>
    <w:bookmarkEnd w:id="206"/>
    <w:p>
      <w:pPr>
        <w:ind w:left="1030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6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08" w:lineRule="exact"/>
        <w:rPr>
          <w:sz w:val="20"/>
          <w:szCs w:val="20"/>
          <w:color w:val="auto"/>
        </w:rPr>
      </w:pPr>
    </w:p>
    <w:p>
      <w:pPr>
        <w:ind w:left="380" w:hanging="372"/>
        <w:spacing w:after="0"/>
        <w:tabs>
          <w:tab w:leader="none" w:pos="3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Paymentus Holdings, Inc.;</w:t>
      </w:r>
    </w:p>
    <w:p>
      <w:pPr>
        <w:spacing w:after="0" w:line="207" w:lineRule="exact"/>
        <w:rPr>
          <w:rFonts w:ascii="Arial" w:cs="Arial" w:eastAsia="Arial" w:hAnsi="Arial"/>
          <w:sz w:val="16"/>
          <w:szCs w:val="16"/>
          <w:color w:val="auto"/>
        </w:rPr>
      </w:pPr>
    </w:p>
    <w:p>
      <w:pPr>
        <w:jc w:val="both"/>
        <w:ind w:left="380" w:right="380" w:hanging="372"/>
        <w:spacing w:after="0" w:line="237" w:lineRule="auto"/>
        <w:tabs>
          <w:tab w:leader="none" w:pos="3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80" w:right="520" w:hanging="372"/>
        <w:spacing w:after="0" w:line="242" w:lineRule="auto"/>
        <w:tabs>
          <w:tab w:leader="none" w:pos="3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left="380" w:right="700" w:hanging="372"/>
        <w:spacing w:after="0" w:line="242" w:lineRule="auto"/>
        <w:tabs>
          <w:tab w:leader="none" w:pos="3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14" w:lineRule="exact"/>
        <w:rPr>
          <w:rFonts w:ascii="Arial" w:cs="Arial" w:eastAsia="Arial" w:hAnsi="Arial"/>
          <w:sz w:val="16"/>
          <w:szCs w:val="16"/>
          <w:color w:val="auto"/>
        </w:rPr>
      </w:pPr>
    </w:p>
    <w:p>
      <w:pPr>
        <w:ind w:left="1060" w:right="180" w:hanging="633"/>
        <w:spacing w:after="0" w:line="237" w:lineRule="auto"/>
        <w:tabs>
          <w:tab w:leader="none" w:pos="746" w:val="left"/>
        </w:tabs>
        <w:numPr>
          <w:ilvl w:val="2"/>
          <w:numId w:val="1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060" w:right="420" w:hanging="678"/>
        <w:spacing w:after="0" w:line="242" w:lineRule="auto"/>
        <w:tabs>
          <w:tab w:leader="none" w:pos="74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1060" w:right="20" w:hanging="678"/>
        <w:spacing w:after="0" w:line="237" w:lineRule="auto"/>
        <w:tabs>
          <w:tab w:leader="none" w:pos="74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6"/>
          <w:szCs w:val="16"/>
          <w:color w:val="auto"/>
        </w:rPr>
      </w:pPr>
    </w:p>
    <w:p>
      <w:pPr>
        <w:ind w:left="380" w:right="460" w:hanging="372"/>
        <w:spacing w:after="0" w:line="242" w:lineRule="auto"/>
        <w:tabs>
          <w:tab w:leader="none" w:pos="3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060" w:right="360" w:hanging="678"/>
        <w:spacing w:after="0" w:line="242" w:lineRule="auto"/>
        <w:tabs>
          <w:tab w:leader="none" w:pos="74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060" w:right="300" w:hanging="678"/>
        <w:spacing w:after="0" w:line="242" w:lineRule="auto"/>
        <w:tabs>
          <w:tab w:leader="none" w:pos="74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Arial" w:cs="Arial" w:eastAsia="Arial" w:hAnsi="Arial"/>
                <w:sz w:val="16"/>
                <w:szCs w:val="16"/>
                <w:color w:val="auto"/>
              </w:rPr>
              <w:t>Date: March 3, 2022</w:t>
            </w:r>
          </w:p>
        </w:tc>
        <w:tc>
          <w:tcPr>
            <w:tcW w:w="2440" w:type="dxa"/>
            <w:vAlign w:val="bottom"/>
          </w:tcPr>
          <w:p>
            <w:pPr>
              <w:ind w:left="208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tc>
      </w:tr>
      <w:tr>
        <w:trPr>
          <w:trHeight w:val="137"/>
        </w:trPr>
        <w:tc>
          <w:tcPr>
            <w:tcW w:w="3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2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rPr>
              <w:t>Dushyant Sharma</w:t>
            </w:r>
          </w:p>
        </w:tc>
      </w:tr>
      <w:tr>
        <w:trPr>
          <w:trHeight w:val="176"/>
        </w:trPr>
        <w:tc>
          <w:tcPr>
            <w:tcW w:w="3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Chairman, President and,</w:t>
            </w:r>
          </w:p>
        </w:tc>
      </w:tr>
      <w:tr>
        <w:trPr>
          <w:trHeight w:val="175"/>
        </w:trPr>
        <w:tc>
          <w:tcPr>
            <w:tcW w:w="3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Chief Executive Officer</w:t>
            </w:r>
          </w:p>
        </w:tc>
      </w:tr>
      <w:tr>
        <w:trPr>
          <w:trHeight w:val="215"/>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(Principal Executive Officer)</w:t>
            </w:r>
          </w:p>
        </w:tc>
      </w:tr>
      <w:tr>
        <w:trPr>
          <w:trHeight w:val="944"/>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7" w:name="page208"/>
    <w:bookmarkEnd w:id="207"/>
    <w:p>
      <w:pPr>
        <w:ind w:left="1030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I, Matt Parson, certify that:</w:t>
      </w:r>
    </w:p>
    <w:p>
      <w:pPr>
        <w:spacing w:after="0" w:line="208" w:lineRule="exact"/>
        <w:rPr>
          <w:sz w:val="20"/>
          <w:szCs w:val="20"/>
          <w:color w:val="auto"/>
        </w:rPr>
      </w:pPr>
    </w:p>
    <w:p>
      <w:pPr>
        <w:ind w:left="380" w:hanging="372"/>
        <w:spacing w:after="0"/>
        <w:tabs>
          <w:tab w:leader="none" w:pos="3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Paymentus Holdings, Inc.;</w:t>
      </w:r>
    </w:p>
    <w:p>
      <w:pPr>
        <w:spacing w:after="0" w:line="207" w:lineRule="exact"/>
        <w:rPr>
          <w:rFonts w:ascii="Arial" w:cs="Arial" w:eastAsia="Arial" w:hAnsi="Arial"/>
          <w:sz w:val="16"/>
          <w:szCs w:val="16"/>
          <w:color w:val="auto"/>
        </w:rPr>
      </w:pPr>
    </w:p>
    <w:p>
      <w:pPr>
        <w:jc w:val="both"/>
        <w:ind w:left="380" w:right="380" w:hanging="372"/>
        <w:spacing w:after="0" w:line="237" w:lineRule="auto"/>
        <w:tabs>
          <w:tab w:leader="none" w:pos="3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80" w:right="520" w:hanging="372"/>
        <w:spacing w:after="0" w:line="242" w:lineRule="auto"/>
        <w:tabs>
          <w:tab w:leader="none" w:pos="3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left="380" w:right="700" w:hanging="372"/>
        <w:spacing w:after="0" w:line="242" w:lineRule="auto"/>
        <w:tabs>
          <w:tab w:leader="none" w:pos="3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14" w:lineRule="exact"/>
        <w:rPr>
          <w:rFonts w:ascii="Arial" w:cs="Arial" w:eastAsia="Arial" w:hAnsi="Arial"/>
          <w:sz w:val="16"/>
          <w:szCs w:val="16"/>
          <w:color w:val="auto"/>
        </w:rPr>
      </w:pPr>
    </w:p>
    <w:p>
      <w:pPr>
        <w:ind w:left="1060" w:right="180" w:hanging="633"/>
        <w:spacing w:after="0" w:line="237" w:lineRule="auto"/>
        <w:tabs>
          <w:tab w:leader="none" w:pos="746" w:val="left"/>
        </w:tabs>
        <w:numPr>
          <w:ilvl w:val="2"/>
          <w:numId w:val="1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060" w:right="420" w:hanging="633"/>
        <w:spacing w:after="0" w:line="242" w:lineRule="auto"/>
        <w:tabs>
          <w:tab w:leader="none" w:pos="746" w:val="left"/>
        </w:tabs>
        <w:numPr>
          <w:ilvl w:val="2"/>
          <w:numId w:val="1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1060" w:right="20" w:hanging="678"/>
        <w:spacing w:after="0" w:line="237" w:lineRule="auto"/>
        <w:tabs>
          <w:tab w:leader="none" w:pos="74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6"/>
          <w:szCs w:val="16"/>
          <w:color w:val="auto"/>
        </w:rPr>
      </w:pPr>
    </w:p>
    <w:p>
      <w:pPr>
        <w:ind w:left="380" w:right="460" w:hanging="372"/>
        <w:spacing w:after="0" w:line="242" w:lineRule="auto"/>
        <w:tabs>
          <w:tab w:leader="none" w:pos="3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060" w:right="360" w:hanging="678"/>
        <w:spacing w:after="0" w:line="242" w:lineRule="auto"/>
        <w:tabs>
          <w:tab w:leader="none" w:pos="74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060" w:right="300" w:hanging="678"/>
        <w:spacing w:after="0" w:line="242" w:lineRule="auto"/>
        <w:tabs>
          <w:tab w:leader="none" w:pos="74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Arial" w:cs="Arial" w:eastAsia="Arial" w:hAnsi="Arial"/>
                <w:sz w:val="16"/>
                <w:szCs w:val="16"/>
                <w:color w:val="auto"/>
              </w:rPr>
              <w:t>Date: March 3, 2022</w:t>
            </w:r>
          </w:p>
        </w:tc>
        <w:tc>
          <w:tcPr>
            <w:tcW w:w="2440" w:type="dxa"/>
            <w:vAlign w:val="bottom"/>
          </w:tcPr>
          <w:p>
            <w:pPr>
              <w:ind w:left="208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Matt Parson</w:t>
            </w:r>
          </w:p>
        </w:tc>
      </w:tr>
      <w:tr>
        <w:trPr>
          <w:trHeight w:val="137"/>
        </w:trPr>
        <w:tc>
          <w:tcPr>
            <w:tcW w:w="3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2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rPr>
              <w:t>Matt Parson</w:t>
            </w:r>
          </w:p>
        </w:tc>
      </w:tr>
      <w:tr>
        <w:trPr>
          <w:trHeight w:val="175"/>
        </w:trPr>
        <w:tc>
          <w:tcPr>
            <w:tcW w:w="3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Chief Financial Officer</w:t>
            </w:r>
          </w:p>
        </w:tc>
      </w:tr>
      <w:tr>
        <w:trPr>
          <w:trHeight w:val="215"/>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(Principal Financial Officer)</w:t>
            </w:r>
          </w:p>
        </w:tc>
      </w:tr>
      <w:tr>
        <w:trPr>
          <w:trHeight w:val="944"/>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8" w:lineRule="exact"/>
        <w:rPr>
          <w:sz w:val="20"/>
          <w:szCs w:val="20"/>
          <w:color w:val="auto"/>
        </w:rPr>
      </w:pPr>
    </w:p>
    <w:p>
      <w:pPr>
        <w:ind w:right="80" w:firstLine="578"/>
        <w:spacing w:after="0" w:line="237" w:lineRule="auto"/>
        <w:rPr>
          <w:sz w:val="20"/>
          <w:szCs w:val="20"/>
          <w:color w:val="auto"/>
        </w:rPr>
      </w:pPr>
      <w:r>
        <w:rPr>
          <w:rFonts w:ascii="Arial" w:cs="Arial" w:eastAsia="Arial" w:hAnsi="Arial"/>
          <w:sz w:val="16"/>
          <w:szCs w:val="16"/>
          <w:color w:val="auto"/>
        </w:rPr>
        <w:t>In connection with the Annual Report on Form 10-K of Paymentus Holdings, Inc. (the “Company”) for the year ended December 31, 2021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020" w:hanging="999"/>
        <w:spacing w:after="0"/>
        <w:tabs>
          <w:tab w:leader="none" w:pos="10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396" w:lineRule="exact"/>
        <w:rPr>
          <w:rFonts w:ascii="Arial" w:cs="Arial" w:eastAsia="Arial" w:hAnsi="Arial"/>
          <w:sz w:val="16"/>
          <w:szCs w:val="16"/>
          <w:color w:val="auto"/>
        </w:rPr>
      </w:pPr>
    </w:p>
    <w:p>
      <w:pPr>
        <w:ind w:left="920" w:right="800" w:hanging="899"/>
        <w:spacing w:after="0" w:line="232" w:lineRule="auto"/>
        <w:tabs>
          <w:tab w:leader="none" w:pos="9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60" w:type="dxa"/>
            <w:vAlign w:val="bottom"/>
          </w:tcPr>
          <w:p>
            <w:pPr>
              <w:spacing w:after="0"/>
              <w:rPr>
                <w:sz w:val="20"/>
                <w:szCs w:val="20"/>
                <w:color w:val="auto"/>
              </w:rPr>
            </w:pPr>
            <w:r>
              <w:rPr>
                <w:rFonts w:ascii="Arial" w:cs="Arial" w:eastAsia="Arial" w:hAnsi="Arial"/>
                <w:sz w:val="16"/>
                <w:szCs w:val="16"/>
                <w:color w:val="auto"/>
              </w:rPr>
              <w:t>Date: March 3, 2022</w:t>
            </w:r>
          </w:p>
        </w:tc>
        <w:tc>
          <w:tcPr>
            <w:tcW w:w="2440" w:type="dxa"/>
            <w:vAlign w:val="bottom"/>
          </w:tcPr>
          <w:p>
            <w:pPr>
              <w:ind w:left="208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tc>
      </w:tr>
      <w:tr>
        <w:trPr>
          <w:trHeight w:val="137"/>
        </w:trPr>
        <w:tc>
          <w:tcPr>
            <w:tcW w:w="3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2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rPr>
              <w:t>Dushyant Sharma</w:t>
            </w:r>
          </w:p>
        </w:tc>
      </w:tr>
      <w:tr>
        <w:trPr>
          <w:trHeight w:val="176"/>
        </w:trPr>
        <w:tc>
          <w:tcPr>
            <w:tcW w:w="3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Chairman, President and,</w:t>
            </w:r>
          </w:p>
        </w:tc>
      </w:tr>
      <w:tr>
        <w:trPr>
          <w:trHeight w:val="175"/>
        </w:trPr>
        <w:tc>
          <w:tcPr>
            <w:tcW w:w="3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Chief Executive Officer</w:t>
            </w:r>
          </w:p>
        </w:tc>
      </w:tr>
      <w:tr>
        <w:trPr>
          <w:trHeight w:val="215"/>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(Principal Executive Officer)</w:t>
            </w:r>
          </w:p>
        </w:tc>
      </w:tr>
    </w:tbl>
    <w:p>
      <w:pPr>
        <w:spacing w:after="0" w:line="200" w:lineRule="exact"/>
        <w:rPr>
          <w:sz w:val="20"/>
          <w:szCs w:val="20"/>
          <w:color w:val="auto"/>
        </w:rPr>
      </w:pPr>
    </w:p>
    <w:p>
      <w:pPr>
        <w:spacing w:after="0" w:line="240" w:lineRule="exact"/>
        <w:rPr>
          <w:sz w:val="20"/>
          <w:szCs w:val="20"/>
          <w:color w:val="auto"/>
        </w:rPr>
      </w:pPr>
    </w:p>
    <w:p>
      <w:pPr>
        <w:ind w:right="20" w:firstLine="578"/>
        <w:spacing w:after="0" w:line="233" w:lineRule="auto"/>
        <w:rPr>
          <w:sz w:val="20"/>
          <w:szCs w:val="20"/>
          <w:color w:val="auto"/>
        </w:rPr>
      </w:pPr>
      <w:r>
        <w:rPr>
          <w:rFonts w:ascii="Arial" w:cs="Arial" w:eastAsia="Arial" w:hAnsi="Arial"/>
          <w:sz w:val="16"/>
          <w:szCs w:val="16"/>
          <w:color w:val="auto"/>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6"/>
          <w:szCs w:val="16"/>
          <w:b w:val="1"/>
          <w:bCs w:val="1"/>
          <w:color w:val="auto"/>
        </w:rPr>
        <w:t>Exhibit 32.2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8" w:lineRule="exact"/>
        <w:rPr>
          <w:sz w:val="20"/>
          <w:szCs w:val="20"/>
          <w:color w:val="auto"/>
        </w:rPr>
      </w:pPr>
    </w:p>
    <w:p>
      <w:pPr>
        <w:ind w:right="80" w:firstLine="578"/>
        <w:spacing w:after="0" w:line="237" w:lineRule="auto"/>
        <w:rPr>
          <w:sz w:val="20"/>
          <w:szCs w:val="20"/>
          <w:color w:val="auto"/>
        </w:rPr>
      </w:pPr>
      <w:r>
        <w:rPr>
          <w:rFonts w:ascii="Arial" w:cs="Arial" w:eastAsia="Arial" w:hAnsi="Arial"/>
          <w:sz w:val="16"/>
          <w:szCs w:val="16"/>
          <w:color w:val="auto"/>
        </w:rPr>
        <w:t>In connection with the Annual Report on Form 10-K of Paymentus Holdings, Inc. (the “Company”) for the year ended December 31, 2021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020" w:hanging="999"/>
        <w:spacing w:after="0"/>
        <w:tabs>
          <w:tab w:leader="none" w:pos="10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396" w:lineRule="exact"/>
        <w:rPr>
          <w:rFonts w:ascii="Arial" w:cs="Arial" w:eastAsia="Arial" w:hAnsi="Arial"/>
          <w:sz w:val="16"/>
          <w:szCs w:val="16"/>
          <w:color w:val="auto"/>
        </w:rPr>
      </w:pPr>
    </w:p>
    <w:p>
      <w:pPr>
        <w:ind w:left="1040" w:right="680" w:hanging="1019"/>
        <w:spacing w:after="0" w:line="232" w:lineRule="auto"/>
        <w:tabs>
          <w:tab w:leader="none" w:pos="10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60" w:type="dxa"/>
            <w:vAlign w:val="bottom"/>
          </w:tcPr>
          <w:p>
            <w:pPr>
              <w:spacing w:after="0"/>
              <w:rPr>
                <w:sz w:val="20"/>
                <w:szCs w:val="20"/>
                <w:color w:val="auto"/>
              </w:rPr>
            </w:pPr>
            <w:r>
              <w:rPr>
                <w:rFonts w:ascii="Arial" w:cs="Arial" w:eastAsia="Arial" w:hAnsi="Arial"/>
                <w:sz w:val="16"/>
                <w:szCs w:val="16"/>
                <w:color w:val="auto"/>
              </w:rPr>
              <w:t>Date: March 3, 2022</w:t>
            </w:r>
          </w:p>
        </w:tc>
        <w:tc>
          <w:tcPr>
            <w:tcW w:w="2440" w:type="dxa"/>
            <w:vAlign w:val="bottom"/>
          </w:tcPr>
          <w:p>
            <w:pPr>
              <w:ind w:left="208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Matt Parson</w:t>
            </w:r>
          </w:p>
        </w:tc>
      </w:tr>
      <w:tr>
        <w:trPr>
          <w:trHeight w:val="137"/>
        </w:trPr>
        <w:tc>
          <w:tcPr>
            <w:tcW w:w="3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2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rPr>
              <w:t>Matt Parson</w:t>
            </w:r>
          </w:p>
        </w:tc>
      </w:tr>
      <w:tr>
        <w:trPr>
          <w:trHeight w:val="176"/>
        </w:trPr>
        <w:tc>
          <w:tcPr>
            <w:tcW w:w="3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Chief Financial Officer</w:t>
            </w:r>
          </w:p>
        </w:tc>
      </w:tr>
      <w:tr>
        <w:trPr>
          <w:trHeight w:val="215"/>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(Principal Financial Officer)</w:t>
            </w:r>
          </w:p>
        </w:tc>
      </w:tr>
    </w:tbl>
    <w:p>
      <w:pPr>
        <w:spacing w:after="0" w:line="399" w:lineRule="exact"/>
        <w:rPr>
          <w:sz w:val="20"/>
          <w:szCs w:val="20"/>
          <w:color w:val="auto"/>
        </w:rPr>
      </w:pPr>
    </w:p>
    <w:p>
      <w:pPr>
        <w:ind w:right="20" w:firstLine="578"/>
        <w:spacing w:after="0" w:line="233" w:lineRule="auto"/>
        <w:rPr>
          <w:sz w:val="20"/>
          <w:szCs w:val="20"/>
          <w:color w:val="auto"/>
        </w:rPr>
      </w:pPr>
      <w:r>
        <w:rPr>
          <w:rFonts w:ascii="Arial" w:cs="Arial" w:eastAsia="Arial" w:hAnsi="Arial"/>
          <w:sz w:val="16"/>
          <w:szCs w:val="16"/>
          <w:color w:val="auto"/>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210" w:name="page211"/>
    <w:bookmarkEnd w:id="2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1)"/>
      <w:numFmt w:val="decimal"/>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1)"/>
      <w:numFmt w:val="decimal"/>
      <w:start w:val="1"/>
    </w:lvl>
  </w:abstractNum>
  <w:abstractNum w:abstractNumId="34">
    <w:nsid w:val="4A2AC315"/>
    <w:multiLevelType w:val="hybridMultilevel"/>
    <w:lvl w:ilvl="0">
      <w:lvlJc w:val="left"/>
      <w:lvlText w:val="(%1)"/>
      <w:numFmt w:val="decimal"/>
      <w:start w:val="1"/>
    </w:lvl>
  </w:abstractNum>
  <w:abstractNum w:abstractNumId="35">
    <w:nsid w:val="39EE015C"/>
    <w:multiLevelType w:val="hybridMultilevel"/>
    <w:lvl w:ilvl="0">
      <w:lvlJc w:val="left"/>
      <w:lvlText w:val="(%1)"/>
      <w:numFmt w:val="decimal"/>
      <w:start w:val="1"/>
    </w:lvl>
  </w:abstractNum>
  <w:abstractNum w:abstractNumId="36">
    <w:nsid w:val="57FC4FBB"/>
    <w:multiLevelType w:val="hybridMultilevel"/>
    <w:lvl w:ilvl="0">
      <w:lvlJc w:val="left"/>
      <w:lvlText w:val="%1."/>
      <w:numFmt w:val="decimal"/>
      <w:start w:val="1"/>
    </w:lvl>
    <w:lvl w:ilvl="1">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1)"/>
      <w:numFmt w:val="decimal"/>
      <w:start w:val="2"/>
    </w:lvl>
  </w:abstractNum>
  <w:abstractNum w:abstractNumId="41">
    <w:nsid w:val="7F01579B"/>
    <w:multiLevelType w:val="hybridMultilevel"/>
    <w:lvl w:ilvl="0">
      <w:lvlJc w:val="left"/>
      <w:lvlText w:val="%1."/>
      <w:numFmt w:val="decimal"/>
      <w:start w:val="3"/>
    </w:lvl>
  </w:abstractNum>
  <w:abstractNum w:abstractNumId="42">
    <w:nsid w:val="49DA307D"/>
    <w:multiLevelType w:val="hybridMultilevel"/>
    <w:lvl w:ilvl="0">
      <w:lvlJc w:val="left"/>
      <w:lvlText w:val="%1."/>
      <w:numFmt w:val="decimal"/>
      <w:start w:val="4"/>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1."/>
      <w:numFmt w:val="decimal"/>
      <w:start w:val="6"/>
    </w:lvl>
  </w:abstractNum>
  <w:abstractNum w:abstractNumId="45">
    <w:nsid w:val="50801EE1"/>
    <w:multiLevelType w:val="hybridMultilevel"/>
    <w:lvl w:ilvl="0">
      <w:lvlJc w:val="left"/>
      <w:lvlText w:val="%1."/>
      <w:numFmt w:val="decimal"/>
      <w:start w:val="7"/>
    </w:lvl>
  </w:abstractNum>
  <w:abstractNum w:abstractNumId="46">
    <w:nsid w:val="488AC1A"/>
    <w:multiLevelType w:val="hybridMultilevel"/>
    <w:lvl w:ilvl="0">
      <w:lvlJc w:val="left"/>
      <w:lvlText w:val="%1."/>
      <w:numFmt w:val="decimal"/>
      <w:start w:val="9"/>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1."/>
      <w:numFmt w:val="decimal"/>
      <w:start w:val="1"/>
    </w:lvl>
  </w:abstractNum>
  <w:abstractNum w:abstractNumId="57">
    <w:nsid w:val="3FA62ACA"/>
    <w:multiLevelType w:val="hybridMultilevel"/>
    <w:lvl w:ilvl="0">
      <w:lvlJc w:val="left"/>
      <w:lvlText w:val="%1."/>
      <w:numFmt w:val="decimal"/>
      <w:start w:val="1"/>
    </w:lvl>
  </w:abstractNum>
  <w:abstractNum w:abstractNumId="58">
    <w:nsid w:val="14FCE74E"/>
    <w:multiLevelType w:val="hybridMultilevel"/>
    <w:lvl w:ilvl="0">
      <w:lvlJc w:val="left"/>
      <w:lvlText w:val="%1."/>
      <w:numFmt w:val="decimal"/>
      <w:start w:val="1"/>
    </w:lvl>
  </w:abstractNum>
  <w:abstractNum w:abstractNumId="59">
    <w:nsid w:val="6A3DD3E8"/>
    <w:multiLevelType w:val="hybridMultilevel"/>
    <w:lvl w:ilvl="0">
      <w:lvlJc w:val="left"/>
      <w:lvlText w:val="%1."/>
      <w:numFmt w:val="decimal"/>
      <w:start w:val="5"/>
    </w:lvl>
  </w:abstractNum>
  <w:abstractNum w:abstractNumId="60">
    <w:nsid w:val="71C91298"/>
    <w:multiLevelType w:val="hybridMultilevel"/>
    <w:lvl w:ilvl="0">
      <w:lvlJc w:val="left"/>
      <w:lvlText w:val="%1."/>
      <w:numFmt w:val="decimal"/>
      <w:start w:val="9"/>
    </w:lvl>
  </w:abstractNum>
  <w:abstractNum w:abstractNumId="61">
    <w:nsid w:val="9DAF632"/>
    <w:multiLevelType w:val="hybridMultilevel"/>
    <w:lvl w:ilvl="0">
      <w:lvlJc w:val="left"/>
      <w:lvlText w:val="%1."/>
      <w:numFmt w:val="decimal"/>
      <w:start w:val="1"/>
    </w:lvl>
  </w:abstractNum>
  <w:abstractNum w:abstractNumId="62">
    <w:nsid w:val="53299938"/>
    <w:multiLevelType w:val="hybridMultilevel"/>
    <w:lvl w:ilvl="0">
      <w:lvlJc w:val="left"/>
      <w:lvlText w:val="%1."/>
      <w:numFmt w:val="decimal"/>
      <w:start w:val="4"/>
    </w:lvl>
  </w:abstractNum>
  <w:abstractNum w:abstractNumId="63">
    <w:nsid w:val="1FBFE8E0"/>
    <w:multiLevelType w:val="hybridMultilevel"/>
    <w:lvl w:ilvl="0">
      <w:lvlJc w:val="left"/>
      <w:lvlText w:val="%1."/>
      <w:numFmt w:val="decimal"/>
      <w:start w:val="6"/>
    </w:lvl>
  </w:abstractNum>
  <w:abstractNum w:abstractNumId="64">
    <w:nsid w:val="5092CA79"/>
    <w:multiLevelType w:val="hybridMultilevel"/>
    <w:lvl w:ilvl="0">
      <w:lvlJc w:val="left"/>
      <w:lvlText w:val="%1."/>
      <w:numFmt w:val="decimal"/>
      <w:start w:val="7"/>
    </w:lvl>
  </w:abstractNum>
  <w:abstractNum w:abstractNumId="65">
    <w:nsid w:val="1D545C4D"/>
    <w:multiLevelType w:val="hybridMultilevel"/>
    <w:lvl w:ilvl="0">
      <w:lvlJc w:val="left"/>
      <w:lvlText w:val="(%1)"/>
      <w:numFmt w:val="lowerLetter"/>
      <w:start w:val="2"/>
    </w:lvl>
  </w:abstractNum>
  <w:abstractNum w:abstractNumId="66">
    <w:nsid w:val="59ADEA3D"/>
    <w:multiLevelType w:val="hybridMultilevel"/>
    <w:lvl w:ilvl="0">
      <w:lvlJc w:val="left"/>
      <w:lvlText w:val="(%1)"/>
      <w:numFmt w:val="lowerLetter"/>
      <w:start w:val="2"/>
    </w:lvl>
  </w:abstractNum>
  <w:abstractNum w:abstractNumId="67">
    <w:nsid w:val="288F1A34"/>
    <w:multiLevelType w:val="hybridMultilevel"/>
    <w:lvl w:ilvl="0">
      <w:lvlJc w:val="left"/>
      <w:lvlText w:val="%1."/>
      <w:numFmt w:val="decimal"/>
      <w:start w:val="8"/>
    </w:lvl>
  </w:abstractNum>
  <w:abstractNum w:abstractNumId="68">
    <w:nsid w:val="2A155DBC"/>
    <w:multiLevelType w:val="hybridMultilevel"/>
    <w:lvl w:ilvl="0">
      <w:lvlJc w:val="left"/>
      <w:lvlText w:val="(%1)"/>
      <w:numFmt w:val="lowerLetter"/>
      <w:start w:val="3"/>
    </w:lvl>
  </w:abstractNum>
  <w:abstractNum w:abstractNumId="69">
    <w:nsid w:val="1D9F6E5F"/>
    <w:multiLevelType w:val="hybridMultilevel"/>
    <w:lvl w:ilvl="0">
      <w:lvlJc w:val="left"/>
      <w:lvlText w:val="%1."/>
      <w:numFmt w:val="decimal"/>
      <w:start w:val="10"/>
    </w:lvl>
  </w:abstractNum>
  <w:abstractNum w:abstractNumId="70">
    <w:nsid w:val="97E1B4E"/>
    <w:multiLevelType w:val="hybridMultilevel"/>
    <w:lvl w:ilvl="0">
      <w:lvlJc w:val="left"/>
      <w:lvlText w:val="%1."/>
      <w:numFmt w:val="decimal"/>
      <w:start w:val="1"/>
    </w:lvl>
    <w:lvl w:ilvl="1">
      <w:lvlJc w:val="left"/>
      <w:lvlText w:val="•"/>
      <w:numFmt w:val="bullet"/>
      <w:start w:val="1"/>
    </w:lvl>
  </w:abstractNum>
  <w:abstractNum w:abstractNumId="71">
    <w:nsid w:val="51088277"/>
    <w:multiLevelType w:val="hybridMultilevel"/>
    <w:lvl w:ilvl="0">
      <w:lvlJc w:val="left"/>
      <w:lvlText w:val="%1."/>
      <w:numFmt w:val="decimal"/>
      <w:start w:val="2"/>
    </w:lvl>
  </w:abstractNum>
  <w:abstractNum w:abstractNumId="72">
    <w:nsid w:val="1CA0C5FA"/>
    <w:multiLevelType w:val="hybridMultilevel"/>
    <w:lvl w:ilvl="0">
      <w:lvlJc w:val="left"/>
      <w:lvlText w:val="(%1)"/>
      <w:numFmt w:val="lowerRoman"/>
      <w:start w:val="2"/>
    </w:lvl>
  </w:abstractNum>
  <w:abstractNum w:abstractNumId="73">
    <w:nsid w:val="53584BCB"/>
    <w:multiLevelType w:val="hybridMultilevel"/>
    <w:lvl w:ilvl="0">
      <w:lvlJc w:val="left"/>
      <w:lvlText w:val="(%1)"/>
      <w:numFmt w:val="lowerRoman"/>
      <w:start w:val="2"/>
    </w:lvl>
  </w:abstractNum>
  <w:abstractNum w:abstractNumId="74">
    <w:nsid w:val="415E286C"/>
    <w:multiLevelType w:val="hybridMultilevel"/>
    <w:lvl w:ilvl="0">
      <w:lvlJc w:val="left"/>
      <w:lvlText w:val="%1."/>
      <w:numFmt w:val="decimal"/>
      <w:start w:val="3"/>
    </w:lvl>
  </w:abstractNum>
  <w:abstractNum w:abstractNumId="75">
    <w:nsid w:val="7C58FD05"/>
    <w:multiLevelType w:val="hybridMultilevel"/>
    <w:lvl w:ilvl="0">
      <w:lvlJc w:val="left"/>
      <w:lvlText w:val="(%1)"/>
      <w:numFmt w:val="lowerLetter"/>
      <w:start w:val="2"/>
    </w:lvl>
  </w:abstractNum>
  <w:abstractNum w:abstractNumId="76">
    <w:nsid w:val="23D86AAC"/>
    <w:multiLevelType w:val="hybridMultilevel"/>
    <w:lvl w:ilvl="0">
      <w:lvlJc w:val="left"/>
      <w:lvlText w:val="(%1)"/>
      <w:numFmt w:val="lowerLetter"/>
      <w:start w:val="2"/>
    </w:lvl>
  </w:abstractNum>
  <w:abstractNum w:abstractNumId="77">
    <w:nsid w:val="45E6D486"/>
    <w:multiLevelType w:val="hybridMultilevel"/>
    <w:lvl w:ilvl="0">
      <w:lvlJc w:val="left"/>
      <w:lvlText w:val="%1."/>
      <w:numFmt w:val="decimal"/>
      <w:start w:val="4"/>
    </w:lvl>
  </w:abstractNum>
  <w:abstractNum w:abstractNumId="78">
    <w:nsid w:val="5C10FE21"/>
    <w:multiLevelType w:val="hybridMultilevel"/>
    <w:lvl w:ilvl="0">
      <w:lvlJc w:val="left"/>
      <w:lvlText w:val="%1."/>
      <w:numFmt w:val="decimal"/>
      <w:start w:val="5"/>
    </w:lvl>
  </w:abstractNum>
  <w:abstractNum w:abstractNumId="79">
    <w:nsid w:val="E7FFA2B"/>
    <w:multiLevelType w:val="hybridMultilevel"/>
    <w:lvl w:ilvl="0">
      <w:lvlJc w:val="left"/>
      <w:lvlText w:val="%1."/>
      <w:numFmt w:val="decimal"/>
      <w:start w:val="7"/>
    </w:lvl>
  </w:abstractNum>
  <w:abstractNum w:abstractNumId="80">
    <w:nsid w:val="3C5991AA"/>
    <w:multiLevelType w:val="hybridMultilevel"/>
    <w:lvl w:ilvl="0">
      <w:lvlJc w:val="left"/>
      <w:lvlText w:val="%1."/>
      <w:numFmt w:val="decimal"/>
      <w:start w:val="8"/>
    </w:lvl>
  </w:abstractNum>
  <w:abstractNum w:abstractNumId="81">
    <w:nsid w:val="4BD8591A"/>
    <w:multiLevelType w:val="hybridMultilevel"/>
    <w:lvl w:ilvl="0">
      <w:lvlJc w:val="left"/>
      <w:lvlText w:val="%1."/>
      <w:numFmt w:val="decimal"/>
      <w:start w:val="9"/>
    </w:lvl>
  </w:abstractNum>
  <w:abstractNum w:abstractNumId="82">
    <w:nsid w:val="78DF6A55"/>
    <w:multiLevelType w:val="hybridMultilevel"/>
    <w:lvl w:ilvl="0">
      <w:lvlJc w:val="left"/>
      <w:lvlText w:val="%1."/>
      <w:numFmt w:val="decimal"/>
      <w:start w:val="10"/>
    </w:lvl>
  </w:abstractNum>
  <w:abstractNum w:abstractNumId="83">
    <w:nsid w:val="39B7AAA2"/>
    <w:multiLevelType w:val="hybridMultilevel"/>
    <w:lvl w:ilvl="0">
      <w:lvlJc w:val="left"/>
      <w:lvlText w:val="%1."/>
      <w:numFmt w:val="decimal"/>
      <w:start w:val="11"/>
    </w:lvl>
  </w:abstractNum>
  <w:abstractNum w:abstractNumId="84">
    <w:nsid w:val="2B0D8DBE"/>
    <w:multiLevelType w:val="hybridMultilevel"/>
    <w:lvl w:ilvl="0">
      <w:lvlJc w:val="left"/>
      <w:lvlText w:val="%1."/>
      <w:numFmt w:val="decimal"/>
      <w:start w:val="12"/>
    </w:lvl>
  </w:abstractNum>
  <w:abstractNum w:abstractNumId="85">
    <w:nsid w:val="6C80EC70"/>
    <w:multiLevelType w:val="hybridMultilevel"/>
    <w:lvl w:ilvl="0">
      <w:lvlJc w:val="left"/>
      <w:lvlText w:val="(%1)"/>
      <w:numFmt w:val="lowerRoman"/>
      <w:start w:val="1"/>
    </w:lvl>
  </w:abstractNum>
  <w:abstractNum w:abstractNumId="86">
    <w:nsid w:val="379E21B5"/>
    <w:multiLevelType w:val="hybridMultilevel"/>
    <w:lvl w:ilvl="0">
      <w:lvlJc w:val="left"/>
      <w:lvlText w:val="%1."/>
      <w:numFmt w:val="decimal"/>
      <w:start w:val="16"/>
    </w:lvl>
  </w:abstractNum>
  <w:abstractNum w:abstractNumId="87">
    <w:nsid w:val="69E373"/>
    <w:multiLevelType w:val="hybridMultilevel"/>
    <w:lvl w:ilvl="0">
      <w:lvlJc w:val="left"/>
      <w:lvlText w:val="%1."/>
      <w:numFmt w:val="decimal"/>
      <w:start w:val="17"/>
    </w:lvl>
  </w:abstractNum>
  <w:abstractNum w:abstractNumId="88">
    <w:nsid w:val="2C27173B"/>
    <w:multiLevelType w:val="hybridMultilevel"/>
    <w:lvl w:ilvl="0">
      <w:lvlJc w:val="left"/>
      <w:lvlText w:val="%1"/>
      <w:numFmt w:val="lowerLetter"/>
      <w:start w:val="1"/>
    </w:lvl>
    <w:lvl w:ilvl="1">
      <w:lvlJc w:val="left"/>
      <w:lvlText w:val="%2."/>
      <w:numFmt w:val="decimal"/>
      <w:start w:val="19"/>
    </w:lvl>
  </w:abstractNum>
  <w:abstractNum w:abstractNumId="89">
    <w:nsid w:val="4C9B0904"/>
    <w:multiLevelType w:val="hybridMultilevel"/>
    <w:lvl w:ilvl="0">
      <w:lvlJc w:val="left"/>
      <w:lvlText w:val="(%1)"/>
      <w:numFmt w:val="lowerLetter"/>
      <w:start w:val="1"/>
    </w:lvl>
    <w:lvl w:ilvl="1">
      <w:lvlJc w:val="left"/>
      <w:lvlText w:val="%2."/>
      <w:numFmt w:val="decimal"/>
      <w:start w:val="20"/>
    </w:lvl>
  </w:abstractNum>
  <w:abstractNum w:abstractNumId="90">
    <w:nsid w:val="6AA7B75C"/>
    <w:multiLevelType w:val="hybridMultilevel"/>
    <w:lvl w:ilvl="0">
      <w:lvlJc w:val="left"/>
      <w:lvlText w:val="%1."/>
      <w:numFmt w:val="decimal"/>
      <w:start w:val="21"/>
    </w:lvl>
  </w:abstractNum>
  <w:abstractNum w:abstractNumId="91">
    <w:nsid w:val="1DF029D3"/>
    <w:multiLevelType w:val="hybridMultilevel"/>
    <w:lvl w:ilvl="0">
      <w:lvlJc w:val="left"/>
      <w:lvlText w:val="%1."/>
      <w:numFmt w:val="decimal"/>
      <w:start w:val="22"/>
    </w:lvl>
  </w:abstractNum>
  <w:abstractNum w:abstractNumId="92">
    <w:nsid w:val="5675FF36"/>
    <w:multiLevelType w:val="hybridMultilevel"/>
    <w:lvl w:ilvl="0">
      <w:lvlJc w:val="left"/>
      <w:lvlText w:val="%1."/>
      <w:numFmt w:val="decimal"/>
      <w:start w:val="23"/>
    </w:lvl>
  </w:abstractNum>
  <w:abstractNum w:abstractNumId="93">
    <w:nsid w:val="3DD15094"/>
    <w:multiLevelType w:val="hybridMultilevel"/>
    <w:lvl w:ilvl="0">
      <w:lvlJc w:val="left"/>
      <w:lvlText w:val="%1."/>
      <w:numFmt w:val="decimal"/>
      <w:start w:val="24"/>
    </w:lvl>
  </w:abstractNum>
  <w:abstractNum w:abstractNumId="94">
    <w:nsid w:val="3DB012B3"/>
    <w:multiLevelType w:val="hybridMultilevel"/>
    <w:lvl w:ilvl="0">
      <w:lvlJc w:val="left"/>
      <w:lvlText w:val="%1."/>
      <w:numFmt w:val="decimal"/>
      <w:start w:val="1"/>
    </w:lvl>
  </w:abstractNum>
  <w:abstractNum w:abstractNumId="95">
    <w:nsid w:val="2708C9AF"/>
    <w:multiLevelType w:val="hybridMultilevel"/>
    <w:lvl w:ilvl="0">
      <w:lvlJc w:val="left"/>
      <w:lvlText w:val="%1."/>
      <w:numFmt w:val="decimal"/>
      <w:start w:val="2"/>
    </w:lvl>
  </w:abstractNum>
  <w:abstractNum w:abstractNumId="96">
    <w:nsid w:val="5B25ACE2"/>
    <w:multiLevelType w:val="hybridMultilevel"/>
    <w:lvl w:ilvl="0">
      <w:lvlJc w:val="left"/>
      <w:lvlText w:val="%1."/>
      <w:numFmt w:val="decimal"/>
      <w:start w:val="4"/>
    </w:lvl>
  </w:abstractNum>
  <w:abstractNum w:abstractNumId="97">
    <w:nsid w:val="175DFCF0"/>
    <w:multiLevelType w:val="hybridMultilevel"/>
    <w:lvl w:ilvl="0">
      <w:lvlJc w:val="left"/>
      <w:lvlText w:val="%1."/>
      <w:numFmt w:val="decimal"/>
      <w:start w:val="5"/>
    </w:lvl>
  </w:abstractNum>
  <w:abstractNum w:abstractNumId="98">
    <w:nsid w:val="4F97E3E4"/>
    <w:multiLevelType w:val="hybridMultilevel"/>
    <w:lvl w:ilvl="0">
      <w:lvlJc w:val="left"/>
      <w:lvlText w:val="%1."/>
      <w:numFmt w:val="decimal"/>
      <w:start w:val="6"/>
    </w:lvl>
  </w:abstractNum>
  <w:abstractNum w:abstractNumId="99">
    <w:nsid w:val="53B0A9E"/>
    <w:multiLevelType w:val="hybridMultilevel"/>
    <w:lvl w:ilvl="0">
      <w:lvlJc w:val="left"/>
      <w:lvlText w:val="%1."/>
      <w:numFmt w:val="decimal"/>
      <w:start w:val="7"/>
    </w:lvl>
  </w:abstractNum>
  <w:abstractNum w:abstractNumId="100">
    <w:nsid w:val="34FD6B4F"/>
    <w:multiLevelType w:val="hybridMultilevel"/>
    <w:lvl w:ilvl="0">
      <w:lvlJc w:val="left"/>
      <w:lvlText w:val="%1."/>
      <w:numFmt w:val="decimal"/>
      <w:start w:val="9"/>
    </w:lvl>
  </w:abstractNum>
  <w:abstractNum w:abstractNumId="101">
    <w:nsid w:val="5915FF32"/>
    <w:multiLevelType w:val="hybridMultilevel"/>
    <w:lvl w:ilvl="0">
      <w:lvlJc w:val="left"/>
      <w:lvlText w:val="%1."/>
      <w:numFmt w:val="decimal"/>
      <w:start w:val="10"/>
    </w:lvl>
  </w:abstractNum>
  <w:abstractNum w:abstractNumId="102">
    <w:nsid w:val="56438D15"/>
    <w:multiLevelType w:val="hybridMultilevel"/>
    <w:lvl w:ilvl="0">
      <w:lvlJc w:val="left"/>
      <w:lvlText w:val="%1."/>
      <w:numFmt w:val="decimal"/>
      <w:start w:val="13"/>
    </w:lvl>
  </w:abstractNum>
  <w:abstractNum w:abstractNumId="103">
    <w:nsid w:val="519E3149"/>
    <w:multiLevelType w:val="hybridMultilevel"/>
    <w:lvl w:ilvl="0">
      <w:lvlJc w:val="left"/>
      <w:lvlText w:val="%1."/>
      <w:numFmt w:val="decimal"/>
      <w:start w:val="16"/>
    </w:lvl>
  </w:abstractNum>
  <w:abstractNum w:abstractNumId="104">
    <w:nsid w:val="2C6E4AFD"/>
    <w:multiLevelType w:val="hybridMultilevel"/>
    <w:lvl w:ilvl="0">
      <w:lvlJc w:val="left"/>
      <w:lvlText w:val="%1."/>
      <w:numFmt w:val="decimal"/>
      <w:start w:val="20"/>
    </w:lvl>
  </w:abstractNum>
  <w:abstractNum w:abstractNumId="105">
    <w:nsid w:val="17A1B582"/>
    <w:multiLevelType w:val="hybridMultilevel"/>
    <w:lvl w:ilvl="0">
      <w:lvlJc w:val="left"/>
      <w:lvlText w:val="%1."/>
      <w:numFmt w:val="decimal"/>
      <w:start w:val="27"/>
    </w:lvl>
  </w:abstractNum>
  <w:abstractNum w:abstractNumId="106">
    <w:nsid w:val="4DF72E4E"/>
    <w:multiLevelType w:val="hybridMultilevel"/>
    <w:lvl w:ilvl="0">
      <w:lvlJc w:val="left"/>
      <w:lvlText w:val="%1."/>
      <w:numFmt w:val="decimal"/>
      <w:start w:val="1"/>
    </w:lvl>
  </w:abstractNum>
  <w:abstractNum w:abstractNumId="107">
    <w:nsid w:val="5046B5A9"/>
    <w:multiLevelType w:val="hybridMultilevel"/>
    <w:lvl w:ilvl="0">
      <w:lvlJc w:val="left"/>
      <w:lvlText w:val="%1."/>
      <w:numFmt w:val="decimal"/>
      <w:start w:val="1"/>
    </w:lvl>
  </w:abstractNum>
  <w:abstractNum w:abstractNumId="108">
    <w:nsid w:val="5D888A08"/>
    <w:multiLevelType w:val="hybridMultilevel"/>
    <w:lvl w:ilvl="0">
      <w:lvlJc w:val="left"/>
      <w:lvlText w:val="%1."/>
      <w:numFmt w:val="decimal"/>
      <w:start w:val="5"/>
    </w:lvl>
  </w:abstractNum>
  <w:abstractNum w:abstractNumId="109">
    <w:nsid w:val="2A082C70"/>
    <w:multiLevelType w:val="hybridMultilevel"/>
    <w:lvl w:ilvl="0">
      <w:lvlJc w:val="left"/>
      <w:lvlText w:val="%1."/>
      <w:numFmt w:val="decimal"/>
      <w:start w:val="1"/>
    </w:lvl>
    <w:lvl w:ilvl="1">
      <w:lvlJc w:val="left"/>
      <w:lvlText w:val="%2."/>
      <w:numFmt w:val="lowerLetter"/>
      <w:start w:val="1"/>
    </w:lvl>
  </w:abstractNum>
  <w:abstractNum w:abstractNumId="110">
    <w:nsid w:val="5EC6AFD4"/>
    <w:multiLevelType w:val="hybridMultilevel"/>
    <w:lvl w:ilvl="0">
      <w:lvlJc w:val="left"/>
      <w:lvlText w:val="%1."/>
      <w:numFmt w:val="decimal"/>
      <w:start w:val="2"/>
    </w:lvl>
  </w:abstractNum>
  <w:abstractNum w:abstractNumId="111">
    <w:nsid w:val="19E21BB2"/>
    <w:multiLevelType w:val="hybridMultilevel"/>
    <w:lvl w:ilvl="0">
      <w:lvlJc w:val="left"/>
      <w:lvlText w:val="%1."/>
      <w:numFmt w:val="decimal"/>
      <w:start w:val="4"/>
    </w:lvl>
    <w:lvl w:ilvl="1">
      <w:lvlJc w:val="left"/>
      <w:lvlText w:val="%2."/>
      <w:numFmt w:val="decimal"/>
      <w:start w:val="5"/>
    </w:lvl>
  </w:abstractNum>
  <w:abstractNum w:abstractNumId="112">
    <w:nsid w:val="75E0858A"/>
    <w:multiLevelType w:val="hybridMultilevel"/>
    <w:lvl w:ilvl="0">
      <w:lvlJc w:val="left"/>
      <w:lvlText w:val="%1."/>
      <w:numFmt w:val="decimal"/>
      <w:start w:val="6"/>
    </w:lvl>
  </w:abstractNum>
  <w:abstractNum w:abstractNumId="113">
    <w:nsid w:val="57A61A29"/>
    <w:multiLevelType w:val="hybridMultilevel"/>
    <w:lvl w:ilvl="0">
      <w:lvlJc w:val="left"/>
      <w:lvlText w:val="%1."/>
      <w:numFmt w:val="decimal"/>
      <w:start w:val="7"/>
    </w:lvl>
    <w:lvl w:ilvl="1">
      <w:lvlJc w:val="left"/>
      <w:lvlText w:val="%2."/>
      <w:numFmt w:val="lowerLetter"/>
      <w:start w:val="1"/>
    </w:lvl>
  </w:abstractNum>
  <w:abstractNum w:abstractNumId="114">
    <w:nsid w:val="5399C654"/>
    <w:multiLevelType w:val="hybridMultilevel"/>
    <w:lvl w:ilvl="0">
      <w:lvlJc w:val="left"/>
      <w:lvlText w:val="%1."/>
      <w:numFmt w:val="lowerLetter"/>
      <w:start w:val="5"/>
    </w:lvl>
  </w:abstractNum>
  <w:abstractNum w:abstractNumId="115">
    <w:nsid w:val="20EE1348"/>
    <w:multiLevelType w:val="hybridMultilevel"/>
    <w:lvl w:ilvl="0">
      <w:lvlJc w:val="left"/>
      <w:lvlText w:val="%1."/>
      <w:numFmt w:val="lowerLetter"/>
      <w:start w:val="7"/>
    </w:lvl>
    <w:lvl w:ilvl="1">
      <w:lvlJc w:val="left"/>
      <w:lvlText w:val="(%2)"/>
      <w:numFmt w:val="lowerRoman"/>
      <w:start w:val="2"/>
    </w:lvl>
  </w:abstractNum>
  <w:abstractNum w:abstractNumId="116">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7">
    <w:nsid w:val="B37E80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8">
    <w:nsid w:val="2157F6BC"/>
    <w:multiLevelType w:val="hybridMultilevel"/>
    <w:lvl w:ilvl="0">
      <w:lvlJc w:val="left"/>
      <w:lvlText w:val="%1."/>
      <w:numFmt w:val="lowerLetter"/>
      <w:start w:val="2"/>
    </w:lvl>
  </w:abstractNum>
  <w:abstractNum w:abstractNumId="119">
    <w:nsid w:val="704E1DD5"/>
    <w:multiLevelType w:val="hybridMultilevel"/>
    <w:lvl w:ilvl="0">
      <w:lvlJc w:val="left"/>
      <w:lvlText w:val="%1."/>
      <w:numFmt w:val="lowerLetter"/>
      <w:start w:val="8"/>
    </w:lvl>
  </w:abstractNum>
  <w:abstractNum w:abstractNumId="120">
    <w:nsid w:val="57D2F10E"/>
    <w:multiLevelType w:val="hybridMultilevel"/>
    <w:lvl w:ilvl="0">
      <w:lvlJc w:val="left"/>
      <w:lvlText w:val="%1."/>
      <w:numFmt w:val="decimal"/>
      <w:start w:val="1"/>
    </w:lvl>
  </w:abstractNum>
  <w:abstractNum w:abstractNumId="121">
    <w:nsid w:val="BFFAE18"/>
    <w:multiLevelType w:val="hybridMultilevel"/>
    <w:lvl w:ilvl="0">
      <w:lvlJc w:val="left"/>
      <w:lvlText w:val="(%1)"/>
      <w:numFmt w:val="decimal"/>
      <w:start w:val="6"/>
    </w:lvl>
  </w:abstractNum>
  <w:abstractNum w:abstractNumId="122">
    <w:nsid w:val="E3E47A8"/>
    <w:multiLevelType w:val="hybridMultilevel"/>
    <w:lvl w:ilvl="0">
      <w:lvlJc w:val="left"/>
      <w:lvlText w:val="%1."/>
      <w:numFmt w:val="decimal"/>
      <w:start w:val="5"/>
    </w:lvl>
  </w:abstractNum>
  <w:abstractNum w:abstractNumId="123">
    <w:nsid w:val="2E48F044"/>
    <w:multiLevelType w:val="hybridMultilevel"/>
    <w:lvl w:ilvl="0">
      <w:lvlJc w:val="left"/>
      <w:lvlText w:val="%1."/>
      <w:numFmt w:val="decimal"/>
      <w:start w:val="6"/>
    </w:lvl>
  </w:abstractNum>
  <w:abstractNum w:abstractNumId="124">
    <w:nsid w:val="49D0FEAC"/>
    <w:multiLevelType w:val="hybridMultilevel"/>
    <w:lvl w:ilvl="0">
      <w:lvlJc w:val="left"/>
      <w:lvlText w:val="(%1)"/>
      <w:numFmt w:val="lowerRoman"/>
      <w:start w:val="3"/>
    </w:lvl>
  </w:abstractNum>
  <w:abstractNum w:abstractNumId="125">
    <w:nsid w:val="4BEE5A5B"/>
    <w:multiLevelType w:val="hybridMultilevel"/>
    <w:lvl w:ilvl="0">
      <w:lvlJc w:val="left"/>
      <w:lvlText w:val="%1."/>
      <w:numFmt w:val="decimal"/>
      <w:start w:val="8"/>
    </w:lvl>
  </w:abstractNum>
  <w:abstractNum w:abstractNumId="126">
    <w:nsid w:val="5551B9F3"/>
    <w:multiLevelType w:val="hybridMultilevel"/>
    <w:lvl w:ilvl="0">
      <w:lvlJc w:val="left"/>
      <w:lvlText w:val="%1."/>
      <w:numFmt w:val="decimal"/>
      <w:start w:val="12"/>
    </w:lvl>
  </w:abstractNum>
  <w:abstractNum w:abstractNumId="127">
    <w:nsid w:val="24F6AB8E"/>
    <w:multiLevelType w:val="hybridMultilevel"/>
    <w:lvl w:ilvl="0">
      <w:lvlJc w:val="left"/>
      <w:lvlText w:val="%1."/>
      <w:numFmt w:val="decimal"/>
      <w:start w:val="15"/>
    </w:lvl>
  </w:abstractNum>
  <w:abstractNum w:abstractNumId="128">
    <w:nsid w:val="634C574C"/>
    <w:multiLevelType w:val="hybridMultilevel"/>
    <w:lvl w:ilvl="0">
      <w:lvlJc w:val="left"/>
      <w:lvlText w:val="%1."/>
      <w:numFmt w:val="decimal"/>
      <w:start w:val="18"/>
    </w:lvl>
  </w:abstractNum>
  <w:abstractNum w:abstractNumId="129">
    <w:nsid w:val="24E99DD7"/>
    <w:multiLevelType w:val="hybridMultilevel"/>
    <w:lvl w:ilvl="0">
      <w:lvlJc w:val="left"/>
      <w:lvlText w:val="%1."/>
      <w:numFmt w:val="decimal"/>
      <w:start w:val="19"/>
    </w:lvl>
  </w:abstractNum>
  <w:abstractNum w:abstractNumId="130">
    <w:nsid w:val="2A31B62D"/>
    <w:multiLevelType w:val="hybridMultilevel"/>
    <w:lvl w:ilvl="0">
      <w:lvlJc w:val="left"/>
      <w:lvlText w:val="%1."/>
      <w:numFmt w:val="decimal"/>
      <w:start w:val="25"/>
    </w:lvl>
  </w:abstractNum>
  <w:abstractNum w:abstractNumId="131">
    <w:nsid w:val="1849C29B"/>
    <w:multiLevelType w:val="hybridMultilevel"/>
    <w:lvl w:ilvl="0">
      <w:lvlJc w:val="left"/>
      <w:lvlText w:val="%1."/>
      <w:numFmt w:val="decimal"/>
      <w:start w:val="1"/>
    </w:lvl>
    <w:lvl w:ilvl="1">
      <w:lvlJc w:val="left"/>
      <w:lvlText w:val="%2."/>
      <w:numFmt w:val="lowerLetter"/>
      <w:start w:val="1"/>
    </w:lvl>
  </w:abstractNum>
  <w:abstractNum w:abstractNumId="132">
    <w:nsid w:val="7DFF9D09"/>
    <w:multiLevelType w:val="hybridMultilevel"/>
    <w:lvl w:ilvl="0">
      <w:lvlJc w:val="left"/>
      <w:lvlText w:val="%1"/>
      <w:numFmt w:val="decimal"/>
      <w:start w:val="1"/>
    </w:lvl>
    <w:lvl w:ilvl="1">
      <w:lvlJc w:val="left"/>
      <w:lvlText w:val="%2."/>
      <w:numFmt w:val="lowerLetter"/>
      <w:start w:val="3"/>
    </w:lvl>
  </w:abstractNum>
  <w:abstractNum w:abstractNumId="133">
    <w:nsid w:val="754342"/>
    <w:multiLevelType w:val="hybridMultilevel"/>
    <w:lvl w:ilvl="0">
      <w:lvlJc w:val="left"/>
      <w:lvlText w:val="%1."/>
      <w:numFmt w:val="decimal"/>
      <w:start w:val="2"/>
    </w:lvl>
    <w:lvl w:ilvl="1">
      <w:lvlJc w:val="left"/>
      <w:lvlText w:val="%2"/>
      <w:numFmt w:val="lowerLetter"/>
      <w:start w:val="1"/>
    </w:lvl>
  </w:abstractNum>
  <w:abstractNum w:abstractNumId="134">
    <w:nsid w:val="69E7F3E5"/>
    <w:multiLevelType w:val="hybridMultilevel"/>
    <w:lvl w:ilvl="0">
      <w:lvlJc w:val="left"/>
      <w:lvlText w:val="%1."/>
      <w:numFmt w:val="decimal"/>
      <w:start w:val="4"/>
    </w:lvl>
  </w:abstractNum>
  <w:abstractNum w:abstractNumId="135">
    <w:nsid w:val="2A6DE806"/>
    <w:multiLevelType w:val="hybridMultilevel"/>
    <w:lvl w:ilvl="0">
      <w:lvlJc w:val="left"/>
      <w:lvlText w:val="%1."/>
      <w:numFmt w:val="decimal"/>
      <w:start w:val="7"/>
    </w:lvl>
    <w:lvl w:ilvl="1">
      <w:lvlJc w:val="left"/>
      <w:lvlText w:val="%2."/>
      <w:numFmt w:val="lowerLetter"/>
      <w:start w:val="1"/>
    </w:lvl>
  </w:abstractNum>
  <w:abstractNum w:abstractNumId="136">
    <w:nsid w:val="1816F8C4"/>
    <w:multiLevelType w:val="hybridMultilevel"/>
    <w:lvl w:ilvl="0">
      <w:lvlJc w:val="left"/>
      <w:lvlText w:val="%1."/>
      <w:numFmt w:val="lowerLetter"/>
      <w:start w:val="5"/>
    </w:lvl>
  </w:abstractNum>
  <w:abstractNum w:abstractNumId="137">
    <w:nsid w:val="37DF2233"/>
    <w:multiLevelType w:val="hybridMultilevel"/>
    <w:lvl w:ilvl="0">
      <w:lvlJc w:val="left"/>
      <w:lvlText w:val="%1."/>
      <w:numFmt w:val="lowerLetter"/>
      <w:start w:val="7"/>
    </w:lvl>
    <w:lvl w:ilvl="1">
      <w:lvlJc w:val="left"/>
      <w:lvlText w:val="(%2)"/>
      <w:numFmt w:val="lowerRoman"/>
      <w:start w:val="2"/>
    </w:lvl>
  </w:abstractNum>
  <w:abstractNum w:abstractNumId="138">
    <w:nsid w:val="7AB49DAF"/>
    <w:multiLevelType w:val="hybridMultilevel"/>
    <w:lvl w:ilvl="0">
      <w:lvlJc w:val="left"/>
      <w:lvlText w:val="%1"/>
      <w:numFmt w:val="decimal"/>
      <w:start w:val="1"/>
    </w:lvl>
    <w:lvl w:ilvl="1">
      <w:lvlJc w:val="left"/>
      <w:lvlText w:val="%2."/>
      <w:numFmt w:val="lowerLetter"/>
      <w:start w:val="12"/>
    </w:lvl>
  </w:abstractNum>
  <w:abstractNum w:abstractNumId="139">
    <w:nsid w:val="759F82CD"/>
    <w:multiLevelType w:val="hybridMultilevel"/>
    <w:lvl w:ilvl="0">
      <w:lvlJc w:val="left"/>
      <w:lvlText w:val="%1."/>
      <w:numFmt w:val="decimal"/>
      <w:start w:val="8"/>
    </w:lvl>
    <w:lvl w:ilvl="1">
      <w:lvlJc w:val="left"/>
      <w:lvlText w:val="%2."/>
      <w:numFmt w:val="lowerLetter"/>
      <w:start w:val="1"/>
    </w:lvl>
  </w:abstractNum>
  <w:abstractNum w:abstractNumId="140">
    <w:nsid w:val="61E74EA3"/>
    <w:multiLevelType w:val="hybridMultilevel"/>
    <w:lvl w:ilvl="0">
      <w:lvlJc w:val="left"/>
      <w:lvlText w:val="%1."/>
      <w:numFmt w:val="lowerLetter"/>
      <w:start w:val="2"/>
    </w:lvl>
  </w:abstractNum>
  <w:abstractNum w:abstractNumId="141">
    <w:nsid w:val="597B4D84"/>
    <w:multiLevelType w:val="hybridMultilevel"/>
    <w:lvl w:ilvl="0">
      <w:lvlJc w:val="left"/>
      <w:lvlText w:val="%1."/>
      <w:numFmt w:val="lowerLetter"/>
      <w:start w:val="8"/>
    </w:lvl>
  </w:abstractNum>
  <w:abstractNum w:abstractNumId="142">
    <w:nsid w:val="F819E7F"/>
    <w:multiLevelType w:val="hybridMultilevel"/>
    <w:lvl w:ilvl="0">
      <w:lvlJc w:val="left"/>
      <w:lvlText w:val="(%1)"/>
      <w:numFmt w:val="decimal"/>
      <w:start w:val="1"/>
    </w:lvl>
  </w:abstractNum>
  <w:abstractNum w:abstractNumId="143">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4">
    <w:nsid w:val="312167A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30" Type="http://schemas.openxmlformats.org/officeDocument/2006/relationships/image" Target="media/image407.png"/><Relationship Id="rId431" Type="http://schemas.openxmlformats.org/officeDocument/2006/relationships/image" Target="media/image408.png"/><Relationship Id="rId432"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jpe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396" Type="http://schemas.openxmlformats.org/officeDocument/2006/relationships/hyperlink" Target="https://www.sec.gov/Archives/edgar/data/1841156/000095017021004172/pay-ex2_1.htm" TargetMode="External"/><Relationship Id="rId397" Type="http://schemas.openxmlformats.org/officeDocument/2006/relationships/hyperlink" Target="https://www.sec.gov/Archives/edgar/data/1841156/000156459021030840/ck7045120534-ex31_9.htm" TargetMode="External"/><Relationship Id="rId398" Type="http://schemas.openxmlformats.org/officeDocument/2006/relationships/hyperlink" Target="https://www.sec.gov/Archives/edgar/data/1841156/000156459021030840/ck7045120534-ex32_8.htm" TargetMode="External"/><Relationship Id="rId399" Type="http://schemas.openxmlformats.org/officeDocument/2006/relationships/hyperlink" Target="https://www.sec.gov/Archives/edgar/data/1841156/000156459021027416/ck7045120534-ex41_105.htm" TargetMode="External"/><Relationship Id="rId400" Type="http://schemas.openxmlformats.org/officeDocument/2006/relationships/hyperlink" Target="https://www.sec.gov/Archives/edgar/data/1841156/000156459021030840/ck7045120534-ex41_7.htm" TargetMode="External"/><Relationship Id="rId401" Type="http://schemas.openxmlformats.org/officeDocument/2006/relationships/hyperlink" Target="https://www.sec.gov/Archives/edgar/data/1841156/000156459021027416/ck7045120534-ex101_15.htm" TargetMode="External"/><Relationship Id="rId402" Type="http://schemas.openxmlformats.org/officeDocument/2006/relationships/hyperlink" Target="https://www.sec.gov/Archives/edgar/data/1841156/000156459021028164/ck7045120534-ex102_397.htm" TargetMode="External"/><Relationship Id="rId403" Type="http://schemas.openxmlformats.org/officeDocument/2006/relationships/hyperlink" Target="https://www.sec.gov/Archives/edgar/data/1841156/000156459021028164/ck7045120534-ex104_394.htm" TargetMode="External"/><Relationship Id="rId404" Type="http://schemas.openxmlformats.org/officeDocument/2006/relationships/hyperlink" Target="https://www.sec.gov/Archives/edgar/data/1841156/000156459021028164/ck7045120534-ex105_395.htm" TargetMode="External"/><Relationship Id="rId407" Type="http://schemas.openxmlformats.org/officeDocument/2006/relationships/hyperlink" Target="https://www.sec.gov/Archives/edgar/data/1841156/000156459021028164/ck7045120534-ex106_274.htm" TargetMode="External"/><Relationship Id="rId410" Type="http://schemas.openxmlformats.org/officeDocument/2006/relationships/hyperlink" Target="https://www.sec.gov/Archives/edgar/data/1841156/000156459021028164/ck7045120534-ex107_275.htm" TargetMode="External"/><Relationship Id="rId413" Type="http://schemas.openxmlformats.org/officeDocument/2006/relationships/hyperlink" Target="https://www.sec.gov/Archives/edgar/data/1841156/000156459021028164/ck7045120534-ex108_276.htm" TargetMode="External"/><Relationship Id="rId418" Type="http://schemas.openxmlformats.org/officeDocument/2006/relationships/hyperlink" Target="https://www.sec.gov/Archives/edgar/data/1841156/000156459021028164/ck7045120534-ex109_277.htm" TargetMode="External"/><Relationship Id="rId421" Type="http://schemas.openxmlformats.org/officeDocument/2006/relationships/hyperlink" Target="https://www.sec.gov/Archives/edgar/data/1841156/000156459021028164/ck7045120534-ex1010_278.htm" TargetMode="External"/><Relationship Id="rId424" Type="http://schemas.openxmlformats.org/officeDocument/2006/relationships/hyperlink" Target="https://www.sec.gov/Archives/edgar/data/1841156/000156459021028164/ck7045120534-ex1011_279.htm" TargetMode="External"/><Relationship Id="rId429" Type="http://schemas.openxmlformats.org/officeDocument/2006/relationships/hyperlink" Target="https://www.sec.gov/Archives/edgar/data/1841156/000156459021030840/ck7045120534-ex101_6.htm" TargetMode="External"/><Relationship Id="rId433" Type="http://schemas.openxmlformats.org/officeDocument/2006/relationships/hyperlink" Target="https://www.sec.gov/Archives/edgar/data/1841156/000156459021028164/ck7045120534-ex1015_66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2022-03-03T16:10:49Z</dcterms:created>
  <dcterms:modified xsi:type="dcterms:W3CDTF">2022-03-03T16:10:49Z</dcterms:modified>
</cp:coreProperties>
</file>