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60323.htm"/>
      <w:bookmarkStart w:id="1" w:name="kspay2026032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Arial" w:hAnsi="Arial"/>
          <w:b/>
          <w:color w:val="000000"/>
          <w:sz w:val="36"/>
        </w:rPr>
        <w:t>UNITED STATES</w:t>
        <w:br/>
        <w:t>SECURITIES AND EXCHANGE COMMISSION</w:t>
      </w:r>
      <w:r>
        <w:rPr>
          <w:rFonts w:ascii="Times New Roman" w:hAnsi="Times New Roman"/>
          <w:b/>
          <w:color w:val="000000"/>
          <w:sz w:val="36"/>
        </w:rPr>
        <w:br/>
      </w:r>
      <w:r>
        <w:rPr>
          <w:rFonts w:ascii="Arial" w:hAnsi="Arial"/>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Arial" w:hAnsi="Arial"/>
          <w:color w:val="000000"/>
          <w:sz w:val="36"/>
        </w:rPr>
        <w:t xml:space="preserve">FORM </w:t>
      </w:r>
      <w:r>
        <w:rPr>
          <w:rFonts w:ascii="Arial" w:hAnsi="Arial"/>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5941" w:type="dxa"/>
        <w:jc w:val="left"/>
        <w:tblInd w:w="0" w:type="dxa"/>
        <w:tblLayout w:type="fixed"/>
        <w:tblCellMar>
          <w:top w:w="28" w:type="dxa"/>
          <w:left w:w="28" w:type="dxa"/>
          <w:bottom w:w="28" w:type="dxa"/>
          <w:right w:w="28" w:type="dxa"/>
        </w:tblCellMar>
      </w:tblPr>
      <w:tblGrid>
        <w:gridCol w:w="5941"/>
      </w:tblGrid>
      <w:tr>
        <w:trPr/>
        <w:tc>
          <w:tcPr>
            <w:tcW w:w="5941"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Date of Report (Date of earliest event reported): March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rial" w:hAnsi="Arial"/>
          <w:b/>
          <w:color w:val="000000"/>
          <w:sz w:val="48"/>
        </w:rPr>
      </w:pPr>
      <w:r>
        <w:rPr>
          <w:rFonts w:ascii="Arial" w:hAnsi="Arial"/>
          <w:b/>
          <w:color w:val="000000"/>
          <w:sz w:val="48"/>
        </w:rPr>
        <w:t>Paymentus Holdings, Inc.</w:t>
      </w:r>
    </w:p>
    <w:p>
      <w:pPr>
        <w:pStyle w:val="TextBody"/>
        <w:bidi w:val="0"/>
        <w:spacing w:before="60" w:after="283"/>
        <w:jc w:val="center"/>
        <w:rPr>
          <w:rFonts w:ascii="Arial" w:hAnsi="Arial"/>
          <w:b/>
          <w:color w:val="000000"/>
          <w:sz w:val="14"/>
        </w:rPr>
      </w:pPr>
      <w:r>
        <w:rPr>
          <w:rFonts w:ascii="Arial" w:hAnsi="Arial"/>
          <w:b/>
          <w:color w:val="000000"/>
          <w:sz w:val="14"/>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1292"/>
        <w:gridCol w:w="1169"/>
        <w:gridCol w:w="1184"/>
        <w:gridCol w:w="1816"/>
        <w:gridCol w:w="1291"/>
      </w:tblGrid>
      <w:tr>
        <w:trPr/>
        <w:tc>
          <w:tcPr>
            <w:tcW w:w="129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001-40429</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45-3188251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(State or Other Jurisdiction</w:t>
              <w:br/>
              <w:t>of Incorporation)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(Commission File Number)</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12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45"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11605 North Community House Road,</w:t>
            </w:r>
            <w:r>
              <w:rPr>
                <w:rFonts w:ascii="Times New Roman" w:hAnsi="Times New Roman"/>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Suite 300</w:t>
            </w:r>
          </w:p>
        </w:tc>
        <w:tc>
          <w:tcPr>
            <w:tcW w:w="31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Charlotte, North Carolina</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28277</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left"/>
              <w:rPr>
                <w:sz w:val="4"/>
                <w:szCs w:val="4"/>
              </w:rPr>
            </w:pPr>
            <w:r>
              <w:rPr>
                <w:sz w:val="4"/>
                <w:szCs w:val="4"/>
              </w:rPr>
            </w:r>
          </w:p>
        </w:tc>
      </w:tr>
      <w:tr>
        <w:trPr/>
        <w:tc>
          <w:tcPr>
            <w:tcW w:w="519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(888)</w:t>
            </w:r>
            <w:r>
              <w:rPr>
                <w:rFonts w:ascii="Times New Roman" w:hAnsi="Times New Roman"/>
                <w:color w:val="000000"/>
                <w:sz w:val="20"/>
              </w:rPr>
              <w:t xml:space="preserve"> </w:t>
            </w:r>
            <w:r>
              <w:rPr>
                <w:rFonts w:ascii="Arial" w:hAnsi="Arial"/>
                <w:b/>
                <w:color w:val="000000"/>
                <w:sz w:val="20"/>
              </w:rPr>
              <w:t>440-4826</w:t>
            </w:r>
          </w:p>
          <w:p>
            <w:pPr>
              <w:pStyle w:val="TableContents"/>
              <w:bidi w:val="0"/>
              <w:spacing w:before="0" w:after="283"/>
              <w:jc w:val="center"/>
              <w:rPr>
                <w:rFonts w:ascii="Arial" w:hAnsi="Arial"/>
                <w:b/>
                <w:color w:val="000000"/>
                <w:sz w:val="20"/>
              </w:rPr>
            </w:pPr>
            <w:r>
              <w:rPr>
                <w:rFonts w:ascii="Arial" w:hAnsi="Arial"/>
                <w:b/>
                <w:color w:val="000000"/>
                <w:sz w:val="20"/>
              </w:rPr>
              <w:t>Registrant’s Telephone Number, Including Area Code:</w:t>
            </w:r>
          </w:p>
        </w:tc>
      </w:tr>
    </w:tbl>
    <w:p>
      <w:pPr>
        <w:pStyle w:val="TextBody"/>
        <w:bidi w:val="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Not Applicable</w:t>
            </w:r>
          </w:p>
        </w:tc>
      </w:tr>
    </w:tbl>
    <w:p>
      <w:pPr>
        <w:pStyle w:val="TextBody"/>
        <w:bidi w:val="0"/>
        <w:jc w:val="center"/>
        <w:rPr>
          <w:rFonts w:ascii="Arial" w:hAnsi="Arial"/>
          <w:b/>
          <w:color w:val="000000"/>
          <w:sz w:val="14"/>
        </w:rPr>
      </w:pPr>
      <w:r>
        <w:rPr>
          <w:rFonts w:ascii="Arial" w:hAnsi="Arial"/>
          <w:b/>
          <w:color w:val="000000"/>
          <w:sz w:val="14"/>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rial" w:hAnsi="Arial"/>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color w:val="000000"/>
        </w:rPr>
        <w:t xml:space="preserve">☐ </w:t>
      </w:r>
      <w:r>
        <w:rPr>
          <w:rFonts w:ascii="Arial" w:hAnsi="Arial"/>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Arial" w:hAnsi="Arial"/>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Arial" w:hAnsi="Arial"/>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Arial" w:hAnsi="Arial"/>
          <w:color w:val="000000"/>
          <w:sz w:val="20"/>
        </w:rPr>
        <w:t>Pre-commencement communications pursuant to Rule 13e-4(c) under the Exchange Act (17 CFR 240.13e-4(c))</w:t>
      </w:r>
    </w:p>
    <w:p>
      <w:pPr>
        <w:pStyle w:val="TextBody"/>
        <w:bidi w:val="0"/>
        <w:spacing w:before="180" w:after="180"/>
        <w:jc w:val="center"/>
        <w:rPr>
          <w:rFonts w:ascii="Arial" w:hAnsi="Arial"/>
          <w:b/>
          <w:color w:val="000000"/>
          <w:sz w:val="20"/>
        </w:rPr>
      </w:pPr>
      <w:r>
        <w:rPr>
          <w:rFonts w:ascii="Arial" w:hAnsi="Arial"/>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006"/>
        <w:gridCol w:w="146"/>
        <w:gridCol w:w="1051"/>
        <w:gridCol w:w="146"/>
        <w:gridCol w:w="426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Trading</w:t>
              <w:b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4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New York Stock Exchange</w:t>
            </w:r>
            <w:r>
              <w:rPr>
                <w:rFonts w:ascii="Times New Roman" w:hAnsi="Times New Roman"/>
                <w:color w:val="000000"/>
                <w:sz w:val="20"/>
              </w:rPr>
              <w:t xml:space="preserve"> </w:t>
            </w:r>
          </w:p>
        </w:tc>
      </w:tr>
    </w:tbl>
    <w:p>
      <w:pPr>
        <w:pStyle w:val="TextBody"/>
        <w:bidi w:val="0"/>
        <w:spacing w:before="240" w:after="283"/>
        <w:jc w:val="left"/>
        <w:rPr>
          <w:rFonts w:ascii="Arial" w:hAnsi="Arial"/>
          <w:color w:val="000000"/>
          <w:sz w:val="20"/>
        </w:rPr>
      </w:pPr>
      <w:r>
        <w:rPr>
          <w:rFonts w:ascii="Arial" w:hAnsi="Arial"/>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March 23, 2026, Andrew Gerber, the current General Counsel and Corporate Secretary of Paymentus Holdings, Inc. (the "Company"), notified the Company that he will be leaving to pursue a position at a company that is not related to our industry. His departure is not related to any disagreement with the Company. Mr. Gerber’s last day with the Company and all of its affiliates will be April 6, 2026.</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6874" w:type="dxa"/>
        <w:jc w:val="left"/>
        <w:tblInd w:w="0" w:type="dxa"/>
        <w:tblLayout w:type="fixed"/>
        <w:tblCellMar>
          <w:top w:w="28" w:type="dxa"/>
          <w:left w:w="28" w:type="dxa"/>
          <w:bottom w:w="28" w:type="dxa"/>
          <w:right w:w="28" w:type="dxa"/>
        </w:tblCellMar>
      </w:tblPr>
      <w:tblGrid>
        <w:gridCol w:w="586"/>
        <w:gridCol w:w="1456"/>
        <w:gridCol w:w="451"/>
        <w:gridCol w:w="4381"/>
      </w:tblGrid>
      <w:tr>
        <w:trPr/>
        <w:tc>
          <w:tcPr>
            <w:tcW w:w="5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86" w:after="86"/>
              <w:jc w:val="left"/>
              <w:rPr>
                <w:rFonts w:ascii="Arial" w:hAnsi="Arial"/>
                <w:b/>
                <w:color w:val="000000"/>
                <w:sz w:val="20"/>
              </w:rPr>
            </w:pPr>
            <w:r>
              <w:rPr>
                <w:rFonts w:ascii="Arial" w:hAnsi="Arial"/>
                <w:b/>
                <w:color w:val="000000"/>
                <w:sz w:val="20"/>
              </w:rPr>
              <w:t>PAYMENTUS HOLDINGS, INC.</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March 26,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438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/s/ Dushyant Sharma</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20"/>
              </w:rPr>
            </w:pPr>
            <w:r>
              <w:rPr>
                <w:rFonts w:ascii="Arial" w:hAnsi="Arial"/>
                <w:color w:val="000000"/>
                <w:sz w:val="20"/>
              </w:rPr>
              <w:t xml:space="preserve">Dushyant Sharma </w:t>
              <w:br/>
              <w:t>Chairman, 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449</Words>
  <Characters>2457</Characters>
  <CharactersWithSpaces>2916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