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ay-20260407.htm"/>
      <w:bookmarkStart w:id="1" w:name="kspay20260407"/>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Arial" w:hAnsi="Arial"/>
          <w:b/>
          <w:color w:val="000000"/>
          <w:sz w:val="36"/>
        </w:rPr>
        <w:t>UNITED STATES</w:t>
        <w:br/>
        <w:t>SECURITIES AND EXCHANGE COMMISSION</w:t>
      </w:r>
      <w:r>
        <w:rPr>
          <w:rFonts w:ascii="Times New Roman" w:hAnsi="Times New Roman"/>
          <w:b/>
          <w:color w:val="000000"/>
          <w:sz w:val="36"/>
        </w:rPr>
        <w:br/>
      </w:r>
      <w:r>
        <w:rPr>
          <w:rFonts w:ascii="Arial" w:hAnsi="Arial"/>
          <w:b/>
          <w:color w:val="000000"/>
          <w:sz w:val="24"/>
        </w:rPr>
        <w:t>WASHINGTON, D.C. 20549</w:t>
      </w:r>
    </w:p>
    <w:p>
      <w:pPr>
        <w:pStyle w:val="TextBody"/>
        <w:pBdr>
          <w:bottom w:val="single" w:sz="8" w:space="1" w:color="000000"/>
        </w:pBdr>
        <w:bidi w:val="0"/>
        <w:jc w:val="left"/>
        <w:rPr/>
      </w:pPr>
      <w:r>
        <w:rPr/>
        <w:t> </w:t>
      </w:r>
    </w:p>
    <w:p>
      <w:pPr>
        <w:pStyle w:val="TextBody"/>
        <w:bidi w:val="0"/>
        <w:spacing w:before="200" w:after="283"/>
        <w:jc w:val="center"/>
        <w:rPr>
          <w:rFonts w:ascii="Arial" w:hAnsi="Arial"/>
          <w:b/>
          <w:color w:val="000000"/>
          <w:sz w:val="36"/>
        </w:rPr>
      </w:pPr>
      <w:r>
        <w:rPr>
          <w:rFonts w:ascii="Arial" w:hAnsi="Arial"/>
          <w:b/>
          <w:color w:val="000000"/>
          <w:sz w:val="36"/>
        </w:rPr>
        <w:t>FORM 8-K</w:t>
      </w:r>
    </w:p>
    <w:p>
      <w:pPr>
        <w:pStyle w:val="TextBody"/>
        <w:pBdr>
          <w:bottom w:val="single" w:sz="8" w:space="1" w:color="000000"/>
        </w:pBdr>
        <w:bidi w:val="0"/>
        <w:jc w:val="left"/>
        <w:rPr/>
      </w:pPr>
      <w:r>
        <w:rPr/>
        <w:t>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spacing w:before="180" w:after="120"/>
        <w:jc w:val="center"/>
        <w:rPr>
          <w:rFonts w:ascii="Arial" w:hAnsi="Arial"/>
          <w:b/>
          <w:color w:val="000000"/>
          <w:sz w:val="24"/>
        </w:rPr>
      </w:pPr>
      <w:r>
        <w:rPr>
          <w:rFonts w:ascii="Arial" w:hAnsi="Arial"/>
          <w:b/>
          <w:color w:val="000000"/>
          <w:sz w:val="24"/>
        </w:rPr>
        <w:t>Pursuant to Section 13 or 15(d) of the Securities Exchange Act of 1934</w:t>
      </w:r>
    </w:p>
    <w:tbl>
      <w:tblPr>
        <w:tblW w:w="5716" w:type="dxa"/>
        <w:jc w:val="left"/>
        <w:tblInd w:w="0" w:type="dxa"/>
        <w:tblLayout w:type="fixed"/>
        <w:tblCellMar>
          <w:top w:w="28" w:type="dxa"/>
          <w:left w:w="28" w:type="dxa"/>
          <w:bottom w:w="28" w:type="dxa"/>
          <w:right w:w="28" w:type="dxa"/>
        </w:tblCellMar>
      </w:tblPr>
      <w:tblGrid>
        <w:gridCol w:w="5716"/>
      </w:tblGrid>
      <w:tr>
        <w:trPr/>
        <w:tc>
          <w:tcPr>
            <w:tcW w:w="5716" w:type="dxa"/>
            <w:tcBorders/>
            <w:vAlign w:val="center"/>
          </w:tcPr>
          <w:p>
            <w:pPr>
              <w:pStyle w:val="TableContents"/>
              <w:bidi w:val="0"/>
              <w:spacing w:before="0" w:after="283"/>
              <w:jc w:val="left"/>
              <w:rPr>
                <w:sz w:val="4"/>
                <w:szCs w:val="4"/>
              </w:rPr>
            </w:pPr>
            <w:r>
              <w:rPr>
                <w:sz w:val="4"/>
                <w:szCs w:val="4"/>
              </w:rPr>
            </w:r>
          </w:p>
        </w:tc>
      </w:tr>
      <w:tr>
        <w:trPr/>
        <w:tc>
          <w:tcPr>
            <w:tcW w:w="57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Date of Report (Date of earliest event reported): April 7, 2026</w:t>
            </w:r>
          </w:p>
        </w:tc>
      </w:tr>
    </w:tbl>
    <w:p>
      <w:pPr>
        <w:pStyle w:val="TextBody"/>
        <w:pBdr>
          <w:bottom w:val="single" w:sz="8"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Arial" w:hAnsi="Arial"/>
          <w:b/>
          <w:color w:val="000000"/>
          <w:sz w:val="48"/>
        </w:rPr>
      </w:pPr>
      <w:r>
        <w:rPr>
          <w:rFonts w:ascii="Arial" w:hAnsi="Arial"/>
          <w:b/>
          <w:color w:val="000000"/>
          <w:sz w:val="48"/>
        </w:rPr>
        <w:t>Paymentus Holdings, Inc.</w:t>
      </w:r>
    </w:p>
    <w:p>
      <w:pPr>
        <w:pStyle w:val="TextBody"/>
        <w:bidi w:val="0"/>
        <w:spacing w:before="60" w:after="283"/>
        <w:jc w:val="center"/>
        <w:rPr>
          <w:rFonts w:ascii="Arial" w:hAnsi="Arial"/>
          <w:b/>
          <w:color w:val="000000"/>
          <w:sz w:val="14"/>
        </w:rPr>
      </w:pPr>
      <w:r>
        <w:rPr>
          <w:rFonts w:ascii="Arial" w:hAnsi="Arial"/>
          <w:b/>
          <w:color w:val="000000"/>
          <w:sz w:val="14"/>
        </w:rPr>
        <w:t>(Exact name of Registrant as Specified in Its Charter)</w:t>
      </w:r>
    </w:p>
    <w:p>
      <w:pPr>
        <w:pStyle w:val="TextBody"/>
        <w:pBdr>
          <w:bottom w:val="single" w:sz="8" w:space="1" w:color="000000"/>
        </w:pBdr>
        <w:bidi w:val="0"/>
        <w:spacing w:before="180" w:after="283"/>
        <w:jc w:val="left"/>
        <w:rPr/>
      </w:pPr>
      <w:r>
        <w:rPr/>
        <w:t> </w:t>
      </w:r>
    </w:p>
    <w:p>
      <w:pPr>
        <w:pStyle w:val="TextBody"/>
        <w:bidi w:val="0"/>
        <w:jc w:val="left"/>
        <w:rPr/>
      </w:pPr>
      <w:r>
        <w:rPr/>
        <w:t> </w:t>
      </w:r>
    </w:p>
    <w:tbl>
      <w:tblPr>
        <w:tblW w:w="6752" w:type="dxa"/>
        <w:jc w:val="left"/>
        <w:tblInd w:w="0" w:type="dxa"/>
        <w:tblLayout w:type="fixed"/>
        <w:tblCellMar>
          <w:top w:w="28" w:type="dxa"/>
          <w:left w:w="28" w:type="dxa"/>
          <w:bottom w:w="28" w:type="dxa"/>
          <w:right w:w="28" w:type="dxa"/>
        </w:tblCellMar>
      </w:tblPr>
      <w:tblGrid>
        <w:gridCol w:w="1292"/>
        <w:gridCol w:w="1169"/>
        <w:gridCol w:w="1184"/>
        <w:gridCol w:w="1816"/>
        <w:gridCol w:w="1291"/>
      </w:tblGrid>
      <w:tr>
        <w:trPr/>
        <w:tc>
          <w:tcPr>
            <w:tcW w:w="129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001-40429</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45-3188251</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(State or Other Jurisdiction</w:t>
              <w:br/>
              <w:t>of Incorporation)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(Commission File Number)</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12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645" w:type="dxa"/>
            <w:gridSpan w:val="3"/>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11605 North Community House Road,</w:t>
            </w:r>
            <w:r>
              <w:rPr>
                <w:rFonts w:ascii="Times New Roman" w:hAnsi="Times New Roman"/>
                <w:color w:val="000000"/>
                <w:sz w:val="20"/>
              </w:rPr>
              <w:t xml:space="preserve"> </w:t>
            </w:r>
          </w:p>
          <w:p>
            <w:pPr>
              <w:pStyle w:val="TableContents"/>
              <w:bidi w:val="0"/>
              <w:spacing w:before="0" w:after="283"/>
              <w:jc w:val="center"/>
              <w:rPr>
                <w:rFonts w:ascii="Arial" w:hAnsi="Arial"/>
                <w:b/>
                <w:color w:val="000000"/>
                <w:sz w:val="20"/>
              </w:rPr>
            </w:pPr>
            <w:r>
              <w:rPr>
                <w:rFonts w:ascii="Arial" w:hAnsi="Arial"/>
                <w:b/>
                <w:color w:val="000000"/>
                <w:sz w:val="20"/>
              </w:rPr>
              <w:t>Suite 300</w:t>
            </w:r>
          </w:p>
        </w:tc>
        <w:tc>
          <w:tcPr>
            <w:tcW w:w="31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Charlotte, North Carolina</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28277</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left"/>
              <w:rPr>
                <w:sz w:val="4"/>
                <w:szCs w:val="4"/>
              </w:rPr>
            </w:pPr>
            <w:r>
              <w:rPr>
                <w:sz w:val="4"/>
                <w:szCs w:val="4"/>
              </w:rPr>
            </w:r>
          </w:p>
        </w:tc>
      </w:tr>
      <w:tr>
        <w:trPr/>
        <w:tc>
          <w:tcPr>
            <w:tcW w:w="519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(888)</w:t>
            </w:r>
            <w:r>
              <w:rPr>
                <w:rFonts w:ascii="Times New Roman" w:hAnsi="Times New Roman"/>
                <w:color w:val="000000"/>
                <w:sz w:val="20"/>
              </w:rPr>
              <w:t xml:space="preserve"> </w:t>
            </w:r>
            <w:r>
              <w:rPr>
                <w:rFonts w:ascii="Arial" w:hAnsi="Arial"/>
                <w:b/>
                <w:color w:val="000000"/>
                <w:sz w:val="20"/>
              </w:rPr>
              <w:t>440-4826</w:t>
            </w:r>
          </w:p>
          <w:p>
            <w:pPr>
              <w:pStyle w:val="TableContents"/>
              <w:bidi w:val="0"/>
              <w:spacing w:before="0" w:after="283"/>
              <w:jc w:val="center"/>
              <w:rPr>
                <w:rFonts w:ascii="Arial" w:hAnsi="Arial"/>
                <w:b/>
                <w:color w:val="000000"/>
                <w:sz w:val="20"/>
              </w:rPr>
            </w:pPr>
            <w:r>
              <w:rPr>
                <w:rFonts w:ascii="Arial" w:hAnsi="Arial"/>
                <w:b/>
                <w:color w:val="000000"/>
                <w:sz w:val="20"/>
              </w:rPr>
              <w:t>Registrant’s Telephone Number, Including Area Code:</w:t>
            </w:r>
          </w:p>
        </w:tc>
      </w:tr>
    </w:tbl>
    <w:p>
      <w:pPr>
        <w:pStyle w:val="TextBody"/>
        <w:bidi w:val="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Not Applicable</w:t>
            </w:r>
          </w:p>
        </w:tc>
      </w:tr>
    </w:tbl>
    <w:p>
      <w:pPr>
        <w:pStyle w:val="TextBody"/>
        <w:bidi w:val="0"/>
        <w:jc w:val="center"/>
        <w:rPr>
          <w:rFonts w:ascii="Arial" w:hAnsi="Arial"/>
          <w:b/>
          <w:color w:val="000000"/>
          <w:sz w:val="14"/>
        </w:rPr>
      </w:pPr>
      <w:r>
        <w:rPr>
          <w:rFonts w:ascii="Arial" w:hAnsi="Arial"/>
          <w:b/>
          <w:color w:val="000000"/>
          <w:sz w:val="14"/>
        </w:rPr>
        <w:t>(Former Name or Former Address, if Changed Since Last Report)</w:t>
      </w:r>
    </w:p>
    <w:p>
      <w:pPr>
        <w:pStyle w:val="TextBody"/>
        <w:pBdr>
          <w:bottom w:val="single" w:sz="8"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Arial" w:hAnsi="Arial"/>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color w:val="000000"/>
        </w:rPr>
        <w:t xml:space="preserve">☐ </w:t>
      </w:r>
      <w:r>
        <w:rPr>
          <w:rFonts w:ascii="Arial" w:hAnsi="Arial"/>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Arial" w:hAnsi="Arial"/>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Arial" w:hAnsi="Arial"/>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Arial" w:hAnsi="Arial"/>
          <w:color w:val="000000"/>
          <w:sz w:val="20"/>
        </w:rPr>
        <w:t>Pre-commencement communications pursuant to Rule 13e-4(c) under the Exchange Act (17 CFR 240.13e-4(c))</w:t>
      </w:r>
    </w:p>
    <w:p>
      <w:pPr>
        <w:pStyle w:val="TextBody"/>
        <w:bidi w:val="0"/>
        <w:spacing w:before="180" w:after="180"/>
        <w:jc w:val="center"/>
        <w:rPr>
          <w:rFonts w:ascii="Arial" w:hAnsi="Arial"/>
          <w:b/>
          <w:color w:val="000000"/>
          <w:sz w:val="20"/>
        </w:rPr>
      </w:pPr>
      <w:r>
        <w:rPr>
          <w:rFonts w:ascii="Arial" w:hAnsi="Arial"/>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006"/>
        <w:gridCol w:w="146"/>
        <w:gridCol w:w="1051"/>
        <w:gridCol w:w="146"/>
        <w:gridCol w:w="426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br/>
              <w:t>Title of each class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Trading</w:t>
              <w:br/>
              <w:t>Symbol(s)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4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b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PAY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6"/>
              </w:rPr>
              <w:t>New York Stock Exchange</w:t>
            </w:r>
            <w:r>
              <w:rPr>
                <w:rFonts w:ascii="Times New Roman" w:hAnsi="Times New Roman"/>
                <w:color w:val="000000"/>
                <w:sz w:val="20"/>
              </w:rPr>
              <w:t xml:space="preserve"> </w:t>
            </w:r>
          </w:p>
        </w:tc>
      </w:tr>
    </w:tbl>
    <w:p>
      <w:pPr>
        <w:pStyle w:val="TextBody"/>
        <w:bidi w:val="0"/>
        <w:spacing w:before="240" w:after="283"/>
        <w:jc w:val="left"/>
        <w:rPr>
          <w:rFonts w:ascii="Arial" w:hAnsi="Arial"/>
          <w:color w:val="000000"/>
          <w:sz w:val="20"/>
        </w:rPr>
      </w:pPr>
      <w:r>
        <w:rPr>
          <w:rFonts w:ascii="Arial" w:hAnsi="Arial"/>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Emerging growth company </w:t>
      </w:r>
      <w:r>
        <w:rPr>
          <w:rFonts w:ascii="Times New Roman" w:hAnsi="Times New Roman"/>
          <w:color w:val="000000"/>
          <w:sz w:val="20"/>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pPr>
      <w:r>
        <w:rPr/>
        <w:t> </w:t>
      </w:r>
    </w:p>
    <w:p>
      <w:pPr>
        <w:pStyle w:val="TextBody"/>
        <w:pBdr>
          <w:bottom w:val="double" w:sz="6" w:space="1" w:color="000000"/>
        </w:pBdr>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spacing w:before="20" w:after="283"/>
        <w:jc w:val="left"/>
        <w:rPr>
          <w:rFonts w:ascii="Times New Roman" w:hAnsi="Times New Roman"/>
          <w:sz w:val="20"/>
        </w:rPr>
      </w:pPr>
      <w:r>
        <w:rPr>
          <w:rFonts w:ascii="Arial" w:hAnsi="Arial"/>
          <w:color w:val="000000"/>
          <w:sz w:val="20"/>
        </w:rPr>
        <w:t>On April 7, 2026, the Board of Directors (the “Board”) of Paymentus Holdings, Inc. (the “Company”), based upon the recommendation of the Compensation Committee of the Board (the “Committee”), approved the grant of time-based restricted stock units (“RSUs”) under the Company’s 2021 Equity Incentive Plan (the “Plan”) to Dushyant Sharma, the Company’s President and Chief Executive Officer. The Committee recommended the grant of the RSU award to Mr. Sharma after consultation with Compensia, the Committee’s independent compensation consultant, and the Committee’s review of the market and CEO equity compensation at Company peers.</w:t>
      </w:r>
      <w:r>
        <w:rPr>
          <w:rFonts w:ascii="Times New Roman" w:hAnsi="Times New Roman"/>
          <w:color w:val="000000"/>
          <w:sz w:val="20"/>
        </w:rPr>
        <w:t xml:space="preserve"> </w:t>
      </w:r>
    </w:p>
    <w:p>
      <w:pPr>
        <w:pStyle w:val="TextBody"/>
        <w:bidi w:val="0"/>
        <w:spacing w:before="20" w:after="283"/>
        <w:jc w:val="left"/>
        <w:rPr/>
      </w:pPr>
      <w:r>
        <w:rPr/>
        <w:t> </w:t>
      </w:r>
    </w:p>
    <w:p>
      <w:pPr>
        <w:pStyle w:val="TextBody"/>
        <w:bidi w:val="0"/>
        <w:jc w:val="left"/>
        <w:rPr>
          <w:rFonts w:ascii="Arial" w:hAnsi="Arial"/>
          <w:color w:val="000000"/>
          <w:sz w:val="20"/>
        </w:rPr>
      </w:pPr>
      <w:r>
        <w:rPr>
          <w:rFonts w:ascii="Arial" w:hAnsi="Arial"/>
          <w:color w:val="000000"/>
          <w:sz w:val="20"/>
        </w:rPr>
        <w:t>Mr. Sharma was granted 480,000 RSUs on April 7, 2026. Each RSU represents the right to receive one share of the Company’s Class A common stock upon vesting. Consistent with RSU grants to the Company’s other executive officers, one fifth of the RSUs will vest on the one-year anniversary of the grant date, and one twentieth of the RSUs will vest on a quarterly basis thereafter beginning on August 15, 2027 and concluding on May 15, 2031, subject to Mr. Sharma’s continued service to the Company through the applicable vesting date. Quarterly vesting dates with respect to any calendar year are February 15, May 15, August 15 and November 15. The RSU Award was granted pursuant to, and in accordance with, the terms of the Plan and the form of Restricted Stock Unit Award Agreement (the “RSU Agreement”), which is filed as Exhibit 10.1 to the Company’s Current Report on Form 8-K filed with the Securities and Exchange Commission on March 13, 2026. This summary description does not purport to be complete and is qualified entirely by reference to the full text of the RSU Agreement, which is incorporated herein by reference.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Item 9.01. Financial Statements and 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54"/>
        <w:gridCol w:w="9651"/>
      </w:tblGrid>
      <w:tr>
        <w:trPr/>
        <w:tc>
          <w:tcPr>
            <w:tcW w:w="554" w:type="dxa"/>
            <w:tcBorders/>
            <w:vAlign w:val="center"/>
          </w:tcPr>
          <w:p>
            <w:pPr>
              <w:pStyle w:val="TableContents"/>
              <w:bidi w:val="0"/>
              <w:spacing w:before="0" w:after="283"/>
              <w:jc w:val="left"/>
              <w:rPr>
                <w:sz w:val="4"/>
                <w:szCs w:val="4"/>
              </w:rPr>
            </w:pPr>
            <w:r>
              <w:rPr>
                <w:sz w:val="4"/>
                <w:szCs w:val="4"/>
              </w:rPr>
            </w:r>
          </w:p>
        </w:tc>
        <w:tc>
          <w:tcPr>
            <w:tcW w:w="9651" w:type="dxa"/>
            <w:tcBorders/>
            <w:vAlign w:val="center"/>
          </w:tcPr>
          <w:p>
            <w:pPr>
              <w:pStyle w:val="TableContents"/>
              <w:bidi w:val="0"/>
              <w:spacing w:before="0" w:after="283"/>
              <w:jc w:val="left"/>
              <w:rPr>
                <w:sz w:val="4"/>
                <w:szCs w:val="4"/>
              </w:rPr>
            </w:pPr>
            <w:r>
              <w:rPr>
                <w:sz w:val="4"/>
                <w:szCs w:val="4"/>
              </w:rPr>
            </w:r>
          </w:p>
        </w:tc>
      </w:tr>
      <w:tr>
        <w:trPr/>
        <w:tc>
          <w:tcPr>
            <w:tcW w:w="5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965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Form of Restricted Stock Unit Award Agreement for Employees under the 2021 Equity Incentive Plan (incorporated by reference to Exhibit 10.1 of the Company’s Form 8-K filed with the SEC on March 13, 2026)</w:t>
              </w:r>
            </w:hyperlink>
          </w:p>
        </w:tc>
      </w:tr>
      <w:tr>
        <w:trPr/>
        <w:tc>
          <w:tcPr>
            <w:tcW w:w="554" w:type="dxa"/>
            <w:tcBorders/>
            <w:tcMar>
              <w:top w:w="0" w:type="dxa"/>
              <w:left w:w="0" w:type="dxa"/>
              <w:bottom w:w="0" w:type="dxa"/>
              <w:right w:w="0" w:type="dxa"/>
            </w:tcMar>
            <w:vAlign w:val="center"/>
          </w:tcPr>
          <w:p>
            <w:pPr>
              <w:pStyle w:val="TableContents"/>
              <w:bidi w:val="0"/>
              <w:spacing w:before="0" w:after="283"/>
              <w:jc w:val="left"/>
              <w:rPr/>
            </w:pPr>
            <w:r>
              <w:rPr/>
              <w:t> </w:t>
            </w:r>
          </w:p>
        </w:tc>
        <w:tc>
          <w:tcPr>
            <w:tcW w:w="9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96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Indicates a management contract or compensatory plan or arrangement.</w:t>
      </w:r>
    </w:p>
    <w:p>
      <w:pPr>
        <w:pStyle w:val="TextBody"/>
        <w:bidi w:val="0"/>
        <w:jc w:val="left"/>
        <w:rPr>
          <w:rFonts w:ascii="Arial" w:hAnsi="Arial"/>
          <w:color w:val="000000"/>
          <w:sz w:val="20"/>
        </w:rPr>
      </w:pPr>
      <w:r>
        <w:rPr>
          <w:rFonts w:ascii="Arial" w:hAnsi="Arial"/>
          <w:color w:val="000000"/>
          <w:sz w:val="20"/>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49" w:type="dxa"/>
        <w:jc w:val="left"/>
        <w:tblInd w:w="0" w:type="dxa"/>
        <w:tblLayout w:type="fixed"/>
        <w:tblCellMar>
          <w:top w:w="28" w:type="dxa"/>
          <w:left w:w="28" w:type="dxa"/>
          <w:bottom w:w="28" w:type="dxa"/>
          <w:right w:w="28" w:type="dxa"/>
        </w:tblCellMar>
      </w:tblPr>
      <w:tblGrid>
        <w:gridCol w:w="586"/>
        <w:gridCol w:w="1201"/>
        <w:gridCol w:w="451"/>
        <w:gridCol w:w="4411"/>
      </w:tblGrid>
      <w:tr>
        <w:trPr/>
        <w:tc>
          <w:tcPr>
            <w:tcW w:w="58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86" w:after="86"/>
              <w:jc w:val="left"/>
              <w:rPr>
                <w:rFonts w:ascii="Arial" w:hAnsi="Arial"/>
                <w:b/>
                <w:color w:val="000000"/>
                <w:sz w:val="20"/>
              </w:rPr>
            </w:pPr>
            <w:r>
              <w:rPr>
                <w:rFonts w:ascii="Arial" w:hAnsi="Arial"/>
                <w:b/>
                <w:color w:val="000000"/>
                <w:sz w:val="20"/>
              </w:rPr>
              <w:t>PAYMENTUS HOLDINGS, INC.</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Date:</w:t>
            </w:r>
          </w:p>
        </w:tc>
        <w:tc>
          <w:tcPr>
            <w:tcW w:w="1201"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April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441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/s/ Sanjay Kalra</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11"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20"/>
              </w:rPr>
            </w:pPr>
            <w:r>
              <w:rPr>
                <w:rFonts w:ascii="Arial" w:hAnsi="Arial"/>
                <w:color w:val="000000"/>
                <w:sz w:val="20"/>
              </w:rPr>
              <w:t xml:space="preserve">Sanjay Kalra </w:t>
              <w:br/>
              <w:t>Senior Vice President and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156/000119312526106283/pay-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3936</Characters>
  <CharactersWithSpaces>4669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