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Barnds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30"/>
        <w:gridCol w:w="799"/>
        <w:gridCol w:w="618"/>
        <w:gridCol w:w="344"/>
        <w:gridCol w:w="920"/>
        <w:gridCol w:w="426"/>
        <w:gridCol w:w="595"/>
        <w:gridCol w:w="1265"/>
        <w:gridCol w:w="977"/>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 Strategic Fund,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2,245,886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Capital Partners CV III,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SC GPI HoldCo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950</w:t>
            </w:r>
            <w:r>
              <w:rPr>
                <w:rFonts w:ascii="Times;serif" w:hAnsi="Times;serif"/>
                <w:color w:val="008000"/>
                <w:position w:val="7"/>
                <w:sz w:val="16"/>
                <w:sz w:val="20"/>
                <w:shd w:fill="FFFFFF" w:val="clear"/>
              </w:rPr>
              <w:t>(8)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Strategic Capital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66,248</w:t>
            </w:r>
            <w:r>
              <w:rPr>
                <w:rFonts w:ascii="Times;serif" w:hAnsi="Times;serif"/>
                <w:color w:val="008000"/>
                <w:position w:val="7"/>
                <w:sz w:val="16"/>
                <w:sz w:val="20"/>
                <w:shd w:fill="FFFFFF" w:val="clear"/>
              </w:rPr>
              <w:t>(9)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300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26"/>
        <w:gridCol w:w="831"/>
        <w:gridCol w:w="1086"/>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7,909,574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7,909,574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9,882,743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Capital Partners CV III,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395,930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395,930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607,124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Members Fund, LLC</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332,973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332,973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416,038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III,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 Strategic Fund,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295,905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1,206,671</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Strategic Capital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880,489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880,489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SC GPI HoldCo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8,775,343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8,775,343</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Class B Common Stock is convertible at any time, at the holder's election and automatically in connection with certain transfers and upon certain other events, into an equal number of shares of Class A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In-kind pro rata distribution from the Reporting Person to its partners, without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Accel-KKR Holdings GP, LLC ,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Accel-KKR Members Fund, LLC, or Members Fund; (vi) AKKR Strategic Capital LP, or SC; and (vii) AKKR SC GPI HoldCo LP, or SC GPI. AKKR Fund III Management Company CV, LP, or CV III GP, is the sole general partner of CV III. AKKR Growth Capital Management Company III, LP, or GC III GP, is the sole general partner of GC 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Palumbo have separately filed Form 4s reporting their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538,415 shares received from certain of the other reporting persons in the distribution described in footnote 2.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1,593,716 shares received from certain of the other reporting persons in the distribution described in footnote 2.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the Barnds Living Trust dtd 6/23/2003.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received in the distribution described in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Includes 1,940 shares received from certain of the other reporting persons in the distribution described in footnote 2. Such shares were previously reported as indirectly owned through the entities effecting such distributions.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Barnds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980"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1295</Words>
  <Characters>6757</Characters>
  <CharactersWithSpaces>7851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