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ay-20240930.htm"/>
      <w:bookmarkStart w:id="1" w:name="kspay20240930"/>
      <w:bookmarkEnd w:id="0"/>
      <w:bookmarkEnd w:id="1"/>
      <w:r>
        <w:rPr/>
        <w:t> </w:t>
      </w:r>
    </w:p>
    <w:p>
      <w:pPr>
        <w:pStyle w:val="TextBody"/>
        <w:bidi w:val="0"/>
        <w:jc w:val="center"/>
        <w:rPr>
          <w:rFonts w:ascii="Arial" w:hAnsi="Arial"/>
          <w:b/>
          <w:color w:val="000000"/>
          <w:sz w:val="20"/>
        </w:rPr>
      </w:pPr>
      <w:r>
        <w:rPr>
          <w:rFonts w:ascii="Arial" w:hAnsi="Arial"/>
          <w:b/>
          <w:color w:val="000000"/>
          <w:sz w:val="20"/>
        </w:rPr>
        <w:t>UNITED STATES</w:t>
      </w:r>
    </w:p>
    <w:p>
      <w:pPr>
        <w:pStyle w:val="TextBody"/>
        <w:bidi w:val="0"/>
        <w:jc w:val="center"/>
        <w:rPr>
          <w:rFonts w:ascii="Arial" w:hAnsi="Arial"/>
          <w:b/>
          <w:color w:val="000000"/>
          <w:sz w:val="20"/>
        </w:rPr>
      </w:pPr>
      <w:r>
        <w:rPr>
          <w:rFonts w:ascii="Arial" w:hAnsi="Arial"/>
          <w:b/>
          <w:color w:val="000000"/>
          <w:sz w:val="20"/>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center"/>
        <w:rPr>
          <w:rFonts w:ascii="Arial" w:hAnsi="Arial"/>
          <w:b/>
          <w:color w:val="000000"/>
          <w:sz w:val="20"/>
        </w:rPr>
      </w:pPr>
      <w:r>
        <w:rPr>
          <w:rFonts w:ascii="Arial" w:hAnsi="Arial"/>
          <w:b/>
          <w:color w:val="000000"/>
          <w:sz w:val="20"/>
        </w:rPr>
        <w:t>FORM 10-Q</w:t>
      </w:r>
    </w:p>
    <w:p>
      <w:pPr>
        <w:pStyle w:val="TextBody"/>
        <w:bidi w:val="0"/>
        <w:jc w:val="left"/>
        <w:rPr>
          <w:rFonts w:ascii="Arial" w:hAnsi="Arial"/>
          <w:b/>
          <w:color w:val="000000"/>
          <w:sz w:val="20"/>
        </w:rPr>
      </w:pPr>
      <w:r>
        <w:rPr>
          <w:rFonts w:ascii="Arial" w:hAnsi="Arial"/>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center"/>
        <w:rPr>
          <w:rFonts w:ascii="Arial" w:hAnsi="Arial"/>
          <w:b/>
          <w:color w:val="000000"/>
          <w:sz w:val="20"/>
        </w:rPr>
      </w:pPr>
      <w:r>
        <w:rPr>
          <w:rFonts w:ascii="Arial" w:hAnsi="Arial"/>
          <w:b/>
          <w:color w:val="000000"/>
          <w:sz w:val="20"/>
        </w:rPr>
        <w:t>For the quarterly period ended September 30, 2024</w:t>
      </w:r>
    </w:p>
    <w:p>
      <w:pPr>
        <w:pStyle w:val="TextBody"/>
        <w:bidi w:val="0"/>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center"/>
        <w:rPr>
          <w:rFonts w:ascii="Times New Roman" w:hAnsi="Times New Roman"/>
          <w:sz w:val="20"/>
        </w:rPr>
      </w:pPr>
      <w:r>
        <w:rPr>
          <w:rFonts w:ascii="Arial" w:hAnsi="Arial"/>
          <w:b/>
          <w:color w:val="000000"/>
          <w:sz w:val="20"/>
        </w:rPr>
        <w:t>For the transition period from to</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Commission File Number: 001-40429</w:t>
      </w:r>
    </w:p>
    <w:p>
      <w:pPr>
        <w:pStyle w:val="TextBody"/>
        <w:bidi w:val="0"/>
        <w:jc w:val="center"/>
        <w:rPr>
          <w:rFonts w:ascii="Arial" w:hAnsi="Arial"/>
          <w:b/>
          <w:color w:val="000000"/>
          <w:sz w:val="20"/>
        </w:rPr>
      </w:pPr>
      <w:r>
        <w:rPr>
          <w:rFonts w:ascii="Arial" w:hAnsi="Arial"/>
          <w:b/>
          <w:color w:val="000000"/>
          <w:sz w:val="20"/>
        </w:rPr>
        <w:t>Paymentus Holdings,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tbl>
      <w:tblPr>
        <w:tblW w:w="6317" w:type="dxa"/>
        <w:jc w:val="left"/>
        <w:tblInd w:w="0" w:type="dxa"/>
        <w:tblLayout w:type="fixed"/>
        <w:tblCellMar>
          <w:top w:w="28" w:type="dxa"/>
          <w:left w:w="28" w:type="dxa"/>
          <w:bottom w:w="28" w:type="dxa"/>
          <w:right w:w="28" w:type="dxa"/>
        </w:tblCellMar>
      </w:tblPr>
      <w:tblGrid>
        <w:gridCol w:w="4516"/>
        <w:gridCol w:w="1801"/>
      </w:tblGrid>
      <w:tr>
        <w:trPr/>
        <w:tc>
          <w:tcPr>
            <w:tcW w:w="451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45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45-3188251</w:t>
            </w:r>
          </w:p>
        </w:tc>
      </w:tr>
      <w:tr>
        <w:trPr/>
        <w:tc>
          <w:tcPr>
            <w:tcW w:w="4516"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(State or other jurisdiction of</w:t>
            </w:r>
          </w:p>
          <w:p>
            <w:pPr>
              <w:pStyle w:val="TableContents"/>
              <w:bidi w:val="0"/>
              <w:spacing w:before="0" w:after="283"/>
              <w:jc w:val="center"/>
              <w:rPr>
                <w:rFonts w:ascii="Arial" w:hAnsi="Arial"/>
                <w:b/>
                <w:color w:val="000000"/>
                <w:sz w:val="20"/>
              </w:rPr>
            </w:pPr>
            <w:r>
              <w:rPr>
                <w:rFonts w:ascii="Arial" w:hAnsi="Arial"/>
                <w:b/>
                <w:color w:val="000000"/>
                <w:sz w:val="20"/>
              </w:rPr>
              <w:t>incorporation or organization)</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(I.R.S. Employer</w:t>
              <w:br/>
              <w:t>Identification No.)</w:t>
            </w:r>
          </w:p>
        </w:tc>
      </w:tr>
      <w:tr>
        <w:trPr/>
        <w:tc>
          <w:tcPr>
            <w:tcW w:w="4516"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11605 North Community House Road, Suite 300</w:t>
            </w:r>
          </w:p>
          <w:p>
            <w:pPr>
              <w:pStyle w:val="TableContents"/>
              <w:bidi w:val="0"/>
              <w:spacing w:before="0" w:after="283"/>
              <w:jc w:val="center"/>
              <w:rPr>
                <w:rFonts w:ascii="Arial" w:hAnsi="Arial"/>
                <w:b/>
                <w:color w:val="000000"/>
                <w:sz w:val="20"/>
              </w:rPr>
            </w:pPr>
            <w:r>
              <w:rPr>
                <w:rFonts w:ascii="Arial" w:hAnsi="Arial"/>
                <w:b/>
                <w:color w:val="000000"/>
                <w:sz w:val="20"/>
              </w:rPr>
              <w:t>Charlotte, NC</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28277</w:t>
            </w:r>
          </w:p>
        </w:tc>
      </w:tr>
      <w:tr>
        <w:trPr/>
        <w:tc>
          <w:tcPr>
            <w:tcW w:w="45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(Address of principal executive offices)</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(Zip Code)</w:t>
            </w:r>
          </w:p>
        </w:tc>
      </w:tr>
    </w:tbl>
    <w:p>
      <w:pPr>
        <w:pStyle w:val="TextBody"/>
        <w:bidi w:val="0"/>
        <w:jc w:val="center"/>
        <w:rPr>
          <w:rFonts w:ascii="Arial" w:hAnsi="Arial"/>
          <w:b/>
          <w:color w:val="000000"/>
          <w:sz w:val="20"/>
        </w:rPr>
      </w:pPr>
      <w:r>
        <w:rPr>
          <w:rFonts w:ascii="Arial" w:hAnsi="Arial"/>
          <w:b/>
          <w:color w:val="000000"/>
          <w:sz w:val="20"/>
        </w:rPr>
        <w:t>(888) 440-4826</w:t>
      </w:r>
    </w:p>
    <w:p>
      <w:pPr>
        <w:pStyle w:val="TextBody"/>
        <w:bidi w:val="0"/>
        <w:jc w:val="center"/>
        <w:rPr>
          <w:rFonts w:ascii="Times New Roman" w:hAnsi="Times New Roman"/>
          <w:sz w:val="20"/>
        </w:rPr>
      </w:pPr>
      <w:r>
        <w:rPr>
          <w:rFonts w:ascii="Arial" w:hAnsi="Arial"/>
          <w:b/>
          <w:color w:val="000000"/>
          <w:sz w:val="20"/>
        </w:rPr>
        <w:t>(Registrant’s telephone number, including area code)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Securities registered pursuant to Section 12(b) of the Act:</w:t>
      </w:r>
      <w:r>
        <w:rPr>
          <w:rFonts w:ascii="Times New Roman" w:hAnsi="Times New Roman"/>
          <w:color w:val="000000"/>
          <w:sz w:val="20"/>
        </w:rPr>
        <w:t xml:space="preserve"> </w:t>
      </w:r>
    </w:p>
    <w:tbl>
      <w:tblPr>
        <w:tblW w:w="8801" w:type="dxa"/>
        <w:jc w:val="left"/>
        <w:tblInd w:w="0" w:type="dxa"/>
        <w:tblLayout w:type="fixed"/>
        <w:tblCellMar>
          <w:top w:w="28" w:type="dxa"/>
          <w:left w:w="28" w:type="dxa"/>
          <w:bottom w:w="28" w:type="dxa"/>
          <w:right w:w="28" w:type="dxa"/>
        </w:tblCellMar>
      </w:tblPr>
      <w:tblGrid>
        <w:gridCol w:w="4006"/>
        <w:gridCol w:w="109"/>
        <w:gridCol w:w="916"/>
        <w:gridCol w:w="109"/>
        <w:gridCol w:w="3661"/>
      </w:tblGrid>
      <w:tr>
        <w:trPr/>
        <w:tc>
          <w:tcPr>
            <w:tcW w:w="4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Class A 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PAY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New York Stock Exchange</w:t>
            </w:r>
          </w:p>
        </w:tc>
      </w:tr>
    </w:tbl>
    <w:p>
      <w:pPr>
        <w:pStyle w:val="TextBody"/>
        <w:bidi w:val="0"/>
        <w:spacing w:before="120" w:after="283"/>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No ☐</w:t>
      </w:r>
    </w:p>
    <w:p>
      <w:pPr>
        <w:pStyle w:val="TextBody"/>
        <w:bidi w:val="0"/>
        <w:spacing w:before="12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No ☐</w:t>
      </w:r>
    </w:p>
    <w:p>
      <w:pPr>
        <w:pStyle w:val="TextBody"/>
        <w:bidi w:val="0"/>
        <w:spacing w:before="120" w:after="120"/>
        <w:jc w:val="left"/>
        <w:rPr>
          <w:rFonts w:ascii="Times New Roman" w:hAnsi="Times New Roman"/>
          <w:sz w:val="20"/>
        </w:rPr>
      </w:pPr>
      <w:r>
        <w:rPr>
          <w:rFonts w:ascii="Arial" w:hAnsi="Arial"/>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926" w:type="dxa"/>
        <w:jc w:val="left"/>
        <w:tblInd w:w="0" w:type="dxa"/>
        <w:tblLayout w:type="fixed"/>
        <w:tblCellMar>
          <w:top w:w="28" w:type="dxa"/>
          <w:left w:w="28" w:type="dxa"/>
          <w:bottom w:w="28" w:type="dxa"/>
          <w:right w:w="28" w:type="dxa"/>
        </w:tblCellMar>
      </w:tblPr>
      <w:tblGrid>
        <w:gridCol w:w="2431"/>
        <w:gridCol w:w="109"/>
        <w:gridCol w:w="376"/>
        <w:gridCol w:w="109"/>
        <w:gridCol w:w="2431"/>
        <w:gridCol w:w="109"/>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As of November 8, 2024, the registrant had 24,522,383</w:t>
      </w:r>
      <w:r>
        <w:rPr>
          <w:rFonts w:ascii="Times New Roman" w:hAnsi="Times New Roman"/>
          <w:color w:val="000000"/>
          <w:sz w:val="20"/>
        </w:rPr>
        <w:t xml:space="preserve"> </w:t>
      </w:r>
      <w:r>
        <w:rPr>
          <w:rFonts w:ascii="Arial" w:hAnsi="Arial"/>
          <w:color w:val="000000"/>
          <w:sz w:val="20"/>
        </w:rPr>
        <w:t>shares of Class A Common Stock, $0.0001 par value per share and 100,111,193</w:t>
      </w:r>
      <w:r>
        <w:rPr>
          <w:rFonts w:ascii="Times New Roman" w:hAnsi="Times New Roman"/>
          <w:color w:val="000000"/>
          <w:sz w:val="20"/>
        </w:rPr>
        <w:t xml:space="preserve"> </w:t>
      </w:r>
      <w:r>
        <w:rPr>
          <w:rFonts w:ascii="Arial" w:hAnsi="Arial"/>
          <w:color w:val="000000"/>
          <w:sz w:val="20"/>
        </w:rPr>
        <w:t>shares of Class B Common Stock, $0.0001 par value per share, outstanding.</w:t>
      </w:r>
    </w:p>
    <w:p>
      <w:pPr>
        <w:pStyle w:val="TextBody"/>
        <w:pBdr>
          <w:bottom w:val="double" w:sz="1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485" w:type="dxa"/>
        <w:jc w:val="left"/>
        <w:tblInd w:w="0" w:type="dxa"/>
        <w:tblLayout w:type="fixed"/>
        <w:tblCellMar>
          <w:top w:w="28" w:type="dxa"/>
          <w:left w:w="28" w:type="dxa"/>
          <w:bottom w:w="28" w:type="dxa"/>
          <w:right w:w="28" w:type="dxa"/>
        </w:tblCellMar>
      </w:tblPr>
      <w:tblGrid>
        <w:gridCol w:w="886"/>
        <w:gridCol w:w="7846"/>
        <w:gridCol w:w="753"/>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Arial" w:hAnsi="Arial"/>
                <w:b/>
                <w:color w:val="000000"/>
                <w:sz w:val="20"/>
              </w:rPr>
            </w:pPr>
            <w:r>
              <w:rPr>
                <w:rFonts w:ascii="Arial" w:hAnsi="Arial"/>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Arial" w:hAnsi="Arial"/>
                <w:color w:val="000000"/>
                <w:sz w:val="20"/>
                <w:u w:val="single"/>
              </w:rPr>
              <w:t>Special Note Reg</w:t>
            </w:r>
            <w:hyperlink w:anchor="forward_looking_statements">
              <w:r>
                <w:rPr>
                  <w:rStyle w:val="InternetLink"/>
                  <w:rFonts w:ascii="Arial" w:hAnsi="Arial"/>
                  <w:color w:val="000080"/>
                  <w:sz w:val="20"/>
                  <w:u w:val="single"/>
                </w:rPr>
                <w:t>arding Forward-Looking Statements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color w:val="000000"/>
                  <w:sz w:val="20"/>
                  <w:u w:val="single"/>
                </w:rPr>
                <w:t>FINANCIAL INFORMATION</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00"/>
                  <w:sz w:val="20"/>
                  <w:u w:val="single"/>
                </w:rPr>
                <w:t>Financial Statements (Unaudited)</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sheet">
              <w:r>
                <w:rPr>
                  <w:rStyle w:val="InternetLink"/>
                  <w:rFonts w:ascii="Arial" w:hAnsi="Arial"/>
                  <w:color w:val="000000"/>
                  <w:sz w:val="20"/>
                  <w:u w:val="single"/>
                </w:rPr>
                <w:t>Condensed Consolidated Balance Sheets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Arial" w:hAnsi="Arial"/>
                  <w:color w:val="000000"/>
                  <w:sz w:val="20"/>
                  <w:u w:val="single"/>
                </w:rPr>
                <w:t>Condensed Consolidated Statements of Operations and Comprehensive Income</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lders_equity_qtd">
              <w:r>
                <w:rPr>
                  <w:rStyle w:val="InternetLink"/>
                  <w:rFonts w:ascii="Arial" w:hAnsi="Arial"/>
                  <w:color w:val="000000"/>
                  <w:sz w:val="20"/>
                  <w:u w:val="single"/>
                </w:rPr>
                <w:t>Condensed Consolidated Statements of Stockholders' Equity</w:t>
              </w:r>
            </w:hyperlink>
            <w:hyperlink w:anchor="stockhlders_equity_qtd">
              <w:r>
                <w:rPr>
                  <w:rStyle w:val="InternetLink"/>
                  <w:rFonts w:ascii="Times New Roman" w:hAnsi="Times New Roman"/>
                  <w:color w:val="000000"/>
                  <w:sz w:val="20"/>
                </w:rPr>
                <w:t xml:space="preserve"> </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00"/>
                  <w:sz w:val="20"/>
                  <w:u w:val="single"/>
                </w:rPr>
                <w:t>Condensed Consolidated Statements of Cash Flows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Arial" w:hAnsi="Arial"/>
                  <w:color w:val="000000"/>
                  <w:sz w:val="20"/>
                  <w:u w:val="single"/>
                </w:rPr>
                <w:t>Notes to Condensed Consolidated Financial Statements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Arial" w:hAnsi="Arial"/>
                  <w:color w:val="000000"/>
                  <w:sz w:val="20"/>
                  <w:u w:val="single"/>
                </w:rPr>
                <w:t>Management’s Discussion and Analysis of Financial Condition and Results of Operations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Arial" w:hAnsi="Arial"/>
                  <w:color w:val="000000"/>
                  <w:sz w:val="20"/>
                  <w:u w:val="single"/>
                </w:rPr>
                <w:t>Quantitative and Qualitative Disclosures About Market Risk</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Arial" w:hAnsi="Arial"/>
                  <w:color w:val="000000"/>
                  <w:sz w:val="20"/>
                  <w:u w:val="single"/>
                </w:rPr>
                <w:t>Controls and Procedures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INFORMATION</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00"/>
                  <w:sz w:val="20"/>
                  <w:u w:val="single"/>
                </w:rPr>
                <w:t>Legal Proceedings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00"/>
                  <w:sz w:val="20"/>
                  <w:u w:val="single"/>
                </w:rPr>
                <w:t>Risk Factors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Arial" w:hAnsi="Arial"/>
                  <w:color w:val="000000"/>
                  <w:sz w:val="20"/>
                  <w:u w:val="single"/>
                </w:rPr>
                <w:t>Unregistered Sales of Equity Securities and Use of Proceeds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00"/>
                  <w:sz w:val="20"/>
                  <w:u w:val="single"/>
                </w:rPr>
                <w:t>Defaults Upon Senior Securities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00"/>
                  <w:sz w:val="20"/>
                  <w:u w:val="single"/>
                </w:rPr>
                <w:t>Mine Safety Disclosures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00"/>
                  <w:sz w:val="20"/>
                  <w:u w:val="single"/>
                </w:rPr>
                <w:t>Other Information</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00"/>
                  <w:sz w:val="20"/>
                  <w:u w:val="single"/>
                </w:rPr>
                <w:t>Exhibits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00"/>
                  <w:sz w:val="20"/>
                  <w:u w:val="single"/>
                </w:rPr>
                <w:t>Signatures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Arial" w:hAnsi="Arial"/>
          <w:b/>
          <w:i/>
          <w:color w:val="000000"/>
          <w:sz w:val="20"/>
        </w:rPr>
      </w:pPr>
      <w:bookmarkStart w:id="2" w:name="forward_looking_statements"/>
      <w:bookmarkEnd w:id="2"/>
      <w:r>
        <w:rPr>
          <w:rFonts w:ascii="Arial" w:hAnsi="Arial"/>
          <w:b/>
          <w:i/>
          <w:color w:val="000000"/>
          <w:sz w:val="20"/>
        </w:rPr>
        <w:t>Special Note Regarding Forward-Looking Statements</w:t>
      </w:r>
    </w:p>
    <w:p>
      <w:pPr>
        <w:pStyle w:val="TextBody"/>
        <w:bidi w:val="0"/>
        <w:spacing w:before="120" w:after="283"/>
        <w:jc w:val="both"/>
        <w:rPr>
          <w:rFonts w:ascii="Arial" w:hAnsi="Arial"/>
          <w:color w:val="000000"/>
          <w:sz w:val="20"/>
        </w:rPr>
      </w:pPr>
      <w:r>
        <w:rPr>
          <w:rFonts w:ascii="Arial" w:hAnsi="Arial"/>
          <w:color w:val="000000"/>
          <w:sz w:val="20"/>
        </w:rPr>
        <w:t>This quarterly report on Form 10-Q for the period ended September 30, 2024 (“Quarterly Report”) contains forward-looking statements within the meaning of the federal securities laws, such as those under the headings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may include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effectively manage our growth and expand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further attract, retain and expand our biller, financial institutions, partner and consumer base;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timely implement and recognize revenue from new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expectations regarding our revenue, expenses and other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any material cybersecurity incident on our reputation as a trusted brand or on our business, operating results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market opportunity and anticipated trends in our business and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remain competitive as we continue to scale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develop new product features and enhance our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hire and retain experienced and talented employees as we grow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general economic conditions, including inflation, and their impact on us, consumer demand, average bill amounts and interchange fees, and the impact of changes from an evolving regulatory environment;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disruptions or instability in the financial services industry, or perceived or actual liquidity constraints at financial institutions, on our ability or the ability of our customers and vendors to meet operating expense requirements or to satisfy financial or other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realize the anticipated benefits of past or future acquisitions or strategic investments in complementary companies, products or technologies and our ability to manage the potential business disruption and diversion of management attention caused by such acquisitions;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maintain and enhance our brand;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 to expand into new channels and industry verticals across different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widespread health issues on our operating results, liquidity and financial condition and on our employees, billers, financial institutions, partners, consumers and other key stakeholders;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international expansion plans and ability to expand internationally;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those factors described in the sections titled “Risk Factors” and “Management’s Discussion and Analysis of Financial Conditions and Results of Operations” in our Annual Report on Form 10-K for the year ended December 31, 2023 and, where applicable, our subsequent Quarterly Reports on Form 10-Q, and the section titled “Management’s Discussion and Analysis of Financial Condition and Results of Operations” in this Quarterly Report.</w:t>
      </w:r>
    </w:p>
    <w:p>
      <w:pPr>
        <w:pStyle w:val="TextBody"/>
        <w:bidi w:val="0"/>
        <w:spacing w:before="120" w:after="283"/>
        <w:jc w:val="both"/>
        <w:rPr>
          <w:rFonts w:ascii="Arial" w:hAnsi="Arial"/>
          <w:color w:val="000000"/>
          <w:sz w:val="20"/>
        </w:rPr>
      </w:pPr>
      <w:r>
        <w:rPr>
          <w:rFonts w:ascii="Arial" w:hAnsi="Arial"/>
          <w:color w:val="000000"/>
          <w:sz w:val="20"/>
        </w:rPr>
        <w:t>We caution you that the foregoing list may not contain all of the forward-looking statements made in this report.</w:t>
      </w:r>
    </w:p>
    <w:p>
      <w:pPr>
        <w:pStyle w:val="TextBody"/>
        <w:bidi w:val="0"/>
        <w:spacing w:before="120" w:after="283"/>
        <w:jc w:val="both"/>
        <w:rPr>
          <w:rFonts w:ascii="Times New Roman" w:hAnsi="Times New Roman"/>
          <w:sz w:val="20"/>
        </w:rPr>
      </w:pPr>
      <w:r>
        <w:rPr>
          <w:rFonts w:ascii="Arial" w:hAnsi="Arial"/>
          <w:color w:val="000000"/>
          <w:sz w:val="20"/>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120" w:after="283"/>
        <w:jc w:val="both"/>
        <w:rPr>
          <w:rFonts w:ascii="Times New Roman" w:hAnsi="Times New Roman"/>
          <w:sz w:val="20"/>
        </w:rPr>
      </w:pPr>
      <w:r>
        <w:rPr>
          <w:rFonts w:ascii="Arial" w:hAnsi="Arial"/>
          <w:color w:val="000000"/>
          <w:sz w:val="20"/>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Certain Definitions</w:t>
      </w:r>
    </w:p>
    <w:p>
      <w:pPr>
        <w:pStyle w:val="TextBody"/>
        <w:bidi w:val="0"/>
        <w:spacing w:before="120" w:after="283"/>
        <w:jc w:val="both"/>
        <w:rPr>
          <w:rFonts w:ascii="Arial" w:hAnsi="Arial"/>
          <w:color w:val="000000"/>
          <w:sz w:val="20"/>
        </w:rPr>
      </w:pPr>
      <w:r>
        <w:rPr>
          <w:rFonts w:ascii="Arial" w:hAnsi="Arial"/>
          <w:color w:val="000000"/>
          <w:sz w:val="20"/>
        </w:rPr>
        <w:t>In this report, unless the context requires otherwise, all references to “we,” “our,” “us,” “Paymentus,” and the “Company” refer to Paymentus Holdings, Inc., and where appropriate its consolidated subsidiaries.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Arial" w:hAnsi="Arial"/>
          <w:b/>
          <w:color w:val="000000"/>
          <w:sz w:val="20"/>
        </w:rPr>
      </w:pPr>
      <w:bookmarkStart w:id="3" w:name="part_i_financial_information"/>
      <w:bookmarkEnd w:id="3"/>
      <w:r>
        <w:rPr>
          <w:rFonts w:ascii="Arial" w:hAnsi="Arial"/>
          <w:b/>
          <w:color w:val="000000"/>
          <w:sz w:val="20"/>
        </w:rPr>
        <w:t>PART I—FINANCIAL INFORMATION</w:t>
      </w:r>
    </w:p>
    <w:p>
      <w:pPr>
        <w:pStyle w:val="TextBody"/>
        <w:bidi w:val="0"/>
        <w:spacing w:before="60" w:after="283"/>
        <w:jc w:val="left"/>
        <w:rPr>
          <w:rFonts w:ascii="Arial" w:hAnsi="Arial"/>
          <w:b/>
          <w:color w:val="000000"/>
          <w:sz w:val="20"/>
        </w:rPr>
      </w:pPr>
      <w:bookmarkStart w:id="4" w:name="item_1_financial_statements"/>
      <w:bookmarkEnd w:id="4"/>
      <w:r>
        <w:rPr>
          <w:rFonts w:ascii="Arial" w:hAnsi="Arial"/>
          <w:b/>
          <w:color w:val="000000"/>
          <w:sz w:val="20"/>
        </w:rPr>
        <w:t>Item 1. Financial Statements</w:t>
      </w:r>
    </w:p>
    <w:p>
      <w:pPr>
        <w:pStyle w:val="TextBody"/>
        <w:bidi w:val="0"/>
        <w:spacing w:before="60" w:after="283"/>
        <w:jc w:val="center"/>
        <w:rPr>
          <w:rFonts w:ascii="Times New Roman" w:hAnsi="Times New Roman"/>
          <w:sz w:val="20"/>
        </w:rPr>
      </w:pPr>
      <w:bookmarkStart w:id="5" w:name="balancesheet"/>
      <w:bookmarkEnd w:id="5"/>
      <w:r>
        <w:rPr>
          <w:rFonts w:ascii="Arial" w:hAnsi="Arial"/>
          <w:b/>
          <w:color w:val="000000"/>
          <w:sz w:val="20"/>
        </w:rPr>
        <w:t>PAYMENTUS</w:t>
      </w:r>
      <w:r>
        <w:rPr>
          <w:rFonts w:ascii="Times New Roman" w:hAnsi="Times New Roman"/>
          <w:color w:val="000000"/>
          <w:sz w:val="20"/>
        </w:rPr>
        <w:t xml:space="preserve"> </w:t>
      </w:r>
      <w:r>
        <w:rPr>
          <w:rFonts w:ascii="Arial" w:hAnsi="Arial"/>
          <w:b/>
          <w:color w:val="000000"/>
          <w:sz w:val="20"/>
        </w:rPr>
        <w:t>HOLDINGS, INC.</w:t>
      </w:r>
    </w:p>
    <w:p>
      <w:pPr>
        <w:pStyle w:val="TextBody"/>
        <w:bidi w:val="0"/>
        <w:jc w:val="center"/>
        <w:rPr>
          <w:rFonts w:ascii="Times New Roman" w:hAnsi="Times New Roman"/>
          <w:sz w:val="20"/>
        </w:rPr>
      </w:pPr>
      <w:bookmarkStart w:id="6" w:name="condensed_consolidated_balance_sheets_un"/>
      <w:bookmarkEnd w:id="6"/>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data)</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88"/>
        <w:gridCol w:w="247"/>
        <w:gridCol w:w="939"/>
        <w:gridCol w:w="166"/>
        <w:gridCol w:w="233"/>
        <w:gridCol w:w="879"/>
        <w:gridCol w:w="753"/>
      </w:tblGrid>
      <w:tr>
        <w:trPr/>
        <w:tc>
          <w:tcPr>
            <w:tcW w:w="698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6988" w:type="dxa"/>
            <w:tcBorders/>
            <w:shd w:fill="FFFFFF" w:val="cle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8" w:type="dxa"/>
            <w:tcBorders/>
            <w:shd w:fill="FFFFFF" w:val="cle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8"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186"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112" w:type="dxa"/>
            <w:gridSpan w:val="2"/>
            <w:tcBorders/>
            <w:shd w:fill="CFF0FC" w:val="clear"/>
            <w:vAlign w:val="center"/>
          </w:tcPr>
          <w:p>
            <w:pPr>
              <w:pStyle w:val="TableContents"/>
              <w:bidi w:val="0"/>
              <w:spacing w:before="0" w:after="283"/>
              <w:jc w:val="center"/>
              <w:rPr/>
            </w:pPr>
            <w:r>
              <w:rPr/>
              <w:t> </w:t>
            </w:r>
          </w:p>
        </w:tc>
        <w:tc>
          <w:tcPr>
            <w:tcW w:w="753" w:type="dxa"/>
            <w:tcBorders/>
            <w:shd w:fill="CFF0FC" w:val="clear"/>
            <w:vAlign w:val="center"/>
          </w:tcPr>
          <w:p>
            <w:pPr>
              <w:pStyle w:val="TableContents"/>
              <w:bidi w:val="0"/>
              <w:spacing w:before="0" w:after="283"/>
              <w:jc w:val="center"/>
              <w:rPr/>
            </w:pPr>
            <w:r>
              <w:rPr/>
              <w:t> </w:t>
            </w:r>
          </w:p>
        </w:tc>
      </w:tr>
      <w:tr>
        <w:trPr/>
        <w:tc>
          <w:tcPr>
            <w:tcW w:w="698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1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ind w:left="0" w:right="0" w:firstLine="280"/>
              <w:jc w:val="left"/>
              <w:rPr/>
            </w:pPr>
            <w:r>
              <w:rPr/>
              <w:t> </w:t>
            </w:r>
          </w:p>
        </w:tc>
      </w:tr>
      <w:tr>
        <w:trPr/>
        <w:tc>
          <w:tcPr>
            <w:tcW w:w="698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24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187,542</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179,361</w:t>
            </w:r>
          </w:p>
        </w:tc>
        <w:tc>
          <w:tcPr>
            <w:tcW w:w="753" w:type="dxa"/>
            <w:tcBorders/>
            <w:shd w:fill="CFF0FC" w:val="clear"/>
            <w:vAlign w:val="center"/>
          </w:tcPr>
          <w:p>
            <w:pPr>
              <w:pStyle w:val="TableContents"/>
              <w:bidi w:val="0"/>
              <w:spacing w:before="0" w:after="283"/>
              <w:ind w:left="0" w:right="0" w:firstLine="280"/>
              <w:jc w:val="left"/>
              <w:rPr/>
            </w:pPr>
            <w:r>
              <w:rPr/>
              <w:t> </w:t>
            </w:r>
          </w:p>
        </w:tc>
      </w:tr>
      <w:tr>
        <w:trPr/>
        <w:tc>
          <w:tcPr>
            <w:tcW w:w="698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Restricted cash and cash equivalents</w:t>
            </w:r>
          </w:p>
        </w:tc>
        <w:tc>
          <w:tcPr>
            <w:tcW w:w="247"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3,243</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3,834</w:t>
            </w:r>
          </w:p>
        </w:tc>
        <w:tc>
          <w:tcPr>
            <w:tcW w:w="753" w:type="dxa"/>
            <w:tcBorders/>
            <w:shd w:fill="FFFFFF" w:val="clear"/>
            <w:vAlign w:val="center"/>
          </w:tcPr>
          <w:p>
            <w:pPr>
              <w:pStyle w:val="TableContents"/>
              <w:bidi w:val="0"/>
              <w:spacing w:before="0" w:after="283"/>
              <w:ind w:left="0" w:right="0" w:firstLine="280"/>
              <w:jc w:val="left"/>
              <w:rPr/>
            </w:pPr>
            <w:r>
              <w:rPr/>
              <w:t> </w:t>
            </w:r>
          </w:p>
        </w:tc>
      </w:tr>
      <w:tr>
        <w:trPr/>
        <w:tc>
          <w:tcPr>
            <w:tcW w:w="6988"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Accounts and other receivables, net of allowance for expected credit losses of $354</w:t>
            </w:r>
            <w:r>
              <w:rPr>
                <w:rFonts w:ascii="Times New Roman" w:hAnsi="Times New Roman"/>
                <w:color w:val="000000"/>
                <w:sz w:val="20"/>
              </w:rPr>
              <w:t> </w:t>
            </w:r>
            <w:r>
              <w:rPr>
                <w:rFonts w:ascii="Arial" w:hAnsi="Arial"/>
                <w:color w:val="000000"/>
                <w:sz w:val="20"/>
              </w:rPr>
              <w:t>and $435, respectively</w:t>
            </w:r>
          </w:p>
        </w:tc>
        <w:tc>
          <w:tcPr>
            <w:tcW w:w="247"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111,174</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76,389</w:t>
            </w:r>
          </w:p>
        </w:tc>
        <w:tc>
          <w:tcPr>
            <w:tcW w:w="753" w:type="dxa"/>
            <w:tcBorders/>
            <w:shd w:fill="CFF0FC" w:val="clear"/>
            <w:vAlign w:val="center"/>
          </w:tcPr>
          <w:p>
            <w:pPr>
              <w:pStyle w:val="TableContents"/>
              <w:bidi w:val="0"/>
              <w:spacing w:before="0" w:after="283"/>
              <w:ind w:left="0" w:right="0" w:firstLine="280"/>
              <w:jc w:val="left"/>
              <w:rPr/>
            </w:pPr>
            <w:r>
              <w:rPr/>
              <w:t> </w:t>
            </w:r>
          </w:p>
        </w:tc>
      </w:tr>
      <w:tr>
        <w:trPr/>
        <w:tc>
          <w:tcPr>
            <w:tcW w:w="698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tax receivable</w:t>
            </w:r>
          </w:p>
        </w:tc>
        <w:tc>
          <w:tcPr>
            <w:tcW w:w="247"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4,334</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259</w:t>
            </w:r>
          </w:p>
        </w:tc>
        <w:tc>
          <w:tcPr>
            <w:tcW w:w="753" w:type="dxa"/>
            <w:tcBorders/>
            <w:shd w:fill="FFFFFF" w:val="clear"/>
            <w:vAlign w:val="center"/>
          </w:tcPr>
          <w:p>
            <w:pPr>
              <w:pStyle w:val="TableContents"/>
              <w:bidi w:val="0"/>
              <w:spacing w:before="0" w:after="283"/>
              <w:ind w:left="0" w:right="0" w:firstLine="280"/>
              <w:jc w:val="left"/>
              <w:rPr/>
            </w:pPr>
            <w:r>
              <w:rPr/>
              <w:t> </w:t>
            </w:r>
          </w:p>
        </w:tc>
      </w:tr>
      <w:tr>
        <w:trPr/>
        <w:tc>
          <w:tcPr>
            <w:tcW w:w="698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Prepaid expenses and other current assets</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10,505</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988"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assets</w:t>
            </w:r>
          </w:p>
        </w:tc>
        <w:tc>
          <w:tcPr>
            <w:tcW w:w="247"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320,097</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270,348</w:t>
            </w:r>
          </w:p>
        </w:tc>
        <w:tc>
          <w:tcPr>
            <w:tcW w:w="753" w:type="dxa"/>
            <w:tcBorders/>
            <w:shd w:fill="FFFFFF" w:val="clear"/>
            <w:vAlign w:val="center"/>
          </w:tcPr>
          <w:p>
            <w:pPr>
              <w:pStyle w:val="TableContents"/>
              <w:bidi w:val="0"/>
              <w:spacing w:before="0" w:after="283"/>
              <w:jc w:val="left"/>
              <w:rPr/>
            </w:pPr>
            <w:r>
              <w:rPr/>
              <w:t> </w:t>
            </w:r>
          </w:p>
        </w:tc>
      </w:tr>
      <w:tr>
        <w:trPr/>
        <w:tc>
          <w:tcPr>
            <w:tcW w:w="698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247"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1,323</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1,558</w:t>
            </w:r>
          </w:p>
        </w:tc>
        <w:tc>
          <w:tcPr>
            <w:tcW w:w="753" w:type="dxa"/>
            <w:tcBorders/>
            <w:shd w:fill="CFF0FC" w:val="clear"/>
            <w:vAlign w:val="center"/>
          </w:tcPr>
          <w:p>
            <w:pPr>
              <w:pStyle w:val="TableContents"/>
              <w:bidi w:val="0"/>
              <w:spacing w:before="0" w:after="283"/>
              <w:jc w:val="left"/>
              <w:rPr/>
            </w:pPr>
            <w:r>
              <w:rPr/>
              <w:t> </w:t>
            </w:r>
          </w:p>
        </w:tc>
      </w:tr>
      <w:tr>
        <w:trPr/>
        <w:tc>
          <w:tcPr>
            <w:tcW w:w="698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Capitalized internal-use software development costs, net</w:t>
            </w:r>
          </w:p>
        </w:tc>
        <w:tc>
          <w:tcPr>
            <w:tcW w:w="247"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65,993</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58,787</w:t>
            </w:r>
          </w:p>
        </w:tc>
        <w:tc>
          <w:tcPr>
            <w:tcW w:w="753" w:type="dxa"/>
            <w:tcBorders/>
            <w:shd w:fill="FFFFFF" w:val="clear"/>
            <w:vAlign w:val="center"/>
          </w:tcPr>
          <w:p>
            <w:pPr>
              <w:pStyle w:val="TableContents"/>
              <w:bidi w:val="0"/>
              <w:spacing w:before="0" w:after="283"/>
              <w:jc w:val="left"/>
              <w:rPr/>
            </w:pPr>
            <w:r>
              <w:rPr/>
              <w:t> </w:t>
            </w:r>
          </w:p>
        </w:tc>
      </w:tr>
      <w:tr>
        <w:trPr/>
        <w:tc>
          <w:tcPr>
            <w:tcW w:w="698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net</w:t>
            </w:r>
          </w:p>
        </w:tc>
        <w:tc>
          <w:tcPr>
            <w:tcW w:w="247"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21,096</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27,158</w:t>
            </w:r>
          </w:p>
        </w:tc>
        <w:tc>
          <w:tcPr>
            <w:tcW w:w="753" w:type="dxa"/>
            <w:tcBorders/>
            <w:shd w:fill="CFF0FC" w:val="clear"/>
            <w:vAlign w:val="center"/>
          </w:tcPr>
          <w:p>
            <w:pPr>
              <w:pStyle w:val="TableContents"/>
              <w:bidi w:val="0"/>
              <w:spacing w:before="0" w:after="283"/>
              <w:jc w:val="left"/>
              <w:rPr/>
            </w:pPr>
            <w:r>
              <w:rPr/>
              <w:t> </w:t>
            </w:r>
          </w:p>
        </w:tc>
      </w:tr>
      <w:tr>
        <w:trPr/>
        <w:tc>
          <w:tcPr>
            <w:tcW w:w="698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247"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131,849</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131,860</w:t>
            </w:r>
          </w:p>
        </w:tc>
        <w:tc>
          <w:tcPr>
            <w:tcW w:w="753" w:type="dxa"/>
            <w:tcBorders/>
            <w:shd w:fill="FFFFFF" w:val="clear"/>
            <w:vAlign w:val="center"/>
          </w:tcPr>
          <w:p>
            <w:pPr>
              <w:pStyle w:val="TableContents"/>
              <w:bidi w:val="0"/>
              <w:spacing w:before="0" w:after="283"/>
              <w:jc w:val="left"/>
              <w:rPr/>
            </w:pPr>
            <w:r>
              <w:rPr/>
              <w:t> </w:t>
            </w:r>
          </w:p>
        </w:tc>
      </w:tr>
      <w:tr>
        <w:trPr/>
        <w:tc>
          <w:tcPr>
            <w:tcW w:w="698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247"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8,610</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10,027</w:t>
            </w:r>
          </w:p>
        </w:tc>
        <w:tc>
          <w:tcPr>
            <w:tcW w:w="753" w:type="dxa"/>
            <w:tcBorders/>
            <w:shd w:fill="CFF0FC" w:val="clear"/>
            <w:vAlign w:val="center"/>
          </w:tcPr>
          <w:p>
            <w:pPr>
              <w:pStyle w:val="TableContents"/>
              <w:bidi w:val="0"/>
              <w:spacing w:before="0" w:after="283"/>
              <w:jc w:val="left"/>
              <w:rPr/>
            </w:pPr>
            <w:r>
              <w:rPr/>
              <w:t> </w:t>
            </w:r>
          </w:p>
        </w:tc>
      </w:tr>
      <w:tr>
        <w:trPr/>
        <w:tc>
          <w:tcPr>
            <w:tcW w:w="698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asset</w:t>
            </w:r>
          </w:p>
        </w:tc>
        <w:tc>
          <w:tcPr>
            <w:tcW w:w="247"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358</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753" w:type="dxa"/>
            <w:tcBorders/>
            <w:shd w:fill="FFFFFF" w:val="clear"/>
            <w:vAlign w:val="center"/>
          </w:tcPr>
          <w:p>
            <w:pPr>
              <w:pStyle w:val="TableContents"/>
              <w:bidi w:val="0"/>
              <w:spacing w:before="0" w:after="283"/>
              <w:jc w:val="left"/>
              <w:rPr/>
            </w:pPr>
            <w:r>
              <w:rPr/>
              <w:t> </w:t>
            </w:r>
          </w:p>
        </w:tc>
      </w:tr>
      <w:tr>
        <w:trPr/>
        <w:tc>
          <w:tcPr>
            <w:tcW w:w="698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assets</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5,031</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988"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assets</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504,863</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8"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1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753" w:type="dxa"/>
            <w:tcBorders/>
            <w:shd w:fill="CFF0FC" w:val="clear"/>
            <w:vAlign w:val="center"/>
          </w:tcPr>
          <w:p>
            <w:pPr>
              <w:pStyle w:val="TableContents"/>
              <w:bidi w:val="0"/>
              <w:spacing w:before="0" w:after="283"/>
              <w:jc w:val="right"/>
              <w:rPr/>
            </w:pPr>
            <w:r>
              <w:rPr/>
              <w:t> </w:t>
            </w:r>
          </w:p>
        </w:tc>
      </w:tr>
      <w:tr>
        <w:trPr/>
        <w:tc>
          <w:tcPr>
            <w:tcW w:w="698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1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753" w:type="dxa"/>
            <w:tcBorders/>
            <w:shd w:fill="FFFFFF" w:val="clear"/>
            <w:vAlign w:val="center"/>
          </w:tcPr>
          <w:p>
            <w:pPr>
              <w:pStyle w:val="TableContents"/>
              <w:bidi w:val="0"/>
              <w:spacing w:before="0" w:after="283"/>
              <w:ind w:left="0" w:right="0" w:firstLine="280"/>
              <w:jc w:val="right"/>
              <w:rPr/>
            </w:pPr>
            <w:r>
              <w:rPr/>
              <w:t> </w:t>
            </w:r>
          </w:p>
        </w:tc>
      </w:tr>
      <w:tr>
        <w:trPr/>
        <w:tc>
          <w:tcPr>
            <w:tcW w:w="698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payable</w:t>
            </w:r>
          </w:p>
        </w:tc>
        <w:tc>
          <w:tcPr>
            <w:tcW w:w="24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49,659</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35,182</w:t>
            </w:r>
          </w:p>
        </w:tc>
        <w:tc>
          <w:tcPr>
            <w:tcW w:w="753" w:type="dxa"/>
            <w:tcBorders/>
            <w:shd w:fill="CFF0FC" w:val="clear"/>
            <w:vAlign w:val="center"/>
          </w:tcPr>
          <w:p>
            <w:pPr>
              <w:pStyle w:val="TableContents"/>
              <w:bidi w:val="0"/>
              <w:spacing w:before="0" w:after="283"/>
              <w:ind w:left="0" w:right="0" w:firstLine="280"/>
              <w:jc w:val="left"/>
              <w:rPr/>
            </w:pPr>
            <w:r>
              <w:rPr/>
              <w:t> </w:t>
            </w:r>
          </w:p>
        </w:tc>
      </w:tr>
      <w:tr>
        <w:trPr/>
        <w:tc>
          <w:tcPr>
            <w:tcW w:w="698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liabilities</w:t>
            </w:r>
          </w:p>
        </w:tc>
        <w:tc>
          <w:tcPr>
            <w:tcW w:w="247"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20,299</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21,301</w:t>
            </w:r>
          </w:p>
        </w:tc>
        <w:tc>
          <w:tcPr>
            <w:tcW w:w="753" w:type="dxa"/>
            <w:tcBorders/>
            <w:shd w:fill="FFFFFF" w:val="clear"/>
            <w:vAlign w:val="center"/>
          </w:tcPr>
          <w:p>
            <w:pPr>
              <w:pStyle w:val="TableContents"/>
              <w:bidi w:val="0"/>
              <w:spacing w:before="0" w:after="283"/>
              <w:ind w:left="0" w:right="0" w:firstLine="280"/>
              <w:jc w:val="left"/>
              <w:rPr/>
            </w:pPr>
            <w:r>
              <w:rPr/>
              <w:t> </w:t>
            </w:r>
          </w:p>
        </w:tc>
      </w:tr>
      <w:tr>
        <w:trPr/>
        <w:tc>
          <w:tcPr>
            <w:tcW w:w="698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Current portion of operating lease liabilities</w:t>
            </w:r>
          </w:p>
        </w:tc>
        <w:tc>
          <w:tcPr>
            <w:tcW w:w="247"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2,098</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1,853</w:t>
            </w:r>
          </w:p>
        </w:tc>
        <w:tc>
          <w:tcPr>
            <w:tcW w:w="753" w:type="dxa"/>
            <w:tcBorders/>
            <w:shd w:fill="CFF0FC" w:val="clear"/>
            <w:vAlign w:val="center"/>
          </w:tcPr>
          <w:p>
            <w:pPr>
              <w:pStyle w:val="TableContents"/>
              <w:bidi w:val="0"/>
              <w:spacing w:before="0" w:after="283"/>
              <w:ind w:left="0" w:right="0" w:firstLine="280"/>
              <w:jc w:val="left"/>
              <w:rPr/>
            </w:pPr>
            <w:r>
              <w:rPr/>
              <w:t> </w:t>
            </w:r>
          </w:p>
        </w:tc>
      </w:tr>
      <w:tr>
        <w:trPr/>
        <w:tc>
          <w:tcPr>
            <w:tcW w:w="698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Contract liabilities</w:t>
            </w:r>
          </w:p>
        </w:tc>
        <w:tc>
          <w:tcPr>
            <w:tcW w:w="247"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2,192</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4,089</w:t>
            </w:r>
          </w:p>
        </w:tc>
        <w:tc>
          <w:tcPr>
            <w:tcW w:w="753" w:type="dxa"/>
            <w:tcBorders/>
            <w:shd w:fill="FFFFFF" w:val="clear"/>
            <w:vAlign w:val="center"/>
          </w:tcPr>
          <w:p>
            <w:pPr>
              <w:pStyle w:val="TableContents"/>
              <w:bidi w:val="0"/>
              <w:spacing w:before="0" w:after="283"/>
              <w:ind w:left="0" w:right="0" w:firstLine="280"/>
              <w:jc w:val="left"/>
              <w:rPr/>
            </w:pPr>
            <w:r>
              <w:rPr/>
              <w:t> </w:t>
            </w:r>
          </w:p>
        </w:tc>
      </w:tr>
      <w:tr>
        <w:trPr/>
        <w:tc>
          <w:tcPr>
            <w:tcW w:w="698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tax payable</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988"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liabilities</w:t>
            </w:r>
          </w:p>
        </w:tc>
        <w:tc>
          <w:tcPr>
            <w:tcW w:w="247"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74,248</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62,788</w:t>
            </w:r>
          </w:p>
        </w:tc>
        <w:tc>
          <w:tcPr>
            <w:tcW w:w="753" w:type="dxa"/>
            <w:tcBorders/>
            <w:shd w:fill="FFFFFF" w:val="clear"/>
            <w:vAlign w:val="center"/>
          </w:tcPr>
          <w:p>
            <w:pPr>
              <w:pStyle w:val="TableContents"/>
              <w:bidi w:val="0"/>
              <w:spacing w:before="0" w:after="283"/>
              <w:jc w:val="left"/>
              <w:rPr/>
            </w:pPr>
            <w:r>
              <w:rPr/>
              <w:t> </w:t>
            </w:r>
          </w:p>
        </w:tc>
      </w:tr>
      <w:tr>
        <w:trPr/>
        <w:tc>
          <w:tcPr>
            <w:tcW w:w="698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liability</w:t>
            </w:r>
          </w:p>
        </w:tc>
        <w:tc>
          <w:tcPr>
            <w:tcW w:w="247"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1,067</w:t>
            </w:r>
          </w:p>
        </w:tc>
        <w:tc>
          <w:tcPr>
            <w:tcW w:w="753" w:type="dxa"/>
            <w:tcBorders/>
            <w:shd w:fill="CFF0FC" w:val="clear"/>
            <w:vAlign w:val="center"/>
          </w:tcPr>
          <w:p>
            <w:pPr>
              <w:pStyle w:val="TableContents"/>
              <w:bidi w:val="0"/>
              <w:spacing w:before="0" w:after="283"/>
              <w:jc w:val="left"/>
              <w:rPr/>
            </w:pPr>
            <w:r>
              <w:rPr/>
              <w:t> </w:t>
            </w:r>
          </w:p>
        </w:tc>
      </w:tr>
      <w:tr>
        <w:trPr/>
        <w:tc>
          <w:tcPr>
            <w:tcW w:w="698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liabilities, less current portion</w:t>
            </w:r>
          </w:p>
        </w:tc>
        <w:tc>
          <w:tcPr>
            <w:tcW w:w="247"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7,146</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8,661</w:t>
            </w:r>
          </w:p>
        </w:tc>
        <w:tc>
          <w:tcPr>
            <w:tcW w:w="753" w:type="dxa"/>
            <w:tcBorders/>
            <w:shd w:fill="FFFFFF" w:val="clear"/>
            <w:vAlign w:val="center"/>
          </w:tcPr>
          <w:p>
            <w:pPr>
              <w:pStyle w:val="TableContents"/>
              <w:bidi w:val="0"/>
              <w:spacing w:before="0" w:after="283"/>
              <w:jc w:val="left"/>
              <w:rPr/>
            </w:pPr>
            <w:r>
              <w:rPr/>
              <w:t> </w:t>
            </w:r>
          </w:p>
        </w:tc>
      </w:tr>
      <w:tr>
        <w:trPr/>
        <w:tc>
          <w:tcPr>
            <w:tcW w:w="698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Contract liabilities, less current portion</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2,731</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988"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75,247</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1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753" w:type="dxa"/>
            <w:tcBorders/>
            <w:shd w:fill="CFF0FC" w:val="clear"/>
            <w:vAlign w:val="center"/>
          </w:tcPr>
          <w:p>
            <w:pPr>
              <w:pStyle w:val="TableContents"/>
              <w:bidi w:val="0"/>
              <w:spacing w:before="0" w:after="283"/>
              <w:ind w:left="0" w:right="0" w:firstLine="280"/>
              <w:jc w:val="right"/>
              <w:rPr/>
            </w:pPr>
            <w:r>
              <w:rPr/>
              <w:t> </w:t>
            </w:r>
          </w:p>
        </w:tc>
      </w:tr>
      <w:tr>
        <w:trPr/>
        <w:tc>
          <w:tcPr>
            <w:tcW w:w="6988" w:type="dxa"/>
            <w:tcBorders/>
            <w:shd w:fill="FFFFFF"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per share, 5,000,000</w:t>
            </w:r>
            <w:r>
              <w:rPr>
                <w:rFonts w:ascii="Times New Roman" w:hAnsi="Times New Roman"/>
                <w:color w:val="000000"/>
                <w:sz w:val="20"/>
              </w:rPr>
              <w:t> </w:t>
            </w:r>
            <w:r>
              <w:rPr>
                <w:rFonts w:ascii="Arial" w:hAnsi="Arial"/>
                <w:color w:val="000000"/>
                <w:sz w:val="20"/>
              </w:rPr>
              <w:t>shares authorized as of September 30, 2024 and December 31, 2023; none</w:t>
            </w:r>
            <w:r>
              <w:rPr>
                <w:rFonts w:ascii="Times New Roman" w:hAnsi="Times New Roman"/>
                <w:color w:val="000000"/>
                <w:sz w:val="20"/>
              </w:rPr>
              <w:t> </w:t>
            </w:r>
            <w:r>
              <w:rPr>
                <w:rFonts w:ascii="Arial" w:hAnsi="Arial"/>
                <w:color w:val="000000"/>
                <w:sz w:val="20"/>
              </w:rPr>
              <w:t>issued and outstanding as of September 30, 2024 and December 31, 2023</w:t>
            </w:r>
          </w:p>
        </w:tc>
        <w:tc>
          <w:tcPr>
            <w:tcW w:w="247"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color w:val="000000"/>
              </w:rPr>
            </w:pPr>
            <w:r>
              <w:rPr>
                <w:color w:val="000000"/>
              </w:rPr>
              <w:t>—</w:t>
            </w:r>
          </w:p>
        </w:tc>
        <w:tc>
          <w:tcPr>
            <w:tcW w:w="753" w:type="dxa"/>
            <w:tcBorders/>
            <w:shd w:fill="FFFFFF" w:val="clear"/>
            <w:vAlign w:val="center"/>
          </w:tcPr>
          <w:p>
            <w:pPr>
              <w:pStyle w:val="TableContents"/>
              <w:bidi w:val="0"/>
              <w:spacing w:before="0" w:after="283"/>
              <w:ind w:left="0" w:right="0" w:firstLine="280"/>
              <w:jc w:val="left"/>
              <w:rPr/>
            </w:pPr>
            <w:r>
              <w:rPr/>
              <w:t> </w:t>
            </w:r>
          </w:p>
        </w:tc>
      </w:tr>
      <w:tr>
        <w:trPr/>
        <w:tc>
          <w:tcPr>
            <w:tcW w:w="6988"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Class A common stock, $0.0001</w:t>
            </w:r>
            <w:r>
              <w:rPr>
                <w:rFonts w:ascii="Times New Roman" w:hAnsi="Times New Roman"/>
                <w:color w:val="000000"/>
                <w:sz w:val="20"/>
              </w:rPr>
              <w:t> </w:t>
            </w:r>
            <w:r>
              <w:rPr>
                <w:rFonts w:ascii="Arial" w:hAnsi="Arial"/>
                <w:color w:val="000000"/>
                <w:sz w:val="20"/>
              </w:rPr>
              <w:t>par value per share, 883,950,000</w:t>
            </w:r>
            <w:r>
              <w:rPr>
                <w:rFonts w:ascii="Times New Roman" w:hAnsi="Times New Roman"/>
                <w:color w:val="000000"/>
                <w:sz w:val="20"/>
              </w:rPr>
              <w:t> </w:t>
            </w:r>
            <w:r>
              <w:rPr>
                <w:rFonts w:ascii="Arial" w:hAnsi="Arial"/>
                <w:color w:val="000000"/>
                <w:sz w:val="20"/>
              </w:rPr>
              <w:t>shares authorized as of September 30, 2024 and December 31, 2023; 24,478,802</w:t>
            </w:r>
            <w:r>
              <w:rPr>
                <w:rFonts w:ascii="Times New Roman" w:hAnsi="Times New Roman"/>
                <w:color w:val="000000"/>
                <w:sz w:val="20"/>
              </w:rPr>
              <w:t> </w:t>
            </w:r>
            <w:r>
              <w:rPr>
                <w:rFonts w:ascii="Arial" w:hAnsi="Arial"/>
                <w:color w:val="000000"/>
                <w:sz w:val="20"/>
              </w:rPr>
              <w:t>and 20,758,603</w:t>
            </w:r>
            <w:r>
              <w:rPr>
                <w:rFonts w:ascii="Times New Roman" w:hAnsi="Times New Roman"/>
                <w:color w:val="000000"/>
                <w:sz w:val="20"/>
              </w:rPr>
              <w:t> </w:t>
            </w:r>
            <w:r>
              <w:rPr>
                <w:rFonts w:ascii="Arial" w:hAnsi="Arial"/>
                <w:color w:val="000000"/>
                <w:sz w:val="20"/>
              </w:rPr>
              <w:t>shares issued and outstanding as of September 30, 2024 and December 31, 2023, respectively</w:t>
            </w:r>
          </w:p>
        </w:tc>
        <w:tc>
          <w:tcPr>
            <w:tcW w:w="247"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753" w:type="dxa"/>
            <w:tcBorders/>
            <w:shd w:fill="CFF0FC" w:val="clear"/>
            <w:vAlign w:val="center"/>
          </w:tcPr>
          <w:p>
            <w:pPr>
              <w:pStyle w:val="TableContents"/>
              <w:bidi w:val="0"/>
              <w:spacing w:before="0" w:after="283"/>
              <w:ind w:left="0" w:right="0" w:firstLine="280"/>
              <w:jc w:val="left"/>
              <w:rPr/>
            </w:pPr>
            <w:r>
              <w:rPr/>
              <w:t> </w:t>
            </w:r>
          </w:p>
        </w:tc>
      </w:tr>
      <w:tr>
        <w:trPr/>
        <w:tc>
          <w:tcPr>
            <w:tcW w:w="6988" w:type="dxa"/>
            <w:tcBorders/>
            <w:shd w:fill="FFFFFF"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Class B common stock, $0.0001</w:t>
            </w:r>
            <w:r>
              <w:rPr>
                <w:rFonts w:ascii="Times New Roman" w:hAnsi="Times New Roman"/>
                <w:color w:val="000000"/>
                <w:sz w:val="20"/>
              </w:rPr>
              <w:t> </w:t>
            </w:r>
            <w:r>
              <w:rPr>
                <w:rFonts w:ascii="Arial" w:hAnsi="Arial"/>
                <w:color w:val="000000"/>
                <w:sz w:val="20"/>
              </w:rPr>
              <w:t>par value per share, 111,050,000</w:t>
            </w:r>
            <w:r>
              <w:rPr>
                <w:rFonts w:ascii="Times New Roman" w:hAnsi="Times New Roman"/>
                <w:color w:val="000000"/>
                <w:sz w:val="20"/>
              </w:rPr>
              <w:t> </w:t>
            </w:r>
            <w:r>
              <w:rPr>
                <w:rFonts w:ascii="Arial" w:hAnsi="Arial"/>
                <w:color w:val="000000"/>
                <w:sz w:val="20"/>
              </w:rPr>
              <w:t>shares authorized as of September 30, 2024 and December 31, 2023; 100,126,384</w:t>
            </w:r>
            <w:r>
              <w:rPr>
                <w:rFonts w:ascii="Times New Roman" w:hAnsi="Times New Roman"/>
                <w:color w:val="000000"/>
                <w:sz w:val="20"/>
              </w:rPr>
              <w:t> </w:t>
            </w:r>
            <w:r>
              <w:rPr>
                <w:rFonts w:ascii="Arial" w:hAnsi="Arial"/>
                <w:color w:val="000000"/>
                <w:sz w:val="20"/>
              </w:rPr>
              <w:t>and 103,062,508</w:t>
            </w:r>
            <w:r>
              <w:rPr>
                <w:rFonts w:ascii="Times New Roman" w:hAnsi="Times New Roman"/>
                <w:color w:val="000000"/>
                <w:sz w:val="20"/>
              </w:rPr>
              <w:t> </w:t>
            </w:r>
            <w:r>
              <w:rPr>
                <w:rFonts w:ascii="Arial" w:hAnsi="Arial"/>
                <w:color w:val="000000"/>
                <w:sz w:val="20"/>
              </w:rPr>
              <w:t>shares issued and outstanding as of September 30, 2024 and December 31, 2023, respectively</w:t>
            </w:r>
          </w:p>
        </w:tc>
        <w:tc>
          <w:tcPr>
            <w:tcW w:w="247"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753" w:type="dxa"/>
            <w:tcBorders/>
            <w:shd w:fill="FFFFFF" w:val="clear"/>
            <w:vAlign w:val="center"/>
          </w:tcPr>
          <w:p>
            <w:pPr>
              <w:pStyle w:val="TableContents"/>
              <w:bidi w:val="0"/>
              <w:spacing w:before="0" w:after="283"/>
              <w:ind w:left="0" w:right="0" w:firstLine="280"/>
              <w:jc w:val="left"/>
              <w:rPr/>
            </w:pPr>
            <w:r>
              <w:rPr/>
              <w:t> </w:t>
            </w:r>
          </w:p>
        </w:tc>
      </w:tr>
      <w:tr>
        <w:trPr/>
        <w:tc>
          <w:tcPr>
            <w:tcW w:w="698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Additional paid-in capital</w:t>
            </w:r>
          </w:p>
        </w:tc>
        <w:tc>
          <w:tcPr>
            <w:tcW w:w="247"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386,020</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377,773</w:t>
            </w:r>
          </w:p>
        </w:tc>
        <w:tc>
          <w:tcPr>
            <w:tcW w:w="753" w:type="dxa"/>
            <w:tcBorders/>
            <w:shd w:fill="CFF0FC" w:val="clear"/>
            <w:vAlign w:val="center"/>
          </w:tcPr>
          <w:p>
            <w:pPr>
              <w:pStyle w:val="TableContents"/>
              <w:bidi w:val="0"/>
              <w:spacing w:before="0" w:after="283"/>
              <w:ind w:left="0" w:right="0" w:firstLine="280"/>
              <w:jc w:val="left"/>
              <w:rPr/>
            </w:pPr>
            <w:r>
              <w:rPr/>
              <w:t> </w:t>
            </w:r>
          </w:p>
        </w:tc>
      </w:tr>
      <w:tr>
        <w:trPr/>
        <w:tc>
          <w:tcPr>
            <w:tcW w:w="698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other comprehensive income</w:t>
            </w:r>
          </w:p>
        </w:tc>
        <w:tc>
          <w:tcPr>
            <w:tcW w:w="247"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753" w:type="dxa"/>
            <w:tcBorders/>
            <w:shd w:fill="FFFFFF" w:val="clear"/>
            <w:vAlign w:val="center"/>
          </w:tcPr>
          <w:p>
            <w:pPr>
              <w:pStyle w:val="TableContents"/>
              <w:bidi w:val="0"/>
              <w:spacing w:before="0" w:after="283"/>
              <w:ind w:left="0" w:right="0" w:firstLine="280"/>
              <w:jc w:val="left"/>
              <w:rPr/>
            </w:pPr>
            <w:r>
              <w:rPr/>
              <w:t> </w:t>
            </w:r>
          </w:p>
        </w:tc>
      </w:tr>
      <w:tr>
        <w:trPr/>
        <w:tc>
          <w:tcPr>
            <w:tcW w:w="698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Retained earnings</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51,744</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988"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stockholders’ equity</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429,616</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988"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 and stockholders' equity</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504,863</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PAYMENTUS HOLDINGS, INC.</w:t>
      </w:r>
    </w:p>
    <w:p>
      <w:pPr>
        <w:pStyle w:val="TextBody"/>
        <w:bidi w:val="0"/>
        <w:jc w:val="center"/>
        <w:rPr>
          <w:rFonts w:ascii="Times New Roman" w:hAnsi="Times New Roman"/>
          <w:sz w:val="20"/>
        </w:rPr>
      </w:pPr>
      <w:bookmarkStart w:id="7" w:name="statements_of_operations"/>
      <w:bookmarkEnd w:id="7"/>
      <w:r>
        <w:rPr>
          <w:rFonts w:ascii="Arial" w:hAnsi="Arial"/>
          <w:b/>
          <w:color w:val="000000"/>
          <w:sz w:val="20"/>
        </w:rPr>
        <w:t>CONDENSED CONSOLIDATED STATEME</w:t>
      </w:r>
      <w:bookmarkStart w:id="8" w:name="condensed_consolidated_statements_operat"/>
      <w:bookmarkEnd w:id="8"/>
      <w:r>
        <w:rPr>
          <w:rFonts w:ascii="Arial" w:hAnsi="Arial"/>
          <w:b/>
          <w:color w:val="000000"/>
          <w:sz w:val="20"/>
        </w:rPr>
        <w:t>NTS OF OPERATIONS AND COMPREHENSIVE INCOME</w:t>
      </w:r>
    </w:p>
    <w:p>
      <w:pPr>
        <w:pStyle w:val="TextBody"/>
        <w:bidi w:val="0"/>
        <w:jc w:val="center"/>
        <w:rPr>
          <w:rFonts w:ascii="Arial" w:hAnsi="Arial"/>
          <w:b/>
          <w:color w:val="000000"/>
          <w:sz w:val="20"/>
        </w:rPr>
      </w:pPr>
      <w:r>
        <w:rPr>
          <w:rFonts w:ascii="Arial" w:hAnsi="Arial"/>
          <w:b/>
          <w:color w:val="000000"/>
          <w:sz w:val="20"/>
        </w:rPr>
        <w:t>(In thousands, except share and per share data)</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1"/>
        <w:gridCol w:w="426"/>
        <w:gridCol w:w="211"/>
        <w:gridCol w:w="1171"/>
        <w:gridCol w:w="166"/>
        <w:gridCol w:w="146"/>
        <w:gridCol w:w="211"/>
        <w:gridCol w:w="1171"/>
        <w:gridCol w:w="446"/>
        <w:gridCol w:w="426"/>
        <w:gridCol w:w="211"/>
        <w:gridCol w:w="1171"/>
        <w:gridCol w:w="166"/>
        <w:gridCol w:w="146"/>
        <w:gridCol w:w="211"/>
        <w:gridCol w:w="1171"/>
        <w:gridCol w:w="774"/>
      </w:tblGrid>
      <w:tr>
        <w:trPr/>
        <w:tc>
          <w:tcPr>
            <w:tcW w:w="19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231,571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152,423</w:t>
            </w:r>
          </w:p>
        </w:tc>
        <w:tc>
          <w:tcPr>
            <w:tcW w:w="4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613,868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449,690</w:t>
            </w:r>
          </w:p>
        </w:tc>
        <w:tc>
          <w:tcPr>
            <w:tcW w:w="774" w:type="dxa"/>
            <w:tcBorders/>
            <w:shd w:fill="CFF0FC"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105,513</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316,840</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9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Gross profit</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46,910</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132,850</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42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ind w:left="0" w:right="0" w:firstLine="280"/>
              <w:jc w:val="left"/>
              <w:rPr/>
            </w:pPr>
            <w:r>
              <w:rPr/>
              <w:t> </w:t>
            </w:r>
          </w:p>
        </w:tc>
      </w:tr>
      <w:tr>
        <w:trPr/>
        <w:tc>
          <w:tcPr>
            <w:tcW w:w="19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13,187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11,035</w:t>
            </w:r>
          </w:p>
        </w:tc>
        <w:tc>
          <w:tcPr>
            <w:tcW w:w="4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37,773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33,595</w:t>
            </w:r>
          </w:p>
        </w:tc>
        <w:tc>
          <w:tcPr>
            <w:tcW w:w="774" w:type="dxa"/>
            <w:tcBorders/>
            <w:shd w:fill="CFF0FC" w:val="clear"/>
            <w:vAlign w:val="center"/>
          </w:tcPr>
          <w:p>
            <w:pPr>
              <w:pStyle w:val="TableContents"/>
              <w:bidi w:val="0"/>
              <w:spacing w:before="0" w:after="283"/>
              <w:ind w:left="0" w:right="0" w:firstLine="280"/>
              <w:jc w:val="left"/>
              <w:rPr/>
            </w:pPr>
            <w:r>
              <w:rPr/>
              <w:t> </w:t>
            </w:r>
          </w:p>
        </w:tc>
      </w:tr>
      <w:tr>
        <w:trPr/>
        <w:tc>
          <w:tcPr>
            <w:tcW w:w="19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Sales and marketing</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26,451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21,481</w:t>
            </w:r>
          </w:p>
        </w:tc>
        <w:tc>
          <w:tcPr>
            <w:tcW w:w="4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76,456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63,344</w:t>
            </w:r>
          </w:p>
        </w:tc>
        <w:tc>
          <w:tcPr>
            <w:tcW w:w="774" w:type="dxa"/>
            <w:tcBorders/>
            <w:shd w:fill="FFFFFF" w:val="clear"/>
            <w:vAlign w:val="center"/>
          </w:tcPr>
          <w:p>
            <w:pPr>
              <w:pStyle w:val="TableContents"/>
              <w:bidi w:val="0"/>
              <w:spacing w:before="0" w:after="283"/>
              <w:ind w:left="0" w:right="0" w:firstLine="280"/>
              <w:jc w:val="left"/>
              <w:rPr/>
            </w:pPr>
            <w:r>
              <w:rPr/>
              <w:t> </w:t>
            </w:r>
          </w:p>
        </w:tc>
      </w:tr>
      <w:tr>
        <w:trPr/>
        <w:tc>
          <w:tcPr>
            <w:tcW w:w="19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9,083</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26,958</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198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41,599</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123,897</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198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Income from operations</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5,311</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8,953</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9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income, net</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1,905</w:t>
            </w:r>
          </w:p>
        </w:tc>
        <w:tc>
          <w:tcPr>
            <w:tcW w:w="4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5,003</w:t>
            </w:r>
          </w:p>
        </w:tc>
        <w:tc>
          <w:tcPr>
            <w:tcW w:w="774" w:type="dxa"/>
            <w:tcBorders/>
            <w:shd w:fill="FFFFFF" w:val="clear"/>
            <w:vAlign w:val="center"/>
          </w:tcPr>
          <w:p>
            <w:pPr>
              <w:pStyle w:val="TableContents"/>
              <w:bidi w:val="0"/>
              <w:spacing w:before="0" w:after="283"/>
              <w:ind w:left="0" w:right="0" w:firstLine="280"/>
              <w:jc w:val="left"/>
              <w:rPr/>
            </w:pPr>
            <w:r>
              <w:rPr/>
              <w:t> </w:t>
            </w:r>
          </w:p>
        </w:tc>
      </w:tr>
      <w:tr>
        <w:trPr/>
        <w:tc>
          <w:tcPr>
            <w:tcW w:w="19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income (expense)</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198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Income before income taxes</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14,435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7,199</w:t>
            </w:r>
          </w:p>
        </w:tc>
        <w:tc>
          <w:tcPr>
            <w:tcW w:w="4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37,664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13,924</w:t>
            </w:r>
          </w:p>
        </w:tc>
        <w:tc>
          <w:tcPr>
            <w:tcW w:w="774" w:type="dxa"/>
            <w:tcBorders/>
            <w:shd w:fill="FFFFFF" w:val="clear"/>
            <w:vAlign w:val="center"/>
          </w:tcPr>
          <w:p>
            <w:pPr>
              <w:pStyle w:val="TableContents"/>
              <w:bidi w:val="0"/>
              <w:spacing w:before="0" w:after="283"/>
              <w:ind w:left="0" w:right="0" w:firstLine="280"/>
              <w:jc w:val="left"/>
              <w:rPr/>
            </w:pPr>
            <w:r>
              <w:rPr/>
              <w:t> </w:t>
            </w:r>
          </w:p>
        </w:tc>
      </w:tr>
      <w:tr>
        <w:trPr/>
        <w:tc>
          <w:tcPr>
            <w:tcW w:w="19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Provision for income taxes</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(822</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198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income</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6,377</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12,920</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98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 per share</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ind w:left="0" w:right="0" w:firstLine="560"/>
              <w:jc w:val="left"/>
              <w:rPr/>
            </w:pPr>
            <w:r>
              <w:rPr/>
              <w:t> </w:t>
            </w:r>
          </w:p>
        </w:tc>
      </w:tr>
      <w:tr>
        <w:trPr/>
        <w:tc>
          <w:tcPr>
            <w:tcW w:w="198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44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0.10</w:t>
            </w:r>
          </w:p>
        </w:tc>
        <w:tc>
          <w:tcPr>
            <w:tcW w:w="774" w:type="dxa"/>
            <w:tcBorders/>
            <w:shd w:fill="FFFFFF" w:val="clear"/>
            <w:vAlign w:val="center"/>
          </w:tcPr>
          <w:p>
            <w:pPr>
              <w:pStyle w:val="TableContents"/>
              <w:bidi w:val="0"/>
              <w:spacing w:before="0" w:after="283"/>
              <w:ind w:left="0" w:right="0" w:firstLine="560"/>
              <w:jc w:val="left"/>
              <w:rPr/>
            </w:pPr>
            <w:r>
              <w:rPr/>
              <w:t> </w:t>
            </w:r>
          </w:p>
        </w:tc>
      </w:tr>
      <w:tr>
        <w:trPr/>
        <w:tc>
          <w:tcPr>
            <w:tcW w:w="198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44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0.10</w:t>
            </w:r>
          </w:p>
        </w:tc>
        <w:tc>
          <w:tcPr>
            <w:tcW w:w="774" w:type="dxa"/>
            <w:tcBorders/>
            <w:shd w:fill="CFF0FC" w:val="clear"/>
            <w:vAlign w:val="center"/>
          </w:tcPr>
          <w:p>
            <w:pPr>
              <w:pStyle w:val="TableContents"/>
              <w:bidi w:val="0"/>
              <w:spacing w:before="0" w:after="283"/>
              <w:ind w:left="0" w:right="0" w:firstLine="280"/>
              <w:jc w:val="left"/>
              <w:rPr/>
            </w:pPr>
            <w:r>
              <w:rPr/>
              <w:t> </w:t>
            </w:r>
          </w:p>
        </w:tc>
      </w:tr>
      <w:tr>
        <w:trPr/>
        <w:tc>
          <w:tcPr>
            <w:tcW w:w="198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Weighted-average number of shares used to compute net income per share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ind w:left="0" w:right="0" w:firstLine="560"/>
              <w:jc w:val="left"/>
              <w:rPr/>
            </w:pPr>
            <w:r>
              <w:rPr/>
              <w:t> </w:t>
            </w:r>
          </w:p>
        </w:tc>
      </w:tr>
      <w:tr>
        <w:trPr/>
        <w:tc>
          <w:tcPr>
            <w:tcW w:w="198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124,538,195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123,620,260</w:t>
            </w:r>
          </w:p>
        </w:tc>
        <w:tc>
          <w:tcPr>
            <w:tcW w:w="44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124,251,147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123,430,652</w:t>
            </w:r>
          </w:p>
        </w:tc>
        <w:tc>
          <w:tcPr>
            <w:tcW w:w="774" w:type="dxa"/>
            <w:tcBorders/>
            <w:shd w:fill="CFF0FC" w:val="clear"/>
            <w:vAlign w:val="center"/>
          </w:tcPr>
          <w:p>
            <w:pPr>
              <w:pStyle w:val="TableContents"/>
              <w:bidi w:val="0"/>
              <w:spacing w:before="0" w:after="283"/>
              <w:ind w:left="0" w:right="0" w:firstLine="560"/>
              <w:jc w:val="left"/>
              <w:rPr/>
            </w:pPr>
            <w:r>
              <w:rPr/>
              <w:t> </w:t>
            </w:r>
          </w:p>
        </w:tc>
      </w:tr>
      <w:tr>
        <w:trPr/>
        <w:tc>
          <w:tcPr>
            <w:tcW w:w="198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127,614,115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125,639,879</w:t>
            </w:r>
          </w:p>
        </w:tc>
        <w:tc>
          <w:tcPr>
            <w:tcW w:w="44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127,254,611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124,457,360</w:t>
            </w:r>
          </w:p>
        </w:tc>
        <w:tc>
          <w:tcPr>
            <w:tcW w:w="774" w:type="dxa"/>
            <w:tcBorders/>
            <w:shd w:fill="FFFFFF" w:val="cle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Comprehensive income</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ind w:left="0" w:right="0" w:firstLine="560"/>
              <w:jc w:val="left"/>
              <w:rPr/>
            </w:pPr>
            <w:r>
              <w:rPr/>
              <w:t> </w:t>
            </w:r>
          </w:p>
        </w:tc>
      </w:tr>
      <w:tr>
        <w:trPr/>
        <w:tc>
          <w:tcPr>
            <w:tcW w:w="198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14,430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6,377</w:t>
            </w:r>
          </w:p>
        </w:tc>
        <w:tc>
          <w:tcPr>
            <w:tcW w:w="44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31,020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12,920</w:t>
            </w:r>
          </w:p>
        </w:tc>
        <w:tc>
          <w:tcPr>
            <w:tcW w:w="774" w:type="dxa"/>
            <w:tcBorders/>
            <w:shd w:fill="FFFFFF" w:val="clear"/>
            <w:vAlign w:val="center"/>
          </w:tcPr>
          <w:p>
            <w:pPr>
              <w:pStyle w:val="TableContents"/>
              <w:bidi w:val="0"/>
              <w:spacing w:before="0" w:after="283"/>
              <w:ind w:left="0" w:right="0" w:firstLine="560"/>
              <w:jc w:val="left"/>
              <w:rPr/>
            </w:pPr>
            <w:r>
              <w:rPr/>
              <w:t> </w:t>
            </w:r>
          </w:p>
        </w:tc>
      </w:tr>
      <w:tr>
        <w:trPr/>
        <w:tc>
          <w:tcPr>
            <w:tcW w:w="198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adjustments, net of tax</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198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Comprehensive income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6,313</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12,942</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9" w:name="stockhlders_equity_qtd"/>
      <w:bookmarkEnd w:id="9"/>
      <w:r>
        <w:rPr>
          <w:rFonts w:ascii="Arial" w:hAnsi="Arial"/>
          <w:b/>
          <w:color w:val="000000"/>
          <w:sz w:val="20"/>
        </w:rPr>
        <w:t>PAYMENTUS HOLDINGS, INC.</w:t>
      </w:r>
    </w:p>
    <w:p>
      <w:pPr>
        <w:pStyle w:val="TextBody"/>
        <w:bidi w:val="0"/>
        <w:jc w:val="center"/>
        <w:rPr>
          <w:rFonts w:ascii="Arial" w:hAnsi="Arial"/>
          <w:b/>
          <w:color w:val="000000"/>
          <w:sz w:val="20"/>
        </w:rPr>
      </w:pPr>
      <w:bookmarkStart w:id="10" w:name="condensed_consolidated_statements_stockh"/>
      <w:bookmarkEnd w:id="10"/>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165"/>
        <w:gridCol w:w="146"/>
        <w:gridCol w:w="1171"/>
        <w:gridCol w:w="146"/>
        <w:gridCol w:w="318"/>
        <w:gridCol w:w="523"/>
        <w:gridCol w:w="146"/>
        <w:gridCol w:w="223"/>
        <w:gridCol w:w="843"/>
        <w:gridCol w:w="146"/>
        <w:gridCol w:w="221"/>
        <w:gridCol w:w="725"/>
        <w:gridCol w:w="146"/>
        <w:gridCol w:w="560"/>
        <w:gridCol w:w="1001"/>
        <w:gridCol w:w="166"/>
        <w:gridCol w:w="281"/>
        <w:gridCol w:w="1065"/>
        <w:gridCol w:w="213"/>
      </w:tblGrid>
      <w:tr>
        <w:trPr/>
        <w:tc>
          <w:tcPr>
            <w:tcW w:w="2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65" w:type="dxa"/>
            <w:tcBorders/>
            <w:shd w:fill="FFFFFF" w:val="clear"/>
            <w:vAlign w:val="center"/>
          </w:tcPr>
          <w:p>
            <w:pPr>
              <w:pStyle w:val="TableContents"/>
              <w:bidi w:val="0"/>
              <w:spacing w:before="0" w:after="283"/>
              <w:jc w:val="left"/>
              <w:rPr/>
            </w:pPr>
            <w:r>
              <w:rPr/>
              <w:t> </w:t>
            </w:r>
          </w:p>
        </w:tc>
        <w:tc>
          <w:tcPr>
            <w:tcW w:w="2304" w:type="dxa"/>
            <w:gridSpan w:val="5"/>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Additional</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Other</w:t>
            </w:r>
          </w:p>
        </w:tc>
        <w:tc>
          <w:tcPr>
            <w:tcW w:w="166" w:type="dxa"/>
            <w:tcBorders/>
            <w:shd w:fill="FFFFFF" w:val="clear"/>
            <w:vAlign w:val="center"/>
          </w:tcPr>
          <w:p>
            <w:pPr>
              <w:pStyle w:val="TableContents"/>
              <w:bidi w:val="0"/>
              <w:spacing w:before="0" w:after="283"/>
              <w:jc w:val="center"/>
              <w:rPr/>
            </w:pPr>
            <w:r>
              <w:rPr/>
              <w:t> </w:t>
            </w:r>
          </w:p>
        </w:tc>
        <w:tc>
          <w:tcPr>
            <w:tcW w:w="13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213" w:type="dxa"/>
            <w:tcBorders/>
            <w:shd w:fill="FFFFFF" w:val="clear"/>
            <w:vAlign w:val="center"/>
          </w:tcPr>
          <w:p>
            <w:pPr>
              <w:pStyle w:val="TableContents"/>
              <w:bidi w:val="0"/>
              <w:spacing w:before="0" w:after="283"/>
              <w:jc w:val="center"/>
              <w:rPr/>
            </w:pPr>
            <w:r>
              <w:rPr/>
              <w:t> </w:t>
            </w:r>
          </w:p>
        </w:tc>
      </w:tr>
      <w:tr>
        <w:trPr/>
        <w:tc>
          <w:tcPr>
            <w:tcW w:w="2165" w:type="dxa"/>
            <w:tcBorders/>
            <w:shd w:fill="FFFFFF" w:val="clear"/>
            <w:vAlign w:val="center"/>
          </w:tcPr>
          <w:p>
            <w:pPr>
              <w:pStyle w:val="TableContents"/>
              <w:bidi w:val="0"/>
              <w:spacing w:before="0" w:after="283"/>
              <w:jc w:val="left"/>
              <w:rPr/>
            </w:pPr>
            <w:r>
              <w:rPr/>
              <w:t> </w:t>
            </w:r>
          </w:p>
        </w:tc>
        <w:tc>
          <w:tcPr>
            <w:tcW w:w="23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Paid-In</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Retained</w:t>
            </w:r>
          </w:p>
        </w:tc>
        <w:tc>
          <w:tcPr>
            <w:tcW w:w="146" w:type="dxa"/>
            <w:tcBorders/>
            <w:shd w:fill="FFFFFF" w:val="clear"/>
            <w:vAlign w:val="center"/>
          </w:tcPr>
          <w:p>
            <w:pPr>
              <w:pStyle w:val="TableContents"/>
              <w:bidi w:val="0"/>
              <w:spacing w:before="0" w:after="283"/>
              <w:jc w:val="center"/>
              <w:rPr/>
            </w:pPr>
            <w:r>
              <w:rPr/>
              <w:t> </w:t>
            </w:r>
          </w:p>
        </w:tc>
        <w:tc>
          <w:tcPr>
            <w:tcW w:w="156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Comprehensive</w:t>
            </w:r>
          </w:p>
        </w:tc>
        <w:tc>
          <w:tcPr>
            <w:tcW w:w="166" w:type="dxa"/>
            <w:tcBorders/>
            <w:shd w:fill="FFFFFF" w:val="clear"/>
            <w:vAlign w:val="center"/>
          </w:tcPr>
          <w:p>
            <w:pPr>
              <w:pStyle w:val="TableContents"/>
              <w:bidi w:val="0"/>
              <w:spacing w:before="0" w:after="283"/>
              <w:jc w:val="center"/>
              <w:rPr/>
            </w:pPr>
            <w:r>
              <w:rPr/>
              <w:t> </w:t>
            </w:r>
          </w:p>
        </w:tc>
        <w:tc>
          <w:tcPr>
            <w:tcW w:w="13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2165" w:type="dxa"/>
            <w:tcBorders/>
            <w:shd w:fill="FFFFFF" w:val="cle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123,821,111</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377,773</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51,744</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6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429,616</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2,484</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2,484</w:t>
            </w:r>
          </w:p>
        </w:tc>
        <w:tc>
          <w:tcPr>
            <w:tcW w:w="213" w:type="dxa"/>
            <w:tcBorders/>
            <w:shd w:fill="FFFFFF" w:val="cle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for stock-based awards</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304,865</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21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March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124,125,976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380,357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439,384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2,882</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2,882</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for stock-based awards</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348,503</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213" w:type="dxa"/>
            <w:tcBorders/>
            <w:shd w:fill="FFFFFF" w:val="cle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21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124,474,479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383,276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451,627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2,725</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2,725</w:t>
            </w:r>
          </w:p>
        </w:tc>
        <w:tc>
          <w:tcPr>
            <w:tcW w:w="213" w:type="dxa"/>
            <w:tcBorders/>
            <w:shd w:fill="FFFFFF" w:val="cle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for stock-based awards</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130,707</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21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14,430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September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124,605,186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468,793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65"/>
        <w:gridCol w:w="146"/>
        <w:gridCol w:w="1171"/>
        <w:gridCol w:w="146"/>
        <w:gridCol w:w="318"/>
        <w:gridCol w:w="523"/>
        <w:gridCol w:w="146"/>
        <w:gridCol w:w="223"/>
        <w:gridCol w:w="843"/>
        <w:gridCol w:w="146"/>
        <w:gridCol w:w="221"/>
        <w:gridCol w:w="725"/>
        <w:gridCol w:w="146"/>
        <w:gridCol w:w="560"/>
        <w:gridCol w:w="1001"/>
        <w:gridCol w:w="166"/>
        <w:gridCol w:w="281"/>
        <w:gridCol w:w="1065"/>
        <w:gridCol w:w="213"/>
      </w:tblGrid>
      <w:tr>
        <w:trPr/>
        <w:tc>
          <w:tcPr>
            <w:tcW w:w="2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65" w:type="dxa"/>
            <w:tcBorders/>
            <w:shd w:fill="FFFFFF" w:val="clear"/>
            <w:vAlign w:val="center"/>
          </w:tcPr>
          <w:p>
            <w:pPr>
              <w:pStyle w:val="TableContents"/>
              <w:bidi w:val="0"/>
              <w:spacing w:before="0" w:after="283"/>
              <w:jc w:val="left"/>
              <w:rPr/>
            </w:pPr>
            <w:r>
              <w:rPr/>
              <w:t> </w:t>
            </w:r>
          </w:p>
        </w:tc>
        <w:tc>
          <w:tcPr>
            <w:tcW w:w="2304" w:type="dxa"/>
            <w:gridSpan w:val="5"/>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Additional</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Other</w:t>
            </w:r>
          </w:p>
        </w:tc>
        <w:tc>
          <w:tcPr>
            <w:tcW w:w="166" w:type="dxa"/>
            <w:tcBorders/>
            <w:shd w:fill="FFFFFF" w:val="clear"/>
            <w:vAlign w:val="center"/>
          </w:tcPr>
          <w:p>
            <w:pPr>
              <w:pStyle w:val="TableContents"/>
              <w:bidi w:val="0"/>
              <w:spacing w:before="0" w:after="283"/>
              <w:jc w:val="center"/>
              <w:rPr/>
            </w:pPr>
            <w:r>
              <w:rPr/>
              <w:t> </w:t>
            </w:r>
          </w:p>
        </w:tc>
        <w:tc>
          <w:tcPr>
            <w:tcW w:w="13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213" w:type="dxa"/>
            <w:tcBorders/>
            <w:shd w:fill="FFFFFF" w:val="clear"/>
            <w:vAlign w:val="center"/>
          </w:tcPr>
          <w:p>
            <w:pPr>
              <w:pStyle w:val="TableContents"/>
              <w:bidi w:val="0"/>
              <w:spacing w:before="0" w:after="283"/>
              <w:jc w:val="center"/>
              <w:rPr/>
            </w:pPr>
            <w:r>
              <w:rPr/>
              <w:t> </w:t>
            </w:r>
          </w:p>
        </w:tc>
      </w:tr>
      <w:tr>
        <w:trPr/>
        <w:tc>
          <w:tcPr>
            <w:tcW w:w="2165" w:type="dxa"/>
            <w:tcBorders/>
            <w:shd w:fill="FFFFFF" w:val="clear"/>
            <w:vAlign w:val="center"/>
          </w:tcPr>
          <w:p>
            <w:pPr>
              <w:pStyle w:val="TableContents"/>
              <w:bidi w:val="0"/>
              <w:spacing w:before="0" w:after="283"/>
              <w:jc w:val="left"/>
              <w:rPr/>
            </w:pPr>
            <w:r>
              <w:rPr/>
              <w:t> </w:t>
            </w:r>
          </w:p>
        </w:tc>
        <w:tc>
          <w:tcPr>
            <w:tcW w:w="23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Paid-In</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Retained</w:t>
            </w:r>
          </w:p>
        </w:tc>
        <w:tc>
          <w:tcPr>
            <w:tcW w:w="146" w:type="dxa"/>
            <w:tcBorders/>
            <w:shd w:fill="FFFFFF" w:val="clear"/>
            <w:vAlign w:val="center"/>
          </w:tcPr>
          <w:p>
            <w:pPr>
              <w:pStyle w:val="TableContents"/>
              <w:bidi w:val="0"/>
              <w:spacing w:before="0" w:after="283"/>
              <w:jc w:val="center"/>
              <w:rPr/>
            </w:pPr>
            <w:r>
              <w:rPr/>
              <w:t> </w:t>
            </w:r>
          </w:p>
        </w:tc>
        <w:tc>
          <w:tcPr>
            <w:tcW w:w="156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Comprehensive</w:t>
            </w:r>
          </w:p>
        </w:tc>
        <w:tc>
          <w:tcPr>
            <w:tcW w:w="166" w:type="dxa"/>
            <w:tcBorders/>
            <w:shd w:fill="FFFFFF" w:val="clear"/>
            <w:vAlign w:val="center"/>
          </w:tcPr>
          <w:p>
            <w:pPr>
              <w:pStyle w:val="TableContents"/>
              <w:bidi w:val="0"/>
              <w:spacing w:before="0" w:after="283"/>
              <w:jc w:val="center"/>
              <w:rPr/>
            </w:pPr>
            <w:r>
              <w:rPr/>
              <w:t> </w:t>
            </w:r>
          </w:p>
        </w:tc>
        <w:tc>
          <w:tcPr>
            <w:tcW w:w="13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2165" w:type="dxa"/>
            <w:tcBorders/>
            <w:shd w:fill="FFFFFF" w:val="cle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December 31, 2022</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123,241,173</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367,767</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29,422</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397,179</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2,159</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2,159</w:t>
            </w:r>
          </w:p>
        </w:tc>
        <w:tc>
          <w:tcPr>
            <w:tcW w:w="213" w:type="dxa"/>
            <w:tcBorders/>
            <w:shd w:fill="FFFFFF" w:val="cle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for stock-based awards</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104,991</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21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March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123,346,164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400,040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2,276</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2,276</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for stock-based awards</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160,625</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196</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196</w:t>
            </w:r>
          </w:p>
        </w:tc>
        <w:tc>
          <w:tcPr>
            <w:tcW w:w="213" w:type="dxa"/>
            <w:tcBorders/>
            <w:shd w:fill="FFFFFF" w:val="cle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16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June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123,506,789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372,403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408,444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2,456</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2,456</w:t>
            </w:r>
          </w:p>
        </w:tc>
        <w:tc>
          <w:tcPr>
            <w:tcW w:w="213" w:type="dxa"/>
            <w:tcBorders/>
            <w:shd w:fill="FFFFFF" w:val="cle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for stock-based awards</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185,159</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235</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235</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21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September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123,691,948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417,448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Arial" w:hAnsi="Arial"/>
          <w:color w:val="000000"/>
          <w:sz w:val="20"/>
        </w:rPr>
      </w:pPr>
      <w:r>
        <w:rPr>
          <w:rFonts w:ascii="Arial" w:hAnsi="Arial"/>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PAYMENTUS HOLDINGS, INC.</w:t>
      </w:r>
    </w:p>
    <w:p>
      <w:pPr>
        <w:pStyle w:val="TextBody"/>
        <w:bidi w:val="0"/>
        <w:jc w:val="center"/>
        <w:rPr>
          <w:rFonts w:ascii="Arial" w:hAnsi="Arial"/>
          <w:b/>
          <w:color w:val="000000"/>
          <w:sz w:val="20"/>
        </w:rPr>
      </w:pPr>
      <w:bookmarkStart w:id="11" w:name="condensed_consolidated_statements_cash_f"/>
      <w:bookmarkEnd w:id="11"/>
      <w:r>
        <w:rPr>
          <w:rFonts w:ascii="Arial" w:hAnsi="Arial"/>
          <w:b/>
          <w:color w:val="000000"/>
          <w:sz w:val="20"/>
        </w:rPr>
        <w:t>CONDENSED CONSOLIDATED STATEMENTS OF CASH FLOWS</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center"/>
        <w:rPr>
          <w:rFonts w:ascii="Arial" w:hAnsi="Arial"/>
          <w:b/>
          <w:color w:val="000000"/>
          <w:sz w:val="20"/>
        </w:rPr>
      </w:pPr>
      <w:r>
        <w:rPr>
          <w:rFonts w:ascii="Arial" w:hAnsi="Arial"/>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062"/>
        <w:gridCol w:w="146"/>
        <w:gridCol w:w="280"/>
        <w:gridCol w:w="1056"/>
        <w:gridCol w:w="219"/>
        <w:gridCol w:w="193"/>
        <w:gridCol w:w="280"/>
        <w:gridCol w:w="1056"/>
        <w:gridCol w:w="913"/>
      </w:tblGrid>
      <w:tr>
        <w:trPr/>
        <w:tc>
          <w:tcPr>
            <w:tcW w:w="6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60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2"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336" w:type="dxa"/>
            <w:gridSpan w:val="2"/>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336" w:type="dxa"/>
            <w:gridSpan w:val="2"/>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left"/>
              <w:rPr/>
            </w:pPr>
            <w:r>
              <w:rPr/>
              <w:t> </w:t>
            </w:r>
          </w:p>
        </w:tc>
      </w:tr>
      <w:tr>
        <w:trPr/>
        <w:tc>
          <w:tcPr>
            <w:tcW w:w="606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31,020</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12,920</w:t>
            </w:r>
          </w:p>
        </w:tc>
        <w:tc>
          <w:tcPr>
            <w:tcW w:w="913" w:type="dxa"/>
            <w:tcBorders/>
            <w:shd w:fill="FFFFFF" w:val="clear"/>
            <w:vAlign w:val="center"/>
          </w:tcPr>
          <w:p>
            <w:pPr>
              <w:pStyle w:val="TableContents"/>
              <w:bidi w:val="0"/>
              <w:spacing w:before="0" w:after="283"/>
              <w:jc w:val="left"/>
              <w:rPr/>
            </w:pPr>
            <w:r>
              <w:rPr/>
              <w:t> </w:t>
            </w:r>
          </w:p>
        </w:tc>
      </w:tr>
      <w:tr>
        <w:trPr/>
        <w:tc>
          <w:tcPr>
            <w:tcW w:w="606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913" w:type="dxa"/>
            <w:tcBorders/>
            <w:shd w:fill="CFF0FC" w:val="clear"/>
            <w:vAlign w:val="center"/>
          </w:tcPr>
          <w:p>
            <w:pPr>
              <w:pStyle w:val="TableContents"/>
              <w:bidi w:val="0"/>
              <w:spacing w:before="0" w:after="283"/>
              <w:ind w:left="0" w:right="0" w:firstLine="280"/>
              <w:jc w:val="right"/>
              <w:rPr/>
            </w:pPr>
            <w:r>
              <w:rPr/>
              <w:t> </w:t>
            </w:r>
          </w:p>
        </w:tc>
      </w:tr>
      <w:tr>
        <w:trPr/>
        <w:tc>
          <w:tcPr>
            <w:tcW w:w="606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26,827</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22,314</w:t>
            </w:r>
          </w:p>
        </w:tc>
        <w:tc>
          <w:tcPr>
            <w:tcW w:w="913" w:type="dxa"/>
            <w:tcBorders/>
            <w:shd w:fill="FFFFFF" w:val="clear"/>
            <w:vAlign w:val="center"/>
          </w:tcPr>
          <w:p>
            <w:pPr>
              <w:pStyle w:val="TableContents"/>
              <w:bidi w:val="0"/>
              <w:spacing w:before="0" w:after="283"/>
              <w:ind w:left="0" w:right="0" w:firstLine="280"/>
              <w:jc w:val="left"/>
              <w:rPr/>
            </w:pPr>
            <w:r>
              <w:rPr/>
              <w:t> </w:t>
            </w:r>
          </w:p>
        </w:tc>
      </w:tr>
      <w:tr>
        <w:trPr/>
        <w:tc>
          <w:tcPr>
            <w:tcW w:w="606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Deferred income taxes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(1,333</w:t>
            </w:r>
          </w:p>
        </w:tc>
        <w:tc>
          <w:tcPr>
            <w:tcW w:w="2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278</w:t>
            </w:r>
          </w:p>
        </w:tc>
        <w:tc>
          <w:tcPr>
            <w:tcW w:w="913" w:type="dxa"/>
            <w:tcBorders/>
            <w:shd w:fill="CFF0FC" w:val="clear"/>
            <w:vAlign w:val="center"/>
          </w:tcPr>
          <w:p>
            <w:pPr>
              <w:pStyle w:val="TableContents"/>
              <w:bidi w:val="0"/>
              <w:spacing w:before="0" w:after="283"/>
              <w:ind w:left="0" w:right="0" w:firstLine="280"/>
              <w:jc w:val="left"/>
              <w:rPr/>
            </w:pPr>
            <w:r>
              <w:rPr/>
              <w:t> </w:t>
            </w:r>
          </w:p>
        </w:tc>
      </w:tr>
      <w:tr>
        <w:trPr/>
        <w:tc>
          <w:tcPr>
            <w:tcW w:w="606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9,424</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6,891</w:t>
            </w:r>
          </w:p>
        </w:tc>
        <w:tc>
          <w:tcPr>
            <w:tcW w:w="913" w:type="dxa"/>
            <w:tcBorders/>
            <w:shd w:fill="FFFFFF" w:val="clear"/>
            <w:vAlign w:val="center"/>
          </w:tcPr>
          <w:p>
            <w:pPr>
              <w:pStyle w:val="TableContents"/>
              <w:bidi w:val="0"/>
              <w:spacing w:before="0" w:after="283"/>
              <w:ind w:left="0" w:right="0" w:firstLine="280"/>
              <w:jc w:val="left"/>
              <w:rPr/>
            </w:pPr>
            <w:r>
              <w:rPr/>
              <w:t> </w:t>
            </w:r>
          </w:p>
        </w:tc>
      </w:tr>
      <w:tr>
        <w:trPr/>
        <w:tc>
          <w:tcPr>
            <w:tcW w:w="606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1,806</w:t>
            </w:r>
          </w:p>
        </w:tc>
        <w:tc>
          <w:tcPr>
            <w:tcW w:w="21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1,346</w:t>
            </w:r>
          </w:p>
        </w:tc>
        <w:tc>
          <w:tcPr>
            <w:tcW w:w="913" w:type="dxa"/>
            <w:tcBorders/>
            <w:shd w:fill="CFF0FC" w:val="clear"/>
            <w:vAlign w:val="center"/>
          </w:tcPr>
          <w:p>
            <w:pPr>
              <w:pStyle w:val="TableContents"/>
              <w:bidi w:val="0"/>
              <w:spacing w:before="0" w:after="283"/>
              <w:ind w:left="0" w:right="0" w:firstLine="280"/>
              <w:jc w:val="left"/>
              <w:rPr/>
            </w:pPr>
            <w:r>
              <w:rPr/>
              <w:t> </w:t>
            </w:r>
          </w:p>
        </w:tc>
      </w:tr>
      <w:tr>
        <w:trPr/>
        <w:tc>
          <w:tcPr>
            <w:tcW w:w="606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Amortization of contract asset</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1,395</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2,197</w:t>
            </w:r>
          </w:p>
        </w:tc>
        <w:tc>
          <w:tcPr>
            <w:tcW w:w="913" w:type="dxa"/>
            <w:tcBorders/>
            <w:shd w:fill="FFFFFF" w:val="clear"/>
            <w:vAlign w:val="center"/>
          </w:tcPr>
          <w:p>
            <w:pPr>
              <w:pStyle w:val="TableContents"/>
              <w:bidi w:val="0"/>
              <w:spacing w:before="0" w:after="283"/>
              <w:ind w:left="0" w:right="0" w:firstLine="280"/>
              <w:jc w:val="left"/>
              <w:rPr/>
            </w:pPr>
            <w:r>
              <w:rPr/>
              <w:t> </w:t>
            </w:r>
          </w:p>
        </w:tc>
      </w:tr>
      <w:tr>
        <w:trPr/>
        <w:tc>
          <w:tcPr>
            <w:tcW w:w="606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Provision for (benefit from) expected credit losses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21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(122</w:t>
            </w:r>
          </w:p>
        </w:tc>
        <w:tc>
          <w:tcPr>
            <w:tcW w:w="913"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6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non-cash adjustments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2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color w:val="000000"/>
              </w:rPr>
            </w:pPr>
            <w:r>
              <w:rPr>
                <w:color w:val="000000"/>
              </w:rPr>
              <w:t>—</w:t>
            </w:r>
          </w:p>
        </w:tc>
        <w:tc>
          <w:tcPr>
            <w:tcW w:w="913" w:type="dxa"/>
            <w:tcBorders/>
            <w:shd w:fill="FFFFFF" w:val="clear"/>
            <w:vAlign w:val="center"/>
          </w:tcPr>
          <w:p>
            <w:pPr>
              <w:pStyle w:val="TableContents"/>
              <w:bidi w:val="0"/>
              <w:spacing w:before="0" w:after="283"/>
              <w:ind w:left="0" w:right="0" w:firstLine="280"/>
              <w:jc w:val="left"/>
              <w:rPr/>
            </w:pPr>
            <w:r>
              <w:rPr/>
              <w:t> </w:t>
            </w:r>
          </w:p>
        </w:tc>
      </w:tr>
      <w:tr>
        <w:trPr/>
        <w:tc>
          <w:tcPr>
            <w:tcW w:w="606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Change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913" w:type="dxa"/>
            <w:tcBorders/>
            <w:shd w:fill="CFF0FC" w:val="clear"/>
            <w:vAlign w:val="center"/>
          </w:tcPr>
          <w:p>
            <w:pPr>
              <w:pStyle w:val="TableContents"/>
              <w:bidi w:val="0"/>
              <w:spacing w:before="0" w:after="283"/>
              <w:ind w:left="0" w:right="0" w:firstLine="560"/>
              <w:jc w:val="right"/>
              <w:rPr/>
            </w:pPr>
            <w:r>
              <w:rPr/>
              <w:t> </w:t>
            </w:r>
          </w:p>
        </w:tc>
      </w:tr>
      <w:tr>
        <w:trPr/>
        <w:tc>
          <w:tcPr>
            <w:tcW w:w="6062"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Accounts and other receivables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(34,917</w:t>
            </w:r>
          </w:p>
        </w:tc>
        <w:tc>
          <w:tcPr>
            <w:tcW w:w="2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(6,941</w:t>
            </w:r>
          </w:p>
        </w:tc>
        <w:tc>
          <w:tcPr>
            <w:tcW w:w="913"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62"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Prepaid expenses and other current and long-term assets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(4,579</w:t>
            </w:r>
          </w:p>
        </w:tc>
        <w:tc>
          <w:tcPr>
            <w:tcW w:w="2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(1,797</w:t>
            </w:r>
          </w:p>
        </w:tc>
        <w:tc>
          <w:tcPr>
            <w:tcW w:w="913" w:type="dxa"/>
            <w:tcBorders/>
            <w:shd w:fill="CFF0FC"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62"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14,349</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4,279</w:t>
            </w:r>
          </w:p>
        </w:tc>
        <w:tc>
          <w:tcPr>
            <w:tcW w:w="913" w:type="dxa"/>
            <w:tcBorders/>
            <w:shd w:fill="FFFFFF" w:val="clear"/>
            <w:vAlign w:val="center"/>
          </w:tcPr>
          <w:p>
            <w:pPr>
              <w:pStyle w:val="TableContents"/>
              <w:bidi w:val="0"/>
              <w:spacing w:before="0" w:after="283"/>
              <w:ind w:left="0" w:right="0" w:firstLine="560"/>
              <w:jc w:val="left"/>
              <w:rPr/>
            </w:pPr>
            <w:r>
              <w:rPr/>
              <w:t> </w:t>
            </w:r>
          </w:p>
        </w:tc>
      </w:tr>
      <w:tr>
        <w:trPr/>
        <w:tc>
          <w:tcPr>
            <w:tcW w:w="6062"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(197</w:t>
            </w:r>
          </w:p>
        </w:tc>
        <w:tc>
          <w:tcPr>
            <w:tcW w:w="2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4,188</w:t>
            </w:r>
          </w:p>
        </w:tc>
        <w:tc>
          <w:tcPr>
            <w:tcW w:w="913" w:type="dxa"/>
            <w:tcBorders/>
            <w:shd w:fill="CFF0FC" w:val="clear"/>
            <w:vAlign w:val="center"/>
          </w:tcPr>
          <w:p>
            <w:pPr>
              <w:pStyle w:val="TableContents"/>
              <w:bidi w:val="0"/>
              <w:spacing w:before="0" w:after="283"/>
              <w:ind w:left="0" w:right="0" w:firstLine="560"/>
              <w:jc w:val="left"/>
              <w:rPr/>
            </w:pPr>
            <w:r>
              <w:rPr/>
              <w:t> </w:t>
            </w:r>
          </w:p>
        </w:tc>
      </w:tr>
      <w:tr>
        <w:trPr/>
        <w:tc>
          <w:tcPr>
            <w:tcW w:w="6062"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(1,656</w:t>
            </w:r>
          </w:p>
        </w:tc>
        <w:tc>
          <w:tcPr>
            <w:tcW w:w="2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(1,364</w:t>
            </w:r>
          </w:p>
        </w:tc>
        <w:tc>
          <w:tcPr>
            <w:tcW w:w="913"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62"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(1,883</w:t>
            </w:r>
          </w:p>
        </w:tc>
        <w:tc>
          <w:tcPr>
            <w:tcW w:w="2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1,232</w:t>
            </w:r>
          </w:p>
        </w:tc>
        <w:tc>
          <w:tcPr>
            <w:tcW w:w="913" w:type="dxa"/>
            <w:tcBorders/>
            <w:shd w:fill="CFF0FC" w:val="clear"/>
            <w:vAlign w:val="center"/>
          </w:tcPr>
          <w:p>
            <w:pPr>
              <w:pStyle w:val="TableContents"/>
              <w:bidi w:val="0"/>
              <w:spacing w:before="0" w:after="283"/>
              <w:ind w:left="0" w:right="0" w:firstLine="560"/>
              <w:jc w:val="left"/>
              <w:rPr/>
            </w:pPr>
            <w:r>
              <w:rPr/>
              <w:t> </w:t>
            </w:r>
          </w:p>
        </w:tc>
      </w:tr>
      <w:tr>
        <w:trPr/>
        <w:tc>
          <w:tcPr>
            <w:tcW w:w="6062"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Income taxes receivable, net of payable</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(1,034</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w:t>
            </w:r>
          </w:p>
        </w:tc>
      </w:tr>
      <w:tr>
        <w:trPr/>
        <w:tc>
          <w:tcPr>
            <w:tcW w:w="6062" w:type="dxa"/>
            <w:tcBorders/>
            <w:shd w:fill="CFF0FC" w:val="clear"/>
            <w:vAlign w:val="center"/>
          </w:tcPr>
          <w:p>
            <w:pPr>
              <w:pStyle w:val="TableContents"/>
              <w:bidi w:val="0"/>
              <w:spacing w:before="0" w:after="283"/>
              <w:ind w:left="700" w:right="0" w:firstLine="700"/>
              <w:jc w:val="left"/>
              <w:rPr>
                <w:rFonts w:ascii="Arial" w:hAnsi="Arial"/>
                <w:color w:val="000000"/>
                <w:sz w:val="20"/>
              </w:rPr>
            </w:pPr>
            <w:r>
              <w:rPr>
                <w:rFonts w:ascii="Arial" w:hAnsi="Arial"/>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35,721</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44,387</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2"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913" w:type="dxa"/>
            <w:tcBorders/>
            <w:shd w:fill="FFFFFF" w:val="clear"/>
            <w:vAlign w:val="center"/>
          </w:tcPr>
          <w:p>
            <w:pPr>
              <w:pStyle w:val="TableContents"/>
              <w:bidi w:val="0"/>
              <w:spacing w:before="0" w:after="283"/>
              <w:ind w:left="0" w:right="0" w:firstLine="280"/>
              <w:jc w:val="right"/>
              <w:rPr/>
            </w:pPr>
            <w:r>
              <w:rPr/>
              <w:t> </w:t>
            </w:r>
          </w:p>
        </w:tc>
      </w:tr>
      <w:tr>
        <w:trPr/>
        <w:tc>
          <w:tcPr>
            <w:tcW w:w="606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2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(511</w:t>
            </w:r>
          </w:p>
        </w:tc>
        <w:tc>
          <w:tcPr>
            <w:tcW w:w="913"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6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 of interest-bearing deposits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(2,569</w:t>
            </w:r>
          </w:p>
        </w:tc>
        <w:tc>
          <w:tcPr>
            <w:tcW w:w="2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color w:val="000000"/>
              </w:rPr>
            </w:pPr>
            <w:r>
              <w:rPr>
                <w:color w:val="000000"/>
              </w:rPr>
              <w:t>—</w:t>
            </w:r>
          </w:p>
        </w:tc>
        <w:tc>
          <w:tcPr>
            <w:tcW w:w="913" w:type="dxa"/>
            <w:tcBorders/>
            <w:shd w:fill="FFFFFF" w:val="clear"/>
            <w:vAlign w:val="center"/>
          </w:tcPr>
          <w:p>
            <w:pPr>
              <w:pStyle w:val="TableContents"/>
              <w:bidi w:val="0"/>
              <w:spacing w:before="0" w:after="283"/>
              <w:ind w:left="0" w:right="0" w:firstLine="280"/>
              <w:jc w:val="left"/>
              <w:rPr/>
            </w:pPr>
            <w:r>
              <w:rPr/>
              <w:t> </w:t>
            </w:r>
          </w:p>
        </w:tc>
      </w:tr>
      <w:tr>
        <w:trPr/>
        <w:tc>
          <w:tcPr>
            <w:tcW w:w="606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Proceeds from matured interest-bearing deposits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2,566</w:t>
            </w:r>
          </w:p>
        </w:tc>
        <w:tc>
          <w:tcPr>
            <w:tcW w:w="21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color w:val="000000"/>
              </w:rPr>
            </w:pPr>
            <w:r>
              <w:rPr>
                <w:color w:val="000000"/>
              </w:rPr>
              <w:t>—</w:t>
            </w:r>
          </w:p>
        </w:tc>
        <w:tc>
          <w:tcPr>
            <w:tcW w:w="913" w:type="dxa"/>
            <w:tcBorders/>
            <w:shd w:fill="CFF0FC" w:val="clear"/>
            <w:vAlign w:val="center"/>
          </w:tcPr>
          <w:p>
            <w:pPr>
              <w:pStyle w:val="TableContents"/>
              <w:bidi w:val="0"/>
              <w:spacing w:before="0" w:after="283"/>
              <w:ind w:left="0" w:right="0" w:firstLine="280"/>
              <w:jc w:val="left"/>
              <w:rPr/>
            </w:pPr>
            <w:r>
              <w:rPr/>
              <w:t> </w:t>
            </w:r>
          </w:p>
        </w:tc>
      </w:tr>
      <w:tr>
        <w:trPr/>
        <w:tc>
          <w:tcPr>
            <w:tcW w:w="606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Capitalized internal-use software development costs</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(27,238</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(25,339</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62"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(27,617</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(25,850</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62"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913" w:type="dxa"/>
            <w:tcBorders/>
            <w:shd w:fill="FFFFFF" w:val="clear"/>
            <w:vAlign w:val="center"/>
          </w:tcPr>
          <w:p>
            <w:pPr>
              <w:pStyle w:val="TableContents"/>
              <w:bidi w:val="0"/>
              <w:spacing w:before="0" w:after="283"/>
              <w:ind w:left="0" w:right="0" w:firstLine="280"/>
              <w:jc w:val="right"/>
              <w:rPr/>
            </w:pPr>
            <w:r>
              <w:rPr/>
              <w:t> </w:t>
            </w:r>
          </w:p>
        </w:tc>
      </w:tr>
      <w:tr>
        <w:trPr/>
        <w:tc>
          <w:tcPr>
            <w:tcW w:w="606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Proceeds from exercise of stock-based awards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21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435</w:t>
            </w:r>
          </w:p>
        </w:tc>
        <w:tc>
          <w:tcPr>
            <w:tcW w:w="913" w:type="dxa"/>
            <w:tcBorders/>
            <w:shd w:fill="CFF0FC" w:val="clear"/>
            <w:vAlign w:val="center"/>
          </w:tcPr>
          <w:p>
            <w:pPr>
              <w:pStyle w:val="TableContents"/>
              <w:bidi w:val="0"/>
              <w:spacing w:before="0" w:after="283"/>
              <w:ind w:left="0" w:right="0" w:firstLine="280"/>
              <w:jc w:val="left"/>
              <w:rPr/>
            </w:pPr>
            <w:r>
              <w:rPr/>
              <w:t> </w:t>
            </w:r>
          </w:p>
        </w:tc>
      </w:tr>
      <w:tr>
        <w:trPr/>
        <w:tc>
          <w:tcPr>
            <w:tcW w:w="606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Settlement of holdback liability related to prior acquisitions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(545</w:t>
            </w:r>
          </w:p>
        </w:tc>
        <w:tc>
          <w:tcPr>
            <w:tcW w:w="2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color w:val="000000"/>
              </w:rPr>
            </w:pPr>
            <w:r>
              <w:rPr>
                <w:color w:val="000000"/>
              </w:rPr>
              <w:t>—</w:t>
            </w:r>
          </w:p>
        </w:tc>
        <w:tc>
          <w:tcPr>
            <w:tcW w:w="913" w:type="dxa"/>
            <w:tcBorders/>
            <w:shd w:fill="FFFFFF" w:val="clear"/>
            <w:vAlign w:val="center"/>
          </w:tcPr>
          <w:p>
            <w:pPr>
              <w:pStyle w:val="TableContents"/>
              <w:bidi w:val="0"/>
              <w:spacing w:before="0" w:after="283"/>
              <w:ind w:left="0" w:right="0" w:firstLine="280"/>
              <w:jc w:val="left"/>
              <w:rPr/>
            </w:pPr>
            <w:r>
              <w:rPr/>
              <w:t> </w:t>
            </w:r>
          </w:p>
        </w:tc>
      </w:tr>
      <w:tr>
        <w:trPr/>
        <w:tc>
          <w:tcPr>
            <w:tcW w:w="606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Payments on other financing obligations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color w:val="000000"/>
              </w:rPr>
            </w:pPr>
            <w:r>
              <w:rPr>
                <w:color w:val="000000"/>
              </w:rPr>
              <w:t>—</w:t>
            </w:r>
          </w:p>
        </w:tc>
        <w:tc>
          <w:tcPr>
            <w:tcW w:w="21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(1,709</w:t>
            </w:r>
          </w:p>
        </w:tc>
        <w:tc>
          <w:tcPr>
            <w:tcW w:w="913"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6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Payments on finance leases</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62"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(1,376</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6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 changes on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7,590</w:t>
            </w:r>
          </w:p>
        </w:tc>
        <w:tc>
          <w:tcPr>
            <w:tcW w:w="21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17,207</w:t>
            </w:r>
          </w:p>
        </w:tc>
        <w:tc>
          <w:tcPr>
            <w:tcW w:w="913" w:type="dxa"/>
            <w:tcBorders/>
            <w:shd w:fill="CFF0FC" w:val="clear"/>
            <w:vAlign w:val="center"/>
          </w:tcPr>
          <w:p>
            <w:pPr>
              <w:pStyle w:val="TableContents"/>
              <w:bidi w:val="0"/>
              <w:spacing w:before="0" w:after="283"/>
              <w:jc w:val="left"/>
              <w:rPr/>
            </w:pPr>
            <w:r>
              <w:rPr/>
              <w:t> </w:t>
            </w:r>
          </w:p>
        </w:tc>
      </w:tr>
      <w:tr>
        <w:trPr/>
        <w:tc>
          <w:tcPr>
            <w:tcW w:w="606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the beginning of period</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183,195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149,685</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the end of period</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190,785</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166,892</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Reconciliation of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913" w:type="dxa"/>
            <w:tcBorders/>
            <w:shd w:fill="FFFFFF" w:val="clear"/>
            <w:vAlign w:val="center"/>
          </w:tcPr>
          <w:p>
            <w:pPr>
              <w:pStyle w:val="TableContents"/>
              <w:bidi w:val="0"/>
              <w:spacing w:before="0" w:after="283"/>
              <w:ind w:left="0" w:right="0" w:firstLine="280"/>
              <w:jc w:val="right"/>
              <w:rPr/>
            </w:pPr>
            <w:r>
              <w:rPr/>
              <w:t> </w:t>
            </w:r>
          </w:p>
        </w:tc>
      </w:tr>
      <w:tr>
        <w:trPr/>
        <w:tc>
          <w:tcPr>
            <w:tcW w:w="606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 at the beginning of period</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179,361</w:t>
            </w:r>
          </w:p>
        </w:tc>
        <w:tc>
          <w:tcPr>
            <w:tcW w:w="21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147,334</w:t>
            </w:r>
          </w:p>
        </w:tc>
        <w:tc>
          <w:tcPr>
            <w:tcW w:w="913" w:type="dxa"/>
            <w:tcBorders/>
            <w:shd w:fill="CFF0FC" w:val="clear"/>
            <w:vAlign w:val="center"/>
          </w:tcPr>
          <w:p>
            <w:pPr>
              <w:pStyle w:val="TableContents"/>
              <w:bidi w:val="0"/>
              <w:spacing w:before="0" w:after="283"/>
              <w:ind w:left="0" w:right="0" w:firstLine="280"/>
              <w:jc w:val="left"/>
              <w:rPr/>
            </w:pPr>
            <w:r>
              <w:rPr/>
              <w:t> </w:t>
            </w:r>
          </w:p>
        </w:tc>
      </w:tr>
      <w:tr>
        <w:trPr/>
        <w:tc>
          <w:tcPr>
            <w:tcW w:w="606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Restricted cash at the beginning of period</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2,351</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the beginning of period</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183,195</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149,685</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06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 at the end of period</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187,542</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162,062</w:t>
            </w:r>
          </w:p>
        </w:tc>
        <w:tc>
          <w:tcPr>
            <w:tcW w:w="913" w:type="dxa"/>
            <w:tcBorders/>
            <w:shd w:fill="FFFFFF" w:val="clear"/>
            <w:vAlign w:val="center"/>
          </w:tcPr>
          <w:p>
            <w:pPr>
              <w:pStyle w:val="TableContents"/>
              <w:bidi w:val="0"/>
              <w:spacing w:before="0" w:after="283"/>
              <w:ind w:left="0" w:right="0" w:firstLine="280"/>
              <w:jc w:val="left"/>
              <w:rPr/>
            </w:pPr>
            <w:r>
              <w:rPr/>
              <w:t> </w:t>
            </w:r>
          </w:p>
        </w:tc>
      </w:tr>
      <w:tr>
        <w:trPr/>
        <w:tc>
          <w:tcPr>
            <w:tcW w:w="606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Restricted cash at the end of period</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3,243</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4,830</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the end of period</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190,785</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166,892</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2"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913" w:type="dxa"/>
            <w:tcBorders/>
            <w:shd w:fill="CFF0FC" w:val="clear"/>
            <w:vAlign w:val="center"/>
          </w:tcPr>
          <w:p>
            <w:pPr>
              <w:pStyle w:val="TableContents"/>
              <w:bidi w:val="0"/>
              <w:spacing w:before="0" w:after="283"/>
              <w:ind w:left="0" w:right="0" w:firstLine="280"/>
              <w:jc w:val="right"/>
              <w:rPr/>
            </w:pPr>
            <w:r>
              <w:rPr/>
              <w:t> </w:t>
            </w:r>
          </w:p>
        </w:tc>
      </w:tr>
      <w:tr>
        <w:trPr/>
        <w:tc>
          <w:tcPr>
            <w:tcW w:w="606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paid for income taxes, net of refunds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12,419</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1,718</w:t>
            </w:r>
          </w:p>
        </w:tc>
        <w:tc>
          <w:tcPr>
            <w:tcW w:w="913" w:type="dxa"/>
            <w:tcBorders/>
            <w:shd w:fill="FFFFFF" w:val="clear"/>
            <w:vAlign w:val="center"/>
          </w:tcPr>
          <w:p>
            <w:pPr>
              <w:pStyle w:val="TableContents"/>
              <w:bidi w:val="0"/>
              <w:spacing w:before="0" w:after="283"/>
              <w:ind w:left="0" w:right="0" w:firstLine="280"/>
              <w:jc w:val="left"/>
              <w:rPr/>
            </w:pPr>
            <w:r>
              <w:rPr/>
              <w:t> </w:t>
            </w:r>
          </w:p>
        </w:tc>
      </w:tr>
      <w:tr>
        <w:trPr/>
        <w:tc>
          <w:tcPr>
            <w:tcW w:w="606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Right-of-use assets obtained in exchange of operating lease obligations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466</w:t>
            </w:r>
          </w:p>
        </w:tc>
        <w:tc>
          <w:tcPr>
            <w:tcW w:w="21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1,356</w:t>
            </w:r>
          </w:p>
        </w:tc>
        <w:tc>
          <w:tcPr>
            <w:tcW w:w="913"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PAYMENTUS HOLDINGS, INC.</w:t>
      </w:r>
    </w:p>
    <w:p>
      <w:pPr>
        <w:pStyle w:val="TextBody"/>
        <w:bidi w:val="0"/>
        <w:jc w:val="center"/>
        <w:rPr>
          <w:rFonts w:ascii="Times New Roman" w:hAnsi="Times New Roman"/>
          <w:sz w:val="20"/>
        </w:rPr>
      </w:pPr>
      <w:bookmarkStart w:id="12" w:name="notes_to_condensed_consolidated_financia"/>
      <w:bookmarkEnd w:id="12"/>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unless otherwise stated)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spacing w:before="240" w:after="283"/>
        <w:jc w:val="both"/>
        <w:rPr>
          <w:rFonts w:ascii="Arial" w:hAnsi="Arial"/>
          <w:b/>
          <w:color w:val="000000"/>
          <w:sz w:val="20"/>
        </w:rPr>
      </w:pPr>
      <w:r>
        <w:rPr>
          <w:rFonts w:ascii="Arial" w:hAnsi="Arial"/>
          <w:b/>
          <w:color w:val="000000"/>
          <w:sz w:val="20"/>
        </w:rPr>
        <w:t>1. Organization and Description of Business</w:t>
      </w:r>
    </w:p>
    <w:p>
      <w:pPr>
        <w:pStyle w:val="TextBody"/>
        <w:bidi w:val="0"/>
        <w:spacing w:before="120" w:after="283"/>
        <w:jc w:val="both"/>
        <w:rPr>
          <w:rFonts w:ascii="Arial" w:hAnsi="Arial"/>
          <w:b/>
          <w:i/>
          <w:color w:val="000000"/>
          <w:sz w:val="20"/>
        </w:rPr>
      </w:pPr>
      <w:r>
        <w:rPr>
          <w:rFonts w:ascii="Arial" w:hAnsi="Arial"/>
          <w:b/>
          <w:i/>
          <w:color w:val="000000"/>
          <w:sz w:val="20"/>
        </w:rPr>
        <w:t>Description of Business</w:t>
      </w:r>
    </w:p>
    <w:p>
      <w:pPr>
        <w:pStyle w:val="TextBody"/>
        <w:bidi w:val="0"/>
        <w:spacing w:before="120" w:after="283"/>
        <w:jc w:val="both"/>
        <w:rPr>
          <w:rFonts w:ascii="Arial" w:hAnsi="Arial"/>
          <w:color w:val="000000"/>
          <w:sz w:val="20"/>
        </w:rPr>
      </w:pPr>
      <w:r>
        <w:rPr>
          <w:rFonts w:ascii="Arial" w:hAnsi="Arial"/>
          <w:color w:val="000000"/>
          <w:sz w:val="20"/>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Dallas, Texas, Santa Clara, California, Richmond Hill, Ontario (Canada), and Gurugram, Mohali and Bangalore (India). The Company is headquartered in Charlotte, North Carolina.</w:t>
      </w:r>
    </w:p>
    <w:p>
      <w:pPr>
        <w:pStyle w:val="TextBody"/>
        <w:bidi w:val="0"/>
        <w:spacing w:before="240" w:after="283"/>
        <w:jc w:val="left"/>
        <w:rPr>
          <w:rFonts w:ascii="Arial" w:hAnsi="Arial"/>
          <w:b/>
          <w:color w:val="000000"/>
          <w:sz w:val="20"/>
        </w:rPr>
      </w:pPr>
      <w:r>
        <w:rPr>
          <w:rFonts w:ascii="Arial" w:hAnsi="Arial"/>
          <w:b/>
          <w:color w:val="000000"/>
          <w:sz w:val="20"/>
        </w:rPr>
        <w:t>2. Basis of Presentation and Summary of Significant Accounting Policies</w:t>
      </w:r>
    </w:p>
    <w:p>
      <w:pPr>
        <w:pStyle w:val="TextBody"/>
        <w:bidi w:val="0"/>
        <w:spacing w:before="120" w:after="283"/>
        <w:jc w:val="left"/>
        <w:rPr>
          <w:rFonts w:ascii="Arial" w:hAnsi="Arial"/>
          <w:b/>
          <w:i/>
          <w:color w:val="000000"/>
          <w:sz w:val="20"/>
        </w:rPr>
      </w:pPr>
      <w:r>
        <w:rPr>
          <w:rFonts w:ascii="Arial" w:hAnsi="Arial"/>
          <w:b/>
          <w:i/>
          <w:color w:val="000000"/>
          <w:sz w:val="20"/>
        </w:rPr>
        <w:t>Basis of Presentation</w:t>
      </w:r>
    </w:p>
    <w:p>
      <w:pPr>
        <w:pStyle w:val="TextBody"/>
        <w:bidi w:val="0"/>
        <w:spacing w:before="120" w:after="283"/>
        <w:jc w:val="both"/>
        <w:rPr>
          <w:rFonts w:ascii="Arial" w:hAnsi="Arial"/>
          <w:color w:val="000000"/>
          <w:sz w:val="20"/>
        </w:rPr>
      </w:pPr>
      <w:r>
        <w:rPr>
          <w:rFonts w:ascii="Arial" w:hAnsi="Arial"/>
          <w:color w:val="000000"/>
          <w:sz w:val="20"/>
        </w:rPr>
        <w:t>The accompanying unaudited interim condensed consolidated financial statements and related notes have been prepared in accordance with accounting principles generally accepted in the United States (“GAAP”) and applicable rules and regulations of the United States Securities and Exchange Commission (the “SEC”) regarding interim financial reporting. Accordingly, they do not include all disclosures normally required in annual consolidated financial statements prepared in accordance with GAAP. Therefore, these unaudited condensed consolidated financial statements and related notes should be read in conjunction with the audited consolidated financial statements and the related notes included in the Company's Form 10-K for the year ended December 31, 2023 filed with the SEC on March 5, 2024 (the “2023 Form 10-K”).</w:t>
      </w:r>
    </w:p>
    <w:p>
      <w:pPr>
        <w:pStyle w:val="TextBody"/>
        <w:bidi w:val="0"/>
        <w:spacing w:before="120" w:after="283"/>
        <w:jc w:val="both"/>
        <w:rPr>
          <w:rFonts w:ascii="Times New Roman" w:hAnsi="Times New Roman"/>
          <w:sz w:val="20"/>
        </w:rPr>
      </w:pPr>
      <w:r>
        <w:rPr>
          <w:rFonts w:ascii="Arial" w:hAnsi="Arial"/>
          <w:color w:val="000000"/>
          <w:sz w:val="20"/>
        </w:rPr>
        <w:t>These unaudited interim condensed consolidated financial statements have been prepared on the same basis as the annual financial statements and, in the opinion of management, reflect all adjustments, which include only normal recurring adjustments necessary for the fair statement of the Company’s financial position, results of operations and comprehensive income, changes in stockholders' equity and cash flows for the periods presented. The results of operations for the three and nine months ended September 30, 2024 and 2023 are not necessarily indicative of the results to be expected for the full year or any other future interim or annual period.</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Principles of Consolidation</w:t>
      </w:r>
    </w:p>
    <w:p>
      <w:pPr>
        <w:pStyle w:val="TextBody"/>
        <w:bidi w:val="0"/>
        <w:spacing w:before="120" w:after="283"/>
        <w:jc w:val="both"/>
        <w:rPr>
          <w:rFonts w:ascii="Times New Roman" w:hAnsi="Times New Roman"/>
          <w:sz w:val="20"/>
        </w:rPr>
      </w:pPr>
      <w:r>
        <w:rPr>
          <w:rFonts w:ascii="Arial" w:hAnsi="Arial"/>
          <w:color w:val="000000"/>
          <w:sz w:val="20"/>
        </w:rPr>
        <w:t>The unaudited interim condensed consolidated financial statements include the accounts of the Company and its wholly owned subsidiaries. All intercompany accounts and balances have been eliminated upon consolidation.</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Use of Estimates</w:t>
      </w:r>
    </w:p>
    <w:p>
      <w:pPr>
        <w:pStyle w:val="TextBody"/>
        <w:bidi w:val="0"/>
        <w:spacing w:before="120" w:after="283"/>
        <w:jc w:val="both"/>
        <w:rPr>
          <w:rFonts w:ascii="Arial" w:hAnsi="Arial"/>
          <w:color w:val="000000"/>
          <w:sz w:val="20"/>
        </w:rPr>
      </w:pPr>
      <w:r>
        <w:rPr>
          <w:rFonts w:ascii="Arial" w:hAnsi="Arial"/>
          <w:color w:val="000000"/>
          <w:sz w:val="20"/>
        </w:rPr>
        <w:t>The preparation of condensed consolidated financial statements in conformity with GAAP requires management to make estimates and assumptions that affect the amounts reported in the consolidated financial statements and accompanying notes. Such estimates include revenue recognition, cost of revenue recognition, the allowance for credit losses, the lives of tangible and intangible assets, the valuation of acquired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pStyle w:val="TextBody"/>
        <w:bidi w:val="0"/>
        <w:spacing w:before="120" w:after="283"/>
        <w:jc w:val="both"/>
        <w:rPr>
          <w:rFonts w:ascii="Arial" w:hAnsi="Arial"/>
          <w:b/>
          <w:i/>
          <w:color w:val="000000"/>
          <w:sz w:val="20"/>
        </w:rPr>
      </w:pPr>
      <w:r>
        <w:rPr>
          <w:rFonts w:ascii="Arial" w:hAnsi="Arial"/>
          <w:b/>
          <w:i/>
          <w:color w:val="000000"/>
          <w:sz w:val="20"/>
        </w:rPr>
        <w:t>Custodial Accounts</w:t>
      </w:r>
    </w:p>
    <w:p>
      <w:pPr>
        <w:pStyle w:val="TextBody"/>
        <w:bidi w:val="0"/>
        <w:spacing w:before="120" w:after="283"/>
        <w:jc w:val="both"/>
        <w:rPr>
          <w:rFonts w:ascii="Times New Roman" w:hAnsi="Times New Roman"/>
          <w:sz w:val="20"/>
        </w:rPr>
      </w:pPr>
      <w:r>
        <w:rPr>
          <w:rFonts w:ascii="Arial" w:hAnsi="Arial"/>
          <w:color w:val="000000"/>
          <w:sz w:val="20"/>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$123.3</w:t>
      </w:r>
      <w:r>
        <w:rPr>
          <w:rFonts w:ascii="Times New Roman" w:hAnsi="Times New Roman"/>
          <w:color w:val="000000"/>
          <w:sz w:val="20"/>
        </w:rPr>
        <w:t xml:space="preserve"> </w:t>
      </w:r>
      <w:r>
        <w:rPr>
          <w:rFonts w:ascii="Arial" w:hAnsi="Arial"/>
          <w:color w:val="000000"/>
          <w:sz w:val="20"/>
        </w:rPr>
        <w:t>million and $510.8</w:t>
      </w:r>
      <w:r>
        <w:rPr>
          <w:rFonts w:ascii="Times New Roman" w:hAnsi="Times New Roman"/>
          <w:color w:val="000000"/>
          <w:sz w:val="20"/>
        </w:rPr>
        <w:t xml:space="preserve"> </w:t>
      </w:r>
      <w:r>
        <w:rPr>
          <w:rFonts w:ascii="Arial" w:hAnsi="Arial"/>
          <w:color w:val="000000"/>
          <w:sz w:val="20"/>
        </w:rPr>
        <w:t>million as</w:t>
      </w:r>
      <w:r>
        <w:rPr>
          <w:rFonts w:ascii="Times New Roman" w:hAnsi="Times New Roman"/>
          <w:color w:val="000000"/>
          <w:sz w:val="20"/>
        </w:rPr>
        <w:t xml:space="preserve"> </w:t>
      </w:r>
      <w:r>
        <w:rPr>
          <w:rFonts w:ascii="Arial" w:hAnsi="Arial"/>
          <w:color w:val="000000"/>
          <w:sz w:val="20"/>
        </w:rPr>
        <w:t>of September 30, 2024 and December 31, 2023, respectively.</w:t>
      </w:r>
    </w:p>
    <w:p>
      <w:pPr>
        <w:pStyle w:val="TextBody"/>
        <w:bidi w:val="0"/>
        <w:spacing w:before="12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i/>
          <w:color w:val="000000"/>
          <w:sz w:val="20"/>
        </w:rPr>
      </w:pPr>
      <w:r>
        <w:rPr>
          <w:rFonts w:ascii="Arial" w:hAnsi="Arial"/>
          <w:b/>
          <w:i/>
          <w:color w:val="000000"/>
          <w:sz w:val="20"/>
        </w:rPr>
        <w:t>Concentration of Credit Risk</w:t>
      </w:r>
    </w:p>
    <w:p>
      <w:pPr>
        <w:pStyle w:val="TextBody"/>
        <w:bidi w:val="0"/>
        <w:spacing w:before="120" w:after="283"/>
        <w:jc w:val="both"/>
        <w:rPr>
          <w:rFonts w:ascii="Times New Roman" w:hAnsi="Times New Roman"/>
          <w:sz w:val="20"/>
        </w:rPr>
      </w:pPr>
      <w:r>
        <w:rPr>
          <w:rFonts w:ascii="Arial" w:hAnsi="Arial"/>
          <w:color w:val="000000"/>
          <w:sz w:val="20"/>
        </w:rPr>
        <w:t>Financial instruments that potentially subject the Company to credit risk primarily consist of cash, cash equivalents and accounts receivable. The Company maintains its cash and cash equivalents with high-quality financial institutions with investment-grade ratings. For accounts receivable, the Company is exposed to credit risk in the event of nonpayment by customers and resellers to the extent of the amounts recorded in the consolidated balance sheets. No</w:t>
      </w:r>
      <w:r>
        <w:rPr>
          <w:rFonts w:ascii="Times New Roman" w:hAnsi="Times New Roman"/>
          <w:color w:val="000000"/>
          <w:sz w:val="20"/>
        </w:rPr>
        <w:t xml:space="preserve"> </w:t>
      </w:r>
      <w:r>
        <w:rPr>
          <w:rFonts w:ascii="Arial" w:hAnsi="Arial"/>
          <w:color w:val="000000"/>
          <w:sz w:val="20"/>
        </w:rPr>
        <w:t>customer accounted for more than 10% of revenue for either of the three or nine months ended September 30, 2024 and 2023. As of December 31, 2023 and September 30, 2024</w:t>
      </w:r>
      <w:r>
        <w:rPr>
          <w:rFonts w:ascii="Times New Roman" w:hAnsi="Times New Roman"/>
          <w:color w:val="000000"/>
          <w:sz w:val="20"/>
        </w:rPr>
        <w:t xml:space="preserve"> </w:t>
      </w:r>
      <w:r>
        <w:rPr>
          <w:rFonts w:ascii="Arial" w:hAnsi="Arial"/>
          <w:color w:val="000000"/>
          <w:sz w:val="20"/>
        </w:rPr>
        <w:t>one</w:t>
      </w:r>
      <w:r>
        <w:rPr>
          <w:rFonts w:ascii="Times New Roman" w:hAnsi="Times New Roman"/>
          <w:color w:val="000000"/>
          <w:sz w:val="20"/>
        </w:rPr>
        <w:t xml:space="preserve"> </w:t>
      </w:r>
      <w:r>
        <w:rPr>
          <w:rFonts w:ascii="Arial" w:hAnsi="Arial"/>
          <w:color w:val="000000"/>
          <w:sz w:val="20"/>
        </w:rPr>
        <w:t>reseller accounted for more than 10% of accounts receivable.</w:t>
      </w:r>
    </w:p>
    <w:p>
      <w:pPr>
        <w:pStyle w:val="TextBody"/>
        <w:bidi w:val="0"/>
        <w:spacing w:before="120" w:after="283"/>
        <w:jc w:val="both"/>
        <w:rPr>
          <w:rFonts w:ascii="Arial" w:hAnsi="Arial"/>
          <w:b/>
          <w:i/>
          <w:color w:val="000000"/>
          <w:sz w:val="20"/>
        </w:rPr>
      </w:pPr>
      <w:r>
        <w:rPr>
          <w:rFonts w:ascii="Arial" w:hAnsi="Arial"/>
          <w:b/>
          <w:i/>
          <w:color w:val="000000"/>
          <w:sz w:val="20"/>
        </w:rPr>
        <w:t>Segment Information</w:t>
      </w:r>
    </w:p>
    <w:p>
      <w:pPr>
        <w:pStyle w:val="TextBody"/>
        <w:bidi w:val="0"/>
        <w:spacing w:before="120" w:after="283"/>
        <w:jc w:val="both"/>
        <w:rPr>
          <w:rFonts w:ascii="Times New Roman" w:hAnsi="Times New Roman"/>
          <w:sz w:val="20"/>
        </w:rPr>
      </w:pPr>
      <w:r>
        <w:rPr>
          <w:rFonts w:ascii="Arial" w:hAnsi="Arial"/>
          <w:color w:val="000000"/>
          <w:sz w:val="20"/>
        </w:rPr>
        <w:t>Operating segments are defined as components of an enterprise for which separate financial information is available and evaluated regularly by the chief operating decision maker (“CODM”) in deciding how to make operating decisions, allocate resources and assess performance. The Company has three</w:t>
      </w:r>
      <w:r>
        <w:rPr>
          <w:rFonts w:ascii="Times New Roman" w:hAnsi="Times New Roman"/>
          <w:color w:val="000000"/>
          <w:sz w:val="20"/>
        </w:rPr>
        <w:t xml:space="preserve"> </w:t>
      </w:r>
      <w:r>
        <w:rPr>
          <w:rFonts w:ascii="Arial" w:hAnsi="Arial"/>
          <w:color w:val="000000"/>
          <w:sz w:val="20"/>
        </w:rPr>
        <w:t>operating segments based on geography. The United States segment represents the vast majority of the Company’s consolidated net sales and gross profit. The additional two operating segments, Canada and India, do not meet the quantitative thresholds for separate reporting, either individually or in the aggregate. None of the operating segments qualified for aggregation. The Company’s CODM is its chief executive officer. The CODM evaluates the performance of the Company’s operating segments based on revenue and gross profit. The Company does not analyze discrete segment balance sheet information related to long-term assets. All other financial information is presented on a consolidated basis. For information regarding the Company’s long-lived assets and revenue by geographic area, see Note 4 and Note 3, respectively.</w:t>
      </w:r>
    </w:p>
    <w:p>
      <w:pPr>
        <w:pStyle w:val="TextBody"/>
        <w:bidi w:val="0"/>
        <w:spacing w:before="120" w:after="283"/>
        <w:jc w:val="both"/>
        <w:rPr>
          <w:rFonts w:ascii="Arial" w:hAnsi="Arial"/>
          <w:b/>
          <w:i/>
          <w:color w:val="000000"/>
          <w:sz w:val="20"/>
        </w:rPr>
      </w:pPr>
      <w:r>
        <w:rPr>
          <w:rFonts w:ascii="Arial" w:hAnsi="Arial"/>
          <w:b/>
          <w:i/>
          <w:color w:val="000000"/>
          <w:sz w:val="20"/>
        </w:rPr>
        <w:t>Summary of Significant Accounting Policies</w:t>
      </w:r>
    </w:p>
    <w:p>
      <w:pPr>
        <w:pStyle w:val="TextBody"/>
        <w:bidi w:val="0"/>
        <w:spacing w:before="120" w:after="283"/>
        <w:jc w:val="both"/>
        <w:rPr>
          <w:rFonts w:ascii="Arial" w:hAnsi="Arial"/>
          <w:color w:val="000000"/>
          <w:sz w:val="20"/>
        </w:rPr>
      </w:pPr>
      <w:r>
        <w:rPr>
          <w:rFonts w:ascii="Arial" w:hAnsi="Arial"/>
          <w:color w:val="000000"/>
          <w:sz w:val="20"/>
        </w:rPr>
        <w:t>The Company’s significant accounting policies are discussed in Note 2, “Basis of Presentation and Summary of Significant Accounting Policies,” in the Notes to Consolidated Financial Statements as of December 31, 2023 and 2022 and for the years ended December 31, 2023, 2022 and 2021 included in the 2023 Form 10-K. There have been no significant changes to these policies during the three and nine months ended September 30, 2024.</w:t>
      </w:r>
    </w:p>
    <w:p>
      <w:pPr>
        <w:pStyle w:val="TextBody"/>
        <w:bidi w:val="0"/>
        <w:spacing w:before="120" w:after="283"/>
        <w:jc w:val="left"/>
        <w:rPr>
          <w:rFonts w:ascii="Arial" w:hAnsi="Arial"/>
          <w:b/>
          <w:i/>
          <w:color w:val="000000"/>
          <w:sz w:val="20"/>
        </w:rPr>
      </w:pPr>
      <w:r>
        <w:rPr>
          <w:rFonts w:ascii="Arial" w:hAnsi="Arial"/>
          <w:b/>
          <w:i/>
          <w:color w:val="000000"/>
          <w:sz w:val="20"/>
        </w:rPr>
        <w:t>Recently Adopted Accounting Standards</w:t>
      </w:r>
    </w:p>
    <w:p>
      <w:pPr>
        <w:pStyle w:val="TextBody"/>
        <w:bidi w:val="0"/>
        <w:spacing w:before="120" w:after="283"/>
        <w:jc w:val="both"/>
        <w:rPr>
          <w:rFonts w:ascii="Arial" w:hAnsi="Arial"/>
          <w:color w:val="000000"/>
          <w:sz w:val="20"/>
        </w:rPr>
      </w:pPr>
      <w:r>
        <w:rPr>
          <w:rFonts w:ascii="Arial" w:hAnsi="Arial"/>
          <w:color w:val="000000"/>
          <w:sz w:val="20"/>
        </w:rPr>
        <w:t>The Company is provided the option to adopt new or revised accounting guidance as an “emerging growth company” under the Jumpstart Our Business Startups Act of 2012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pStyle w:val="TextBody"/>
        <w:bidi w:val="0"/>
        <w:spacing w:before="120" w:after="283"/>
        <w:jc w:val="both"/>
        <w:rPr>
          <w:rFonts w:ascii="Arial" w:hAnsi="Arial"/>
          <w:color w:val="000000"/>
          <w:sz w:val="20"/>
        </w:rPr>
      </w:pPr>
      <w:r>
        <w:rPr>
          <w:rFonts w:ascii="Arial" w:hAnsi="Arial"/>
          <w:color w:val="000000"/>
          <w:sz w:val="20"/>
        </w:rPr>
        <w:t>Accounting Standards Updates ("ASU") not listed below were assessed and determined to be either not applicable or are not expected to have a material impact on the consolidated financial statements.</w:t>
      </w:r>
    </w:p>
    <w:p>
      <w:pPr>
        <w:pStyle w:val="TextBody"/>
        <w:bidi w:val="0"/>
        <w:spacing w:before="120" w:after="283"/>
        <w:jc w:val="left"/>
        <w:rPr>
          <w:rFonts w:ascii="Arial" w:hAnsi="Arial"/>
          <w:b/>
          <w:i/>
          <w:color w:val="000000"/>
          <w:sz w:val="20"/>
        </w:rPr>
      </w:pPr>
      <w:r>
        <w:rPr>
          <w:rFonts w:ascii="Arial" w:hAnsi="Arial"/>
          <w:b/>
          <w:i/>
          <w:color w:val="000000"/>
          <w:sz w:val="20"/>
        </w:rPr>
        <w:t>Accounting Pronouncements Not Yet Adopted</w:t>
      </w:r>
    </w:p>
    <w:p>
      <w:pPr>
        <w:pStyle w:val="TextBody"/>
        <w:bidi w:val="0"/>
        <w:spacing w:before="120" w:after="283"/>
        <w:jc w:val="both"/>
        <w:rPr>
          <w:rFonts w:ascii="Arial" w:hAnsi="Arial"/>
          <w:color w:val="000000"/>
          <w:sz w:val="20"/>
        </w:rPr>
      </w:pPr>
      <w:r>
        <w:rPr>
          <w:rFonts w:ascii="Arial" w:hAnsi="Arial"/>
          <w:color w:val="000000"/>
          <w:sz w:val="20"/>
        </w:rPr>
        <w:t>In November 2023, the Financial Accounting Standards Board ("FASB") issued ASU 2023-07, Segment Reporting (Topic 280): Improvements to Reportable Segment Disclosures. ASU 2023-07 expands public entities’ segment disclosures by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All disclosure requirements under ASU 2023-07 are also required for public entities with a single reportable segment. The amendments in ASU 2023-07 are effective for public companies for fiscal years beginning after December 15, 2023 and interim periods within fiscal years beginning after December 15, 2024. Early adoption is permitted. We are currently evaluating the potential impact of adopting this new guidance on our condensed consolidated financial statements and related disclosures.</w:t>
      </w:r>
    </w:p>
    <w:p>
      <w:pPr>
        <w:pStyle w:val="TextBody"/>
        <w:bidi w:val="0"/>
        <w:spacing w:before="120" w:after="283"/>
        <w:jc w:val="both"/>
        <w:rPr>
          <w:rFonts w:ascii="Arial" w:hAnsi="Arial"/>
          <w:color w:val="000000"/>
          <w:sz w:val="20"/>
        </w:rPr>
      </w:pPr>
      <w:r>
        <w:rPr>
          <w:rFonts w:ascii="Arial" w:hAnsi="Arial"/>
          <w:color w:val="000000"/>
          <w:sz w:val="20"/>
        </w:rPr>
        <w:t>In December 2023, the FASB issued ASU 2023-09 "Income Tax Disclosures", which makes changes to annual disclosures of income taxes paid for all entities and requires entities to disclose the amount of income taxes paid, net of refunds received, disaggregated by federal, state and foreign jurisdiction. Additionally, entities are required to disclose income taxes paid, net of refunds received, for individual jurisdictions that comprise 5% or more of total income taxes paid. The 5% threshold is evaluated using the absolute value of the net refund or net payment in each jurisdiction compared to the absolute value of the total income taxes paid (net of refunds received). ASU 2023-09 requires all entities to disclose disaggregated domestic and foreign pre-tax income (or loss) from continuing operations along with disaggregated income tax expense (or benefit) by federal, state and foreign components. Such disaggregation by jurisdiction should classify taxes by jurisdiction based on the jurisdiction imposing the taxes. The amendments in ASU 2023-09 are effective for fiscal years beginning after December 15, 2024 for public companies. Early adoption is permitted. We are currently evaluating the potential impact of adopting this new guidance on our condensed consolidated financial statements and related disclosures.</w:t>
      </w:r>
    </w:p>
    <w:p>
      <w:pPr>
        <w:pStyle w:val="TextBody"/>
        <w:bidi w:val="0"/>
        <w:spacing w:before="12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3. Revenue, Performance Obligations and Contract Balances</w:t>
      </w:r>
    </w:p>
    <w:p>
      <w:pPr>
        <w:pStyle w:val="TextBody"/>
        <w:bidi w:val="0"/>
        <w:spacing w:before="120" w:after="283"/>
        <w:jc w:val="left"/>
        <w:rPr>
          <w:rFonts w:ascii="Arial" w:hAnsi="Arial"/>
          <w:b/>
          <w:i/>
          <w:color w:val="000000"/>
          <w:sz w:val="20"/>
        </w:rPr>
      </w:pPr>
      <w:r>
        <w:rPr>
          <w:rFonts w:ascii="Arial" w:hAnsi="Arial"/>
          <w:b/>
          <w:i/>
          <w:color w:val="000000"/>
          <w:sz w:val="20"/>
        </w:rPr>
        <w:t>Disaggregation of Revenue</w:t>
      </w:r>
    </w:p>
    <w:p>
      <w:pPr>
        <w:pStyle w:val="TextBody"/>
        <w:bidi w:val="0"/>
        <w:spacing w:before="120" w:after="120"/>
        <w:jc w:val="left"/>
        <w:rPr>
          <w:rFonts w:ascii="Arial" w:hAnsi="Arial"/>
          <w:color w:val="000000"/>
          <w:sz w:val="20"/>
        </w:rPr>
      </w:pPr>
      <w:r>
        <w:rPr>
          <w:rFonts w:ascii="Arial" w:hAnsi="Arial"/>
          <w:color w:val="000000"/>
          <w:sz w:val="20"/>
        </w:rPr>
        <w:t>The following table presents a disaggregation of revenue from contracts with customers:</w:t>
      </w:r>
    </w:p>
    <w:tbl>
      <w:tblPr>
        <w:tblW w:w="10205" w:type="dxa"/>
        <w:jc w:val="left"/>
        <w:tblInd w:w="0" w:type="dxa"/>
        <w:tblLayout w:type="fixed"/>
        <w:tblCellMar>
          <w:top w:w="28" w:type="dxa"/>
          <w:left w:w="28" w:type="dxa"/>
          <w:bottom w:w="28" w:type="dxa"/>
          <w:right w:w="28" w:type="dxa"/>
        </w:tblCellMar>
      </w:tblPr>
      <w:tblGrid>
        <w:gridCol w:w="3128"/>
        <w:gridCol w:w="146"/>
        <w:gridCol w:w="292"/>
        <w:gridCol w:w="1103"/>
        <w:gridCol w:w="202"/>
        <w:gridCol w:w="202"/>
        <w:gridCol w:w="292"/>
        <w:gridCol w:w="1103"/>
        <w:gridCol w:w="146"/>
        <w:gridCol w:w="146"/>
        <w:gridCol w:w="284"/>
        <w:gridCol w:w="1074"/>
        <w:gridCol w:w="196"/>
        <w:gridCol w:w="196"/>
        <w:gridCol w:w="284"/>
        <w:gridCol w:w="1074"/>
        <w:gridCol w:w="337"/>
      </w:tblGrid>
      <w:tr>
        <w:trPr/>
        <w:tc>
          <w:tcPr>
            <w:tcW w:w="3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1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94" w:type="dxa"/>
            <w:gridSpan w:val="14"/>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7" w:type="dxa"/>
            <w:tcBorders/>
            <w:shd w:fill="FFFFFF" w:val="clear"/>
            <w:vAlign w:val="center"/>
          </w:tcPr>
          <w:p>
            <w:pPr>
              <w:pStyle w:val="TableContents"/>
              <w:bidi w:val="0"/>
              <w:spacing w:before="0" w:after="283"/>
              <w:jc w:val="center"/>
              <w:rPr/>
            </w:pPr>
            <w:r>
              <w:rPr/>
              <w:t> </w:t>
            </w:r>
          </w:p>
        </w:tc>
      </w:tr>
      <w:tr>
        <w:trPr/>
        <w:tc>
          <w:tcPr>
            <w:tcW w:w="312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Payment transaction processing revenue</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228,826</w:t>
            </w:r>
          </w:p>
        </w:tc>
        <w:tc>
          <w:tcPr>
            <w:tcW w:w="202"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150,500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605,142</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443,565</w:t>
            </w:r>
          </w:p>
        </w:tc>
        <w:tc>
          <w:tcPr>
            <w:tcW w:w="337" w:type="dxa"/>
            <w:tcBorders/>
            <w:shd w:fill="CFF0FC" w:val="clear"/>
            <w:vAlign w:val="center"/>
          </w:tcPr>
          <w:p>
            <w:pPr>
              <w:pStyle w:val="TableContents"/>
              <w:bidi w:val="0"/>
              <w:spacing w:before="0" w:after="283"/>
              <w:jc w:val="left"/>
              <w:rPr/>
            </w:pPr>
            <w:r>
              <w:rPr/>
              <w:t> </w:t>
            </w:r>
          </w:p>
        </w:tc>
      </w:tr>
      <w:tr>
        <w:trPr/>
        <w:tc>
          <w:tcPr>
            <w:tcW w:w="312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6,125</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128"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231,571</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152,423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613,868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449,690</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Revenue by geographic area, based on the location of the Company’s users, was as follows:</w:t>
      </w:r>
    </w:p>
    <w:tbl>
      <w:tblPr>
        <w:tblW w:w="8835" w:type="dxa"/>
        <w:jc w:val="left"/>
        <w:tblInd w:w="0" w:type="dxa"/>
        <w:tblLayout w:type="fixed"/>
        <w:tblCellMar>
          <w:top w:w="28" w:type="dxa"/>
          <w:left w:w="28" w:type="dxa"/>
          <w:bottom w:w="28" w:type="dxa"/>
          <w:right w:w="28" w:type="dxa"/>
        </w:tblCellMar>
      </w:tblPr>
      <w:tblGrid>
        <w:gridCol w:w="1306"/>
        <w:gridCol w:w="146"/>
        <w:gridCol w:w="314"/>
        <w:gridCol w:w="1186"/>
        <w:gridCol w:w="217"/>
        <w:gridCol w:w="217"/>
        <w:gridCol w:w="314"/>
        <w:gridCol w:w="1186"/>
        <w:gridCol w:w="146"/>
        <w:gridCol w:w="146"/>
        <w:gridCol w:w="304"/>
        <w:gridCol w:w="1149"/>
        <w:gridCol w:w="210"/>
        <w:gridCol w:w="210"/>
        <w:gridCol w:w="304"/>
        <w:gridCol w:w="1149"/>
        <w:gridCol w:w="33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center"/>
              <w:rPr/>
            </w:pPr>
            <w:r>
              <w:rPr/>
              <w:t> </w:t>
            </w:r>
          </w:p>
        </w:tc>
        <w:tc>
          <w:tcPr>
            <w:tcW w:w="14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52" w:type="dxa"/>
            <w:gridSpan w:val="14"/>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1" w:type="dxa"/>
            <w:tcBorders/>
            <w:shd w:fill="FFFFFF" w:val="clear"/>
            <w:vAlign w:val="center"/>
          </w:tcPr>
          <w:p>
            <w:pPr>
              <w:pStyle w:val="TableContents"/>
              <w:bidi w:val="0"/>
              <w:spacing w:before="0" w:after="283"/>
              <w:jc w:val="center"/>
              <w:rPr/>
            </w:pPr>
            <w:r>
              <w:rPr/>
              <w:t> </w:t>
            </w:r>
          </w:p>
        </w:tc>
      </w:tr>
      <w:tr>
        <w:trPr/>
        <w:tc>
          <w:tcPr>
            <w:tcW w:w="13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227,788</w:t>
            </w:r>
          </w:p>
        </w:tc>
        <w:tc>
          <w:tcPr>
            <w:tcW w:w="217"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149,526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602,572</w:t>
            </w:r>
          </w:p>
        </w:tc>
        <w:tc>
          <w:tcPr>
            <w:tcW w:w="210"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441,029</w:t>
            </w:r>
          </w:p>
        </w:tc>
        <w:tc>
          <w:tcPr>
            <w:tcW w:w="331" w:type="dxa"/>
            <w:tcBorders/>
            <w:shd w:fill="CFF0FC" w:val="clear"/>
            <w:vAlign w:val="center"/>
          </w:tcPr>
          <w:p>
            <w:pPr>
              <w:pStyle w:val="TableContents"/>
              <w:bidi w:val="0"/>
              <w:spacing w:before="0" w:after="283"/>
              <w:jc w:val="left"/>
              <w:rPr/>
            </w:pPr>
            <w:r>
              <w:rPr/>
              <w:t> </w:t>
            </w:r>
          </w:p>
        </w:tc>
      </w:tr>
      <w:tr>
        <w:trPr/>
        <w:tc>
          <w:tcPr>
            <w:tcW w:w="1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11,296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8,661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30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231,571</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152,423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613,868</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449,690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b/>
          <w:i/>
          <w:color w:val="000000"/>
          <w:sz w:val="20"/>
        </w:rPr>
      </w:pPr>
      <w:r>
        <w:rPr>
          <w:rFonts w:ascii="Arial" w:hAnsi="Arial"/>
          <w:b/>
          <w:i/>
          <w:color w:val="000000"/>
          <w:sz w:val="20"/>
        </w:rPr>
        <w:t>Remaining Performance Obligations</w:t>
      </w:r>
    </w:p>
    <w:p>
      <w:pPr>
        <w:pStyle w:val="TextBody"/>
        <w:bidi w:val="0"/>
        <w:spacing w:before="120" w:after="283"/>
        <w:jc w:val="both"/>
        <w:rPr>
          <w:rFonts w:ascii="Times New Roman" w:hAnsi="Times New Roman"/>
          <w:sz w:val="20"/>
        </w:rPr>
      </w:pPr>
      <w:r>
        <w:rPr>
          <w:rFonts w:ascii="Arial" w:hAnsi="Arial"/>
          <w:color w:val="000000"/>
          <w:sz w:val="20"/>
        </w:rPr>
        <w:t>As of September 30, 2024, the aggregate amount of transaction price allocated to performance obligations that are unsatisfied or partially unsatisfied was $4.9</w:t>
      </w:r>
      <w:r>
        <w:rPr>
          <w:rFonts w:ascii="Times New Roman" w:hAnsi="Times New Roman"/>
          <w:color w:val="000000"/>
          <w:sz w:val="20"/>
        </w:rPr>
        <w:t xml:space="preserve"> </w:t>
      </w:r>
      <w:r>
        <w:rPr>
          <w:rFonts w:ascii="Arial" w:hAnsi="Arial"/>
          <w:color w:val="000000"/>
          <w:sz w:val="20"/>
        </w:rPr>
        <w:t>million, of which the Company expects to recognize over 68%</w:t>
      </w:r>
      <w:r>
        <w:rPr>
          <w:rFonts w:ascii="Times New Roman" w:hAnsi="Times New Roman"/>
          <w:color w:val="000000"/>
          <w:sz w:val="20"/>
        </w:rPr>
        <w:t xml:space="preserve"> </w:t>
      </w:r>
      <w:r>
        <w:rPr>
          <w:rFonts w:ascii="Arial" w:hAnsi="Arial"/>
          <w:color w:val="000000"/>
          <w:sz w:val="20"/>
        </w:rPr>
        <w:t>within the next two years, 24%</w:t>
      </w:r>
      <w:r>
        <w:rPr>
          <w:rFonts w:ascii="Times New Roman" w:hAnsi="Times New Roman"/>
          <w:color w:val="000000"/>
          <w:sz w:val="20"/>
        </w:rPr>
        <w:t xml:space="preserve"> </w:t>
      </w:r>
      <w:r>
        <w:rPr>
          <w:rFonts w:ascii="Arial" w:hAnsi="Arial"/>
          <w:color w:val="000000"/>
          <w:sz w:val="20"/>
        </w:rPr>
        <w:t>between two</w:t>
      </w:r>
      <w:r>
        <w:rPr>
          <w:rFonts w:ascii="Times New Roman" w:hAnsi="Times New Roman"/>
          <w:color w:val="000000"/>
          <w:sz w:val="20"/>
        </w:rPr>
        <w:t xml:space="preserve"> </w:t>
      </w:r>
      <w:r>
        <w:rPr>
          <w:rFonts w:ascii="Arial" w:hAnsi="Arial"/>
          <w:color w:val="000000"/>
          <w:sz w:val="20"/>
        </w:rPr>
        <w:t>to four years</w:t>
      </w:r>
      <w:r>
        <w:rPr>
          <w:rFonts w:ascii="Times New Roman" w:hAnsi="Times New Roman"/>
          <w:color w:val="000000"/>
          <w:sz w:val="20"/>
        </w:rPr>
        <w:t xml:space="preserve"> </w:t>
      </w:r>
      <w:r>
        <w:rPr>
          <w:rFonts w:ascii="Arial" w:hAnsi="Arial"/>
          <w:color w:val="000000"/>
          <w:sz w:val="20"/>
        </w:rPr>
        <w:t>and the remainder thereafter. The timing of revenue recognition within the next four years is largely dependent upon the go-live dates of the Company's customers under the Company’s contracts.</w:t>
      </w:r>
    </w:p>
    <w:p>
      <w:pPr>
        <w:pStyle w:val="TextBody"/>
        <w:bidi w:val="0"/>
        <w:spacing w:before="120" w:after="283"/>
        <w:jc w:val="both"/>
        <w:rPr>
          <w:rFonts w:ascii="Times New Roman" w:hAnsi="Times New Roman"/>
          <w:sz w:val="20"/>
        </w:rPr>
      </w:pPr>
      <w:r>
        <w:rPr>
          <w:rFonts w:ascii="Arial" w:hAnsi="Arial"/>
          <w:color w:val="000000"/>
          <w:sz w:val="20"/>
        </w:rPr>
        <w:t>As of September 30, 2024, the Company has contractual rights under its commercial agreements with customers and resellers to receive $79.5</w:t>
      </w:r>
      <w:r>
        <w:rPr>
          <w:rFonts w:ascii="Times New Roman" w:hAnsi="Times New Roman"/>
          <w:color w:val="000000"/>
          <w:sz w:val="20"/>
        </w:rPr>
        <w:t xml:space="preserve"> </w:t>
      </w:r>
      <w:r>
        <w:rPr>
          <w:rFonts w:ascii="Arial" w:hAnsi="Arial"/>
          <w:color w:val="000000"/>
          <w:sz w:val="20"/>
        </w:rPr>
        <w:t>million of fixed consideration related to the future minimum guarantees through 2029. As 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pStyle w:val="TextBody"/>
        <w:bidi w:val="0"/>
        <w:spacing w:before="120" w:after="283"/>
        <w:jc w:val="both"/>
        <w:rPr>
          <w:rFonts w:ascii="Arial" w:hAnsi="Arial"/>
          <w:b/>
          <w:i/>
          <w:color w:val="000000"/>
          <w:sz w:val="20"/>
        </w:rPr>
      </w:pPr>
      <w:r>
        <w:rPr>
          <w:rFonts w:ascii="Arial" w:hAnsi="Arial"/>
          <w:b/>
          <w:i/>
          <w:color w:val="000000"/>
          <w:sz w:val="20"/>
        </w:rPr>
        <w:t>Contract Balances</w:t>
      </w:r>
    </w:p>
    <w:p>
      <w:pPr>
        <w:pStyle w:val="TextBody"/>
        <w:bidi w:val="0"/>
        <w:spacing w:before="120" w:after="120"/>
        <w:jc w:val="both"/>
        <w:rPr>
          <w:rFonts w:ascii="Arial" w:hAnsi="Arial"/>
          <w:color w:val="000000"/>
          <w:sz w:val="20"/>
        </w:rPr>
      </w:pPr>
      <w:r>
        <w:rPr>
          <w:rFonts w:ascii="Arial" w:hAnsi="Arial"/>
          <w:color w:val="000000"/>
          <w:sz w:val="20"/>
        </w:rPr>
        <w:t>Contract balances consist of the following:</w:t>
      </w:r>
    </w:p>
    <w:tbl>
      <w:tblPr>
        <w:tblW w:w="7710" w:type="dxa"/>
        <w:jc w:val="left"/>
        <w:tblInd w:w="0" w:type="dxa"/>
        <w:tblLayout w:type="fixed"/>
        <w:tblCellMar>
          <w:top w:w="28" w:type="dxa"/>
          <w:left w:w="28" w:type="dxa"/>
          <w:bottom w:w="28" w:type="dxa"/>
          <w:right w:w="28" w:type="dxa"/>
        </w:tblCellMar>
      </w:tblPr>
      <w:tblGrid>
        <w:gridCol w:w="3996"/>
        <w:gridCol w:w="146"/>
        <w:gridCol w:w="381"/>
        <w:gridCol w:w="1059"/>
        <w:gridCol w:w="146"/>
        <w:gridCol w:w="146"/>
        <w:gridCol w:w="361"/>
        <w:gridCol w:w="1004"/>
        <w:gridCol w:w="471"/>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7"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471" w:type="dxa"/>
            <w:tcBorders/>
            <w:shd w:fill="FFFFFF" w:val="clear"/>
            <w:vAlign w:val="center"/>
          </w:tcPr>
          <w:p>
            <w:pPr>
              <w:pStyle w:val="TableContents"/>
              <w:bidi w:val="0"/>
              <w:spacing w:before="0" w:after="283"/>
              <w:jc w:val="center"/>
              <w:rPr/>
            </w:pPr>
            <w:r>
              <w:rPr/>
              <w:t> </w:t>
            </w:r>
          </w:p>
        </w:tc>
      </w:tr>
      <w:tr>
        <w:trPr/>
        <w:tc>
          <w:tcPr>
            <w:tcW w:w="39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Contract Assets included under:</w:t>
            </w:r>
          </w:p>
        </w:tc>
        <w:tc>
          <w:tcPr>
            <w:tcW w:w="146" w:type="dxa"/>
            <w:tcBorders/>
            <w:shd w:fill="CFF0FC" w:val="clear"/>
            <w:vAlign w:val="center"/>
          </w:tcPr>
          <w:p>
            <w:pPr>
              <w:pStyle w:val="TableContents"/>
              <w:bidi w:val="0"/>
              <w:spacing w:before="0" w:after="283"/>
              <w:jc w:val="left"/>
              <w:rPr/>
            </w:pPr>
            <w:r>
              <w:rPr/>
              <w:t> </w:t>
            </w:r>
          </w:p>
        </w:tc>
        <w:tc>
          <w:tcPr>
            <w:tcW w:w="144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399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2,893</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399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99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contract assets</w:t>
            </w:r>
          </w:p>
        </w:tc>
        <w:tc>
          <w:tcPr>
            <w:tcW w:w="146" w:type="dxa"/>
            <w:tcBorders/>
            <w:shd w:fill="FFFFFF" w:val="cle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7,676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144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399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4,089</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399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Non-current</w:t>
            </w:r>
          </w:p>
        </w:tc>
        <w:tc>
          <w:tcPr>
            <w:tcW w:w="146" w:type="dxa"/>
            <w:tcBorders/>
            <w:shd w:fill="CFF0FC" w:val="cle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99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contract liabilities</w:t>
            </w:r>
          </w:p>
        </w:tc>
        <w:tc>
          <w:tcPr>
            <w:tcW w:w="146" w:type="dxa"/>
            <w:tcBorders/>
            <w:shd w:fill="FFFFFF" w:val="cle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pPr>
      <w:r>
        <w:rPr/>
        <w:t> </w:t>
      </w:r>
    </w:p>
    <w:p>
      <w:pPr>
        <w:pStyle w:val="TextBody"/>
        <w:bidi w:val="0"/>
        <w:spacing w:before="12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The amortization of related contract assets included in</w:t>
      </w:r>
      <w:r>
        <w:rPr>
          <w:rFonts w:ascii="Times New Roman" w:hAnsi="Times New Roman"/>
          <w:color w:val="000000"/>
          <w:sz w:val="20"/>
        </w:rPr>
        <w:t xml:space="preserve"> </w:t>
      </w:r>
      <w:r>
        <w:rPr>
          <w:rFonts w:ascii="Arial" w:hAnsi="Arial"/>
          <w:color w:val="000000"/>
          <w:sz w:val="20"/>
        </w:rPr>
        <w:t>the condensed consolidated statements of operations and comprehensive income was as follows:</w:t>
      </w:r>
    </w:p>
    <w:tbl>
      <w:tblPr>
        <w:tblW w:w="10205" w:type="dxa"/>
        <w:jc w:val="left"/>
        <w:tblInd w:w="0" w:type="dxa"/>
        <w:tblLayout w:type="fixed"/>
        <w:tblCellMar>
          <w:top w:w="28" w:type="dxa"/>
          <w:left w:w="28" w:type="dxa"/>
          <w:bottom w:w="28" w:type="dxa"/>
          <w:right w:w="28" w:type="dxa"/>
        </w:tblCellMar>
      </w:tblPr>
      <w:tblGrid>
        <w:gridCol w:w="2904"/>
        <w:gridCol w:w="146"/>
        <w:gridCol w:w="404"/>
        <w:gridCol w:w="808"/>
        <w:gridCol w:w="280"/>
        <w:gridCol w:w="280"/>
        <w:gridCol w:w="404"/>
        <w:gridCol w:w="808"/>
        <w:gridCol w:w="426"/>
        <w:gridCol w:w="426"/>
        <w:gridCol w:w="333"/>
        <w:gridCol w:w="927"/>
        <w:gridCol w:w="230"/>
        <w:gridCol w:w="230"/>
        <w:gridCol w:w="333"/>
        <w:gridCol w:w="927"/>
        <w:gridCol w:w="339"/>
      </w:tblGrid>
      <w:tr>
        <w:trPr/>
        <w:tc>
          <w:tcPr>
            <w:tcW w:w="2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9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2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16" w:type="dxa"/>
            <w:gridSpan w:val="14"/>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9" w:type="dxa"/>
            <w:tcBorders/>
            <w:shd w:fill="FFFFFF" w:val="clear"/>
            <w:vAlign w:val="center"/>
          </w:tcPr>
          <w:p>
            <w:pPr>
              <w:pStyle w:val="TableContents"/>
              <w:bidi w:val="0"/>
              <w:spacing w:before="0" w:after="283"/>
              <w:jc w:val="center"/>
              <w:rPr/>
            </w:pPr>
            <w:r>
              <w:rPr/>
              <w:t> </w:t>
            </w:r>
          </w:p>
        </w:tc>
      </w:tr>
      <w:tr>
        <w:trPr/>
        <w:tc>
          <w:tcPr>
            <w:tcW w:w="290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280"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635</w:t>
            </w:r>
          </w:p>
        </w:tc>
        <w:tc>
          <w:tcPr>
            <w:tcW w:w="426" w:type="dxa"/>
            <w:tcBorders/>
            <w:shd w:fill="CFF0FC" w:val="clear"/>
            <w:vAlign w:val="center"/>
          </w:tcPr>
          <w:p>
            <w:pPr>
              <w:pStyle w:val="TableContents"/>
              <w:bidi w:val="0"/>
              <w:spacing w:before="0" w:after="283"/>
              <w:ind w:left="0" w:right="0" w:firstLine="140"/>
              <w:jc w:val="left"/>
              <w:rPr/>
            </w:pPr>
            <w:r>
              <w:rPr/>
              <w:t> </w:t>
            </w:r>
          </w:p>
        </w:tc>
        <w:tc>
          <w:tcPr>
            <w:tcW w:w="426" w:type="dxa"/>
            <w:tcBorders/>
            <w:shd w:fill="CFF0FC" w:val="clear"/>
            <w:vAlign w:val="center"/>
          </w:tcPr>
          <w:p>
            <w:pPr>
              <w:pStyle w:val="TableContents"/>
              <w:bidi w:val="0"/>
              <w:spacing w:before="0" w:after="283"/>
              <w:ind w:left="140" w:right="0" w:firstLine="140"/>
              <w:jc w:val="left"/>
              <w:rPr/>
            </w:pPr>
            <w:r>
              <w:rPr/>
              <w:t> </w:t>
            </w:r>
          </w:p>
        </w:tc>
        <w:tc>
          <w:tcPr>
            <w:tcW w:w="33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459</w:t>
            </w:r>
          </w:p>
        </w:tc>
        <w:tc>
          <w:tcPr>
            <w:tcW w:w="230"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1,888</w:t>
            </w:r>
          </w:p>
        </w:tc>
        <w:tc>
          <w:tcPr>
            <w:tcW w:w="339" w:type="dxa"/>
            <w:tcBorders/>
            <w:shd w:fill="CFF0FC" w:val="clear"/>
            <w:vAlign w:val="center"/>
          </w:tcPr>
          <w:p>
            <w:pPr>
              <w:pStyle w:val="TableContents"/>
              <w:bidi w:val="0"/>
              <w:spacing w:before="0" w:after="283"/>
              <w:jc w:val="left"/>
              <w:rPr/>
            </w:pPr>
            <w:r>
              <w:rPr/>
              <w:t> </w:t>
            </w:r>
          </w:p>
        </w:tc>
      </w:tr>
      <w:tr>
        <w:trPr/>
        <w:tc>
          <w:tcPr>
            <w:tcW w:w="290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740</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2,268</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904"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amortization of contact assets</w:t>
            </w:r>
          </w:p>
        </w:tc>
        <w:tc>
          <w:tcPr>
            <w:tcW w:w="146" w:type="dxa"/>
            <w:tcBorders/>
            <w:shd w:fill="CFF0FC" w:val="cle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756</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2,727</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Revenue recognized during the three months ended September 30, 2024 and 2023 that was included in the contract liabilities balance at the beginning of each of the periods was $1.1</w:t>
      </w:r>
      <w:r>
        <w:rPr>
          <w:rFonts w:ascii="Times New Roman" w:hAnsi="Times New Roman"/>
          <w:color w:val="000000"/>
          <w:sz w:val="20"/>
        </w:rPr>
        <w:t xml:space="preserve"> </w:t>
      </w:r>
      <w:r>
        <w:rPr>
          <w:rFonts w:ascii="Arial" w:hAnsi="Arial"/>
          <w:color w:val="000000"/>
          <w:sz w:val="20"/>
        </w:rPr>
        <w:t>million and $0.5</w:t>
      </w:r>
      <w:r>
        <w:rPr>
          <w:rFonts w:ascii="Times New Roman" w:hAnsi="Times New Roman"/>
          <w:color w:val="000000"/>
          <w:sz w:val="20"/>
        </w:rPr>
        <w:t xml:space="preserve"> </w:t>
      </w:r>
      <w:r>
        <w:rPr>
          <w:rFonts w:ascii="Arial" w:hAnsi="Arial"/>
          <w:color w:val="000000"/>
          <w:sz w:val="20"/>
        </w:rPr>
        <w:t>million, respectively. Revenue recognized during the nine months ended September 30, 2024 and 2023 that was included in the contract liabilities balance at the beginning of each of the periods was $3.6</w:t>
      </w:r>
      <w:r>
        <w:rPr>
          <w:rFonts w:ascii="Times New Roman" w:hAnsi="Times New Roman"/>
          <w:color w:val="000000"/>
          <w:sz w:val="20"/>
        </w:rPr>
        <w:t xml:space="preserve"> </w:t>
      </w:r>
      <w:r>
        <w:rPr>
          <w:rFonts w:ascii="Arial" w:hAnsi="Arial"/>
          <w:color w:val="000000"/>
          <w:sz w:val="20"/>
        </w:rPr>
        <w:t>million and $1.4</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83"/>
        <w:jc w:val="left"/>
        <w:rPr>
          <w:rFonts w:ascii="Arial" w:hAnsi="Arial"/>
          <w:b/>
          <w:color w:val="000000"/>
          <w:sz w:val="20"/>
        </w:rPr>
      </w:pPr>
      <w:r>
        <w:rPr>
          <w:rFonts w:ascii="Arial" w:hAnsi="Arial"/>
          <w:b/>
          <w:color w:val="000000"/>
          <w:sz w:val="20"/>
        </w:rPr>
        <w:t>4. Property and Equipment, net</w:t>
      </w:r>
    </w:p>
    <w:p>
      <w:pPr>
        <w:pStyle w:val="TextBody"/>
        <w:bidi w:val="0"/>
        <w:spacing w:before="120" w:after="120"/>
        <w:jc w:val="left"/>
        <w:rPr>
          <w:rFonts w:ascii="Arial" w:hAnsi="Arial"/>
          <w:color w:val="000000"/>
          <w:sz w:val="20"/>
        </w:rPr>
      </w:pPr>
      <w:r>
        <w:rPr>
          <w:rFonts w:ascii="Arial" w:hAnsi="Arial"/>
          <w:color w:val="000000"/>
          <w:sz w:val="20"/>
        </w:rPr>
        <w:t>Property and equipment, net consisted of the following:</w:t>
      </w:r>
    </w:p>
    <w:tbl>
      <w:tblPr>
        <w:tblW w:w="6925" w:type="dxa"/>
        <w:jc w:val="left"/>
        <w:tblInd w:w="0" w:type="dxa"/>
        <w:tblLayout w:type="fixed"/>
        <w:tblCellMar>
          <w:top w:w="28" w:type="dxa"/>
          <w:left w:w="28" w:type="dxa"/>
          <w:bottom w:w="28" w:type="dxa"/>
          <w:right w:w="28" w:type="dxa"/>
        </w:tblCellMar>
      </w:tblPr>
      <w:tblGrid>
        <w:gridCol w:w="3191"/>
        <w:gridCol w:w="146"/>
        <w:gridCol w:w="354"/>
        <w:gridCol w:w="1086"/>
        <w:gridCol w:w="166"/>
        <w:gridCol w:w="146"/>
        <w:gridCol w:w="336"/>
        <w:gridCol w:w="1029"/>
        <w:gridCol w:w="471"/>
      </w:tblGrid>
      <w:tr>
        <w:trPr/>
        <w:tc>
          <w:tcPr>
            <w:tcW w:w="3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3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17"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471" w:type="dxa"/>
            <w:tcBorders/>
            <w:shd w:fill="FFFFFF" w:val="clear"/>
            <w:vAlign w:val="center"/>
          </w:tcPr>
          <w:p>
            <w:pPr>
              <w:pStyle w:val="TableContents"/>
              <w:bidi w:val="0"/>
              <w:spacing w:before="0" w:after="283"/>
              <w:jc w:val="center"/>
              <w:rPr/>
            </w:pPr>
            <w:r>
              <w:rPr/>
              <w:t> </w:t>
            </w:r>
          </w:p>
        </w:tc>
      </w:tr>
      <w:tr>
        <w:trPr/>
        <w:tc>
          <w:tcPr>
            <w:tcW w:w="31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6,293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6,059</w:t>
            </w:r>
          </w:p>
        </w:tc>
        <w:tc>
          <w:tcPr>
            <w:tcW w:w="471" w:type="dxa"/>
            <w:tcBorders/>
            <w:shd w:fill="CFF0FC" w:val="clear"/>
            <w:vAlign w:val="center"/>
          </w:tcPr>
          <w:p>
            <w:pPr>
              <w:pStyle w:val="TableContents"/>
              <w:bidi w:val="0"/>
              <w:spacing w:before="0" w:after="283"/>
              <w:jc w:val="left"/>
              <w:rPr/>
            </w:pPr>
            <w:r>
              <w:rPr/>
              <w:t> </w:t>
            </w:r>
          </w:p>
        </w:tc>
      </w:tr>
      <w:tr>
        <w:trPr/>
        <w:tc>
          <w:tcPr>
            <w:tcW w:w="31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1,715</w:t>
            </w:r>
          </w:p>
        </w:tc>
        <w:tc>
          <w:tcPr>
            <w:tcW w:w="471" w:type="dxa"/>
            <w:tcBorders/>
            <w:shd w:fill="FFFFFF" w:val="clear"/>
            <w:vAlign w:val="center"/>
          </w:tcPr>
          <w:p>
            <w:pPr>
              <w:pStyle w:val="TableContents"/>
              <w:bidi w:val="0"/>
              <w:spacing w:before="0" w:after="283"/>
              <w:jc w:val="left"/>
              <w:rPr/>
            </w:pPr>
            <w:r>
              <w:rPr/>
              <w:t> </w:t>
            </w:r>
          </w:p>
        </w:tc>
      </w:tr>
      <w:tr>
        <w:trPr/>
        <w:tc>
          <w:tcPr>
            <w:tcW w:w="31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19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8,480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8,170</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19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19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Depreciation expense recorded for property and equipment was $0.2</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for the three months ended September 30, 2024 and 2023, respectively, and $0.6</w:t>
      </w:r>
      <w:r>
        <w:rPr>
          <w:rFonts w:ascii="Times New Roman" w:hAnsi="Times New Roman"/>
          <w:color w:val="000000"/>
          <w:sz w:val="20"/>
        </w:rPr>
        <w:t xml:space="preserve"> </w:t>
      </w:r>
      <w:r>
        <w:rPr>
          <w:rFonts w:ascii="Arial" w:hAnsi="Arial"/>
          <w:color w:val="000000"/>
          <w:sz w:val="20"/>
        </w:rPr>
        <w:t>million and $0.7</w:t>
      </w:r>
      <w:r>
        <w:rPr>
          <w:rFonts w:ascii="Times New Roman" w:hAnsi="Times New Roman"/>
          <w:color w:val="000000"/>
          <w:sz w:val="20"/>
        </w:rPr>
        <w:t xml:space="preserve"> </w:t>
      </w:r>
      <w:r>
        <w:rPr>
          <w:rFonts w:ascii="Arial" w:hAnsi="Arial"/>
          <w:color w:val="000000"/>
          <w:sz w:val="20"/>
        </w:rPr>
        <w:t>million for nine months ended September 30, 2024 and 2023, respectively.</w:t>
      </w:r>
    </w:p>
    <w:p>
      <w:pPr>
        <w:pStyle w:val="TextBody"/>
        <w:bidi w:val="0"/>
        <w:spacing w:before="120" w:after="120"/>
        <w:jc w:val="both"/>
        <w:rPr>
          <w:rFonts w:ascii="Times New Roman" w:hAnsi="Times New Roman"/>
          <w:sz w:val="20"/>
        </w:rPr>
      </w:pPr>
      <w:r>
        <w:rPr>
          <w:rFonts w:ascii="Arial" w:hAnsi="Arial"/>
          <w:color w:val="000000"/>
          <w:sz w:val="20"/>
        </w:rPr>
        <w:t>The geographic locations of the Company</w:t>
      </w:r>
      <w:r>
        <w:rPr>
          <w:rFonts w:ascii="Times New Roman" w:hAnsi="Times New Roman"/>
          <w:color w:val="000000"/>
          <w:sz w:val="20"/>
        </w:rPr>
        <w:t>’</w:t>
      </w:r>
      <w:r>
        <w:rPr>
          <w:rFonts w:ascii="Arial" w:hAnsi="Arial"/>
          <w:color w:val="000000"/>
          <w:sz w:val="20"/>
        </w:rPr>
        <w:t>s long-lived assets, comprising property and equipment, based on physical location of the assets were as follows:</w:t>
      </w:r>
      <w:r>
        <w:rPr>
          <w:rFonts w:ascii="Times New Roman" w:hAnsi="Times New Roman"/>
          <w:color w:val="000000"/>
          <w:sz w:val="20"/>
        </w:rPr>
        <w:t xml:space="preserve"> </w:t>
      </w:r>
    </w:p>
    <w:tbl>
      <w:tblPr>
        <w:tblW w:w="4880" w:type="dxa"/>
        <w:jc w:val="left"/>
        <w:tblInd w:w="0" w:type="dxa"/>
        <w:tblLayout w:type="fixed"/>
        <w:tblCellMar>
          <w:top w:w="28" w:type="dxa"/>
          <w:left w:w="28" w:type="dxa"/>
          <w:bottom w:w="28" w:type="dxa"/>
          <w:right w:w="28" w:type="dxa"/>
        </w:tblCellMar>
      </w:tblPr>
      <w:tblGrid>
        <w:gridCol w:w="1306"/>
        <w:gridCol w:w="146"/>
        <w:gridCol w:w="381"/>
        <w:gridCol w:w="1059"/>
        <w:gridCol w:w="146"/>
        <w:gridCol w:w="146"/>
        <w:gridCol w:w="361"/>
        <w:gridCol w:w="1004"/>
        <w:gridCol w:w="33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331" w:type="dxa"/>
            <w:tcBorders/>
            <w:shd w:fill="FFFFFF" w:val="cle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7"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1" w:type="dxa"/>
            <w:tcBorders/>
            <w:shd w:fill="FFFFFF" w:val="clear"/>
            <w:vAlign w:val="center"/>
          </w:tcPr>
          <w:p>
            <w:pPr>
              <w:pStyle w:val="TableContents"/>
              <w:bidi w:val="0"/>
              <w:spacing w:before="0" w:after="283"/>
              <w:jc w:val="center"/>
              <w:rPr/>
            </w:pPr>
            <w:r>
              <w:rPr/>
              <w:t> </w:t>
            </w:r>
          </w:p>
        </w:tc>
      </w:tr>
      <w:tr>
        <w:trPr/>
        <w:tc>
          <w:tcPr>
            <w:tcW w:w="13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558</w:t>
            </w:r>
          </w:p>
        </w:tc>
        <w:tc>
          <w:tcPr>
            <w:tcW w:w="331" w:type="dxa"/>
            <w:tcBorders/>
            <w:shd w:fill="CFF0FC" w:val="clear"/>
            <w:vAlign w:val="center"/>
          </w:tcPr>
          <w:p>
            <w:pPr>
              <w:pStyle w:val="TableContents"/>
              <w:bidi w:val="0"/>
              <w:spacing w:before="0" w:after="283"/>
              <w:jc w:val="left"/>
              <w:rPr/>
            </w:pPr>
            <w:r>
              <w:rPr/>
              <w:t> </w:t>
            </w:r>
          </w:p>
        </w:tc>
      </w:tr>
      <w:tr>
        <w:trPr/>
        <w:tc>
          <w:tcPr>
            <w:tcW w:w="1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30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1,558</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5. Goodwill, Internal-use Software Development Costs and Intangible Assets</w:t>
      </w:r>
    </w:p>
    <w:p>
      <w:pPr>
        <w:pStyle w:val="TextBody"/>
        <w:bidi w:val="0"/>
        <w:spacing w:before="120" w:after="283"/>
        <w:jc w:val="left"/>
        <w:rPr>
          <w:rFonts w:ascii="Arial" w:hAnsi="Arial"/>
          <w:b/>
          <w:i/>
          <w:color w:val="000000"/>
          <w:sz w:val="20"/>
        </w:rPr>
      </w:pPr>
      <w:r>
        <w:rPr>
          <w:rFonts w:ascii="Arial" w:hAnsi="Arial"/>
          <w:b/>
          <w:i/>
          <w:color w:val="000000"/>
          <w:sz w:val="20"/>
        </w:rPr>
        <w:t>Goodwill</w:t>
      </w:r>
    </w:p>
    <w:p>
      <w:pPr>
        <w:pStyle w:val="TextBody"/>
        <w:bidi w:val="0"/>
        <w:spacing w:before="120" w:after="120"/>
        <w:jc w:val="both"/>
        <w:rPr>
          <w:rFonts w:ascii="Arial" w:hAnsi="Arial"/>
          <w:color w:val="000000"/>
          <w:sz w:val="20"/>
        </w:rPr>
      </w:pPr>
      <w:r>
        <w:rPr>
          <w:rFonts w:ascii="Arial" w:hAnsi="Arial"/>
          <w:color w:val="000000"/>
          <w:sz w:val="20"/>
        </w:rPr>
        <w:t>The changes in the carrying amount of goodwill by reporting unit were as follows (in thousands):</w:t>
      </w:r>
    </w:p>
    <w:tbl>
      <w:tblPr>
        <w:tblW w:w="7268" w:type="dxa"/>
        <w:jc w:val="left"/>
        <w:tblInd w:w="0" w:type="dxa"/>
        <w:tblLayout w:type="fixed"/>
        <w:tblCellMar>
          <w:top w:w="28" w:type="dxa"/>
          <w:left w:w="28" w:type="dxa"/>
          <w:bottom w:w="28" w:type="dxa"/>
          <w:right w:w="28" w:type="dxa"/>
        </w:tblCellMar>
      </w:tblPr>
      <w:tblGrid>
        <w:gridCol w:w="3661"/>
        <w:gridCol w:w="146"/>
        <w:gridCol w:w="211"/>
        <w:gridCol w:w="796"/>
        <w:gridCol w:w="146"/>
        <w:gridCol w:w="146"/>
        <w:gridCol w:w="211"/>
        <w:gridCol w:w="421"/>
        <w:gridCol w:w="166"/>
        <w:gridCol w:w="146"/>
        <w:gridCol w:w="211"/>
        <w:gridCol w:w="796"/>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United</w:t>
              <w:br/>
              <w:t>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131,028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131,860</w:t>
            </w:r>
          </w:p>
        </w:tc>
        <w:tc>
          <w:tcPr>
            <w:tcW w:w="21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 adjustments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September 30,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131,028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131,849</w:t>
            </w:r>
          </w:p>
        </w:tc>
        <w:tc>
          <w:tcPr>
            <w:tcW w:w="21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b/>
          <w:i/>
          <w:color w:val="000000"/>
          <w:sz w:val="20"/>
        </w:rPr>
      </w:pPr>
      <w:r>
        <w:rPr>
          <w:rFonts w:ascii="Arial" w:hAnsi="Arial"/>
          <w:b/>
          <w:i/>
          <w:color w:val="000000"/>
          <w:sz w:val="20"/>
        </w:rPr>
        <w:t>Internal-use Software Development Costs</w:t>
      </w:r>
    </w:p>
    <w:p>
      <w:pPr>
        <w:pStyle w:val="TextBody"/>
        <w:bidi w:val="0"/>
        <w:spacing w:before="120" w:after="283"/>
        <w:jc w:val="both"/>
        <w:rPr>
          <w:rFonts w:ascii="Times New Roman" w:hAnsi="Times New Roman"/>
          <w:sz w:val="20"/>
        </w:rPr>
      </w:pPr>
      <w:r>
        <w:rPr>
          <w:rFonts w:ascii="Arial" w:hAnsi="Arial"/>
          <w:color w:val="000000"/>
          <w:sz w:val="20"/>
        </w:rPr>
        <w:t>During the three months ended September 30, 2024 and 2023, the Company capitalized $9.0</w:t>
      </w:r>
      <w:r>
        <w:rPr>
          <w:rFonts w:ascii="Times New Roman" w:hAnsi="Times New Roman"/>
          <w:color w:val="000000"/>
          <w:sz w:val="20"/>
        </w:rPr>
        <w:t xml:space="preserve"> </w:t>
      </w:r>
      <w:r>
        <w:rPr>
          <w:rFonts w:ascii="Arial" w:hAnsi="Arial"/>
          <w:color w:val="000000"/>
          <w:sz w:val="20"/>
        </w:rPr>
        <w:t>million and $8.7</w:t>
      </w:r>
      <w:r>
        <w:rPr>
          <w:rFonts w:ascii="Times New Roman" w:hAnsi="Times New Roman"/>
          <w:color w:val="000000"/>
          <w:sz w:val="20"/>
        </w:rPr>
        <w:t xml:space="preserve"> </w:t>
      </w:r>
      <w:r>
        <w:rPr>
          <w:rFonts w:ascii="Arial" w:hAnsi="Arial"/>
          <w:color w:val="000000"/>
          <w:sz w:val="20"/>
        </w:rPr>
        <w:t>million in software development and implementation costs, respectively, and during the nine months ended September 30, 2024 and 2023, the Company capitalized $27.4</w:t>
      </w:r>
      <w:r>
        <w:rPr>
          <w:rFonts w:ascii="Times New Roman" w:hAnsi="Times New Roman"/>
          <w:color w:val="000000"/>
          <w:sz w:val="20"/>
        </w:rPr>
        <w:t xml:space="preserve"> </w:t>
      </w:r>
      <w:r>
        <w:rPr>
          <w:rFonts w:ascii="Arial" w:hAnsi="Arial"/>
          <w:color w:val="000000"/>
          <w:sz w:val="20"/>
        </w:rPr>
        <w:t>million and $25.3</w:t>
      </w:r>
      <w:r>
        <w:rPr>
          <w:rFonts w:ascii="Times New Roman" w:hAnsi="Times New Roman"/>
          <w:color w:val="000000"/>
          <w:sz w:val="20"/>
        </w:rPr>
        <w:t xml:space="preserve"> </w:t>
      </w:r>
      <w:r>
        <w:rPr>
          <w:rFonts w:ascii="Arial" w:hAnsi="Arial"/>
          <w:color w:val="000000"/>
          <w:sz w:val="20"/>
        </w:rPr>
        <w:t>million in software development and implementation costs, respectively.</w:t>
      </w:r>
    </w:p>
    <w:p>
      <w:pPr>
        <w:pStyle w:val="TextBody"/>
        <w:bidi w:val="0"/>
        <w:spacing w:before="12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During the three months ended September 30, 2024 and 2023, the Company recorded $4.6</w:t>
      </w:r>
      <w:r>
        <w:rPr>
          <w:rFonts w:ascii="Times New Roman" w:hAnsi="Times New Roman"/>
          <w:color w:val="000000"/>
          <w:sz w:val="20"/>
        </w:rPr>
        <w:t xml:space="preserve"> </w:t>
      </w:r>
      <w:r>
        <w:rPr>
          <w:rFonts w:ascii="Arial" w:hAnsi="Arial"/>
          <w:color w:val="000000"/>
          <w:sz w:val="20"/>
        </w:rPr>
        <w:t>million and $3.5</w:t>
      </w:r>
      <w:r>
        <w:rPr>
          <w:rFonts w:ascii="Times New Roman" w:hAnsi="Times New Roman"/>
          <w:color w:val="000000"/>
          <w:sz w:val="20"/>
        </w:rPr>
        <w:t xml:space="preserve"> </w:t>
      </w:r>
      <w:r>
        <w:rPr>
          <w:rFonts w:ascii="Arial" w:hAnsi="Arial"/>
          <w:color w:val="000000"/>
          <w:sz w:val="20"/>
        </w:rPr>
        <w:t>million of amortization expense in cost of revenue, respectively, and $2.5</w:t>
      </w:r>
      <w:r>
        <w:rPr>
          <w:rFonts w:ascii="Times New Roman" w:hAnsi="Times New Roman"/>
          <w:color w:val="000000"/>
          <w:sz w:val="20"/>
        </w:rPr>
        <w:t xml:space="preserve"> </w:t>
      </w:r>
      <w:r>
        <w:rPr>
          <w:rFonts w:ascii="Arial" w:hAnsi="Arial"/>
          <w:color w:val="000000"/>
          <w:sz w:val="20"/>
        </w:rPr>
        <w:t>million and $2.0</w:t>
      </w:r>
      <w:r>
        <w:rPr>
          <w:rFonts w:ascii="Times New Roman" w:hAnsi="Times New Roman"/>
          <w:color w:val="000000"/>
          <w:sz w:val="20"/>
        </w:rPr>
        <w:t xml:space="preserve"> </w:t>
      </w:r>
      <w:r>
        <w:rPr>
          <w:rFonts w:ascii="Arial" w:hAnsi="Arial"/>
          <w:color w:val="000000"/>
          <w:sz w:val="20"/>
        </w:rPr>
        <w:t>million of amortization expense in operating expenses, respectively. During the nine months ended September 30, 2024 and 2023, the Company recorded $13.0</w:t>
      </w:r>
      <w:r>
        <w:rPr>
          <w:rFonts w:ascii="Times New Roman" w:hAnsi="Times New Roman"/>
          <w:color w:val="000000"/>
          <w:sz w:val="20"/>
        </w:rPr>
        <w:t xml:space="preserve"> </w:t>
      </w:r>
      <w:r>
        <w:rPr>
          <w:rFonts w:ascii="Arial" w:hAnsi="Arial"/>
          <w:color w:val="000000"/>
          <w:sz w:val="20"/>
        </w:rPr>
        <w:t>million and $9.5</w:t>
      </w:r>
      <w:r>
        <w:rPr>
          <w:rFonts w:ascii="Times New Roman" w:hAnsi="Times New Roman"/>
          <w:color w:val="000000"/>
          <w:sz w:val="20"/>
        </w:rPr>
        <w:t xml:space="preserve"> </w:t>
      </w:r>
      <w:r>
        <w:rPr>
          <w:rFonts w:ascii="Arial" w:hAnsi="Arial"/>
          <w:color w:val="000000"/>
          <w:sz w:val="20"/>
        </w:rPr>
        <w:t>million of amortization expense in cost of revenue, respectively, and $7.1</w:t>
      </w:r>
      <w:r>
        <w:rPr>
          <w:rFonts w:ascii="Times New Roman" w:hAnsi="Times New Roman"/>
          <w:color w:val="000000"/>
          <w:sz w:val="20"/>
        </w:rPr>
        <w:t xml:space="preserve"> </w:t>
      </w:r>
      <w:r>
        <w:rPr>
          <w:rFonts w:ascii="Arial" w:hAnsi="Arial"/>
          <w:color w:val="000000"/>
          <w:sz w:val="20"/>
        </w:rPr>
        <w:t>million and $5.8</w:t>
      </w:r>
      <w:r>
        <w:rPr>
          <w:rFonts w:ascii="Times New Roman" w:hAnsi="Times New Roman"/>
          <w:color w:val="000000"/>
          <w:sz w:val="20"/>
        </w:rPr>
        <w:t xml:space="preserve"> </w:t>
      </w:r>
      <w:r>
        <w:rPr>
          <w:rFonts w:ascii="Arial" w:hAnsi="Arial"/>
          <w:color w:val="000000"/>
          <w:sz w:val="20"/>
        </w:rPr>
        <w:t>million of amortization expense in operating expenses, respectively.</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Intangible Assets</w:t>
      </w:r>
    </w:p>
    <w:p>
      <w:pPr>
        <w:pStyle w:val="TextBody"/>
        <w:bidi w:val="0"/>
        <w:spacing w:before="120" w:after="120"/>
        <w:jc w:val="both"/>
        <w:rPr>
          <w:rFonts w:ascii="Arial" w:hAnsi="Arial"/>
          <w:color w:val="000000"/>
          <w:sz w:val="20"/>
        </w:rPr>
      </w:pPr>
      <w:r>
        <w:rPr>
          <w:rFonts w:ascii="Arial" w:hAnsi="Arial"/>
          <w:color w:val="000000"/>
          <w:sz w:val="20"/>
        </w:rPr>
        <w:t>Intangible assets, net consisted of the following (in thousands):</w:t>
      </w:r>
    </w:p>
    <w:tbl>
      <w:tblPr>
        <w:tblW w:w="6217" w:type="dxa"/>
        <w:jc w:val="left"/>
        <w:tblInd w:w="0" w:type="dxa"/>
        <w:tblLayout w:type="fixed"/>
        <w:tblCellMar>
          <w:top w:w="28" w:type="dxa"/>
          <w:left w:w="28" w:type="dxa"/>
          <w:bottom w:w="28" w:type="dxa"/>
          <w:right w:w="28" w:type="dxa"/>
        </w:tblCellMar>
      </w:tblPr>
      <w:tblGrid>
        <w:gridCol w:w="2011"/>
        <w:gridCol w:w="146"/>
        <w:gridCol w:w="211"/>
        <w:gridCol w:w="691"/>
        <w:gridCol w:w="146"/>
        <w:gridCol w:w="146"/>
        <w:gridCol w:w="289"/>
        <w:gridCol w:w="1032"/>
        <w:gridCol w:w="166"/>
        <w:gridCol w:w="146"/>
        <w:gridCol w:w="211"/>
        <w:gridCol w:w="691"/>
        <w:gridCol w:w="33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Net</w:t>
              <w:br/>
              <w:t>Carrying</w:t>
              <w:br/>
              <w:t>Amount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(17,767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4,066</w:t>
            </w:r>
          </w:p>
        </w:tc>
        <w:tc>
          <w:tcPr>
            <w:tcW w:w="33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31,991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(15,917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16,074</w:t>
            </w:r>
          </w:p>
        </w:tc>
        <w:tc>
          <w:tcPr>
            <w:tcW w:w="33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Software and license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(2,946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33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Trademark</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01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21,096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217" w:type="dxa"/>
        <w:jc w:val="left"/>
        <w:tblInd w:w="0" w:type="dxa"/>
        <w:tblLayout w:type="fixed"/>
        <w:tblCellMar>
          <w:top w:w="28" w:type="dxa"/>
          <w:left w:w="28" w:type="dxa"/>
          <w:bottom w:w="28" w:type="dxa"/>
          <w:right w:w="28" w:type="dxa"/>
        </w:tblCellMar>
      </w:tblPr>
      <w:tblGrid>
        <w:gridCol w:w="2011"/>
        <w:gridCol w:w="146"/>
        <w:gridCol w:w="211"/>
        <w:gridCol w:w="691"/>
        <w:gridCol w:w="146"/>
        <w:gridCol w:w="146"/>
        <w:gridCol w:w="289"/>
        <w:gridCol w:w="1032"/>
        <w:gridCol w:w="166"/>
        <w:gridCol w:w="146"/>
        <w:gridCol w:w="211"/>
        <w:gridCol w:w="691"/>
        <w:gridCol w:w="33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Net</w:t>
              <w:br/>
              <w:t>Carrying</w:t>
              <w:br/>
              <w:t>Amount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(14,951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6,894</w:t>
            </w:r>
          </w:p>
        </w:tc>
        <w:tc>
          <w:tcPr>
            <w:tcW w:w="33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32,006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(13,480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18,526</w:t>
            </w:r>
          </w:p>
        </w:tc>
        <w:tc>
          <w:tcPr>
            <w:tcW w:w="33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Software and license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(2,979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33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Trademark</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01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60,908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27,158</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Amortization expense of intangible assets was $2.0</w:t>
      </w:r>
      <w:r>
        <w:rPr>
          <w:rFonts w:ascii="Times New Roman" w:hAnsi="Times New Roman"/>
          <w:color w:val="000000"/>
          <w:sz w:val="20"/>
        </w:rPr>
        <w:t xml:space="preserve"> </w:t>
      </w:r>
      <w:r>
        <w:rPr>
          <w:rFonts w:ascii="Arial" w:hAnsi="Arial"/>
          <w:color w:val="000000"/>
          <w:sz w:val="20"/>
        </w:rPr>
        <w:t>million and $2.1</w:t>
      </w:r>
      <w:r>
        <w:rPr>
          <w:rFonts w:ascii="Times New Roman" w:hAnsi="Times New Roman"/>
          <w:color w:val="000000"/>
          <w:sz w:val="20"/>
        </w:rPr>
        <w:t xml:space="preserve"> </w:t>
      </w:r>
      <w:r>
        <w:rPr>
          <w:rFonts w:ascii="Arial" w:hAnsi="Arial"/>
          <w:color w:val="000000"/>
          <w:sz w:val="20"/>
        </w:rPr>
        <w:t>million for the three months ended September 30, 2024 and 2023, respectively, and $6.1</w:t>
      </w:r>
      <w:r>
        <w:rPr>
          <w:rFonts w:ascii="Times New Roman" w:hAnsi="Times New Roman"/>
          <w:color w:val="000000"/>
          <w:sz w:val="20"/>
        </w:rPr>
        <w:t xml:space="preserve"> </w:t>
      </w:r>
      <w:r>
        <w:rPr>
          <w:rFonts w:ascii="Arial" w:hAnsi="Arial"/>
          <w:color w:val="000000"/>
          <w:sz w:val="20"/>
        </w:rPr>
        <w:t>million and $6.4</w:t>
      </w:r>
      <w:r>
        <w:rPr>
          <w:rFonts w:ascii="Times New Roman" w:hAnsi="Times New Roman"/>
          <w:color w:val="000000"/>
          <w:sz w:val="20"/>
        </w:rPr>
        <w:t xml:space="preserve"> </w:t>
      </w:r>
      <w:r>
        <w:rPr>
          <w:rFonts w:ascii="Arial" w:hAnsi="Arial"/>
          <w:color w:val="000000"/>
          <w:sz w:val="20"/>
        </w:rPr>
        <w:t>million for the nine months ended September 30, 2024 and 2023, respectively.</w:t>
      </w:r>
    </w:p>
    <w:p>
      <w:pPr>
        <w:pStyle w:val="TextBody"/>
        <w:bidi w:val="0"/>
        <w:spacing w:before="120" w:after="120"/>
        <w:jc w:val="both"/>
        <w:rPr>
          <w:rFonts w:ascii="Arial" w:hAnsi="Arial"/>
          <w:color w:val="000000"/>
          <w:sz w:val="20"/>
        </w:rPr>
      </w:pPr>
      <w:r>
        <w:rPr>
          <w:rFonts w:ascii="Arial" w:hAnsi="Arial"/>
          <w:color w:val="000000"/>
          <w:sz w:val="20"/>
        </w:rPr>
        <w:t>As of September 30, 2024, future expected amortization expense is as follows (in thousands):</w:t>
      </w:r>
    </w:p>
    <w:tbl>
      <w:tblPr>
        <w:tblW w:w="4830" w:type="dxa"/>
        <w:jc w:val="left"/>
        <w:tblInd w:w="0" w:type="dxa"/>
        <w:tblLayout w:type="fixed"/>
        <w:tblCellMar>
          <w:top w:w="28" w:type="dxa"/>
          <w:left w:w="28" w:type="dxa"/>
          <w:bottom w:w="28" w:type="dxa"/>
          <w:right w:w="28" w:type="dxa"/>
        </w:tblCellMar>
      </w:tblPr>
      <w:tblGrid>
        <w:gridCol w:w="3311"/>
        <w:gridCol w:w="146"/>
        <w:gridCol w:w="211"/>
        <w:gridCol w:w="691"/>
        <w:gridCol w:w="471"/>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Years Ending December 31,</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331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2024 (remaining 3 months)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2,036</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331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6,604</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331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3,738</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331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3,269</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331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3,269</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331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future amortization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21,096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impairments of goodwill, internal-use software development costs or intangible assets in the three or nine months ended September 30, 2024 and 2023.</w:t>
      </w:r>
    </w:p>
    <w:p>
      <w:pPr>
        <w:pStyle w:val="TextBody"/>
        <w:bidi w:val="0"/>
        <w:spacing w:before="240" w:after="283"/>
        <w:jc w:val="left"/>
        <w:rPr>
          <w:rFonts w:ascii="Arial" w:hAnsi="Arial"/>
          <w:b/>
          <w:color w:val="000000"/>
          <w:sz w:val="20"/>
        </w:rPr>
      </w:pPr>
      <w:r>
        <w:rPr>
          <w:rFonts w:ascii="Arial" w:hAnsi="Arial"/>
          <w:b/>
          <w:color w:val="000000"/>
          <w:sz w:val="20"/>
        </w:rPr>
        <w:t>6. Accrued Liabilities</w:t>
      </w:r>
    </w:p>
    <w:p>
      <w:pPr>
        <w:pStyle w:val="TextBody"/>
        <w:bidi w:val="0"/>
        <w:spacing w:before="120" w:after="120"/>
        <w:jc w:val="both"/>
        <w:rPr>
          <w:rFonts w:ascii="Arial" w:hAnsi="Arial"/>
          <w:color w:val="000000"/>
          <w:sz w:val="20"/>
        </w:rPr>
      </w:pPr>
      <w:r>
        <w:rPr>
          <w:rFonts w:ascii="Arial" w:hAnsi="Arial"/>
          <w:color w:val="000000"/>
          <w:sz w:val="20"/>
        </w:rPr>
        <w:t>The composition of accrued liabilities is as follows:</w:t>
      </w:r>
    </w:p>
    <w:tbl>
      <w:tblPr>
        <w:tblW w:w="7115" w:type="dxa"/>
        <w:jc w:val="left"/>
        <w:tblInd w:w="0" w:type="dxa"/>
        <w:tblLayout w:type="fixed"/>
        <w:tblCellMar>
          <w:top w:w="28" w:type="dxa"/>
          <w:left w:w="28" w:type="dxa"/>
          <w:bottom w:w="28" w:type="dxa"/>
          <w:right w:w="28" w:type="dxa"/>
        </w:tblCellMar>
      </w:tblPr>
      <w:tblGrid>
        <w:gridCol w:w="3541"/>
        <w:gridCol w:w="146"/>
        <w:gridCol w:w="335"/>
        <w:gridCol w:w="1105"/>
        <w:gridCol w:w="146"/>
        <w:gridCol w:w="146"/>
        <w:gridCol w:w="319"/>
        <w:gridCol w:w="1046"/>
        <w:gridCol w:w="33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331" w:type="dxa"/>
            <w:tcBorders/>
            <w:shd w:fill="FFFFFF" w:val="cle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7"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1" w:type="dxa"/>
            <w:tcBorders/>
            <w:shd w:fill="FFFFFF" w:val="cle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Payroll and employee-related expenses</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14,129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15,455</w:t>
            </w:r>
          </w:p>
        </w:tc>
        <w:tc>
          <w:tcPr>
            <w:tcW w:w="33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accrued liabilities</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54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21,301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7. Commitments and Contingencies</w:t>
      </w:r>
    </w:p>
    <w:p>
      <w:pPr>
        <w:pStyle w:val="TextBody"/>
        <w:bidi w:val="0"/>
        <w:spacing w:before="120" w:after="283"/>
        <w:jc w:val="both"/>
        <w:rPr>
          <w:rFonts w:ascii="Times New Roman" w:hAnsi="Times New Roman"/>
          <w:sz w:val="20"/>
        </w:rPr>
      </w:pPr>
      <w:r>
        <w:rPr>
          <w:rFonts w:ascii="Arial" w:hAnsi="Arial"/>
          <w:b/>
          <w:i/>
          <w:color w:val="000000"/>
          <w:sz w:val="20"/>
        </w:rPr>
        <w:t>Other Commitments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Company has entered into certain non-cancellable agreements for software and marketing services that specify all significant terms, including fixed or minimum services to be used, pricing provisions and the approximate timing of the transaction. Obligations under contracts that are cancellable or with remaining terms of 12 months or less are not included. There have been no material changes to the Company's contractual obligations or commitments outside of the ordinary course of business as compared to those described in the 2023 Form 10-K.</w:t>
      </w:r>
    </w:p>
    <w:p>
      <w:pPr>
        <w:pStyle w:val="TextBody"/>
        <w:bidi w:val="0"/>
        <w:spacing w:before="120" w:after="283"/>
        <w:jc w:val="both"/>
        <w:rPr>
          <w:rFonts w:ascii="Arial" w:hAnsi="Arial"/>
          <w:b/>
          <w:i/>
          <w:color w:val="000000"/>
          <w:sz w:val="20"/>
        </w:rPr>
      </w:pPr>
      <w:r>
        <w:rPr>
          <w:rFonts w:ascii="Arial" w:hAnsi="Arial"/>
          <w:b/>
          <w:i/>
          <w:color w:val="000000"/>
          <w:sz w:val="20"/>
        </w:rPr>
        <w:t>Legal Matters</w:t>
      </w:r>
    </w:p>
    <w:p>
      <w:pPr>
        <w:pStyle w:val="TextBody"/>
        <w:bidi w:val="0"/>
        <w:spacing w:before="120" w:after="283"/>
        <w:jc w:val="both"/>
        <w:rPr>
          <w:rFonts w:ascii="Times New Roman" w:hAnsi="Times New Roman"/>
          <w:sz w:val="20"/>
        </w:rPr>
      </w:pPr>
      <w:r>
        <w:rPr>
          <w:rFonts w:ascii="Arial" w:hAnsi="Arial"/>
          <w:color w:val="000000"/>
          <w:sz w:val="20"/>
        </w:rPr>
        <w:t>The Company is involved from time to time in various claims and legal proceedings arising in the ordinary course of business. From time to time as appropriate, the Company accrues liabilities related to legal claims in its financial statements. While it is not feasible to predict or determine the ultimate outcome of these matters, the Company believes that, as of September 30, 2024, no current claims and legal proceedings will have a material adverse effect on its financial position, results of operations, or cash flows.</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Indemnification</w:t>
      </w:r>
    </w:p>
    <w:p>
      <w:pPr>
        <w:pStyle w:val="TextBody"/>
        <w:bidi w:val="0"/>
        <w:spacing w:before="120" w:after="283"/>
        <w:jc w:val="both"/>
        <w:rPr>
          <w:rFonts w:ascii="Times New Roman" w:hAnsi="Times New Roman"/>
          <w:sz w:val="20"/>
        </w:rPr>
      </w:pPr>
      <w:r>
        <w:rPr>
          <w:rFonts w:ascii="Arial" w:hAnsi="Arial"/>
          <w:color w:val="000000"/>
          <w:sz w:val="20"/>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seeks to limit, or cap, its indemnification exposure in its commercial and other contracts. It is not possible to determine the maximum potential loss under these indemnification provisions due to the Company’s limited history of prior indemnification claims and the unique facts and circumstances involved in each particular provision.</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8. Equity</w:t>
      </w:r>
    </w:p>
    <w:p>
      <w:pPr>
        <w:pStyle w:val="TextBody"/>
        <w:bidi w:val="0"/>
        <w:spacing w:before="120" w:after="283"/>
        <w:jc w:val="left"/>
        <w:rPr>
          <w:rFonts w:ascii="Arial" w:hAnsi="Arial"/>
          <w:b/>
          <w:i/>
          <w:color w:val="000000"/>
          <w:sz w:val="20"/>
        </w:rPr>
      </w:pPr>
      <w:r>
        <w:rPr>
          <w:rFonts w:ascii="Arial" w:hAnsi="Arial"/>
          <w:b/>
          <w:i/>
          <w:color w:val="000000"/>
          <w:sz w:val="20"/>
        </w:rPr>
        <w:t>Warrant</w:t>
      </w:r>
    </w:p>
    <w:p>
      <w:pPr>
        <w:pStyle w:val="TextBody"/>
        <w:bidi w:val="0"/>
        <w:spacing w:before="120" w:after="283"/>
        <w:jc w:val="both"/>
        <w:rPr>
          <w:rFonts w:ascii="Times New Roman" w:hAnsi="Times New Roman"/>
          <w:sz w:val="20"/>
        </w:rPr>
      </w:pPr>
      <w:r>
        <w:rPr>
          <w:rFonts w:ascii="Arial" w:hAnsi="Arial"/>
          <w:color w:val="000000"/>
          <w:sz w:val="20"/>
        </w:rPr>
        <w:t>On May 13, 2021, the Company entered into a warrant agreement with JPMC Strategic Investments I Corporation (“JPMC”), an affiliate of J.P. Morgan Securities LLC, an underwriter in our 2021 initial public offering ("IPO"), pursuant to which the Company agreed to issue a warrant to JPMC for up to 509,370</w:t>
      </w:r>
      <w:r>
        <w:rPr>
          <w:rFonts w:ascii="Times New Roman" w:hAnsi="Times New Roman"/>
          <w:color w:val="000000"/>
          <w:sz w:val="20"/>
        </w:rPr>
        <w:t xml:space="preserve"> </w:t>
      </w:r>
      <w:r>
        <w:rPr>
          <w:rFonts w:ascii="Arial" w:hAnsi="Arial"/>
          <w:color w:val="000000"/>
          <w:sz w:val="20"/>
        </w:rPr>
        <w:t>shares of Class A common stock upon completion of the IPO at an exercise price of $18.38</w:t>
      </w:r>
      <w:r>
        <w:rPr>
          <w:rFonts w:ascii="Times New Roman" w:hAnsi="Times New Roman"/>
          <w:color w:val="000000"/>
          <w:sz w:val="20"/>
        </w:rPr>
        <w:t xml:space="preserve"> </w:t>
      </w:r>
      <w:r>
        <w:rPr>
          <w:rFonts w:ascii="Arial" w:hAnsi="Arial"/>
          <w:color w:val="000000"/>
          <w:sz w:val="20"/>
        </w:rPr>
        <w:t>per share (the “May 2021 warrant agreement”). Upon completion of the IPO, 382,027</w:t>
      </w:r>
      <w:r>
        <w:rPr>
          <w:rFonts w:ascii="Times New Roman" w:hAnsi="Times New Roman"/>
          <w:color w:val="000000"/>
          <w:sz w:val="20"/>
        </w:rPr>
        <w:t xml:space="preserve"> </w:t>
      </w:r>
      <w:r>
        <w:rPr>
          <w:rFonts w:ascii="Arial" w:hAnsi="Arial"/>
          <w:color w:val="000000"/>
          <w:sz w:val="20"/>
        </w:rPr>
        <w:t>of the warrant shares vested and were exercisable. The vesting of the remaining 127,343</w:t>
      </w:r>
      <w:r>
        <w:rPr>
          <w:rFonts w:ascii="Times New Roman" w:hAnsi="Times New Roman"/>
          <w:color w:val="000000"/>
          <w:sz w:val="20"/>
        </w:rPr>
        <w:t xml:space="preserve"> </w:t>
      </w:r>
      <w:r>
        <w:rPr>
          <w:rFonts w:ascii="Arial" w:hAnsi="Arial"/>
          <w:color w:val="000000"/>
          <w:sz w:val="20"/>
        </w:rPr>
        <w:t>shares of Class A common stock underlying the warrant will be subject to the achievement of certain commercial milestones through December 31, 2025 pursuant to a related commercial agreement with JPMorgan Chase Bank, National Association (“JPM Chase”), an affiliate of JPMC. As discussed below, this commercial agreement was amended in August 2022, and the achievement of certain commercial milestones was extended through December 31, 2026 and minimum revenue commitments were set for each of the calendar years through 2026. As of September 30, 2024, 448,880</w:t>
      </w:r>
      <w:r>
        <w:rPr>
          <w:rFonts w:ascii="Times New Roman" w:hAnsi="Times New Roman"/>
          <w:color w:val="000000"/>
          <w:sz w:val="20"/>
        </w:rPr>
        <w:t xml:space="preserve"> </w:t>
      </w:r>
      <w:r>
        <w:rPr>
          <w:rFonts w:ascii="Arial" w:hAnsi="Arial"/>
          <w:color w:val="000000"/>
          <w:sz w:val="20"/>
        </w:rPr>
        <w:t>warrant shares were vested and exercisable under the May 2021 warrant agreement.</w:t>
      </w:r>
    </w:p>
    <w:p>
      <w:pPr>
        <w:pStyle w:val="TextBody"/>
        <w:bidi w:val="0"/>
        <w:spacing w:before="120" w:after="283"/>
        <w:jc w:val="both"/>
        <w:rPr>
          <w:rFonts w:ascii="Times New Roman" w:hAnsi="Times New Roman"/>
          <w:sz w:val="20"/>
        </w:rPr>
      </w:pPr>
      <w:r>
        <w:rPr>
          <w:rFonts w:ascii="Arial" w:hAnsi="Arial"/>
          <w:color w:val="000000"/>
          <w:sz w:val="20"/>
        </w:rPr>
        <w:t>On August 29, 2022, the Company entered into a second warrant agreement with JPMC, in connection with an amendment to the Company's existing commercial agreement with JPM Chase discussed above, pursuant to which the Company issued a warrant to JPMC for up to 684,510</w:t>
      </w:r>
      <w:r>
        <w:rPr>
          <w:rFonts w:ascii="Times New Roman" w:hAnsi="Times New Roman"/>
          <w:color w:val="000000"/>
          <w:sz w:val="20"/>
        </w:rPr>
        <w:t xml:space="preserve"> </w:t>
      </w:r>
      <w:r>
        <w:rPr>
          <w:rFonts w:ascii="Arial" w:hAnsi="Arial"/>
          <w:color w:val="000000"/>
          <w:sz w:val="20"/>
        </w:rPr>
        <w:t>shares of Class A common stock at an exercise price of $10.10</w:t>
      </w:r>
      <w:r>
        <w:rPr>
          <w:rFonts w:ascii="Times New Roman" w:hAnsi="Times New Roman"/>
          <w:color w:val="000000"/>
          <w:sz w:val="20"/>
        </w:rPr>
        <w:t xml:space="preserve"> </w:t>
      </w:r>
      <w:r>
        <w:rPr>
          <w:rFonts w:ascii="Arial" w:hAnsi="Arial"/>
          <w:color w:val="000000"/>
          <w:sz w:val="20"/>
        </w:rPr>
        <w:t>per share (the “August 2022 warrant agreement”). Upon signing the August 2022 warrant agreement, 171,128</w:t>
      </w:r>
      <w:r>
        <w:rPr>
          <w:rFonts w:ascii="Times New Roman" w:hAnsi="Times New Roman"/>
          <w:color w:val="000000"/>
          <w:sz w:val="20"/>
        </w:rPr>
        <w:t xml:space="preserve"> </w:t>
      </w:r>
      <w:r>
        <w:rPr>
          <w:rFonts w:ascii="Arial" w:hAnsi="Arial"/>
          <w:color w:val="000000"/>
          <w:sz w:val="20"/>
        </w:rPr>
        <w:t>of the warrant shares vested and were exercisable. The vesting of the remaining 513,382</w:t>
      </w:r>
      <w:r>
        <w:rPr>
          <w:rFonts w:ascii="Times New Roman" w:hAnsi="Times New Roman"/>
          <w:color w:val="000000"/>
          <w:sz w:val="20"/>
        </w:rPr>
        <w:t xml:space="preserve"> </w:t>
      </w:r>
      <w:r>
        <w:rPr>
          <w:rFonts w:ascii="Arial" w:hAnsi="Arial"/>
          <w:color w:val="000000"/>
          <w:sz w:val="20"/>
        </w:rPr>
        <w:t>shares of Class A common stock underlying the warrant will be subject to the achievement of certain commercial milestones through December 31, 2026 pursuant to the commercial agreement, as amended. As of September 30, 2024 there were no additional warrant shares vested under the August 2022 warrant agreement.</w:t>
      </w:r>
    </w:p>
    <w:p>
      <w:pPr>
        <w:pStyle w:val="TextBody"/>
        <w:bidi w:val="0"/>
        <w:spacing w:before="120" w:after="283"/>
        <w:jc w:val="both"/>
        <w:rPr>
          <w:rFonts w:ascii="Times New Roman" w:hAnsi="Times New Roman"/>
          <w:sz w:val="20"/>
        </w:rPr>
      </w:pPr>
      <w:r>
        <w:rPr>
          <w:rFonts w:ascii="Arial" w:hAnsi="Arial"/>
          <w:color w:val="000000"/>
          <w:sz w:val="20"/>
        </w:rPr>
        <w:t>As of September 30, 2024, an aggregate of 620,008</w:t>
      </w:r>
      <w:r>
        <w:rPr>
          <w:rFonts w:ascii="Times New Roman" w:hAnsi="Times New Roman"/>
          <w:color w:val="000000"/>
          <w:sz w:val="20"/>
        </w:rPr>
        <w:t xml:space="preserve"> </w:t>
      </w:r>
      <w:r>
        <w:rPr>
          <w:rFonts w:ascii="Arial" w:hAnsi="Arial"/>
          <w:color w:val="000000"/>
          <w:sz w:val="20"/>
        </w:rPr>
        <w:t>warrants had vested and were exercisable under the outstanding warrant agreements.</w:t>
      </w:r>
    </w:p>
    <w:p>
      <w:pPr>
        <w:pStyle w:val="TextBody"/>
        <w:bidi w:val="0"/>
        <w:spacing w:before="120" w:after="283"/>
        <w:jc w:val="both"/>
        <w:rPr>
          <w:rFonts w:ascii="Times New Roman" w:hAnsi="Times New Roman"/>
          <w:sz w:val="20"/>
        </w:rPr>
      </w:pPr>
      <w:r>
        <w:rPr>
          <w:rFonts w:ascii="Arial" w:hAnsi="Arial"/>
          <w:color w:val="000000"/>
          <w:sz w:val="20"/>
        </w:rPr>
        <w:t xml:space="preserve">The Company accounts for the consideration payable in the form of warrants to its vendor as share based compensation expense. The warrant fair value was determined using the Black-Scholes pricing model in accordance with ASC 718, </w:t>
      </w:r>
      <w:r>
        <w:rPr>
          <w:rFonts w:ascii="Arial" w:hAnsi="Arial"/>
          <w:i/>
          <w:color w:val="000000"/>
          <w:sz w:val="20"/>
        </w:rPr>
        <w:t>Compensation-Stock Compensation.</w:t>
      </w:r>
    </w:p>
    <w:p>
      <w:pPr>
        <w:pStyle w:val="TextBody"/>
        <w:bidi w:val="0"/>
        <w:spacing w:before="240" w:after="283"/>
        <w:jc w:val="both"/>
        <w:rPr>
          <w:rFonts w:ascii="Arial" w:hAnsi="Arial"/>
          <w:b/>
          <w:color w:val="000000"/>
          <w:sz w:val="20"/>
        </w:rPr>
      </w:pPr>
      <w:r>
        <w:rPr>
          <w:rFonts w:ascii="Arial" w:hAnsi="Arial"/>
          <w:b/>
          <w:color w:val="000000"/>
          <w:sz w:val="20"/>
        </w:rPr>
        <w:t>9. Stock-Based Compensation</w:t>
      </w:r>
    </w:p>
    <w:p>
      <w:pPr>
        <w:pStyle w:val="TextBody"/>
        <w:bidi w:val="0"/>
        <w:spacing w:before="120" w:after="283"/>
        <w:jc w:val="both"/>
        <w:rPr>
          <w:rFonts w:ascii="Times New Roman" w:hAnsi="Times New Roman"/>
          <w:sz w:val="20"/>
        </w:rPr>
      </w:pPr>
      <w:r>
        <w:rPr>
          <w:rFonts w:ascii="Arial" w:hAnsi="Arial"/>
          <w:color w:val="000000"/>
          <w:sz w:val="20"/>
        </w:rPr>
        <w:t>In May 2021, the Company’s board of directors (the "Board") adopted, and its stockholders approved, the 2021 Equity Incentive Plan (the “2021 Plan”), which became effective in connection with the IPO. The 2021 Plan provides for the grant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of incentive stock options, within the meaning of Section 422 of the Internal Revenue Code ("IRC"),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approximately 10.5</w:t>
      </w:r>
      <w:r>
        <w:rPr>
          <w:rFonts w:ascii="Times New Roman" w:hAnsi="Times New Roman"/>
          <w:color w:val="000000"/>
          <w:sz w:val="20"/>
        </w:rPr>
        <w:t xml:space="preserve"> </w:t>
      </w:r>
      <w:r>
        <w:rPr>
          <w:rFonts w:ascii="Arial" w:hAnsi="Arial"/>
          <w:color w:val="000000"/>
          <w:sz w:val="20"/>
        </w:rPr>
        <w:t>million shares of the Company</w:t>
      </w:r>
      <w:r>
        <w:rPr>
          <w:rFonts w:ascii="Times New Roman" w:hAnsi="Times New Roman"/>
          <w:color w:val="000000"/>
          <w:sz w:val="20"/>
        </w:rPr>
        <w:t>’</w:t>
      </w:r>
      <w:r>
        <w:rPr>
          <w:rFonts w:ascii="Arial" w:hAnsi="Arial"/>
          <w:color w:val="000000"/>
          <w:sz w:val="20"/>
        </w:rPr>
        <w:t>s Class A common stock have been reserved for issuance under the 2021 Plan in addition to (i) an annual increase of 4% of the outstanding shares of the Company's common stock, with Class A and Class B common stock taken together, on the first day of each fiscal year, subject to the Compensation Committee of the Board exercising discretion to increase or decrease such amount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7.6</w:t>
      </w:r>
      <w:r>
        <w:rPr>
          <w:rFonts w:ascii="Times New Roman" w:hAnsi="Times New Roman"/>
          <w:color w:val="000000"/>
          <w:sz w:val="20"/>
        </w:rPr>
        <w:t xml:space="preserve"> </w:t>
      </w:r>
      <w:r>
        <w:rPr>
          <w:rFonts w:ascii="Arial" w:hAnsi="Arial"/>
          <w:color w:val="000000"/>
          <w:sz w:val="20"/>
        </w:rPr>
        <w:t>million shares. On January 1, 2024, pursuant to the Evergreen Addition, approximately 5</w:t>
      </w:r>
      <w:r>
        <w:rPr>
          <w:rFonts w:ascii="Times New Roman" w:hAnsi="Times New Roman"/>
          <w:color w:val="000000"/>
          <w:sz w:val="20"/>
        </w:rPr>
        <w:t xml:space="preserve"> </w:t>
      </w:r>
      <w:r>
        <w:rPr>
          <w:rFonts w:ascii="Arial" w:hAnsi="Arial"/>
          <w:color w:val="000000"/>
          <w:sz w:val="20"/>
        </w:rPr>
        <w:t>million shares of Class A common stock were added to the 2021 Plan issuance reserve. At September 30, 2024, there were approximately 21.8</w:t>
      </w:r>
      <w:r>
        <w:rPr>
          <w:rFonts w:ascii="Times New Roman" w:hAnsi="Times New Roman"/>
          <w:color w:val="000000"/>
          <w:sz w:val="20"/>
        </w:rPr>
        <w:t xml:space="preserve"> </w:t>
      </w:r>
      <w:r>
        <w:rPr>
          <w:rFonts w:ascii="Arial" w:hAnsi="Arial"/>
          <w:color w:val="000000"/>
          <w:sz w:val="20"/>
        </w:rPr>
        <w:t>million remaining shares available for the Company to grant under the 2021 Plan.</w:t>
      </w:r>
    </w:p>
    <w:p>
      <w:pPr>
        <w:pStyle w:val="TextBody"/>
        <w:bidi w:val="0"/>
        <w:spacing w:before="120" w:after="283"/>
        <w:jc w:val="both"/>
        <w:rPr>
          <w:rFonts w:ascii="Arial" w:hAnsi="Arial"/>
          <w:b/>
          <w:i/>
          <w:color w:val="000000"/>
          <w:sz w:val="20"/>
        </w:rPr>
      </w:pPr>
      <w:r>
        <w:rPr>
          <w:rFonts w:ascii="Arial" w:hAnsi="Arial"/>
          <w:b/>
          <w:i/>
          <w:color w:val="000000"/>
          <w:sz w:val="20"/>
        </w:rPr>
        <w:t>Stock Options</w:t>
      </w:r>
    </w:p>
    <w:p>
      <w:pPr>
        <w:pStyle w:val="TextBody"/>
        <w:bidi w:val="0"/>
        <w:spacing w:before="120" w:after="120"/>
        <w:jc w:val="both"/>
        <w:rPr>
          <w:rFonts w:ascii="Times New Roman" w:hAnsi="Times New Roman"/>
          <w:sz w:val="20"/>
        </w:rPr>
      </w:pPr>
      <w:r>
        <w:rPr>
          <w:rFonts w:ascii="Arial" w:hAnsi="Arial"/>
          <w:color w:val="000000"/>
          <w:sz w:val="20"/>
        </w:rPr>
        <w:t>A summary of the Company</w:t>
      </w:r>
      <w:r>
        <w:rPr>
          <w:rFonts w:ascii="Times New Roman" w:hAnsi="Times New Roman"/>
          <w:color w:val="000000"/>
          <w:sz w:val="20"/>
        </w:rPr>
        <w:t>’</w:t>
      </w:r>
      <w:r>
        <w:rPr>
          <w:rFonts w:ascii="Arial" w:hAnsi="Arial"/>
          <w:color w:val="000000"/>
          <w:sz w:val="20"/>
        </w:rPr>
        <w:t>s option activity during the nine months ended September 30, 2024 was as follows (in thousands, except for share and per share amount):</w:t>
      </w:r>
    </w:p>
    <w:tbl>
      <w:tblPr>
        <w:tblW w:w="9486" w:type="dxa"/>
        <w:jc w:val="left"/>
        <w:tblInd w:w="0" w:type="dxa"/>
        <w:tblLayout w:type="fixed"/>
        <w:tblCellMar>
          <w:top w:w="28" w:type="dxa"/>
          <w:left w:w="28" w:type="dxa"/>
          <w:bottom w:w="28" w:type="dxa"/>
          <w:right w:w="28" w:type="dxa"/>
        </w:tblCellMar>
      </w:tblPr>
      <w:tblGrid>
        <w:gridCol w:w="3211"/>
        <w:gridCol w:w="164"/>
        <w:gridCol w:w="1082"/>
        <w:gridCol w:w="166"/>
        <w:gridCol w:w="146"/>
        <w:gridCol w:w="438"/>
        <w:gridCol w:w="1002"/>
        <w:gridCol w:w="146"/>
        <w:gridCol w:w="146"/>
        <w:gridCol w:w="271"/>
        <w:gridCol w:w="900"/>
        <w:gridCol w:w="146"/>
        <w:gridCol w:w="146"/>
        <w:gridCol w:w="245"/>
        <w:gridCol w:w="806"/>
        <w:gridCol w:w="471"/>
      </w:tblGrid>
      <w:tr>
        <w:trPr/>
        <w:tc>
          <w:tcPr>
            <w:tcW w:w="32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321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321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Aggregate</w:t>
            </w:r>
          </w:p>
        </w:tc>
        <w:tc>
          <w:tcPr>
            <w:tcW w:w="471" w:type="dxa"/>
            <w:tcBorders/>
            <w:shd w:fill="FFFFFF" w:val="clear"/>
            <w:vAlign w:val="center"/>
          </w:tcPr>
          <w:p>
            <w:pPr>
              <w:pStyle w:val="TableContents"/>
              <w:bidi w:val="0"/>
              <w:spacing w:before="0" w:after="283"/>
              <w:jc w:val="center"/>
              <w:rPr/>
            </w:pPr>
            <w:r>
              <w:rPr/>
              <w:t> </w:t>
            </w:r>
          </w:p>
        </w:tc>
      </w:tr>
      <w:tr>
        <w:trPr/>
        <w:tc>
          <w:tcPr>
            <w:tcW w:w="321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Options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Exercise Price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Intrinsic</w:t>
            </w:r>
          </w:p>
        </w:tc>
        <w:tc>
          <w:tcPr>
            <w:tcW w:w="471" w:type="dxa"/>
            <w:tcBorders/>
            <w:shd w:fill="FFFFFF" w:val="clear"/>
            <w:vAlign w:val="center"/>
          </w:tcPr>
          <w:p>
            <w:pPr>
              <w:pStyle w:val="TableContents"/>
              <w:bidi w:val="0"/>
              <w:spacing w:before="0" w:after="283"/>
              <w:jc w:val="center"/>
              <w:rPr/>
            </w:pPr>
            <w:r>
              <w:rPr/>
              <w:t> </w:t>
            </w:r>
          </w:p>
        </w:tc>
      </w:tr>
      <w:tr>
        <w:trPr/>
        <w:tc>
          <w:tcPr>
            <w:tcW w:w="3211"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xml:space="preserve">Life </w:t>
            </w:r>
            <w:r>
              <w:rPr>
                <w:rFonts w:ascii="Arial" w:hAnsi="Arial"/>
                <w:b/>
                <w:i/>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2023</w:t>
            </w:r>
          </w:p>
        </w:tc>
        <w:tc>
          <w:tcPr>
            <w:tcW w:w="164"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3,849,350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38,505</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2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Options exercised</w:t>
            </w:r>
          </w:p>
        </w:tc>
        <w:tc>
          <w:tcPr>
            <w:tcW w:w="164"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(209,459</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21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Options forfeited</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September 30, 2024</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3,637,558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42,705</w:t>
            </w:r>
          </w:p>
        </w:tc>
        <w:tc>
          <w:tcPr>
            <w:tcW w:w="471" w:type="dxa"/>
            <w:tcBorders/>
            <w:shd w:fill="FFFFFF" w:val="clear"/>
            <w:vAlign w:val="center"/>
          </w:tcPr>
          <w:p>
            <w:pPr>
              <w:pStyle w:val="TableContents"/>
              <w:bidi w:val="0"/>
              <w:spacing w:before="0" w:after="283"/>
              <w:jc w:val="left"/>
              <w:rPr/>
            </w:pPr>
            <w:r>
              <w:rPr/>
              <w:t> </w:t>
            </w:r>
          </w:p>
        </w:tc>
      </w:tr>
      <w:tr>
        <w:trPr/>
        <w:tc>
          <w:tcPr>
            <w:tcW w:w="3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at September 30, 2024</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3,610,609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42,407</w:t>
            </w:r>
          </w:p>
        </w:tc>
        <w:tc>
          <w:tcPr>
            <w:tcW w:w="47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options were granted or expired during the nine months ended September 30, 2024. Aggregate intrinsic value represents the difference between the exercise price of the options and the fair value of the Company’s common stock.</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Restricted Stock Units (“RSUs”)</w:t>
      </w:r>
    </w:p>
    <w:p>
      <w:pPr>
        <w:pStyle w:val="TextBody"/>
        <w:bidi w:val="0"/>
        <w:spacing w:before="120" w:after="120"/>
        <w:jc w:val="both"/>
        <w:rPr>
          <w:rFonts w:ascii="Times New Roman" w:hAnsi="Times New Roman"/>
          <w:sz w:val="20"/>
        </w:rPr>
      </w:pPr>
      <w:r>
        <w:rPr>
          <w:rFonts w:ascii="Arial" w:hAnsi="Arial"/>
          <w:color w:val="000000"/>
          <w:sz w:val="20"/>
        </w:rPr>
        <w:t>A summary of the Company</w:t>
      </w:r>
      <w:r>
        <w:rPr>
          <w:rFonts w:ascii="Times New Roman" w:hAnsi="Times New Roman"/>
          <w:color w:val="000000"/>
          <w:sz w:val="20"/>
        </w:rPr>
        <w:t>’</w:t>
      </w:r>
      <w:r>
        <w:rPr>
          <w:rFonts w:ascii="Arial" w:hAnsi="Arial"/>
          <w:color w:val="000000"/>
          <w:sz w:val="20"/>
        </w:rPr>
        <w:t>s RSU activity during the nine months ended September 30, 2024 was as follows:</w:t>
      </w:r>
    </w:p>
    <w:tbl>
      <w:tblPr>
        <w:tblW w:w="7250" w:type="dxa"/>
        <w:jc w:val="left"/>
        <w:tblInd w:w="0" w:type="dxa"/>
        <w:tblLayout w:type="fixed"/>
        <w:tblCellMar>
          <w:top w:w="28" w:type="dxa"/>
          <w:left w:w="28" w:type="dxa"/>
          <w:bottom w:w="28" w:type="dxa"/>
          <w:right w:w="28" w:type="dxa"/>
        </w:tblCellMar>
      </w:tblPr>
      <w:tblGrid>
        <w:gridCol w:w="4141"/>
        <w:gridCol w:w="164"/>
        <w:gridCol w:w="1082"/>
        <w:gridCol w:w="166"/>
        <w:gridCol w:w="146"/>
        <w:gridCol w:w="285"/>
        <w:gridCol w:w="795"/>
        <w:gridCol w:w="471"/>
      </w:tblGrid>
      <w:tr>
        <w:trPr/>
        <w:tc>
          <w:tcPr>
            <w:tcW w:w="41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r>
          </w:p>
        </w:tc>
        <w:tc>
          <w:tcPr>
            <w:tcW w:w="471" w:type="dxa"/>
            <w:tcBorders/>
            <w:shd w:fill="FFFFFF" w:val="clear"/>
            <w:vAlign w:val="center"/>
          </w:tcPr>
          <w:p>
            <w:pPr>
              <w:pStyle w:val="TableContents"/>
              <w:bidi w:val="0"/>
              <w:spacing w:before="0" w:after="283"/>
              <w:jc w:val="center"/>
              <w:rPr/>
            </w:pPr>
            <w:r>
              <w:rPr/>
              <w:t> </w:t>
            </w:r>
          </w:p>
        </w:tc>
      </w:tr>
      <w:tr>
        <w:trPr/>
        <w:tc>
          <w:tcPr>
            <w:tcW w:w="414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Average</w:t>
            </w:r>
          </w:p>
        </w:tc>
        <w:tc>
          <w:tcPr>
            <w:tcW w:w="471" w:type="dxa"/>
            <w:tcBorders/>
            <w:shd w:fill="FFFFFF" w:val="clear"/>
            <w:vAlign w:val="center"/>
          </w:tcPr>
          <w:p>
            <w:pPr>
              <w:pStyle w:val="TableContents"/>
              <w:bidi w:val="0"/>
              <w:spacing w:before="0" w:after="283"/>
              <w:jc w:val="center"/>
              <w:rPr/>
            </w:pPr>
            <w:r>
              <w:rPr/>
              <w:t> </w:t>
            </w:r>
          </w:p>
        </w:tc>
      </w:tr>
      <w:tr>
        <w:trPr/>
        <w:tc>
          <w:tcPr>
            <w:tcW w:w="414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RSUs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Grant Date</w:t>
            </w:r>
          </w:p>
        </w:tc>
        <w:tc>
          <w:tcPr>
            <w:tcW w:w="471" w:type="dxa"/>
            <w:tcBorders/>
            <w:shd w:fill="FFFFFF" w:val="clear"/>
            <w:vAlign w:val="center"/>
          </w:tcPr>
          <w:p>
            <w:pPr>
              <w:pStyle w:val="TableContents"/>
              <w:bidi w:val="0"/>
              <w:spacing w:before="0" w:after="283"/>
              <w:jc w:val="center"/>
              <w:rPr/>
            </w:pPr>
            <w:r>
              <w:rPr/>
              <w:t> </w:t>
            </w:r>
          </w:p>
        </w:tc>
      </w:tr>
      <w:tr>
        <w:trPr/>
        <w:tc>
          <w:tcPr>
            <w:tcW w:w="4141"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Awarded and unvested at December 31, 2023</w:t>
            </w:r>
          </w:p>
        </w:tc>
        <w:tc>
          <w:tcPr>
            <w:tcW w:w="164"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1,946,006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12.74</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1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Awards granted</w:t>
            </w:r>
          </w:p>
        </w:tc>
        <w:tc>
          <w:tcPr>
            <w:tcW w:w="164"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1,045,344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19.23</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1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Awards vested</w:t>
            </w:r>
          </w:p>
        </w:tc>
        <w:tc>
          <w:tcPr>
            <w:tcW w:w="164"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(573,116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12.62</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1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Awards forfeited</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Awarded and unvested at September 30, 2024</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2,229,408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The fair value of RSU grants is determined based upon the market closing price of the Company’s Class A common stock on the date of grant. RSUs vest over the requisite service period, which generally ranges between four years and five years from the date of grant for employees and one to three years for directors, subject to continued employment for employees and provision of services for non-employees.</w:t>
      </w:r>
    </w:p>
    <w:p>
      <w:pPr>
        <w:pStyle w:val="TextBody"/>
        <w:bidi w:val="0"/>
        <w:spacing w:before="120" w:after="120"/>
        <w:jc w:val="both"/>
        <w:rPr>
          <w:rFonts w:ascii="Arial" w:hAnsi="Arial"/>
          <w:color w:val="000000"/>
          <w:sz w:val="20"/>
        </w:rPr>
      </w:pPr>
      <w:r>
        <w:rPr>
          <w:rFonts w:ascii="Arial" w:hAnsi="Arial"/>
          <w:color w:val="000000"/>
          <w:sz w:val="20"/>
        </w:rPr>
        <w:t>Stock-based compensation expense included in the condensed consolidated statements of operations and comprehensive income was as follows:</w:t>
      </w:r>
    </w:p>
    <w:tbl>
      <w:tblPr>
        <w:tblW w:w="10205" w:type="dxa"/>
        <w:jc w:val="left"/>
        <w:tblInd w:w="0" w:type="dxa"/>
        <w:tblLayout w:type="fixed"/>
        <w:tblCellMar>
          <w:top w:w="28" w:type="dxa"/>
          <w:left w:w="28" w:type="dxa"/>
          <w:bottom w:w="28" w:type="dxa"/>
          <w:right w:w="28" w:type="dxa"/>
        </w:tblCellMar>
      </w:tblPr>
      <w:tblGrid>
        <w:gridCol w:w="2948"/>
        <w:gridCol w:w="146"/>
        <w:gridCol w:w="368"/>
        <w:gridCol w:w="1023"/>
        <w:gridCol w:w="254"/>
        <w:gridCol w:w="254"/>
        <w:gridCol w:w="368"/>
        <w:gridCol w:w="1023"/>
        <w:gridCol w:w="146"/>
        <w:gridCol w:w="146"/>
        <w:gridCol w:w="357"/>
        <w:gridCol w:w="993"/>
        <w:gridCol w:w="246"/>
        <w:gridCol w:w="246"/>
        <w:gridCol w:w="357"/>
        <w:gridCol w:w="993"/>
        <w:gridCol w:w="337"/>
      </w:tblGrid>
      <w:tr>
        <w:trPr/>
        <w:tc>
          <w:tcPr>
            <w:tcW w:w="2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9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shd w:fill="FFFFFF" w:val="cle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4" w:type="dxa"/>
            <w:gridSpan w:val="14"/>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7" w:type="dxa"/>
            <w:tcBorders/>
            <w:shd w:fill="FFFFFF" w:val="clear"/>
            <w:vAlign w:val="center"/>
          </w:tcPr>
          <w:p>
            <w:pPr>
              <w:pStyle w:val="TableContents"/>
              <w:bidi w:val="0"/>
              <w:spacing w:before="0" w:after="283"/>
              <w:jc w:val="center"/>
              <w:rPr/>
            </w:pPr>
            <w:r>
              <w:rPr/>
              <w:t> </w:t>
            </w:r>
          </w:p>
        </w:tc>
      </w:tr>
      <w:tr>
        <w:trPr/>
        <w:tc>
          <w:tcPr>
            <w:tcW w:w="294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254"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337" w:type="dxa"/>
            <w:tcBorders/>
            <w:shd w:fill="CFF0FC" w:val="clear"/>
            <w:vAlign w:val="center"/>
          </w:tcPr>
          <w:p>
            <w:pPr>
              <w:pStyle w:val="TableContents"/>
              <w:bidi w:val="0"/>
              <w:spacing w:before="0" w:after="283"/>
              <w:jc w:val="left"/>
              <w:rPr/>
            </w:pPr>
            <w:r>
              <w:rPr/>
              <w:t> </w:t>
            </w:r>
          </w:p>
        </w:tc>
      </w:tr>
      <w:tr>
        <w:trPr/>
        <w:tc>
          <w:tcPr>
            <w:tcW w:w="294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823</w:t>
            </w:r>
          </w:p>
        </w:tc>
        <w:tc>
          <w:tcPr>
            <w:tcW w:w="254"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2,277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1,492</w:t>
            </w:r>
          </w:p>
        </w:tc>
        <w:tc>
          <w:tcPr>
            <w:tcW w:w="337" w:type="dxa"/>
            <w:tcBorders/>
            <w:shd w:fill="FFFFFF" w:val="clear"/>
            <w:vAlign w:val="center"/>
          </w:tcPr>
          <w:p>
            <w:pPr>
              <w:pStyle w:val="TableContents"/>
              <w:bidi w:val="0"/>
              <w:spacing w:before="0" w:after="283"/>
              <w:jc w:val="left"/>
              <w:rPr/>
            </w:pPr>
            <w:r>
              <w:rPr/>
              <w:t> </w:t>
            </w:r>
          </w:p>
        </w:tc>
      </w:tr>
      <w:tr>
        <w:trPr/>
        <w:tc>
          <w:tcPr>
            <w:tcW w:w="294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1,331</w:t>
            </w:r>
          </w:p>
        </w:tc>
        <w:tc>
          <w:tcPr>
            <w:tcW w:w="254"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4,135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2,096</w:t>
            </w:r>
          </w:p>
        </w:tc>
        <w:tc>
          <w:tcPr>
            <w:tcW w:w="337" w:type="dxa"/>
            <w:tcBorders/>
            <w:shd w:fill="CFF0FC" w:val="clear"/>
            <w:vAlign w:val="center"/>
          </w:tcPr>
          <w:p>
            <w:pPr>
              <w:pStyle w:val="TableContents"/>
              <w:bidi w:val="0"/>
              <w:spacing w:before="0" w:after="283"/>
              <w:jc w:val="left"/>
              <w:rPr/>
            </w:pPr>
            <w:r>
              <w:rPr/>
              <w:t> </w:t>
            </w:r>
          </w:p>
        </w:tc>
      </w:tr>
      <w:tr>
        <w:trPr/>
        <w:tc>
          <w:tcPr>
            <w:tcW w:w="294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947</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3,193</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948"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3,168</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9,424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6,891</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At September 30, 2024, there was $0.1</w:t>
      </w:r>
      <w:r>
        <w:rPr>
          <w:rFonts w:ascii="Times New Roman" w:hAnsi="Times New Roman"/>
          <w:color w:val="000000"/>
          <w:sz w:val="20"/>
        </w:rPr>
        <w:t xml:space="preserve"> </w:t>
      </w:r>
      <w:r>
        <w:rPr>
          <w:rFonts w:ascii="Arial" w:hAnsi="Arial"/>
          <w:color w:val="000000"/>
          <w:sz w:val="20"/>
        </w:rPr>
        <w:t>million of total unrecognized compensation cost related to unvested stock options granted under the 2012 Equity Incentive Plan, which is expected to be recognized over a remaining weighted-average period of 1.1</w:t>
      </w:r>
      <w:r>
        <w:rPr>
          <w:rFonts w:ascii="Times New Roman" w:hAnsi="Times New Roman"/>
          <w:color w:val="000000"/>
          <w:sz w:val="20"/>
        </w:rPr>
        <w:t xml:space="preserve"> </w:t>
      </w:r>
      <w:r>
        <w:rPr>
          <w:rFonts w:ascii="Arial" w:hAnsi="Arial"/>
          <w:color w:val="000000"/>
          <w:sz w:val="20"/>
        </w:rPr>
        <w:t>years.</w:t>
      </w:r>
    </w:p>
    <w:p>
      <w:pPr>
        <w:pStyle w:val="TextBody"/>
        <w:bidi w:val="0"/>
        <w:spacing w:before="120" w:after="283"/>
        <w:jc w:val="both"/>
        <w:rPr>
          <w:rFonts w:ascii="Times New Roman" w:hAnsi="Times New Roman"/>
          <w:sz w:val="20"/>
        </w:rPr>
      </w:pPr>
      <w:r>
        <w:rPr>
          <w:rFonts w:ascii="Arial" w:hAnsi="Arial"/>
          <w:color w:val="000000"/>
          <w:sz w:val="20"/>
        </w:rPr>
        <w:t>At September 30, 2024, there was $32.0</w:t>
      </w:r>
      <w:r>
        <w:rPr>
          <w:rFonts w:ascii="Times New Roman" w:hAnsi="Times New Roman"/>
          <w:color w:val="000000"/>
          <w:sz w:val="20"/>
        </w:rPr>
        <w:t xml:space="preserve"> </w:t>
      </w:r>
      <w:r>
        <w:rPr>
          <w:rFonts w:ascii="Arial" w:hAnsi="Arial"/>
          <w:color w:val="000000"/>
          <w:sz w:val="20"/>
        </w:rPr>
        <w:t>million of total unrecognized compensation cost related to unvested RSUs granted under the 2021 Plan, which is expected to be recognized over a remaining weighted-average period of 3.4</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left"/>
        <w:rPr>
          <w:rFonts w:ascii="Arial" w:hAnsi="Arial"/>
          <w:b/>
          <w:color w:val="000000"/>
          <w:sz w:val="20"/>
        </w:rPr>
      </w:pPr>
      <w:r>
        <w:rPr>
          <w:rFonts w:ascii="Arial" w:hAnsi="Arial"/>
          <w:b/>
          <w:color w:val="000000"/>
          <w:sz w:val="20"/>
        </w:rPr>
        <w:t>10. Income Taxes</w:t>
      </w:r>
    </w:p>
    <w:p>
      <w:pPr>
        <w:pStyle w:val="TextBody"/>
        <w:bidi w:val="0"/>
        <w:spacing w:before="120" w:after="283"/>
        <w:jc w:val="both"/>
        <w:rPr>
          <w:rFonts w:ascii="Times New Roman" w:hAnsi="Times New Roman"/>
          <w:sz w:val="20"/>
        </w:rPr>
      </w:pPr>
      <w:r>
        <w:rPr>
          <w:rFonts w:ascii="Arial" w:hAnsi="Arial"/>
          <w:color w:val="000000"/>
          <w:sz w:val="20"/>
        </w:rPr>
        <w:t>The Company computes its tax provision for the three and nine months ended September 30, 2024 by applying the estimated annual effective tax rate to year-to-date income from recurring operations and adjusting for discrete items arising in that quarter. During the current quarter, given demonstrated profitability net of permanent adjustments now resulting in cumulative income in recent years and other positive factors including the utilization of federal net operating losses and continued forecasted profitability, the Company has determined to release its valuation allowance against most US deferred tax assets, resulting in a discrete benefit for the three months ended September 30, 2024.</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Company’s effective tax rate for the three and nine months ended September 30, 2024 was 0.03%</w:t>
      </w:r>
      <w:r>
        <w:rPr>
          <w:rFonts w:ascii="Times New Roman" w:hAnsi="Times New Roman"/>
          <w:color w:val="000000"/>
          <w:sz w:val="20"/>
        </w:rPr>
        <w:t xml:space="preserve"> </w:t>
      </w:r>
      <w:r>
        <w:rPr>
          <w:rFonts w:ascii="Arial" w:hAnsi="Arial"/>
          <w:color w:val="000000"/>
          <w:sz w:val="20"/>
        </w:rPr>
        <w:t>and 17.6%, respectively, and for the three and nine months ended September 30, 2023 was 11.4%</w:t>
      </w:r>
      <w:r>
        <w:rPr>
          <w:rFonts w:ascii="Times New Roman" w:hAnsi="Times New Roman"/>
          <w:color w:val="000000"/>
          <w:sz w:val="20"/>
        </w:rPr>
        <w:t xml:space="preserve"> </w:t>
      </w:r>
      <w:r>
        <w:rPr>
          <w:rFonts w:ascii="Arial" w:hAnsi="Arial"/>
          <w:color w:val="000000"/>
          <w:sz w:val="20"/>
        </w:rPr>
        <w:t>and 7.2%, respectively. The difference between the Company’s effective tax rate and the U.S. federal statutory rate of 21% in 2024 was primarily due to the determination to release a valuation allowance against deferred tax assets in the US. In addition, the Company recorded certain discrete benefits related to excess tax benefits on stock-based compensation and research and development credit claims that were finalized during the three months ended September 30, 2024. In 2023, the difference between the Company’s effective tax rate and the US federal statutory rate of 21% was primarily the result of changes in the Company's net US deferred tax assets and corresponding valuation allowance.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Company forecasts an estimated effective tax rate in 2024, exclusive of discrete benefits, of 27%, which primarily differs from the US federal statutory rate due to state taxes and permanent differences on nondeductible compensation.</w:t>
      </w:r>
    </w:p>
    <w:p>
      <w:pPr>
        <w:pStyle w:val="TextBody"/>
        <w:bidi w:val="0"/>
        <w:spacing w:before="240" w:after="283"/>
        <w:jc w:val="left"/>
        <w:rPr>
          <w:rFonts w:ascii="Arial" w:hAnsi="Arial"/>
          <w:b/>
          <w:color w:val="000000"/>
          <w:sz w:val="20"/>
        </w:rPr>
      </w:pPr>
      <w:r>
        <w:rPr>
          <w:rFonts w:ascii="Arial" w:hAnsi="Arial"/>
          <w:b/>
          <w:color w:val="000000"/>
          <w:sz w:val="20"/>
        </w:rPr>
        <w:t>11. Net Income per Share Attributable to Common Stock</w:t>
      </w:r>
    </w:p>
    <w:p>
      <w:pPr>
        <w:pStyle w:val="TextBody"/>
        <w:bidi w:val="0"/>
        <w:spacing w:before="120" w:after="283"/>
        <w:jc w:val="both"/>
        <w:rPr>
          <w:rFonts w:ascii="Arial" w:hAnsi="Arial"/>
          <w:color w:val="000000"/>
          <w:sz w:val="20"/>
        </w:rPr>
      </w:pPr>
      <w:r>
        <w:rPr>
          <w:rFonts w:ascii="Arial" w:hAnsi="Arial"/>
          <w:color w:val="000000"/>
          <w:sz w:val="20"/>
        </w:rPr>
        <w:t>Basic net income per share attributable to common stock is computed by dividing net income for the period by the weighted average number of common shares outstanding during the period.</w:t>
      </w:r>
    </w:p>
    <w:p>
      <w:pPr>
        <w:pStyle w:val="TextBody"/>
        <w:bidi w:val="0"/>
        <w:spacing w:before="120" w:after="283"/>
        <w:jc w:val="both"/>
        <w:rPr>
          <w:rFonts w:ascii="Times New Roman" w:hAnsi="Times New Roman"/>
          <w:sz w:val="20"/>
        </w:rPr>
      </w:pPr>
      <w:r>
        <w:rPr>
          <w:rFonts w:ascii="Arial" w:hAnsi="Arial"/>
          <w:color w:val="000000"/>
          <w:sz w:val="20"/>
        </w:rPr>
        <w:t>Diluted net income per share attributable to common stock is computed by giving effect to all potentially dilutive common stock equivalents to the extent they are dilutive. The dilutive effect of outstanding options, RSUs and warrants is reflected in diluted net income per share attributable to common stock by application of the treasury stock method. The calculation of diluted net income per share attributable to common stock excludes all anti-dilutive common shares.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pStyle w:val="TextBody"/>
        <w:bidi w:val="0"/>
        <w:spacing w:before="12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The following table sets forth the computation of basic and diluted net income per share attributable to common stock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3298"/>
        <w:gridCol w:w="224"/>
        <w:gridCol w:w="1244"/>
        <w:gridCol w:w="155"/>
        <w:gridCol w:w="224"/>
        <w:gridCol w:w="1244"/>
        <w:gridCol w:w="146"/>
        <w:gridCol w:w="221"/>
        <w:gridCol w:w="1229"/>
        <w:gridCol w:w="153"/>
        <w:gridCol w:w="221"/>
        <w:gridCol w:w="1229"/>
        <w:gridCol w:w="617"/>
      </w:tblGrid>
      <w:tr>
        <w:trPr/>
        <w:tc>
          <w:tcPr>
            <w:tcW w:w="32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298" w:type="dxa"/>
            <w:tcBorders/>
            <w:shd w:fill="FFFFFF" w:val="clear"/>
            <w:vAlign w:val="center"/>
          </w:tcPr>
          <w:p>
            <w:pPr>
              <w:pStyle w:val="TableContents"/>
              <w:bidi w:val="0"/>
              <w:spacing w:before="0" w:after="283"/>
              <w:jc w:val="center"/>
              <w:rPr/>
            </w:pPr>
            <w:r>
              <w:rPr/>
              <w:t> </w:t>
            </w:r>
          </w:p>
        </w:tc>
        <w:tc>
          <w:tcPr>
            <w:tcW w:w="309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5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8" w:type="dxa"/>
            <w:tcBorders/>
            <w:shd w:fill="FFFFFF" w:val="clear"/>
            <w:vAlign w:val="center"/>
          </w:tcPr>
          <w:p>
            <w:pPr>
              <w:pStyle w:val="TableContents"/>
              <w:bidi w:val="0"/>
              <w:spacing w:before="0" w:after="283"/>
              <w:jc w:val="center"/>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Numerator:</w:t>
            </w:r>
          </w:p>
        </w:tc>
        <w:tc>
          <w:tcPr>
            <w:tcW w:w="1468" w:type="dxa"/>
            <w:gridSpan w:val="2"/>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right"/>
              <w:rPr/>
            </w:pPr>
            <w:r>
              <w:rPr/>
              <w:t> </w:t>
            </w:r>
          </w:p>
        </w:tc>
        <w:tc>
          <w:tcPr>
            <w:tcW w:w="146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50" w:type="dxa"/>
            <w:gridSpan w:val="2"/>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right"/>
              <w:rPr/>
            </w:pPr>
            <w:r>
              <w:rPr/>
              <w:t> </w:t>
            </w:r>
          </w:p>
        </w:tc>
        <w:tc>
          <w:tcPr>
            <w:tcW w:w="1450" w:type="dxa"/>
            <w:gridSpan w:val="2"/>
            <w:tcBorders/>
            <w:shd w:fill="CFF0FC" w:val="clear"/>
            <w:vAlign w:val="center"/>
          </w:tcPr>
          <w:p>
            <w:pPr>
              <w:pStyle w:val="TableContents"/>
              <w:bidi w:val="0"/>
              <w:spacing w:before="0" w:after="283"/>
              <w:jc w:val="right"/>
              <w:rPr/>
            </w:pPr>
            <w:r>
              <w:rPr/>
              <w:t> </w:t>
            </w:r>
          </w:p>
        </w:tc>
        <w:tc>
          <w:tcPr>
            <w:tcW w:w="617" w:type="dxa"/>
            <w:tcBorders/>
            <w:shd w:fill="CFF0FC" w:val="clear"/>
            <w:vAlign w:val="center"/>
          </w:tcPr>
          <w:p>
            <w:pPr>
              <w:pStyle w:val="TableContents"/>
              <w:bidi w:val="0"/>
              <w:spacing w:before="0" w:after="283"/>
              <w:ind w:left="0" w:right="0" w:firstLine="280"/>
              <w:jc w:val="right"/>
              <w:rPr/>
            </w:pPr>
            <w:r>
              <w:rPr/>
              <w:t> </w:t>
            </w:r>
          </w:p>
        </w:tc>
      </w:tr>
      <w:tr>
        <w:trPr/>
        <w:tc>
          <w:tcPr>
            <w:tcW w:w="329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income</w:t>
            </w:r>
          </w:p>
        </w:tc>
        <w:tc>
          <w:tcPr>
            <w:tcW w:w="2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14,430</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6,377</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31,020</w:t>
            </w:r>
          </w:p>
        </w:tc>
        <w:tc>
          <w:tcPr>
            <w:tcW w:w="153"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12,920</w:t>
            </w:r>
          </w:p>
        </w:tc>
        <w:tc>
          <w:tcPr>
            <w:tcW w:w="617" w:type="dxa"/>
            <w:tcBorders/>
            <w:shd w:fill="FFFFFF" w:val="clear"/>
            <w:vAlign w:val="center"/>
          </w:tcPr>
          <w:p>
            <w:pPr>
              <w:pStyle w:val="TableContents"/>
              <w:bidi w:val="0"/>
              <w:spacing w:before="0" w:after="283"/>
              <w:jc w:val="left"/>
              <w:rPr/>
            </w:pPr>
            <w:r>
              <w:rPr/>
              <w:t> </w:t>
            </w:r>
          </w:p>
        </w:tc>
      </w:tr>
      <w:tr>
        <w:trPr/>
        <w:tc>
          <w:tcPr>
            <w:tcW w:w="329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Denominator:</w:t>
            </w:r>
          </w:p>
        </w:tc>
        <w:tc>
          <w:tcPr>
            <w:tcW w:w="1468" w:type="dxa"/>
            <w:gridSpan w:val="2"/>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right"/>
              <w:rPr/>
            </w:pPr>
            <w:r>
              <w:rPr/>
              <w:t> </w:t>
            </w:r>
          </w:p>
        </w:tc>
        <w:tc>
          <w:tcPr>
            <w:tcW w:w="146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50" w:type="dxa"/>
            <w:gridSpan w:val="2"/>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right"/>
              <w:rPr/>
            </w:pPr>
            <w:r>
              <w:rPr/>
              <w:t> </w:t>
            </w:r>
          </w:p>
        </w:tc>
        <w:tc>
          <w:tcPr>
            <w:tcW w:w="1450" w:type="dxa"/>
            <w:gridSpan w:val="2"/>
            <w:tcBorders/>
            <w:shd w:fill="CFF0FC" w:val="clear"/>
            <w:vAlign w:val="center"/>
          </w:tcPr>
          <w:p>
            <w:pPr>
              <w:pStyle w:val="TableContents"/>
              <w:bidi w:val="0"/>
              <w:spacing w:before="0" w:after="283"/>
              <w:jc w:val="right"/>
              <w:rPr/>
            </w:pPr>
            <w:r>
              <w:rPr/>
              <w:t> </w:t>
            </w:r>
          </w:p>
        </w:tc>
        <w:tc>
          <w:tcPr>
            <w:tcW w:w="617" w:type="dxa"/>
            <w:tcBorders/>
            <w:shd w:fill="CFF0FC" w:val="clear"/>
            <w:vAlign w:val="center"/>
          </w:tcPr>
          <w:p>
            <w:pPr>
              <w:pStyle w:val="TableContents"/>
              <w:bidi w:val="0"/>
              <w:spacing w:before="0" w:after="283"/>
              <w:ind w:left="0" w:right="0" w:firstLine="280"/>
              <w:jc w:val="right"/>
              <w:rPr/>
            </w:pPr>
            <w:r>
              <w:rPr/>
              <w:t> </w:t>
            </w:r>
          </w:p>
        </w:tc>
      </w:tr>
      <w:tr>
        <w:trPr/>
        <w:tc>
          <w:tcPr>
            <w:tcW w:w="3298" w:type="dxa"/>
            <w:tcBorders/>
            <w:shd w:fill="FFFFFF" w:val="clear"/>
            <w:vAlign w:val="center"/>
          </w:tcPr>
          <w:p>
            <w:pPr>
              <w:pStyle w:val="TableContents"/>
              <w:bidi w:val="0"/>
              <w:spacing w:before="0" w:after="283"/>
              <w:ind w:left="280" w:right="0" w:firstLine="280"/>
              <w:jc w:val="left"/>
              <w:rPr>
                <w:rFonts w:ascii="Arial" w:hAnsi="Arial"/>
                <w:b/>
                <w:color w:val="000000"/>
                <w:sz w:val="20"/>
              </w:rPr>
            </w:pPr>
            <w:r>
              <w:rPr>
                <w:rFonts w:ascii="Arial" w:hAnsi="Arial"/>
                <w:b/>
                <w:color w:val="000000"/>
                <w:sz w:val="20"/>
              </w:rPr>
              <w:t>Weighted-average shares of common stock — basic</w:t>
            </w:r>
          </w:p>
        </w:tc>
        <w:tc>
          <w:tcPr>
            <w:tcW w:w="224"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124,538,195</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123,620,260</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124,251,147</w:t>
            </w:r>
          </w:p>
        </w:tc>
        <w:tc>
          <w:tcPr>
            <w:tcW w:w="153"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123,430,652</w:t>
            </w:r>
          </w:p>
        </w:tc>
        <w:tc>
          <w:tcPr>
            <w:tcW w:w="617" w:type="dxa"/>
            <w:tcBorders/>
            <w:shd w:fill="FFFFFF" w:val="clear"/>
            <w:vAlign w:val="center"/>
          </w:tcPr>
          <w:p>
            <w:pPr>
              <w:pStyle w:val="TableContents"/>
              <w:bidi w:val="0"/>
              <w:spacing w:before="0" w:after="283"/>
              <w:ind w:left="0" w:right="0" w:firstLine="420"/>
              <w:jc w:val="left"/>
              <w:rPr/>
            </w:pPr>
            <w:r>
              <w:rPr/>
              <w:t> </w:t>
            </w:r>
          </w:p>
        </w:tc>
      </w:tr>
      <w:tr>
        <w:trPr/>
        <w:tc>
          <w:tcPr>
            <w:tcW w:w="3298"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Dilutive effect of stock options to purchase common stock</w:t>
            </w:r>
          </w:p>
        </w:tc>
        <w:tc>
          <w:tcPr>
            <w:tcW w:w="224" w:type="dxa"/>
            <w:tcBorders/>
            <w:shd w:fill="CFF0FC" w:val="clear"/>
            <w:vAlign w:val="center"/>
          </w:tcPr>
          <w:p>
            <w:pPr>
              <w:pStyle w:val="TableContents"/>
              <w:bidi w:val="0"/>
              <w:spacing w:before="0" w:after="283"/>
              <w:jc w:val="left"/>
              <w:rPr/>
            </w:pPr>
            <w:r>
              <w:rPr/>
              <w:t> </w:t>
            </w:r>
          </w:p>
        </w:tc>
        <w:tc>
          <w:tcPr>
            <w:tcW w:w="12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2,210,027</w:t>
            </w:r>
          </w:p>
        </w:tc>
        <w:tc>
          <w:tcPr>
            <w:tcW w:w="155"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2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1,548,680</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2,178,842</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868,922</w:t>
            </w:r>
          </w:p>
        </w:tc>
        <w:tc>
          <w:tcPr>
            <w:tcW w:w="617" w:type="dxa"/>
            <w:tcBorders/>
            <w:shd w:fill="CFF0FC" w:val="clear"/>
            <w:vAlign w:val="center"/>
          </w:tcPr>
          <w:p>
            <w:pPr>
              <w:pStyle w:val="TableContents"/>
              <w:bidi w:val="0"/>
              <w:spacing w:before="0" w:after="283"/>
              <w:ind w:left="0" w:right="0" w:firstLine="420"/>
              <w:jc w:val="left"/>
              <w:rPr/>
            </w:pPr>
            <w:r>
              <w:rPr/>
              <w:t> </w:t>
            </w:r>
          </w:p>
        </w:tc>
      </w:tr>
      <w:tr>
        <w:trPr/>
        <w:tc>
          <w:tcPr>
            <w:tcW w:w="3298"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Dilutive effect of RSUs</w:t>
            </w:r>
          </w:p>
        </w:tc>
        <w:tc>
          <w:tcPr>
            <w:tcW w:w="224"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721,882</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429,863</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714,991</w:t>
            </w:r>
          </w:p>
        </w:tc>
        <w:tc>
          <w:tcPr>
            <w:tcW w:w="153"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153,330</w:t>
            </w:r>
          </w:p>
        </w:tc>
        <w:tc>
          <w:tcPr>
            <w:tcW w:w="617" w:type="dxa"/>
            <w:tcBorders/>
            <w:shd w:fill="FFFFFF" w:val="clear"/>
            <w:vAlign w:val="center"/>
          </w:tcPr>
          <w:p>
            <w:pPr>
              <w:pStyle w:val="TableContents"/>
              <w:bidi w:val="0"/>
              <w:spacing w:before="0" w:after="283"/>
              <w:ind w:left="0" w:right="0" w:firstLine="420"/>
              <w:jc w:val="left"/>
              <w:rPr/>
            </w:pPr>
            <w:r>
              <w:rPr/>
              <w:t> </w:t>
            </w:r>
          </w:p>
        </w:tc>
      </w:tr>
      <w:tr>
        <w:trPr/>
        <w:tc>
          <w:tcPr>
            <w:tcW w:w="3298"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Dilutive effect of warrants</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144,011</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109,631</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4,456</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98" w:type="dxa"/>
            <w:tcBorders/>
            <w:shd w:fill="FFFFFF" w:val="clear"/>
            <w:vAlign w:val="center"/>
          </w:tcPr>
          <w:p>
            <w:pPr>
              <w:pStyle w:val="TableContents"/>
              <w:bidi w:val="0"/>
              <w:spacing w:before="0" w:after="283"/>
              <w:ind w:left="280" w:right="0" w:firstLine="280"/>
              <w:jc w:val="left"/>
              <w:rPr>
                <w:rFonts w:ascii="Arial" w:hAnsi="Arial"/>
                <w:b/>
                <w:color w:val="000000"/>
                <w:sz w:val="20"/>
              </w:rPr>
            </w:pPr>
            <w:r>
              <w:rPr>
                <w:rFonts w:ascii="Arial" w:hAnsi="Arial"/>
                <w:b/>
                <w:color w:val="000000"/>
                <w:sz w:val="20"/>
              </w:rPr>
              <w:t>Weighted-average shares of common stock — diluted</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127,614,115</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125,639,879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127,254,611</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124,457,360</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 per share</w:t>
            </w:r>
          </w:p>
        </w:tc>
        <w:tc>
          <w:tcPr>
            <w:tcW w:w="1468" w:type="dxa"/>
            <w:gridSpan w:val="2"/>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right"/>
              <w:rPr/>
            </w:pPr>
            <w:r>
              <w:rPr/>
              <w:t> </w:t>
            </w:r>
          </w:p>
        </w:tc>
        <w:tc>
          <w:tcPr>
            <w:tcW w:w="146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50" w:type="dxa"/>
            <w:gridSpan w:val="2"/>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right"/>
              <w:rPr/>
            </w:pPr>
            <w:r>
              <w:rPr/>
              <w:t> </w:t>
            </w:r>
          </w:p>
        </w:tc>
        <w:tc>
          <w:tcPr>
            <w:tcW w:w="1450" w:type="dxa"/>
            <w:gridSpan w:val="2"/>
            <w:tcBorders/>
            <w:shd w:fill="CFF0FC" w:val="clear"/>
            <w:vAlign w:val="center"/>
          </w:tcPr>
          <w:p>
            <w:pPr>
              <w:pStyle w:val="TableContents"/>
              <w:bidi w:val="0"/>
              <w:spacing w:before="0" w:after="283"/>
              <w:jc w:val="right"/>
              <w:rPr/>
            </w:pPr>
            <w:r>
              <w:rPr/>
              <w:t> </w:t>
            </w:r>
          </w:p>
        </w:tc>
        <w:tc>
          <w:tcPr>
            <w:tcW w:w="617" w:type="dxa"/>
            <w:tcBorders/>
            <w:shd w:fill="CFF0FC" w:val="clear"/>
            <w:vAlign w:val="center"/>
          </w:tcPr>
          <w:p>
            <w:pPr>
              <w:pStyle w:val="TableContents"/>
              <w:bidi w:val="0"/>
              <w:spacing w:before="0" w:after="283"/>
              <w:ind w:left="0" w:right="0" w:firstLine="280"/>
              <w:jc w:val="right"/>
              <w:rPr/>
            </w:pPr>
            <w:r>
              <w:rPr/>
              <w:t> </w:t>
            </w:r>
          </w:p>
        </w:tc>
      </w:tr>
      <w:tr>
        <w:trPr/>
        <w:tc>
          <w:tcPr>
            <w:tcW w:w="329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Basic</w:t>
            </w:r>
          </w:p>
        </w:tc>
        <w:tc>
          <w:tcPr>
            <w:tcW w:w="2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0.12</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0.25</w:t>
            </w:r>
          </w:p>
        </w:tc>
        <w:tc>
          <w:tcPr>
            <w:tcW w:w="153"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0.10</w:t>
            </w:r>
          </w:p>
        </w:tc>
        <w:tc>
          <w:tcPr>
            <w:tcW w:w="617" w:type="dxa"/>
            <w:tcBorders/>
            <w:shd w:fill="FFFFFF" w:val="clear"/>
            <w:vAlign w:val="center"/>
          </w:tcPr>
          <w:p>
            <w:pPr>
              <w:pStyle w:val="TableContents"/>
              <w:bidi w:val="0"/>
              <w:spacing w:before="0" w:after="283"/>
              <w:ind w:left="0" w:right="0" w:firstLine="280"/>
              <w:jc w:val="left"/>
              <w:rPr/>
            </w:pPr>
            <w:r>
              <w:rPr/>
              <w:t> </w:t>
            </w:r>
          </w:p>
        </w:tc>
      </w:tr>
      <w:tr>
        <w:trPr/>
        <w:tc>
          <w:tcPr>
            <w:tcW w:w="329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Diluted</w:t>
            </w:r>
          </w:p>
        </w:tc>
        <w:tc>
          <w:tcPr>
            <w:tcW w:w="2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0.11</w:t>
            </w:r>
          </w:p>
        </w:tc>
        <w:tc>
          <w:tcPr>
            <w:tcW w:w="155"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0.24</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0.10</w:t>
            </w:r>
          </w:p>
        </w:tc>
        <w:tc>
          <w:tcPr>
            <w:tcW w:w="617" w:type="dxa"/>
            <w:tcBorders/>
            <w:shd w:fill="CFF0FC" w:val="cle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000000"/>
          <w:sz w:val="20"/>
        </w:rPr>
      </w:pPr>
      <w:r>
        <w:rPr>
          <w:rFonts w:ascii="Arial" w:hAnsi="Arial"/>
          <w:color w:val="000000"/>
          <w:sz w:val="20"/>
        </w:rPr>
        <w:t>The following table summarizes the weighted average securities that were excluded from the computation of diluted net income per share attributable to common stock as their inclusion would have been antidilutive:</w:t>
      </w:r>
    </w:p>
    <w:tbl>
      <w:tblPr>
        <w:tblW w:w="10205" w:type="dxa"/>
        <w:jc w:val="left"/>
        <w:tblInd w:w="0" w:type="dxa"/>
        <w:tblLayout w:type="fixed"/>
        <w:tblCellMar>
          <w:top w:w="28" w:type="dxa"/>
          <w:left w:w="28" w:type="dxa"/>
          <w:bottom w:w="28" w:type="dxa"/>
          <w:right w:w="28" w:type="dxa"/>
        </w:tblCellMar>
      </w:tblPr>
      <w:tblGrid>
        <w:gridCol w:w="3410"/>
        <w:gridCol w:w="234"/>
        <w:gridCol w:w="1280"/>
        <w:gridCol w:w="234"/>
        <w:gridCol w:w="234"/>
        <w:gridCol w:w="1280"/>
        <w:gridCol w:w="146"/>
        <w:gridCol w:w="211"/>
        <w:gridCol w:w="1157"/>
        <w:gridCol w:w="211"/>
        <w:gridCol w:w="211"/>
        <w:gridCol w:w="1398"/>
        <w:gridCol w:w="199"/>
      </w:tblGrid>
      <w:tr>
        <w:trPr/>
        <w:tc>
          <w:tcPr>
            <w:tcW w:w="341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10" w:type="dxa"/>
            <w:tcBorders/>
            <w:shd w:fill="FFFFFF" w:val="clear"/>
            <w:vAlign w:val="center"/>
          </w:tcPr>
          <w:p>
            <w:pPr>
              <w:pStyle w:val="TableContents"/>
              <w:bidi w:val="0"/>
              <w:spacing w:before="0" w:after="283"/>
              <w:jc w:val="center"/>
              <w:rPr/>
            </w:pPr>
            <w:r>
              <w:rPr/>
              <w:t> </w:t>
            </w:r>
          </w:p>
        </w:tc>
        <w:tc>
          <w:tcPr>
            <w:tcW w:w="326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0" w:type="dxa"/>
            <w:tcBorders/>
            <w:shd w:fill="FFFFFF" w:val="clear"/>
            <w:vAlign w:val="center"/>
          </w:tcPr>
          <w:p>
            <w:pPr>
              <w:pStyle w:val="TableContents"/>
              <w:bidi w:val="0"/>
              <w:spacing w:before="0" w:after="283"/>
              <w:jc w:val="center"/>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234" w:type="dxa"/>
            <w:tcBorders/>
            <w:shd w:fill="CFF0FC" w:val="clear"/>
            <w:vAlign w:val="center"/>
          </w:tcPr>
          <w:p>
            <w:pPr>
              <w:pStyle w:val="TableContents"/>
              <w:bidi w:val="0"/>
              <w:spacing w:before="0" w:after="283"/>
              <w:jc w:val="left"/>
              <w:rPr/>
            </w:pPr>
            <w:r>
              <w:rPr/>
              <w:t> </w:t>
            </w:r>
          </w:p>
        </w:tc>
        <w:tc>
          <w:tcPr>
            <w:tcW w:w="1280" w:type="dxa"/>
            <w:tcBorders/>
            <w:shd w:fill="CFF0FC" w:val="clear"/>
            <w:vAlign w:val="center"/>
          </w:tcPr>
          <w:p>
            <w:pPr>
              <w:pStyle w:val="TableContents"/>
              <w:bidi w:val="0"/>
              <w:spacing w:before="0" w:after="283"/>
              <w:jc w:val="right"/>
              <w:rPr>
                <w:color w:val="000000"/>
              </w:rPr>
            </w:pPr>
            <w:r>
              <w:rPr>
                <w:color w:val="000000"/>
              </w:rPr>
              <w:t>—</w:t>
            </w:r>
          </w:p>
        </w:tc>
        <w:tc>
          <w:tcPr>
            <w:tcW w:w="23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2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39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103,804</w:t>
            </w:r>
          </w:p>
        </w:tc>
        <w:tc>
          <w:tcPr>
            <w:tcW w:w="199" w:type="dxa"/>
            <w:tcBorders/>
            <w:shd w:fill="CFF0FC"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RSUs</w:t>
            </w:r>
          </w:p>
        </w:tc>
        <w:tc>
          <w:tcPr>
            <w:tcW w:w="234"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150,723</w:t>
            </w:r>
          </w:p>
        </w:tc>
        <w:tc>
          <w:tcPr>
            <w:tcW w:w="23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580,102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200,322</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1,149,853</w:t>
            </w:r>
          </w:p>
        </w:tc>
        <w:tc>
          <w:tcPr>
            <w:tcW w:w="199" w:type="dxa"/>
            <w:tcBorders/>
            <w:shd w:fill="FFFFFF" w:val="clear"/>
            <w:vAlign w:val="center"/>
          </w:tcPr>
          <w:p>
            <w:pPr>
              <w:pStyle w:val="TableContents"/>
              <w:bidi w:val="0"/>
              <w:spacing w:before="0" w:after="283"/>
              <w:jc w:val="left"/>
              <w:rPr/>
            </w:pPr>
            <w:r>
              <w:rPr/>
              <w:t> </w:t>
            </w:r>
          </w:p>
        </w:tc>
      </w:tr>
      <w:tr>
        <w:trPr/>
        <w:tc>
          <w:tcPr>
            <w:tcW w:w="341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Warrants</w:t>
            </w:r>
          </w:p>
        </w:tc>
        <w:tc>
          <w:tcPr>
            <w:tcW w:w="234" w:type="dxa"/>
            <w:tcBorders/>
            <w:shd w:fill="CFF0FC" w:val="clear"/>
            <w:vAlign w:val="center"/>
          </w:tcPr>
          <w:p>
            <w:pPr>
              <w:pStyle w:val="TableContents"/>
              <w:bidi w:val="0"/>
              <w:spacing w:before="0" w:after="283"/>
              <w:jc w:val="left"/>
              <w:rPr/>
            </w:pPr>
            <w:r>
              <w:rPr/>
              <w:t> </w:t>
            </w:r>
          </w:p>
        </w:tc>
        <w:tc>
          <w:tcPr>
            <w:tcW w:w="1280" w:type="dxa"/>
            <w:tcBorders/>
            <w:shd w:fill="CFF0FC" w:val="clear"/>
            <w:vAlign w:val="center"/>
          </w:tcPr>
          <w:p>
            <w:pPr>
              <w:pStyle w:val="TableContents"/>
              <w:bidi w:val="0"/>
              <w:spacing w:before="0" w:after="283"/>
              <w:jc w:val="right"/>
              <w:rPr>
                <w:color w:val="000000"/>
              </w:rPr>
            </w:pPr>
            <w:r>
              <w:rPr>
                <w:color w:val="000000"/>
              </w:rPr>
              <w:t>—</w:t>
            </w:r>
          </w:p>
        </w:tc>
        <w:tc>
          <w:tcPr>
            <w:tcW w:w="23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28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417,045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39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417,045</w:t>
            </w:r>
          </w:p>
        </w:tc>
        <w:tc>
          <w:tcPr>
            <w:tcW w:w="199"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Arial" w:hAnsi="Arial"/>
          <w:b/>
          <w:color w:val="000000"/>
          <w:sz w:val="20"/>
        </w:rPr>
      </w:pPr>
      <w:bookmarkStart w:id="13" w:name="item_2_managements_discussion"/>
      <w:bookmarkEnd w:id="13"/>
      <w:r>
        <w:rPr>
          <w:rFonts w:ascii="Arial" w:hAnsi="Arial"/>
          <w:b/>
          <w:color w:val="000000"/>
          <w:sz w:val="20"/>
        </w:rPr>
        <w:t>Item 2. Management’s Discussion and Analysis of Financial Condition and Results of Operations</w:t>
      </w:r>
    </w:p>
    <w:p>
      <w:pPr>
        <w:pStyle w:val="TextBody"/>
        <w:bidi w:val="0"/>
        <w:spacing w:before="240" w:after="283"/>
        <w:jc w:val="both"/>
        <w:rPr>
          <w:rFonts w:ascii="Arial" w:hAnsi="Arial"/>
          <w:b/>
          <w:color w:val="000000"/>
          <w:sz w:val="20"/>
        </w:rPr>
      </w:pPr>
      <w:r>
        <w:rPr>
          <w:rFonts w:ascii="Arial" w:hAnsi="Arial"/>
          <w:b/>
          <w:color w:val="000000"/>
          <w:sz w:val="20"/>
        </w:rPr>
        <w:t>Overview</w:t>
      </w:r>
    </w:p>
    <w:p>
      <w:pPr>
        <w:pStyle w:val="TextBody"/>
        <w:bidi w:val="0"/>
        <w:spacing w:before="120" w:after="283"/>
        <w:jc w:val="both"/>
        <w:rPr>
          <w:rFonts w:ascii="Arial" w:hAnsi="Arial"/>
          <w:color w:val="000000"/>
          <w:sz w:val="20"/>
        </w:rPr>
      </w:pPr>
      <w:r>
        <w:rPr>
          <w:rFonts w:ascii="Arial" w:hAnsi="Arial"/>
          <w:color w:val="000000"/>
          <w:sz w:val="20"/>
        </w:rPr>
        <w:t>We are a leading provider of cloud-based bill payment technology and solutions. We deliver our next-generation product suite through a modern technology stack to more than 2,200 biller business and financial institution clients. Our platform was used by approximately 34 million consumers and businesses in North America in December 2023 to pay their bills, make money movements and engage with our clients. We serve billers of all sizes that primarily provide non-discretionary services across a variety of industry verticals, including utilities, financial services, insurance, government, telecommunications, real estate management, healthcare and education.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pStyle w:val="TextBody"/>
        <w:bidi w:val="0"/>
        <w:spacing w:before="120" w:after="283"/>
        <w:jc w:val="both"/>
        <w:rPr>
          <w:rFonts w:ascii="Arial" w:hAnsi="Arial"/>
          <w:color w:val="000000"/>
          <w:sz w:val="20"/>
        </w:rPr>
      </w:pPr>
      <w:r>
        <w:rPr>
          <w:rFonts w:ascii="Arial" w:hAnsi="Arial"/>
          <w:color w:val="000000"/>
          <w:sz w:val="20"/>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pStyle w:val="TextBody"/>
        <w:bidi w:val="0"/>
        <w:spacing w:before="120" w:after="120"/>
        <w:jc w:val="both"/>
        <w:rPr>
          <w:rFonts w:ascii="Times New Roman" w:hAnsi="Times New Roman"/>
          <w:sz w:val="20"/>
        </w:rPr>
      </w:pPr>
      <w:r>
        <w:rPr>
          <w:rFonts w:ascii="Arial" w:hAnsi="Arial"/>
          <w:b/>
          <w:color w:val="000000"/>
          <w:sz w:val="20"/>
        </w:rPr>
        <w:t>Transactions Processed</w:t>
      </w:r>
      <w:r>
        <w:rPr>
          <w:rFonts w:ascii="Times New Roman" w:hAnsi="Times New Roman"/>
          <w:color w:val="000000"/>
          <w:sz w:val="20"/>
        </w:rPr>
        <w:t xml:space="preserve"> </w:t>
      </w:r>
    </w:p>
    <w:tbl>
      <w:tblPr>
        <w:tblW w:w="10181" w:type="dxa"/>
        <w:jc w:val="left"/>
        <w:tblInd w:w="0" w:type="dxa"/>
        <w:tblLayout w:type="fixed"/>
        <w:tblCellMar>
          <w:top w:w="28" w:type="dxa"/>
          <w:left w:w="28" w:type="dxa"/>
          <w:bottom w:w="28" w:type="dxa"/>
          <w:right w:w="28" w:type="dxa"/>
        </w:tblCellMar>
      </w:tblPr>
      <w:tblGrid>
        <w:gridCol w:w="2206"/>
        <w:gridCol w:w="187"/>
        <w:gridCol w:w="752"/>
        <w:gridCol w:w="187"/>
        <w:gridCol w:w="187"/>
        <w:gridCol w:w="187"/>
        <w:gridCol w:w="752"/>
        <w:gridCol w:w="187"/>
        <w:gridCol w:w="187"/>
        <w:gridCol w:w="237"/>
        <w:gridCol w:w="784"/>
        <w:gridCol w:w="286"/>
        <w:gridCol w:w="146"/>
        <w:gridCol w:w="181"/>
        <w:gridCol w:w="729"/>
        <w:gridCol w:w="181"/>
        <w:gridCol w:w="181"/>
        <w:gridCol w:w="181"/>
        <w:gridCol w:w="729"/>
        <w:gridCol w:w="181"/>
        <w:gridCol w:w="181"/>
        <w:gridCol w:w="237"/>
        <w:gridCol w:w="784"/>
        <w:gridCol w:w="331"/>
      </w:tblGrid>
      <w:tr>
        <w:trPr/>
        <w:tc>
          <w:tcPr>
            <w:tcW w:w="220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pPr>
            <w:r>
              <w:rPr/>
              <w:t> </w:t>
            </w:r>
          </w:p>
        </w:tc>
        <w:tc>
          <w:tcPr>
            <w:tcW w:w="364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Growth</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Growth</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2252"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millions)</w:t>
            </w:r>
          </w:p>
        </w:tc>
        <w:tc>
          <w:tcPr>
            <w:tcW w:w="187" w:type="dxa"/>
            <w:tcBorders/>
            <w:shd w:fill="FFFFFF" w:val="cle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2"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millions)</w:t>
            </w:r>
          </w:p>
        </w:tc>
        <w:tc>
          <w:tcPr>
            <w:tcW w:w="181"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Transactions processed</w:t>
            </w:r>
          </w:p>
        </w:tc>
        <w:tc>
          <w:tcPr>
            <w:tcW w:w="187"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155.3</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115.4</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34.6</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431.0</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333.4</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29.3</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both"/>
        <w:rPr>
          <w:rFonts w:ascii="Times New Roman" w:hAnsi="Times New Roman"/>
          <w:sz w:val="20"/>
        </w:rPr>
      </w:pPr>
      <w:r>
        <w:rPr>
          <w:rFonts w:ascii="Arial" w:hAnsi="Arial"/>
          <w:color w:val="000000"/>
          <w:sz w:val="20"/>
        </w:rPr>
        <w:t>We define transactions processed as the number of revenue generating payment transactions, such as checks, credit card and debit card transactions, automated clearing house, or ACH, items and emerging payment types, which are initiated and generally processed through our platform during a period. The number of transactions also includes account-to-account and person-to-person transfers. The increase in the number of transactions processed during the three and nine months ended September 30, 2024 as compared to the same periods in 2023 was primarily driven by the addition of new billers and financial institutions and increased transactions from our existing billers and financial institutions.</w:t>
      </w:r>
      <w:r>
        <w:rPr>
          <w:rFonts w:ascii="Times New Roman" w:hAnsi="Times New Roman"/>
          <w:color w:val="000000"/>
          <w:sz w:val="20"/>
        </w:rPr>
        <w:t xml:space="preserve"> </w:t>
      </w:r>
    </w:p>
    <w:p>
      <w:pPr>
        <w:pStyle w:val="TextBody"/>
        <w:bidi w:val="0"/>
        <w:spacing w:before="120" w:after="283"/>
        <w:jc w:val="both"/>
        <w:rPr>
          <w:rFonts w:ascii="Arial" w:hAnsi="Arial"/>
          <w:b/>
          <w:color w:val="000000"/>
          <w:sz w:val="20"/>
        </w:rPr>
      </w:pPr>
      <w:r>
        <w:rPr>
          <w:rFonts w:ascii="Arial" w:hAnsi="Arial"/>
          <w:b/>
          <w:color w:val="000000"/>
          <w:sz w:val="20"/>
        </w:rPr>
        <w:t>Other Key Factors and Trends Affecting Our Operating Results</w:t>
      </w:r>
    </w:p>
    <w:p>
      <w:pPr>
        <w:pStyle w:val="TextBody"/>
        <w:bidi w:val="0"/>
        <w:spacing w:before="120" w:after="283"/>
        <w:jc w:val="both"/>
        <w:rPr>
          <w:rFonts w:ascii="Arial" w:hAnsi="Arial"/>
          <w:color w:val="000000"/>
          <w:sz w:val="20"/>
        </w:rPr>
      </w:pPr>
      <w:r>
        <w:rPr>
          <w:rFonts w:ascii="Arial" w:hAnsi="Arial"/>
          <w:color w:val="000000"/>
          <w:sz w:val="20"/>
        </w:rPr>
        <w:t>The discussion below includes a number of forward-looking statements regarding our future performance. For a discussion of important factors, including the continuing development of our business and other factors which could cause actual results to differ materially from matters referred to below, see the discussions under “Risk Factors” and “Special Note Regarding Forward-Looking Statements” herein and in our Form 10-K for the year ended December 31, 2023 or, the "2023 Form 10-K".</w:t>
      </w:r>
    </w:p>
    <w:p>
      <w:pPr>
        <w:pStyle w:val="TextBody"/>
        <w:bidi w:val="0"/>
        <w:spacing w:before="120" w:after="283"/>
        <w:jc w:val="both"/>
        <w:rPr>
          <w:rFonts w:ascii="Arial" w:hAnsi="Arial"/>
          <w:i/>
          <w:color w:val="000000"/>
          <w:sz w:val="20"/>
        </w:rPr>
      </w:pPr>
      <w:r>
        <w:rPr>
          <w:rFonts w:ascii="Arial" w:hAnsi="Arial"/>
          <w:i/>
          <w:color w:val="000000"/>
          <w:sz w:val="20"/>
        </w:rPr>
        <w:t>Impact of Economic and Inflationary Trends</w:t>
      </w:r>
    </w:p>
    <w:p>
      <w:pPr>
        <w:pStyle w:val="TextBody"/>
        <w:bidi w:val="0"/>
        <w:spacing w:before="120" w:after="283"/>
        <w:jc w:val="both"/>
        <w:rPr>
          <w:rFonts w:ascii="Arial" w:hAnsi="Arial"/>
          <w:color w:val="000000"/>
          <w:sz w:val="20"/>
        </w:rPr>
      </w:pPr>
      <w:r>
        <w:rPr>
          <w:rFonts w:ascii="Arial" w:hAnsi="Arial"/>
          <w:color w:val="000000"/>
          <w:sz w:val="20"/>
        </w:rPr>
        <w:t>Inflationary pressures have moderated, with price increases occurring at a reduced pace, and current expectations indicate further deceleration in inflation. However, economic uncertainty persists and may continue to present challenges to our performance for the remainder of 2024 and into 2025. While inflationary conditions have stabilized, elevated costs, particularly in the utility sector, and higher interchange fees remain impactful. We are proactively adjusting pricing to mitigate these pressures; however, the timing of our adjustments typically lags the inflationary effects experienced by our clients. We will remain vigilant in monitoring the economic landscape and will implement further pricing adjustments as necessary to address ongoing market dynamics.</w:t>
      </w:r>
    </w:p>
    <w:p>
      <w:pPr>
        <w:pStyle w:val="TextBody"/>
        <w:bidi w:val="0"/>
        <w:spacing w:before="120" w:after="283"/>
        <w:jc w:val="left"/>
        <w:rPr>
          <w:rFonts w:ascii="Arial" w:hAnsi="Arial"/>
          <w:b/>
          <w:color w:val="000000"/>
          <w:sz w:val="20"/>
        </w:rPr>
      </w:pPr>
      <w:r>
        <w:rPr>
          <w:rFonts w:ascii="Arial" w:hAnsi="Arial"/>
          <w:b/>
          <w:color w:val="000000"/>
          <w:sz w:val="20"/>
        </w:rPr>
        <w:t>Non-GAAP Measures</w:t>
      </w:r>
    </w:p>
    <w:p>
      <w:pPr>
        <w:pStyle w:val="TextBody"/>
        <w:bidi w:val="0"/>
        <w:spacing w:before="120" w:after="283"/>
        <w:jc w:val="both"/>
        <w:rPr>
          <w:rFonts w:ascii="Times New Roman" w:hAnsi="Times New Roman"/>
          <w:sz w:val="20"/>
        </w:rPr>
      </w:pPr>
      <w:r>
        <w:rPr>
          <w:rFonts w:ascii="Arial" w:hAnsi="Arial"/>
          <w:color w:val="000000"/>
          <w:sz w:val="20"/>
        </w:rPr>
        <w:t>We use supplemental measures of our performance that are derived from our consolidated financial information but which are not presented in our consolidated financial statements prepared in accordance with U.S. generally accepted accounting principles, or GAAP. These supplemental non-GAAP measures include contribution profit, adjusted gross profit, adjusted EBITDA and free cash flow.</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Contribution Profit</w:t>
      </w:r>
    </w:p>
    <w:p>
      <w:pPr>
        <w:pStyle w:val="TextBody"/>
        <w:bidi w:val="0"/>
        <w:spacing w:before="12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We calculate contribution profit as gross profit plus other cost of revenue. Other cost of revenue equals cost of revenue less interchange and assessment fees paid by us to our payment processors.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Adjusted Gross Profit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calculate adjusted gross profit as gross profit adjusted for non-cash items, primarily stock-based compensation and amortization of acquisition-related intangible assets and capitalized software development costs.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Adjusted EBITDA</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calculate adjusted EBITDA as net income before interest income, net, other income (expense), depreciation and amortization of acquisition-related intangible assets and capitalized software development costs, and income taxes, adjusted to exclude the effects of foreign exchange gains (losses), stock-based compensation expense and certain nonrecurring expenses that management believes are not indicative of ongoing operations.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Free Cash Flow</w:t>
      </w:r>
    </w:p>
    <w:p>
      <w:pPr>
        <w:pStyle w:val="TextBody"/>
        <w:bidi w:val="0"/>
        <w:spacing w:before="120" w:after="283"/>
        <w:jc w:val="both"/>
        <w:rPr>
          <w:rFonts w:ascii="Times New Roman" w:hAnsi="Times New Roman"/>
          <w:sz w:val="20"/>
        </w:rPr>
      </w:pPr>
      <w:r>
        <w:rPr>
          <w:rFonts w:ascii="Arial" w:hAnsi="Arial"/>
          <w:color w:val="000000"/>
          <w:sz w:val="20"/>
        </w:rPr>
        <w:t>We calculate free cash flow as net cash provided by (used in) operating activities less capital expenditures, other intangible assets acquired, and capitalized internal-use software development costs.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How we use Non-GAAP Measures</w:t>
      </w:r>
    </w:p>
    <w:p>
      <w:pPr>
        <w:pStyle w:val="TextBody"/>
        <w:bidi w:val="0"/>
        <w:spacing w:before="120" w:after="283"/>
        <w:jc w:val="both"/>
        <w:rPr>
          <w:rFonts w:ascii="Arial" w:hAnsi="Arial"/>
          <w:color w:val="000000"/>
          <w:sz w:val="20"/>
        </w:rPr>
      </w:pPr>
      <w:r>
        <w:rPr>
          <w:rFonts w:ascii="Arial" w:hAnsi="Arial"/>
          <w:color w:val="000000"/>
          <w:sz w:val="20"/>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product or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pStyle w:val="TextBody"/>
        <w:bidi w:val="0"/>
        <w:spacing w:before="120" w:after="283"/>
        <w:jc w:val="both"/>
        <w:rPr>
          <w:rFonts w:ascii="Times New Roman" w:hAnsi="Times New Roman"/>
          <w:sz w:val="20"/>
        </w:rPr>
      </w:pPr>
      <w:r>
        <w:rPr>
          <w:rFonts w:ascii="Arial" w:hAnsi="Arial"/>
          <w:color w:val="000000"/>
          <w:sz w:val="20"/>
        </w:rPr>
        <w:t>We also urge you to review the reconciliation of these non-GAAP financial measures included below. To properly and prudently evaluate our business, we encourage you to review the condensed consolidated financial statements and related notes included elsewhere in this report and to not rely on any single financial measure to evaluate our business.</w:t>
      </w:r>
      <w:r>
        <w:rPr>
          <w:rFonts w:ascii="Times New Roman" w:hAnsi="Times New Roman"/>
          <w:color w:val="000000"/>
          <w:sz w:val="20"/>
        </w:rPr>
        <w:t xml:space="preserve"> </w:t>
      </w:r>
    </w:p>
    <w:p>
      <w:pPr>
        <w:pStyle w:val="TextBody"/>
        <w:bidi w:val="0"/>
        <w:spacing w:before="120" w:after="120"/>
        <w:jc w:val="both"/>
        <w:rPr>
          <w:rFonts w:ascii="Arial" w:hAnsi="Arial"/>
          <w:i/>
          <w:color w:val="000000"/>
          <w:sz w:val="20"/>
        </w:rPr>
      </w:pPr>
      <w:r>
        <w:rPr>
          <w:rFonts w:ascii="Arial" w:hAnsi="Arial"/>
          <w:i/>
          <w:color w:val="000000"/>
          <w:sz w:val="20"/>
        </w:rPr>
        <w:t>Contribution Profit</w:t>
      </w:r>
    </w:p>
    <w:tbl>
      <w:tblPr>
        <w:tblW w:w="9855" w:type="dxa"/>
        <w:jc w:val="left"/>
        <w:tblInd w:w="0" w:type="dxa"/>
        <w:tblLayout w:type="fixed"/>
        <w:tblCellMar>
          <w:top w:w="28" w:type="dxa"/>
          <w:left w:w="28" w:type="dxa"/>
          <w:bottom w:w="28" w:type="dxa"/>
          <w:right w:w="28" w:type="dxa"/>
        </w:tblCellMar>
      </w:tblPr>
      <w:tblGrid>
        <w:gridCol w:w="2616"/>
        <w:gridCol w:w="371"/>
        <w:gridCol w:w="1217"/>
        <w:gridCol w:w="257"/>
        <w:gridCol w:w="371"/>
        <w:gridCol w:w="1217"/>
        <w:gridCol w:w="146"/>
        <w:gridCol w:w="325"/>
        <w:gridCol w:w="1227"/>
        <w:gridCol w:w="225"/>
        <w:gridCol w:w="325"/>
        <w:gridCol w:w="1227"/>
        <w:gridCol w:w="331"/>
      </w:tblGrid>
      <w:tr>
        <w:trPr/>
        <w:tc>
          <w:tcPr>
            <w:tcW w:w="261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vAlign w:val="center"/>
          </w:tcPr>
          <w:p>
            <w:pPr>
              <w:pStyle w:val="TableContents"/>
              <w:bidi w:val="0"/>
              <w:spacing w:before="0" w:after="283"/>
              <w:jc w:val="left"/>
              <w:rPr/>
            </w:pPr>
            <w:r>
              <w:rPr/>
              <w:t> </w:t>
            </w:r>
          </w:p>
        </w:tc>
        <w:tc>
          <w:tcPr>
            <w:tcW w:w="343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2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vAlign w:val="center"/>
          </w:tcPr>
          <w:p>
            <w:pPr>
              <w:pStyle w:val="TableContents"/>
              <w:bidi w:val="0"/>
              <w:spacing w:before="0" w:after="283"/>
              <w:jc w:val="left"/>
              <w:rPr/>
            </w:pPr>
            <w:r>
              <w:rPr/>
              <w:t> </w:t>
            </w:r>
          </w:p>
        </w:tc>
        <w:tc>
          <w:tcPr>
            <w:tcW w:w="1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vAlign w:val="center"/>
          </w:tcPr>
          <w:p>
            <w:pPr>
              <w:pStyle w:val="TableContents"/>
              <w:bidi w:val="0"/>
              <w:spacing w:before="0" w:after="283"/>
              <w:jc w:val="left"/>
              <w:rPr/>
            </w:pPr>
            <w:r>
              <w:rPr/>
              <w:t> </w:t>
            </w:r>
          </w:p>
        </w:tc>
        <w:tc>
          <w:tcPr>
            <w:tcW w:w="6908" w:type="dxa"/>
            <w:gridSpan w:val="11"/>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1" w:type="dxa"/>
            <w:tcBorders/>
            <w:shd w:fill="FFFFFF" w:val="clear"/>
            <w:vAlign w:val="center"/>
          </w:tcPr>
          <w:p>
            <w:pPr>
              <w:pStyle w:val="TableContents"/>
              <w:bidi w:val="0"/>
              <w:spacing w:before="0" w:after="283"/>
              <w:jc w:val="center"/>
              <w:rPr/>
            </w:pPr>
            <w:r>
              <w:rPr/>
              <w:t> </w:t>
            </w:r>
          </w:p>
        </w:tc>
      </w:tr>
      <w:tr>
        <w:trPr/>
        <w:tc>
          <w:tcPr>
            <w:tcW w:w="2616"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Gross profit</w:t>
            </w:r>
          </w:p>
        </w:tc>
        <w:tc>
          <w:tcPr>
            <w:tcW w:w="3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60,665</w:t>
            </w:r>
          </w:p>
        </w:tc>
        <w:tc>
          <w:tcPr>
            <w:tcW w:w="257"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46,910</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172,141</w:t>
            </w:r>
          </w:p>
        </w:tc>
        <w:tc>
          <w:tcPr>
            <w:tcW w:w="225"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132,850</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261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Plus: other cost of revenue</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19,339</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53,711</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41,764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Contribution profit</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80,004</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61,493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225,852</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174,614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20"/>
        </w:rPr>
      </w:pPr>
      <w:r>
        <w:rPr>
          <w:rFonts w:ascii="Arial" w:hAnsi="Arial"/>
          <w:color w:val="000000"/>
          <w:sz w:val="20"/>
        </w:rPr>
        <w:t>In general, contribution profit is driven by the number of transactions we process offset by network fees associated with processing those transactions. The amount of contribution profit per transaction may vary due to a variety of factors substantially outside of our control, including client size, type and industry as well as whether the client is a biller, financial institution or other partner. Contribution profit for the three and nine months ended September 30, 2024 increased approximately 30.1%, and 29.3%, respectively, as compared to the same periods in 2023. The increase was primarily driven by growth in transaction count and volume driven by the addition of new billers and financial institutions and increased transactions from our existing billers and financial institutions.</w:t>
      </w:r>
    </w:p>
    <w:p>
      <w:pPr>
        <w:pStyle w:val="TextBody"/>
        <w:bidi w:val="0"/>
        <w:spacing w:before="12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Arial" w:hAnsi="Arial"/>
          <w:i/>
          <w:color w:val="000000"/>
          <w:sz w:val="20"/>
        </w:rPr>
        <w:t>Adjusted Gross Profit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915"/>
        <w:gridCol w:w="313"/>
        <w:gridCol w:w="1028"/>
        <w:gridCol w:w="217"/>
        <w:gridCol w:w="313"/>
        <w:gridCol w:w="1028"/>
        <w:gridCol w:w="146"/>
        <w:gridCol w:w="284"/>
        <w:gridCol w:w="1072"/>
        <w:gridCol w:w="196"/>
        <w:gridCol w:w="284"/>
        <w:gridCol w:w="1072"/>
        <w:gridCol w:w="337"/>
      </w:tblGrid>
      <w:tr>
        <w:trPr/>
        <w:tc>
          <w:tcPr>
            <w:tcW w:w="391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915" w:type="dxa"/>
            <w:tcBorders/>
            <w:shd w:fill="FFFFFF" w:val="clear"/>
            <w:vAlign w:val="center"/>
          </w:tcPr>
          <w:p>
            <w:pPr>
              <w:pStyle w:val="TableContents"/>
              <w:bidi w:val="0"/>
              <w:spacing w:before="0" w:after="283"/>
              <w:jc w:val="left"/>
              <w:rPr/>
            </w:pPr>
            <w:r>
              <w:rPr/>
              <w:t> </w:t>
            </w:r>
          </w:p>
        </w:tc>
        <w:tc>
          <w:tcPr>
            <w:tcW w:w="2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0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5" w:type="dxa"/>
            <w:tcBorders/>
            <w:shd w:fill="FFFFFF" w:val="clear"/>
            <w:vAlign w:val="center"/>
          </w:tcPr>
          <w:p>
            <w:pPr>
              <w:pStyle w:val="TableContents"/>
              <w:bidi w:val="0"/>
              <w:spacing w:before="0" w:after="283"/>
              <w:jc w:val="left"/>
              <w:rPr/>
            </w:pPr>
            <w:r>
              <w:rPr/>
              <w:t> </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5" w:type="dxa"/>
            <w:tcBorders/>
            <w:shd w:fill="FFFFFF" w:val="clear"/>
            <w:vAlign w:val="center"/>
          </w:tcPr>
          <w:p>
            <w:pPr>
              <w:pStyle w:val="TableContents"/>
              <w:bidi w:val="0"/>
              <w:spacing w:before="0" w:after="283"/>
              <w:jc w:val="left"/>
              <w:rPr/>
            </w:pPr>
            <w:r>
              <w:rPr/>
              <w:t> </w:t>
            </w:r>
          </w:p>
        </w:tc>
        <w:tc>
          <w:tcPr>
            <w:tcW w:w="5953" w:type="dxa"/>
            <w:gridSpan w:val="11"/>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7" w:type="dxa"/>
            <w:tcBorders/>
            <w:shd w:fill="FFFFFF" w:val="clear"/>
            <w:vAlign w:val="center"/>
          </w:tcPr>
          <w:p>
            <w:pPr>
              <w:pStyle w:val="TableContents"/>
              <w:bidi w:val="0"/>
              <w:spacing w:before="0" w:after="283"/>
              <w:jc w:val="center"/>
              <w:rPr/>
            </w:pPr>
            <w:r>
              <w:rPr/>
              <w:t> </w:t>
            </w:r>
          </w:p>
        </w:tc>
      </w:tr>
      <w:tr>
        <w:trPr/>
        <w:tc>
          <w:tcPr>
            <w:tcW w:w="391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Gross profit</w:t>
            </w:r>
          </w:p>
        </w:tc>
        <w:tc>
          <w:tcPr>
            <w:tcW w:w="31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60,665</w:t>
            </w:r>
          </w:p>
        </w:tc>
        <w:tc>
          <w:tcPr>
            <w:tcW w:w="217"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46,910</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172,141</w:t>
            </w:r>
          </w:p>
        </w:tc>
        <w:tc>
          <w:tcPr>
            <w:tcW w:w="19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132,850</w:t>
            </w:r>
          </w:p>
        </w:tc>
        <w:tc>
          <w:tcPr>
            <w:tcW w:w="337" w:type="dxa"/>
            <w:tcBorders/>
            <w:shd w:fill="CFF0FC" w:val="clear"/>
            <w:vAlign w:val="center"/>
          </w:tcPr>
          <w:p>
            <w:pPr>
              <w:pStyle w:val="TableContents"/>
              <w:bidi w:val="0"/>
              <w:spacing w:before="0" w:after="283"/>
              <w:ind w:left="0" w:right="0" w:firstLine="140"/>
              <w:jc w:val="left"/>
              <w:rPr/>
            </w:pPr>
            <w:r>
              <w:rPr/>
              <w:t> </w:t>
            </w:r>
          </w:p>
        </w:tc>
      </w:tr>
      <w:tr>
        <w:trPr/>
        <w:tc>
          <w:tcPr>
            <w:tcW w:w="3915"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Stock-based compensation</w:t>
            </w:r>
          </w:p>
        </w:tc>
        <w:tc>
          <w:tcPr>
            <w:tcW w:w="313"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217"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19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337" w:type="dxa"/>
            <w:tcBorders/>
            <w:shd w:fill="FFFFFF" w:val="clear"/>
            <w:vAlign w:val="center"/>
          </w:tcPr>
          <w:p>
            <w:pPr>
              <w:pStyle w:val="TableContents"/>
              <w:bidi w:val="0"/>
              <w:spacing w:before="0" w:after="283"/>
              <w:ind w:left="0" w:right="0" w:firstLine="140"/>
              <w:jc w:val="left"/>
              <w:rPr/>
            </w:pPr>
            <w:r>
              <w:rPr/>
              <w:t> </w:t>
            </w:r>
          </w:p>
        </w:tc>
      </w:tr>
      <w:tr>
        <w:trPr/>
        <w:tc>
          <w:tcPr>
            <w:tcW w:w="3915"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Amortization of capitalized software development costs</w:t>
            </w:r>
          </w:p>
        </w:tc>
        <w:tc>
          <w:tcPr>
            <w:tcW w:w="313"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4,627</w:t>
            </w:r>
          </w:p>
        </w:tc>
        <w:tc>
          <w:tcPr>
            <w:tcW w:w="217"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3,493</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13,022</w:t>
            </w:r>
          </w:p>
        </w:tc>
        <w:tc>
          <w:tcPr>
            <w:tcW w:w="19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9,473</w:t>
            </w:r>
          </w:p>
        </w:tc>
        <w:tc>
          <w:tcPr>
            <w:tcW w:w="337" w:type="dxa"/>
            <w:tcBorders/>
            <w:shd w:fill="CFF0FC" w:val="clear"/>
            <w:vAlign w:val="center"/>
          </w:tcPr>
          <w:p>
            <w:pPr>
              <w:pStyle w:val="TableContents"/>
              <w:bidi w:val="0"/>
              <w:spacing w:before="0" w:after="283"/>
              <w:ind w:left="0" w:right="0" w:firstLine="140"/>
              <w:jc w:val="left"/>
              <w:rPr/>
            </w:pPr>
            <w:r>
              <w:rPr/>
              <w:t> </w:t>
            </w:r>
          </w:p>
        </w:tc>
      </w:tr>
      <w:tr>
        <w:trPr/>
        <w:tc>
          <w:tcPr>
            <w:tcW w:w="3915"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Amortization of acquisition-related intangibles</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829</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2,486</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gross profit</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66,188</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51,268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187,833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144,919</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20"/>
        </w:rPr>
      </w:pPr>
      <w:r>
        <w:rPr>
          <w:rFonts w:ascii="Arial" w:hAnsi="Arial"/>
          <w:color w:val="000000"/>
          <w:sz w:val="20"/>
        </w:rPr>
        <w:t>Adjusted gross profit for the three and nine months ended September 30, 2024 increased 29.1% and 29.6%, respectively, as compared to the same periods in 2023. Adjusted gross profit improved in line with contribution profit. Adjusted gross profit as a percentage of contribution profit remained consistent for the three and nine months ended September 30, 2024. Adjusted gross profit is driven primarily by the same factors that impact gross profit with the exception of excluding the amortization and stock-based compensation recorded in cost of revenue. The increase in amortization was driven by additional capitalization of software costs.</w:t>
      </w:r>
    </w:p>
    <w:p>
      <w:pPr>
        <w:pStyle w:val="TextBody"/>
        <w:bidi w:val="0"/>
        <w:spacing w:before="120" w:after="120"/>
        <w:jc w:val="left"/>
        <w:rPr>
          <w:rFonts w:ascii="Arial" w:hAnsi="Arial"/>
          <w:i/>
          <w:color w:val="000000"/>
          <w:sz w:val="20"/>
        </w:rPr>
      </w:pPr>
      <w:r>
        <w:rPr>
          <w:rFonts w:ascii="Arial" w:hAnsi="Arial"/>
          <w:i/>
          <w:color w:val="000000"/>
          <w:sz w:val="20"/>
        </w:rPr>
        <w:t>Adjusted EBITDA</w:t>
      </w:r>
    </w:p>
    <w:tbl>
      <w:tblPr>
        <w:tblW w:w="10205" w:type="dxa"/>
        <w:jc w:val="left"/>
        <w:tblInd w:w="0" w:type="dxa"/>
        <w:tblLayout w:type="fixed"/>
        <w:tblCellMar>
          <w:top w:w="28" w:type="dxa"/>
          <w:left w:w="28" w:type="dxa"/>
          <w:bottom w:w="28" w:type="dxa"/>
          <w:right w:w="28" w:type="dxa"/>
        </w:tblCellMar>
      </w:tblPr>
      <w:tblGrid>
        <w:gridCol w:w="3926"/>
        <w:gridCol w:w="312"/>
        <w:gridCol w:w="1022"/>
        <w:gridCol w:w="245"/>
        <w:gridCol w:w="312"/>
        <w:gridCol w:w="1022"/>
        <w:gridCol w:w="166"/>
        <w:gridCol w:w="304"/>
        <w:gridCol w:w="998"/>
        <w:gridCol w:w="239"/>
        <w:gridCol w:w="304"/>
        <w:gridCol w:w="998"/>
        <w:gridCol w:w="357"/>
      </w:tblGrid>
      <w:tr>
        <w:trPr/>
        <w:tc>
          <w:tcPr>
            <w:tcW w:w="39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926" w:type="dxa"/>
            <w:tcBorders/>
            <w:shd w:fill="FFFFFF" w:val="clear"/>
            <w:vAlign w:val="center"/>
          </w:tcPr>
          <w:p>
            <w:pPr>
              <w:pStyle w:val="TableContents"/>
              <w:bidi w:val="0"/>
              <w:spacing w:before="0" w:after="283"/>
              <w:jc w:val="left"/>
              <w:rPr/>
            </w:pPr>
            <w:r>
              <w:rPr/>
              <w:t> </w:t>
            </w:r>
          </w:p>
        </w:tc>
        <w:tc>
          <w:tcPr>
            <w:tcW w:w="291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6" w:type="dxa"/>
            <w:tcBorders/>
            <w:shd w:fill="FFFFFF" w:val="clear"/>
            <w:vAlign w:val="center"/>
          </w:tcPr>
          <w:p>
            <w:pPr>
              <w:pStyle w:val="TableContents"/>
              <w:bidi w:val="0"/>
              <w:spacing w:before="0" w:after="283"/>
              <w:jc w:val="left"/>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6" w:type="dxa"/>
            <w:tcBorders/>
            <w:shd w:fill="FFFFFF" w:val="clear"/>
            <w:vAlign w:val="center"/>
          </w:tcPr>
          <w:p>
            <w:pPr>
              <w:pStyle w:val="TableContents"/>
              <w:bidi w:val="0"/>
              <w:spacing w:before="0" w:after="283"/>
              <w:jc w:val="left"/>
              <w:rPr/>
            </w:pPr>
            <w:r>
              <w:rPr/>
              <w:t> </w:t>
            </w:r>
          </w:p>
        </w:tc>
        <w:tc>
          <w:tcPr>
            <w:tcW w:w="5922" w:type="dxa"/>
            <w:gridSpan w:val="11"/>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57" w:type="dxa"/>
            <w:tcBorders/>
            <w:shd w:fill="FFFFFF" w:val="clear"/>
            <w:vAlign w:val="center"/>
          </w:tcPr>
          <w:p>
            <w:pPr>
              <w:pStyle w:val="TableContents"/>
              <w:bidi w:val="0"/>
              <w:spacing w:before="0" w:after="283"/>
              <w:jc w:val="center"/>
              <w:rPr/>
            </w:pPr>
            <w:r>
              <w:rPr/>
              <w:t> </w:t>
            </w:r>
          </w:p>
        </w:tc>
      </w:tr>
      <w:tr>
        <w:trPr/>
        <w:tc>
          <w:tcPr>
            <w:tcW w:w="39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 — GAAP</w:t>
            </w:r>
          </w:p>
        </w:tc>
        <w:tc>
          <w:tcPr>
            <w:tcW w:w="3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14,430</w:t>
            </w:r>
          </w:p>
        </w:tc>
        <w:tc>
          <w:tcPr>
            <w:tcW w:w="245"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6,377</w:t>
            </w:r>
          </w:p>
        </w:tc>
        <w:tc>
          <w:tcPr>
            <w:tcW w:w="16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31,020</w:t>
            </w:r>
          </w:p>
        </w:tc>
        <w:tc>
          <w:tcPr>
            <w:tcW w:w="239"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12,920</w:t>
            </w:r>
          </w:p>
        </w:tc>
        <w:tc>
          <w:tcPr>
            <w:tcW w:w="357" w:type="dxa"/>
            <w:tcBorders/>
            <w:shd w:fill="CFF0FC" w:val="clear"/>
            <w:vAlign w:val="center"/>
          </w:tcPr>
          <w:p>
            <w:pPr>
              <w:pStyle w:val="TableContents"/>
              <w:bidi w:val="0"/>
              <w:spacing w:before="0" w:after="283"/>
              <w:ind w:left="0" w:right="0" w:firstLine="140"/>
              <w:jc w:val="left"/>
              <w:rPr/>
            </w:pPr>
            <w:r>
              <w:rPr/>
              <w:t> </w:t>
            </w:r>
          </w:p>
        </w:tc>
      </w:tr>
      <w:tr>
        <w:trPr/>
        <w:tc>
          <w:tcPr>
            <w:tcW w:w="39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income, net</w:t>
            </w:r>
          </w:p>
        </w:tc>
        <w:tc>
          <w:tcPr>
            <w:tcW w:w="31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(2,342</w:t>
            </w:r>
          </w:p>
        </w:tc>
        <w:tc>
          <w:tcPr>
            <w:tcW w:w="24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(1,905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04"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(6,722</w:t>
            </w:r>
          </w:p>
        </w:tc>
        <w:tc>
          <w:tcPr>
            <w:tcW w:w="23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04"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(5,003</w:t>
            </w:r>
          </w:p>
        </w:tc>
        <w:tc>
          <w:tcPr>
            <w:tcW w:w="357"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926" w:type="dxa"/>
            <w:tcBorders/>
            <w:shd w:fill="CFF0FC" w:val="clear"/>
            <w:vAlign w:val="center"/>
          </w:tcPr>
          <w:p>
            <w:pPr>
              <w:pStyle w:val="TableContents"/>
              <w:bidi w:val="0"/>
              <w:spacing w:before="0" w:after="283"/>
              <w:ind w:left="140" w:right="0" w:firstLine="140"/>
              <w:jc w:val="left"/>
              <w:rPr>
                <w:rFonts w:ascii="Times New Roman" w:hAnsi="Times New Roman"/>
                <w:sz w:val="20"/>
              </w:rPr>
            </w:pPr>
            <w:r>
              <w:rPr>
                <w:rFonts w:ascii="Arial" w:hAnsi="Arial"/>
                <w:color w:val="000000"/>
                <w:sz w:val="20"/>
              </w:rPr>
              <w:t xml:space="preserve">Other income </w:t>
            </w:r>
            <w:r>
              <w:rPr>
                <w:rFonts w:ascii="Arial" w:hAnsi="Arial"/>
                <w:color w:val="000000"/>
                <w:sz w:val="13"/>
              </w:rPr>
              <w:t>(1)</w:t>
            </w:r>
          </w:p>
        </w:tc>
        <w:tc>
          <w:tcPr>
            <w:tcW w:w="312"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color w:val="000000"/>
              </w:rPr>
            </w:pPr>
            <w:r>
              <w:rPr>
                <w:color w:val="000000"/>
              </w:rPr>
              <w:t>—</w:t>
            </w:r>
          </w:p>
        </w:tc>
        <w:tc>
          <w:tcPr>
            <w:tcW w:w="245"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2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04"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color w:val="000000"/>
              </w:rPr>
            </w:pPr>
            <w:r>
              <w:rPr>
                <w:color w:val="000000"/>
              </w:rPr>
              <w:t>—</w:t>
            </w:r>
          </w:p>
        </w:tc>
        <w:tc>
          <w:tcPr>
            <w:tcW w:w="357" w:type="dxa"/>
            <w:tcBorders/>
            <w:shd w:fill="CFF0FC" w:val="clear"/>
            <w:vAlign w:val="center"/>
          </w:tcPr>
          <w:p>
            <w:pPr>
              <w:pStyle w:val="TableContents"/>
              <w:bidi w:val="0"/>
              <w:spacing w:before="0" w:after="283"/>
              <w:ind w:left="0" w:right="0" w:firstLine="140"/>
              <w:jc w:val="left"/>
              <w:rPr/>
            </w:pPr>
            <w:r>
              <w:rPr/>
              <w:t> </w:t>
            </w:r>
          </w:p>
        </w:tc>
      </w:tr>
      <w:tr>
        <w:trPr/>
        <w:tc>
          <w:tcPr>
            <w:tcW w:w="39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Provision for income taxes</w:t>
            </w:r>
          </w:p>
        </w:tc>
        <w:tc>
          <w:tcPr>
            <w:tcW w:w="31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45"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822</w:t>
            </w:r>
          </w:p>
        </w:tc>
        <w:tc>
          <w:tcPr>
            <w:tcW w:w="16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6,644</w:t>
            </w:r>
          </w:p>
        </w:tc>
        <w:tc>
          <w:tcPr>
            <w:tcW w:w="239"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1,004</w:t>
            </w:r>
          </w:p>
        </w:tc>
        <w:tc>
          <w:tcPr>
            <w:tcW w:w="357" w:type="dxa"/>
            <w:tcBorders/>
            <w:shd w:fill="FFFFFF" w:val="clear"/>
            <w:vAlign w:val="center"/>
          </w:tcPr>
          <w:p>
            <w:pPr>
              <w:pStyle w:val="TableContents"/>
              <w:bidi w:val="0"/>
              <w:spacing w:before="0" w:after="283"/>
              <w:ind w:left="0" w:right="0" w:firstLine="140"/>
              <w:jc w:val="left"/>
              <w:rPr/>
            </w:pPr>
            <w:r>
              <w:rPr/>
              <w:t> </w:t>
            </w:r>
          </w:p>
        </w:tc>
      </w:tr>
      <w:tr>
        <w:trPr/>
        <w:tc>
          <w:tcPr>
            <w:tcW w:w="39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Amortization of capitalized software development costs</w:t>
            </w:r>
          </w:p>
        </w:tc>
        <w:tc>
          <w:tcPr>
            <w:tcW w:w="312"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7,097</w:t>
            </w:r>
          </w:p>
        </w:tc>
        <w:tc>
          <w:tcPr>
            <w:tcW w:w="245"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5,473</w:t>
            </w:r>
          </w:p>
        </w:tc>
        <w:tc>
          <w:tcPr>
            <w:tcW w:w="16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20,147</w:t>
            </w:r>
          </w:p>
        </w:tc>
        <w:tc>
          <w:tcPr>
            <w:tcW w:w="239"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15,286</w:t>
            </w:r>
          </w:p>
        </w:tc>
        <w:tc>
          <w:tcPr>
            <w:tcW w:w="357" w:type="dxa"/>
            <w:tcBorders/>
            <w:shd w:fill="CFF0FC" w:val="clear"/>
            <w:vAlign w:val="center"/>
          </w:tcPr>
          <w:p>
            <w:pPr>
              <w:pStyle w:val="TableContents"/>
              <w:bidi w:val="0"/>
              <w:spacing w:before="0" w:after="283"/>
              <w:ind w:left="0" w:right="0" w:firstLine="140"/>
              <w:jc w:val="left"/>
              <w:rPr/>
            </w:pPr>
            <w:r>
              <w:rPr/>
              <w:t> </w:t>
            </w:r>
          </w:p>
        </w:tc>
      </w:tr>
      <w:tr>
        <w:trPr/>
        <w:tc>
          <w:tcPr>
            <w:tcW w:w="39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Amortization of acquisition-related intangibles</w:t>
            </w:r>
          </w:p>
        </w:tc>
        <w:tc>
          <w:tcPr>
            <w:tcW w:w="31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2,020</w:t>
            </w:r>
          </w:p>
        </w:tc>
        <w:tc>
          <w:tcPr>
            <w:tcW w:w="245"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2,095</w:t>
            </w:r>
          </w:p>
        </w:tc>
        <w:tc>
          <w:tcPr>
            <w:tcW w:w="16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6,061</w:t>
            </w:r>
          </w:p>
        </w:tc>
        <w:tc>
          <w:tcPr>
            <w:tcW w:w="239"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6,359</w:t>
            </w:r>
          </w:p>
        </w:tc>
        <w:tc>
          <w:tcPr>
            <w:tcW w:w="357" w:type="dxa"/>
            <w:tcBorders/>
            <w:shd w:fill="FFFFFF" w:val="clear"/>
            <w:vAlign w:val="center"/>
          </w:tcPr>
          <w:p>
            <w:pPr>
              <w:pStyle w:val="TableContents"/>
              <w:bidi w:val="0"/>
              <w:spacing w:before="0" w:after="283"/>
              <w:ind w:left="0" w:right="0" w:firstLine="140"/>
              <w:jc w:val="left"/>
              <w:rPr/>
            </w:pPr>
            <w:r>
              <w:rPr/>
              <w:t> </w:t>
            </w:r>
          </w:p>
        </w:tc>
      </w:tr>
      <w:tr>
        <w:trPr/>
        <w:tc>
          <w:tcPr>
            <w:tcW w:w="39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EBITDA</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21,414</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57,556</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31,235</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6" w:type="dxa"/>
            <w:tcBorders/>
            <w:shd w:fill="FFFFFF" w:val="clear"/>
            <w:vAlign w:val="center"/>
          </w:tcPr>
          <w:p>
            <w:pPr>
              <w:pStyle w:val="TableContents"/>
              <w:bidi w:val="0"/>
              <w:spacing w:before="0" w:after="283"/>
              <w:jc w:val="left"/>
              <w:rPr/>
            </w:pPr>
            <w:r>
              <w:rPr/>
              <w:t> </w:t>
            </w:r>
          </w:p>
        </w:tc>
        <w:tc>
          <w:tcPr>
            <w:tcW w:w="133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33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2" w:type="dxa"/>
            <w:gridSpan w:val="2"/>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gridSpan w:val="2"/>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r>
      <w:tr>
        <w:trPr/>
        <w:tc>
          <w:tcPr>
            <w:tcW w:w="3926" w:type="dxa"/>
            <w:tcBorders/>
            <w:shd w:fill="CFF0FC"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Adjustments</w:t>
            </w:r>
          </w:p>
        </w:tc>
        <w:tc>
          <w:tcPr>
            <w:tcW w:w="1334" w:type="dxa"/>
            <w:gridSpan w:val="2"/>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133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302" w:type="dxa"/>
            <w:gridSpan w:val="2"/>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1302" w:type="dxa"/>
            <w:gridSpan w:val="2"/>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ind w:left="0" w:right="0" w:firstLine="140"/>
              <w:jc w:val="left"/>
              <w:rPr/>
            </w:pPr>
            <w:r>
              <w:rPr/>
              <w:t> </w:t>
            </w:r>
          </w:p>
        </w:tc>
      </w:tr>
      <w:tr>
        <w:trPr/>
        <w:tc>
          <w:tcPr>
            <w:tcW w:w="39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Foreign exchange (gain) loss</w:t>
            </w:r>
          </w:p>
        </w:tc>
        <w:tc>
          <w:tcPr>
            <w:tcW w:w="31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4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23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04"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357" w:type="dxa"/>
            <w:tcBorders/>
            <w:shd w:fill="FFFFFF" w:val="clear"/>
            <w:vAlign w:val="center"/>
          </w:tcPr>
          <w:p>
            <w:pPr>
              <w:pStyle w:val="TableContents"/>
              <w:bidi w:val="0"/>
              <w:spacing w:before="0" w:after="283"/>
              <w:ind w:left="0" w:right="0" w:firstLine="140"/>
              <w:jc w:val="left"/>
              <w:rPr/>
            </w:pPr>
            <w:r>
              <w:rPr/>
              <w:t> </w:t>
            </w:r>
          </w:p>
        </w:tc>
      </w:tr>
      <w:tr>
        <w:trPr/>
        <w:tc>
          <w:tcPr>
            <w:tcW w:w="39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Stock-based compensation</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3,168</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9,424</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6,891</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24,578</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66,919</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38,158</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19"/>
        </w:rPr>
        <w:t>Other income consists of a remeasurement adjustment relating to the purchase price of a prior acquisition.</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Adjusted EBITDA is a measure of profitability and generally is expected to move in line with revenue, contribution profit, gross profit and adjusted gross profit. Adjusted EBITDA increased 58.2% and 75.4% in the three and nine months ended September 30, 2024, respectively, as compared to the same periods in 2023. The increase was primarily driven by growth in transaction count and volume driven by the addition of new billers and financial institutions and increased transactions from our existing billers and financial institutions and the implementation of certain cost improvement measures.</w:t>
      </w:r>
    </w:p>
    <w:p>
      <w:pPr>
        <w:pStyle w:val="TextBody"/>
        <w:bidi w:val="0"/>
        <w:spacing w:before="12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i/>
          <w:color w:val="000000"/>
          <w:sz w:val="20"/>
        </w:rPr>
      </w:pPr>
      <w:r>
        <w:rPr>
          <w:rFonts w:ascii="Arial" w:hAnsi="Arial"/>
          <w:i/>
          <w:color w:val="000000"/>
          <w:sz w:val="20"/>
        </w:rPr>
        <w:t>Free Cash Flow</w:t>
      </w:r>
    </w:p>
    <w:tbl>
      <w:tblPr>
        <w:tblW w:w="10205" w:type="dxa"/>
        <w:jc w:val="left"/>
        <w:tblInd w:w="0" w:type="dxa"/>
        <w:tblLayout w:type="fixed"/>
        <w:tblCellMar>
          <w:top w:w="28" w:type="dxa"/>
          <w:left w:w="28" w:type="dxa"/>
          <w:bottom w:w="28" w:type="dxa"/>
          <w:right w:w="28" w:type="dxa"/>
        </w:tblCellMar>
      </w:tblPr>
      <w:tblGrid>
        <w:gridCol w:w="3756"/>
        <w:gridCol w:w="326"/>
        <w:gridCol w:w="999"/>
        <w:gridCol w:w="256"/>
        <w:gridCol w:w="326"/>
        <w:gridCol w:w="1069"/>
        <w:gridCol w:w="166"/>
        <w:gridCol w:w="298"/>
        <w:gridCol w:w="1061"/>
        <w:gridCol w:w="234"/>
        <w:gridCol w:w="298"/>
        <w:gridCol w:w="1061"/>
        <w:gridCol w:w="355"/>
      </w:tblGrid>
      <w:tr>
        <w:trPr/>
        <w:tc>
          <w:tcPr>
            <w:tcW w:w="37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vAlign w:val="center"/>
          </w:tcPr>
          <w:p>
            <w:pPr>
              <w:pStyle w:val="TableContents"/>
              <w:bidi w:val="0"/>
              <w:spacing w:before="0" w:after="283"/>
              <w:jc w:val="left"/>
              <w:rPr/>
            </w:pPr>
            <w:r>
              <w:rPr/>
              <w:t> </w:t>
            </w:r>
          </w:p>
        </w:tc>
        <w:tc>
          <w:tcPr>
            <w:tcW w:w="29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2" w:type="dxa"/>
            <w:gridSpan w:val="5"/>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355" w:type="dxa"/>
            <w:tcBorders/>
            <w:shd w:fill="FFFFFF" w:val="clear"/>
            <w:vAlign w:val="center"/>
          </w:tcPr>
          <w:p>
            <w:pPr>
              <w:pStyle w:val="TableContents"/>
              <w:bidi w:val="0"/>
              <w:spacing w:before="0" w:after="283"/>
              <w:jc w:val="center"/>
              <w:rPr/>
            </w:pPr>
            <w:r>
              <w:rPr/>
              <w:t> </w:t>
            </w:r>
          </w:p>
        </w:tc>
      </w:tr>
      <w:tr>
        <w:trPr/>
        <w:tc>
          <w:tcPr>
            <w:tcW w:w="3756" w:type="dxa"/>
            <w:tcBorders/>
            <w:shd w:fill="FFFFFF" w:val="clear"/>
            <w:vAlign w:val="center"/>
          </w:tcPr>
          <w:p>
            <w:pPr>
              <w:pStyle w:val="TableContents"/>
              <w:bidi w:val="0"/>
              <w:spacing w:before="0" w:after="283"/>
              <w:jc w:val="left"/>
              <w:rPr/>
            </w:pPr>
            <w:r>
              <w:rPr/>
              <w:t> </w:t>
            </w:r>
          </w:p>
        </w:tc>
        <w:tc>
          <w:tcPr>
            <w:tcW w:w="1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3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35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56" w:type="dxa"/>
            <w:tcBorders/>
            <w:shd w:fill="FFFFFF" w:val="clear"/>
            <w:vAlign w:val="center"/>
          </w:tcPr>
          <w:p>
            <w:pPr>
              <w:pStyle w:val="TableContents"/>
              <w:bidi w:val="0"/>
              <w:spacing w:before="0" w:after="283"/>
              <w:jc w:val="left"/>
              <w:rPr/>
            </w:pPr>
            <w:r>
              <w:rPr/>
              <w:t> </w:t>
            </w:r>
          </w:p>
        </w:tc>
        <w:tc>
          <w:tcPr>
            <w:tcW w:w="6094" w:type="dxa"/>
            <w:gridSpan w:val="11"/>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55" w:type="dxa"/>
            <w:tcBorders/>
            <w:shd w:fill="FFFFFF" w:val="clear"/>
            <w:vAlign w:val="center"/>
          </w:tcPr>
          <w:p>
            <w:pPr>
              <w:pStyle w:val="TableContents"/>
              <w:bidi w:val="0"/>
              <w:spacing w:before="0" w:after="283"/>
              <w:jc w:val="center"/>
              <w:rPr/>
            </w:pPr>
            <w:r>
              <w:rPr/>
              <w:t> </w:t>
            </w:r>
          </w:p>
        </w:tc>
      </w:tr>
      <w:tr>
        <w:trPr/>
        <w:tc>
          <w:tcPr>
            <w:tcW w:w="37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3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6,737</w:t>
            </w:r>
          </w:p>
        </w:tc>
        <w:tc>
          <w:tcPr>
            <w:tcW w:w="25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13,143</w:t>
            </w:r>
          </w:p>
        </w:tc>
        <w:tc>
          <w:tcPr>
            <w:tcW w:w="16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35,721</w:t>
            </w:r>
          </w:p>
        </w:tc>
        <w:tc>
          <w:tcPr>
            <w:tcW w:w="234"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44,387</w:t>
            </w:r>
          </w:p>
        </w:tc>
        <w:tc>
          <w:tcPr>
            <w:tcW w:w="355" w:type="dxa"/>
            <w:tcBorders/>
            <w:shd w:fill="CFF0FC" w:val="clear"/>
            <w:vAlign w:val="center"/>
          </w:tcPr>
          <w:p>
            <w:pPr>
              <w:pStyle w:val="TableContents"/>
              <w:bidi w:val="0"/>
              <w:spacing w:before="0" w:after="283"/>
              <w:ind w:left="0" w:right="0" w:firstLine="140"/>
              <w:jc w:val="left"/>
              <w:rPr/>
            </w:pPr>
            <w:r>
              <w:rPr/>
              <w:t> </w:t>
            </w:r>
          </w:p>
        </w:tc>
      </w:tr>
      <w:tr>
        <w:trPr/>
        <w:tc>
          <w:tcPr>
            <w:tcW w:w="375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Purchases of property and equipment and software</w:t>
            </w:r>
          </w:p>
        </w:tc>
        <w:tc>
          <w:tcPr>
            <w:tcW w:w="32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2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6"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23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(511</w:t>
            </w:r>
          </w:p>
        </w:tc>
        <w:tc>
          <w:tcPr>
            <w:tcW w:w="355"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75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Capitalized internal-use software development costs</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(27,238</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(25,339</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5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Free cash flow</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(2,211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8,107</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18,537</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investing activities</w:t>
            </w:r>
          </w:p>
        </w:tc>
        <w:tc>
          <w:tcPr>
            <w:tcW w:w="3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(8,828</w:t>
            </w:r>
          </w:p>
        </w:tc>
        <w:tc>
          <w:tcPr>
            <w:tcW w:w="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(8,886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(27,617</w:t>
            </w:r>
          </w:p>
        </w:tc>
        <w:tc>
          <w:tcPr>
            <w:tcW w:w="23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(25,850</w:t>
            </w:r>
          </w:p>
        </w:tc>
        <w:tc>
          <w:tcPr>
            <w:tcW w:w="3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financing activities</w:t>
            </w:r>
          </w:p>
        </w:tc>
        <w:tc>
          <w:tcPr>
            <w:tcW w:w="3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2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234</w:t>
            </w:r>
          </w:p>
        </w:tc>
        <w:tc>
          <w:tcPr>
            <w:tcW w:w="16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(389</w:t>
            </w:r>
          </w:p>
        </w:tc>
        <w:tc>
          <w:tcPr>
            <w:tcW w:w="23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(1,376</w:t>
            </w:r>
          </w:p>
        </w:tc>
        <w:tc>
          <w:tcPr>
            <w:tcW w:w="35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both"/>
        <w:rPr>
          <w:rFonts w:ascii="Times New Roman" w:hAnsi="Times New Roman"/>
          <w:sz w:val="20"/>
        </w:rPr>
      </w:pPr>
      <w:r>
        <w:rPr>
          <w:rFonts w:ascii="Arial" w:hAnsi="Arial"/>
          <w:color w:val="000000"/>
          <w:sz w:val="20"/>
        </w:rPr>
        <w:t>The decrease in free cash flow for the three and nine months ended September 30, 2024, as compared to the same periods in 2023, was primarily due to decreases in cash generated from operations.</w:t>
      </w:r>
      <w:r>
        <w:rPr>
          <w:rFonts w:ascii="Times New Roman" w:hAnsi="Times New Roman"/>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Results of Operations</w:t>
      </w:r>
    </w:p>
    <w:p>
      <w:pPr>
        <w:pStyle w:val="TextBody"/>
        <w:bidi w:val="0"/>
        <w:spacing w:before="240" w:after="120"/>
        <w:jc w:val="both"/>
        <w:rPr>
          <w:rFonts w:ascii="Arial" w:hAnsi="Arial"/>
          <w:color w:val="000000"/>
          <w:sz w:val="20"/>
        </w:rPr>
      </w:pPr>
      <w:r>
        <w:rPr>
          <w:rFonts w:ascii="Arial" w:hAnsi="Arial"/>
          <w:color w:val="000000"/>
          <w:sz w:val="20"/>
        </w:rPr>
        <w:t>The following table sets forth our condensed consolidated statements of operations for the periods presented:</w:t>
      </w:r>
    </w:p>
    <w:tbl>
      <w:tblPr>
        <w:tblW w:w="11386" w:type="dxa"/>
        <w:jc w:val="left"/>
        <w:tblInd w:w="0" w:type="dxa"/>
        <w:tblLayout w:type="fixed"/>
        <w:tblCellMar>
          <w:top w:w="28" w:type="dxa"/>
          <w:left w:w="28" w:type="dxa"/>
          <w:bottom w:w="28" w:type="dxa"/>
          <w:right w:w="28" w:type="dxa"/>
        </w:tblCellMar>
      </w:tblPr>
      <w:tblGrid>
        <w:gridCol w:w="1476"/>
        <w:gridCol w:w="146"/>
        <w:gridCol w:w="211"/>
        <w:gridCol w:w="796"/>
        <w:gridCol w:w="286"/>
        <w:gridCol w:w="211"/>
        <w:gridCol w:w="796"/>
        <w:gridCol w:w="286"/>
        <w:gridCol w:w="211"/>
        <w:gridCol w:w="691"/>
        <w:gridCol w:w="166"/>
        <w:gridCol w:w="146"/>
        <w:gridCol w:w="541"/>
        <w:gridCol w:w="286"/>
        <w:gridCol w:w="211"/>
        <w:gridCol w:w="796"/>
        <w:gridCol w:w="286"/>
        <w:gridCol w:w="211"/>
        <w:gridCol w:w="796"/>
        <w:gridCol w:w="286"/>
        <w:gridCol w:w="211"/>
        <w:gridCol w:w="796"/>
        <w:gridCol w:w="166"/>
        <w:gridCol w:w="146"/>
        <w:gridCol w:w="481"/>
        <w:gridCol w:w="751"/>
      </w:tblGrid>
      <w:tr>
        <w:trPr/>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0" w:type="dxa"/>
            <w:gridSpan w:val="5"/>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28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87"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300" w:type="dxa"/>
            <w:gridSpan w:val="5"/>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286" w:type="dxa"/>
            <w:tcBorders/>
            <w:shd w:fill="FFFFFF" w:val="clear"/>
            <w:vAlign w:val="center"/>
          </w:tcPr>
          <w:p>
            <w:pPr>
              <w:pStyle w:val="TableContents"/>
              <w:bidi w:val="0"/>
              <w:spacing w:before="0" w:after="283"/>
              <w:jc w:val="center"/>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r>
      <w:tr>
        <w:trPr/>
        <w:tc>
          <w:tcPr>
            <w:tcW w:w="14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231,571</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152,423</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79,148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51.9</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613,868</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449,690</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164,178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36.5</w:t>
            </w:r>
          </w:p>
        </w:tc>
        <w:tc>
          <w:tcPr>
            <w:tcW w:w="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4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105,513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62.0</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441,727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316,840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39.4</w:t>
            </w:r>
          </w:p>
        </w:tc>
        <w:tc>
          <w:tcPr>
            <w:tcW w:w="75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47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60,665</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46,910</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13,755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29.3</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172,141</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132,850</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39,291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29.6</w:t>
            </w:r>
          </w:p>
        </w:tc>
        <w:tc>
          <w:tcPr>
            <w:tcW w:w="751" w:type="dxa"/>
            <w:tcBorders/>
            <w:shd w:fill="CFF0FC" w:val="cle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1476" w:type="dxa"/>
            <w:tcBorders/>
            <w:shd w:fill="FFFFFF" w:val="clear"/>
            <w:vAlign w:val="center"/>
          </w:tcPr>
          <w:p>
            <w:pPr>
              <w:pStyle w:val="TableContents"/>
              <w:bidi w:val="0"/>
              <w:spacing w:before="0" w:after="283"/>
              <w:ind w:left="420" w:right="0" w:firstLine="420"/>
              <w:jc w:val="left"/>
              <w:rPr>
                <w:rFonts w:ascii="Times New Roman" w:hAnsi="Times New Roman"/>
                <w:sz w:val="20"/>
              </w:rPr>
            </w:pPr>
            <w:r>
              <w:rPr>
                <w:rFonts w:ascii="Arial" w:hAnsi="Arial"/>
                <w:i/>
                <w:color w:val="000000"/>
                <w:sz w:val="20"/>
              </w:rPr>
              <w:t xml:space="preserve">Gross margin </w:t>
            </w:r>
            <w:r>
              <w:rPr>
                <w:rFonts w:ascii="Arial" w:hAnsi="Arial"/>
                <w:i/>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i/>
                <w:color w:val="000000"/>
                <w:sz w:val="20"/>
              </w:rPr>
            </w:pPr>
            <w:r>
              <w:rPr>
                <w:rFonts w:ascii="Arial" w:hAnsi="Arial"/>
                <w:i/>
                <w:color w:val="000000"/>
                <w:sz w:val="20"/>
              </w:rPr>
              <w:t>26.2</w:t>
            </w:r>
          </w:p>
        </w:tc>
        <w:tc>
          <w:tcPr>
            <w:tcW w:w="286" w:type="dxa"/>
            <w:tcBorders/>
            <w:shd w:fill="FFFFFF"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i/>
                <w:color w:val="000000"/>
                <w:sz w:val="20"/>
              </w:rPr>
            </w:pPr>
            <w:r>
              <w:rPr>
                <w:rFonts w:ascii="Arial" w:hAnsi="Arial"/>
                <w:i/>
                <w:color w:val="000000"/>
                <w:sz w:val="20"/>
              </w:rPr>
              <w:t>30.8</w:t>
            </w:r>
          </w:p>
        </w:tc>
        <w:tc>
          <w:tcPr>
            <w:tcW w:w="286" w:type="dxa"/>
            <w:tcBorders/>
            <w:shd w:fill="FFFFFF"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w:t>
            </w:r>
          </w:p>
        </w:tc>
        <w:tc>
          <w:tcPr>
            <w:tcW w:w="9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87"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i/>
                <w:color w:val="000000"/>
                <w:sz w:val="20"/>
              </w:rPr>
            </w:pPr>
            <w:r>
              <w:rPr>
                <w:rFonts w:ascii="Arial" w:hAnsi="Arial"/>
                <w:i/>
                <w:color w:val="000000"/>
                <w:sz w:val="20"/>
              </w:rPr>
              <w:t>28.0</w:t>
            </w:r>
          </w:p>
        </w:tc>
        <w:tc>
          <w:tcPr>
            <w:tcW w:w="286" w:type="dxa"/>
            <w:tcBorders/>
            <w:shd w:fill="FFFFFF"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i/>
                <w:color w:val="000000"/>
                <w:sz w:val="20"/>
              </w:rPr>
            </w:pPr>
            <w:r>
              <w:rPr>
                <w:rFonts w:ascii="Arial" w:hAnsi="Arial"/>
                <w:i/>
                <w:color w:val="000000"/>
                <w:sz w:val="20"/>
              </w:rPr>
              <w:t>29.5</w:t>
            </w:r>
          </w:p>
        </w:tc>
        <w:tc>
          <w:tcPr>
            <w:tcW w:w="286" w:type="dxa"/>
            <w:tcBorders/>
            <w:shd w:fill="FFFFFF"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w:t>
            </w:r>
          </w:p>
        </w:tc>
        <w:tc>
          <w:tcPr>
            <w:tcW w:w="10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r>
      <w:tr>
        <w:trPr/>
        <w:tc>
          <w:tcPr>
            <w:tcW w:w="14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8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ind w:left="0" w:right="0" w:firstLine="140"/>
              <w:jc w:val="left"/>
              <w:rPr/>
            </w:pPr>
            <w:r>
              <w:rPr/>
              <w:t> </w:t>
            </w:r>
          </w:p>
        </w:tc>
      </w:tr>
      <w:tr>
        <w:trPr/>
        <w:tc>
          <w:tcPr>
            <w:tcW w:w="14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13,187</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11,035</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37,773</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33,595</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12.4</w:t>
            </w:r>
          </w:p>
        </w:tc>
        <w:tc>
          <w:tcPr>
            <w:tcW w:w="75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147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26,451</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21,481</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23.1</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76,456</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63,344</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75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14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9,083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27,245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26,958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75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47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48,577</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41,599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141,474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123,897</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14.2</w:t>
            </w:r>
          </w:p>
        </w:tc>
        <w:tc>
          <w:tcPr>
            <w:tcW w:w="75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47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12,088</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5,311</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6,777</w:t>
            </w:r>
          </w:p>
        </w:tc>
        <w:tc>
          <w:tcPr>
            <w:tcW w:w="166" w:type="dxa"/>
            <w:tcBorders/>
            <w:shd w:fill="FFFFFF" w:val="clear"/>
            <w:vAlign w:val="center"/>
          </w:tcPr>
          <w:p>
            <w:pPr>
              <w:pStyle w:val="TableContents"/>
              <w:bidi w:val="0"/>
              <w:spacing w:before="0" w:after="283"/>
              <w:jc w:val="left"/>
              <w:rPr/>
            </w:pPr>
            <w:r>
              <w:rPr/>
              <w:t> </w:t>
            </w:r>
          </w:p>
        </w:tc>
        <w:tc>
          <w:tcPr>
            <w:tcW w:w="687"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28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30,667</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8,953</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21,714</w:t>
            </w:r>
          </w:p>
        </w:tc>
        <w:tc>
          <w:tcPr>
            <w:tcW w:w="16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751" w:type="dxa"/>
            <w:tcBorders/>
            <w:shd w:fill="FFFFFF" w:val="clear"/>
            <w:vAlign w:val="center"/>
          </w:tcPr>
          <w:p>
            <w:pPr>
              <w:pStyle w:val="TableContents"/>
              <w:bidi w:val="0"/>
              <w:spacing w:before="0" w:after="283"/>
              <w:ind w:left="0" w:right="0" w:firstLine="140"/>
              <w:jc w:val="right"/>
              <w:rPr/>
            </w:pPr>
            <w:r>
              <w:rPr/>
              <w:t> </w:t>
            </w:r>
          </w:p>
        </w:tc>
      </w:tr>
      <w:tr>
        <w:trPr/>
        <w:tc>
          <w:tcPr>
            <w:tcW w:w="147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2,342</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1,905</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22.9</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6,722</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5,003</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34.4</w:t>
            </w:r>
          </w:p>
        </w:tc>
        <w:tc>
          <w:tcPr>
            <w:tcW w:w="75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1476" w:type="dxa"/>
            <w:tcBorders/>
            <w:shd w:fill="FFFFFF" w:val="clear"/>
            <w:vAlign w:val="center"/>
          </w:tcPr>
          <w:p>
            <w:pPr>
              <w:pStyle w:val="TableContents"/>
              <w:bidi w:val="0"/>
              <w:spacing w:before="0" w:after="283"/>
              <w:ind w:left="140" w:right="0" w:firstLine="140"/>
              <w:jc w:val="left"/>
              <w:rPr>
                <w:rFonts w:ascii="Times New Roman" w:hAnsi="Times New Roman"/>
                <w:sz w:val="20"/>
              </w:rPr>
            </w:pPr>
            <w:r>
              <w:rPr>
                <w:rFonts w:ascii="Arial" w:hAnsi="Arial"/>
                <w:color w:val="000000"/>
                <w:sz w:val="20"/>
              </w:rPr>
              <w:t xml:space="preserve">Other income (expense) </w:t>
            </w:r>
            <w:r>
              <w:rPr>
                <w:rFonts w:ascii="Arial" w:hAnsi="Arial"/>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28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147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14,435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28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37,664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751" w:type="dxa"/>
            <w:tcBorders/>
            <w:shd w:fill="CFF0FC" w:val="clear"/>
            <w:vAlign w:val="center"/>
          </w:tcPr>
          <w:p>
            <w:pPr>
              <w:pStyle w:val="TableContents"/>
              <w:bidi w:val="0"/>
              <w:spacing w:before="0" w:after="283"/>
              <w:ind w:left="0" w:right="0" w:firstLine="140"/>
              <w:jc w:val="right"/>
              <w:rPr/>
            </w:pPr>
            <w:r>
              <w:rPr/>
              <w:t> </w:t>
            </w:r>
          </w:p>
        </w:tc>
      </w:tr>
      <w:tr>
        <w:trPr/>
        <w:tc>
          <w:tcPr>
            <w:tcW w:w="14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(99.4</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(6,644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7"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751" w:type="dxa"/>
            <w:tcBorders/>
            <w:shd w:fill="FFFFFF" w:val="clear"/>
            <w:vAlign w:val="center"/>
          </w:tcPr>
          <w:p>
            <w:pPr>
              <w:pStyle w:val="TableContents"/>
              <w:bidi w:val="0"/>
              <w:spacing w:before="0" w:after="283"/>
              <w:jc w:val="right"/>
              <w:rPr/>
            </w:pPr>
            <w:r>
              <w:rPr/>
              <w:t> </w:t>
            </w:r>
          </w:p>
        </w:tc>
      </w:tr>
      <w:tr>
        <w:trPr/>
        <w:tc>
          <w:tcPr>
            <w:tcW w:w="14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14,430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6,377</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28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31,020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12,920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751" w:type="dxa"/>
            <w:tcBorders/>
            <w:shd w:fill="CFF0FC" w:val="cle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w:t>
      </w:r>
    </w:p>
    <w:p>
      <w:pPr>
        <w:pStyle w:val="TextBody"/>
        <w:bidi w:val="0"/>
        <w:jc w:val="left"/>
        <w:rPr>
          <w:rFonts w:ascii="Arial" w:hAnsi="Arial"/>
          <w:color w:val="000000"/>
          <w:sz w:val="19"/>
        </w:rPr>
      </w:pPr>
      <w:r>
        <w:rPr>
          <w:rFonts w:ascii="Arial" w:hAnsi="Arial"/>
          <w:color w:val="000000"/>
          <w:sz w:val="19"/>
        </w:rPr>
        <w:t>n/m - not meaningful</w:t>
      </w:r>
    </w:p>
    <w:p>
      <w:pPr>
        <w:pStyle w:val="TextBody"/>
        <w:bidi w:val="0"/>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19"/>
        </w:rPr>
        <w:t>Gross margin is calculated as gross profit divided by revenue.</w:t>
      </w:r>
    </w:p>
    <w:p>
      <w:pPr>
        <w:pStyle w:val="TextBody"/>
        <w:bidi w:val="0"/>
        <w:jc w:val="left"/>
        <w:rPr>
          <w:rFonts w:ascii="Times New Roman" w:hAnsi="Times New Roman"/>
          <w:sz w:val="20"/>
        </w:rPr>
      </w:pPr>
      <w:r>
        <w:rPr>
          <w:rFonts w:ascii="Arial" w:hAnsi="Arial"/>
          <w:color w:val="000000"/>
          <w:sz w:val="13"/>
        </w:rPr>
        <w:t>(2)</w:t>
      </w:r>
      <w:r>
        <w:rPr>
          <w:rFonts w:ascii="Times New Roman" w:hAnsi="Times New Roman"/>
          <w:color w:val="000000"/>
          <w:sz w:val="20"/>
        </w:rPr>
        <w:t xml:space="preserve"> </w:t>
      </w:r>
      <w:r>
        <w:rPr>
          <w:rFonts w:ascii="Arial" w:hAnsi="Arial"/>
          <w:color w:val="000000"/>
          <w:sz w:val="19"/>
        </w:rPr>
        <w:t xml:space="preserve">Other income (expense) includes a remeasurement adjustment relating to the purchase price of a prior acquisition. </w:t>
      </w:r>
    </w:p>
    <w:p>
      <w:pPr>
        <w:pStyle w:val="TextBody"/>
        <w:bidi w:val="0"/>
        <w:spacing w:before="12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Arial" w:hAnsi="Arial"/>
          <w:color w:val="000000"/>
          <w:sz w:val="20"/>
        </w:rPr>
      </w:pPr>
      <w:r>
        <w:rPr>
          <w:rFonts w:ascii="Arial" w:hAnsi="Arial"/>
          <w:color w:val="000000"/>
          <w:sz w:val="20"/>
        </w:rPr>
        <w:t>The following table presents the components of our condensed consolidated statements of operations for the periods presented as a percentage of revenue:</w:t>
      </w:r>
    </w:p>
    <w:tbl>
      <w:tblPr>
        <w:tblW w:w="10205" w:type="dxa"/>
        <w:jc w:val="left"/>
        <w:tblInd w:w="0" w:type="dxa"/>
        <w:tblLayout w:type="fixed"/>
        <w:tblCellMar>
          <w:top w:w="28" w:type="dxa"/>
          <w:left w:w="28" w:type="dxa"/>
          <w:bottom w:w="28" w:type="dxa"/>
          <w:right w:w="28" w:type="dxa"/>
        </w:tblCellMar>
      </w:tblPr>
      <w:tblGrid>
        <w:gridCol w:w="2661"/>
        <w:gridCol w:w="146"/>
        <w:gridCol w:w="245"/>
        <w:gridCol w:w="988"/>
        <w:gridCol w:w="482"/>
        <w:gridCol w:w="245"/>
        <w:gridCol w:w="245"/>
        <w:gridCol w:w="988"/>
        <w:gridCol w:w="336"/>
        <w:gridCol w:w="146"/>
        <w:gridCol w:w="232"/>
        <w:gridCol w:w="933"/>
        <w:gridCol w:w="542"/>
        <w:gridCol w:w="232"/>
        <w:gridCol w:w="232"/>
        <w:gridCol w:w="933"/>
        <w:gridCol w:w="619"/>
      </w:tblGrid>
      <w:tr>
        <w:trPr/>
        <w:tc>
          <w:tcPr>
            <w:tcW w:w="2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48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5"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3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54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2"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6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5"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2"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66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26.2</w:t>
            </w:r>
          </w:p>
        </w:tc>
        <w:tc>
          <w:tcPr>
            <w:tcW w:w="48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5"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30.8</w:t>
            </w:r>
          </w:p>
        </w:tc>
        <w:tc>
          <w:tcPr>
            <w:tcW w:w="3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28.0</w:t>
            </w:r>
          </w:p>
        </w:tc>
        <w:tc>
          <w:tcPr>
            <w:tcW w:w="54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2"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29.5</w:t>
            </w:r>
          </w:p>
        </w:tc>
        <w:tc>
          <w:tcPr>
            <w:tcW w:w="6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33" w:type="dxa"/>
            <w:gridSpan w:val="2"/>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233" w:type="dxa"/>
            <w:gridSpan w:val="2"/>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5" w:type="dxa"/>
            <w:gridSpan w:val="2"/>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65" w:type="dxa"/>
            <w:gridSpan w:val="2"/>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ind w:left="0" w:right="0" w:firstLine="140"/>
              <w:jc w:val="left"/>
              <w:rPr/>
            </w:pPr>
            <w:r>
              <w:rPr/>
              <w:t> </w:t>
            </w:r>
          </w:p>
        </w:tc>
      </w:tr>
      <w:tr>
        <w:trPr/>
        <w:tc>
          <w:tcPr>
            <w:tcW w:w="266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48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5"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3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6.20</w:t>
            </w:r>
          </w:p>
        </w:tc>
        <w:tc>
          <w:tcPr>
            <w:tcW w:w="54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2"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c>
          <w:tcPr>
            <w:tcW w:w="619"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66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48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3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12.50</w:t>
            </w:r>
          </w:p>
        </w:tc>
        <w:tc>
          <w:tcPr>
            <w:tcW w:w="54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2"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619"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66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5"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2"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66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5"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2"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66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from operations</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48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5"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3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54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2"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619"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66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income, net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48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3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54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2"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619"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66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5"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2"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66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5"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2"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66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2"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5"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2"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Comparison of the Three Months Ended September 30, 2024 and 2023</w:t>
      </w:r>
    </w:p>
    <w:p>
      <w:pPr>
        <w:pStyle w:val="TextBody"/>
        <w:bidi w:val="0"/>
        <w:spacing w:before="120" w:after="283"/>
        <w:jc w:val="left"/>
        <w:rPr>
          <w:rFonts w:ascii="Arial" w:hAnsi="Arial"/>
          <w:i/>
          <w:color w:val="000000"/>
          <w:sz w:val="20"/>
        </w:rPr>
      </w:pPr>
      <w:r>
        <w:rPr>
          <w:rFonts w:ascii="Arial" w:hAnsi="Arial"/>
          <w:i/>
          <w:color w:val="000000"/>
          <w:sz w:val="20"/>
        </w:rPr>
        <w:t>Revenue</w:t>
      </w:r>
    </w:p>
    <w:p>
      <w:pPr>
        <w:pStyle w:val="TextBody"/>
        <w:bidi w:val="0"/>
        <w:spacing w:before="120" w:after="283"/>
        <w:jc w:val="both"/>
        <w:rPr>
          <w:rFonts w:ascii="Arial" w:hAnsi="Arial"/>
          <w:color w:val="000000"/>
          <w:sz w:val="20"/>
        </w:rPr>
      </w:pPr>
      <w:r>
        <w:rPr>
          <w:rFonts w:ascii="Arial" w:hAnsi="Arial"/>
          <w:color w:val="000000"/>
          <w:sz w:val="20"/>
        </w:rPr>
        <w:t>The increase in revenue was primarily driven by an increase in the number of transactions processed, which was driven by the implementation of new billers, the early launch of certain large enterprise billers and increased transactions from our existing billers.</w:t>
      </w:r>
    </w:p>
    <w:p>
      <w:pPr>
        <w:pStyle w:val="TextBody"/>
        <w:bidi w:val="0"/>
        <w:spacing w:before="120" w:after="283"/>
        <w:jc w:val="both"/>
        <w:rPr>
          <w:rFonts w:ascii="Arial" w:hAnsi="Arial"/>
          <w:i/>
          <w:color w:val="000000"/>
          <w:sz w:val="20"/>
        </w:rPr>
      </w:pPr>
      <w:r>
        <w:rPr>
          <w:rFonts w:ascii="Arial" w:hAnsi="Arial"/>
          <w:i/>
          <w:color w:val="000000"/>
          <w:sz w:val="20"/>
        </w:rPr>
        <w:t>Cost of Revenue, Gross Profit and Gross Margin</w:t>
      </w:r>
    </w:p>
    <w:p>
      <w:pPr>
        <w:pStyle w:val="TextBody"/>
        <w:bidi w:val="0"/>
        <w:spacing w:before="120" w:after="283"/>
        <w:jc w:val="both"/>
        <w:rPr>
          <w:rFonts w:ascii="Times New Roman" w:hAnsi="Times New Roman"/>
          <w:sz w:val="20"/>
        </w:rPr>
      </w:pPr>
      <w:r>
        <w:rPr>
          <w:rFonts w:ascii="Arial" w:hAnsi="Arial"/>
          <w:color w:val="000000"/>
          <w:sz w:val="20"/>
        </w:rPr>
        <w:t>The increase in cost of revenue was driven by the increase in revenue and transactions processed, as it consists primarily of interchange fees and processor costs, as well as other direct costs associated with making our platform available to our billers.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Gross margin decreased due to changes in customer mix resulting primarily from the addition of large high volume enterprise billers with lower margins to our customer base.</w:t>
      </w:r>
    </w:p>
    <w:p>
      <w:pPr>
        <w:pStyle w:val="TextBody"/>
        <w:bidi w:val="0"/>
        <w:spacing w:before="12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The increase in research and development expenses was primarily due to increased amortization of capitalized internal-use software development costs and an increase in employee-related costs, including an increase in stock-based compensation expenses.</w:t>
      </w:r>
    </w:p>
    <w:p>
      <w:pPr>
        <w:pStyle w:val="TextBody"/>
        <w:bidi w:val="0"/>
        <w:spacing w:before="120" w:after="283"/>
        <w:jc w:val="both"/>
        <w:rPr>
          <w:rFonts w:ascii="Arial" w:hAnsi="Arial"/>
          <w:i/>
          <w:color w:val="000000"/>
          <w:sz w:val="20"/>
        </w:rPr>
      </w:pPr>
      <w:r>
        <w:rPr>
          <w:rFonts w:ascii="Arial" w:hAnsi="Arial"/>
          <w:i/>
          <w:color w:val="000000"/>
          <w:sz w:val="20"/>
        </w:rPr>
        <w:t>Sales and Marketing Expenses</w:t>
      </w:r>
    </w:p>
    <w:p>
      <w:pPr>
        <w:pStyle w:val="TextBody"/>
        <w:bidi w:val="0"/>
        <w:spacing w:before="120" w:after="283"/>
        <w:jc w:val="both"/>
        <w:rPr>
          <w:rFonts w:ascii="Arial" w:hAnsi="Arial"/>
          <w:color w:val="000000"/>
          <w:sz w:val="20"/>
        </w:rPr>
      </w:pPr>
      <w:r>
        <w:rPr>
          <w:rFonts w:ascii="Arial" w:hAnsi="Arial"/>
          <w:color w:val="000000"/>
          <w:sz w:val="20"/>
        </w:rPr>
        <w:t>The increase in sales and marketing expenses was primarily due to increased employee-related costs as a result of increased hiring, including higher stock-based compensation expenses, and reseller commissions including amortization of warrants.</w:t>
      </w:r>
    </w:p>
    <w:p>
      <w:pPr>
        <w:pStyle w:val="TextBody"/>
        <w:bidi w:val="0"/>
        <w:spacing w:before="12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both"/>
        <w:rPr>
          <w:rFonts w:ascii="Times New Roman" w:hAnsi="Times New Roman"/>
          <w:sz w:val="20"/>
        </w:rPr>
      </w:pPr>
      <w:r>
        <w:rPr>
          <w:rFonts w:ascii="Arial" w:hAnsi="Arial"/>
          <w:color w:val="000000"/>
          <w:sz w:val="20"/>
        </w:rPr>
        <w:t>The marginal decrease in general and administrative expenses was primarily due to lower cost of insurance premiums of certain business policies and stock-based compensation expenses, which were offset by an increase in legal fees.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Interest Income, net</w:t>
      </w:r>
    </w:p>
    <w:p>
      <w:pPr>
        <w:pStyle w:val="TextBody"/>
        <w:bidi w:val="0"/>
        <w:spacing w:before="120" w:after="283"/>
        <w:jc w:val="both"/>
        <w:rPr>
          <w:rFonts w:ascii="Arial" w:hAnsi="Arial"/>
          <w:color w:val="000000"/>
          <w:sz w:val="20"/>
        </w:rPr>
      </w:pPr>
      <w:r>
        <w:rPr>
          <w:rFonts w:ascii="Arial" w:hAnsi="Arial"/>
          <w:color w:val="000000"/>
          <w:sz w:val="20"/>
        </w:rPr>
        <w:t>The increase in interest income, net was a result of higher cash balances held with banks for the three months ended September 30, 2024 compared to the same period in 2023.</w:t>
      </w:r>
    </w:p>
    <w:p>
      <w:pPr>
        <w:pStyle w:val="TextBody"/>
        <w:bidi w:val="0"/>
        <w:spacing w:before="120" w:after="283"/>
        <w:jc w:val="both"/>
        <w:rPr>
          <w:rFonts w:ascii="Arial" w:hAnsi="Arial"/>
          <w:i/>
          <w:color w:val="000000"/>
          <w:sz w:val="20"/>
        </w:rPr>
      </w:pPr>
      <w:r>
        <w:rPr>
          <w:rFonts w:ascii="Arial" w:hAnsi="Arial"/>
          <w:i/>
          <w:color w:val="000000"/>
          <w:sz w:val="20"/>
        </w:rPr>
        <w:t xml:space="preserve">Income Taxes </w:t>
      </w:r>
    </w:p>
    <w:p>
      <w:pPr>
        <w:pStyle w:val="TextBody"/>
        <w:bidi w:val="0"/>
        <w:spacing w:before="120" w:after="283"/>
        <w:jc w:val="both"/>
        <w:rPr>
          <w:rFonts w:ascii="Times New Roman" w:hAnsi="Times New Roman"/>
          <w:sz w:val="20"/>
        </w:rPr>
      </w:pPr>
      <w:r>
        <w:rPr>
          <w:rFonts w:ascii="Arial" w:hAnsi="Arial"/>
          <w:color w:val="222222"/>
          <w:sz w:val="20"/>
        </w:rPr>
        <w:t>For the three months ended September 30, 2024, the Company’s effective tax rate was 0.03%, lower than the 11.41% in the same period of 2023. The primary driver for the lower rate in 2024 was the release of a valuation allowance on U.S. deferred tax assets, while the 2023 rate was influenced by a full valuation allowance. Additionally, in 2024, the Company</w:t>
      </w:r>
      <w:r>
        <w:rPr>
          <w:rFonts w:ascii="Times New Roman" w:hAnsi="Times New Roman"/>
          <w:color w:val="222222"/>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222222"/>
          <w:sz w:val="20"/>
        </w:rPr>
        <w:t>recognized discrete benefits related to stock-based compensation and finalized research and development credit claims, further lowering the effective tax rate.</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Comparison of the Nine Months Ended September 30, 2024 and 2023</w:t>
      </w:r>
    </w:p>
    <w:p>
      <w:pPr>
        <w:pStyle w:val="TextBody"/>
        <w:bidi w:val="0"/>
        <w:spacing w:before="120" w:after="283"/>
        <w:jc w:val="left"/>
        <w:rPr>
          <w:rFonts w:ascii="Arial" w:hAnsi="Arial"/>
          <w:i/>
          <w:color w:val="000000"/>
          <w:sz w:val="20"/>
        </w:rPr>
      </w:pPr>
      <w:r>
        <w:rPr>
          <w:rFonts w:ascii="Arial" w:hAnsi="Arial"/>
          <w:i/>
          <w:color w:val="000000"/>
          <w:sz w:val="20"/>
        </w:rPr>
        <w:t>Revenue</w:t>
      </w:r>
    </w:p>
    <w:p>
      <w:pPr>
        <w:pStyle w:val="TextBody"/>
        <w:bidi w:val="0"/>
        <w:spacing w:before="120" w:after="283"/>
        <w:jc w:val="both"/>
        <w:rPr>
          <w:rFonts w:ascii="Arial" w:hAnsi="Arial"/>
          <w:color w:val="000000"/>
          <w:sz w:val="20"/>
        </w:rPr>
      </w:pPr>
      <w:r>
        <w:rPr>
          <w:rFonts w:ascii="Arial" w:hAnsi="Arial"/>
          <w:color w:val="000000"/>
          <w:sz w:val="20"/>
        </w:rPr>
        <w:t>The increase in revenue was primarily driven by an increase in the number of transactions processed, which was driven by the implementation of new billers and increased transactions from our existing billers. Revenue increase was also driven by pricing improvements.</w:t>
      </w:r>
    </w:p>
    <w:p>
      <w:pPr>
        <w:pStyle w:val="TextBody"/>
        <w:bidi w:val="0"/>
        <w:spacing w:before="120" w:after="283"/>
        <w:jc w:val="both"/>
        <w:rPr>
          <w:rFonts w:ascii="Arial" w:hAnsi="Arial"/>
          <w:i/>
          <w:color w:val="000000"/>
          <w:sz w:val="20"/>
        </w:rPr>
      </w:pPr>
      <w:r>
        <w:rPr>
          <w:rFonts w:ascii="Arial" w:hAnsi="Arial"/>
          <w:i/>
          <w:color w:val="000000"/>
          <w:sz w:val="20"/>
        </w:rPr>
        <w:t>Cost of Revenue, Gross Profit and Gross Margin</w:t>
      </w:r>
    </w:p>
    <w:p>
      <w:pPr>
        <w:pStyle w:val="TextBody"/>
        <w:bidi w:val="0"/>
        <w:spacing w:before="120" w:after="283"/>
        <w:jc w:val="both"/>
        <w:rPr>
          <w:rFonts w:ascii="Arial" w:hAnsi="Arial"/>
          <w:color w:val="000000"/>
          <w:sz w:val="20"/>
        </w:rPr>
      </w:pPr>
      <w:r>
        <w:rPr>
          <w:rFonts w:ascii="Arial" w:hAnsi="Arial"/>
          <w:color w:val="000000"/>
          <w:sz w:val="20"/>
        </w:rPr>
        <w:t>The increase in cost of revenue was driven by the increase in revenue and transactions processed, as it consists primarily of interchange fees and processor costs, as well as other direct costs associated with making our platform available to our billers.</w:t>
      </w:r>
    </w:p>
    <w:p>
      <w:pPr>
        <w:pStyle w:val="TextBody"/>
        <w:bidi w:val="0"/>
        <w:spacing w:before="120" w:after="283"/>
        <w:jc w:val="both"/>
        <w:rPr>
          <w:rFonts w:ascii="Arial" w:hAnsi="Arial"/>
          <w:color w:val="000000"/>
          <w:sz w:val="20"/>
        </w:rPr>
      </w:pPr>
      <w:r>
        <w:rPr>
          <w:rFonts w:ascii="Arial" w:hAnsi="Arial"/>
          <w:color w:val="000000"/>
          <w:sz w:val="20"/>
        </w:rPr>
        <w:t>Gross margin experienced a slight decrease, driven by changes in customer mix resulting primarily from the addition of large, high-volume enterprise billers with lower margins in our biller mix. This decline was partially offset by cost improvement initiatives and the realization of economies of scale.</w:t>
      </w:r>
    </w:p>
    <w:p>
      <w:pPr>
        <w:pStyle w:val="TextBody"/>
        <w:bidi w:val="0"/>
        <w:spacing w:before="12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The increase in research and development expenses was primarily due to increased amortization of capitalized internal-use software development costs and an increase in employee-related costs, including an increase in stock-based compensation.</w:t>
      </w:r>
    </w:p>
    <w:p>
      <w:pPr>
        <w:pStyle w:val="TextBody"/>
        <w:bidi w:val="0"/>
        <w:spacing w:before="120" w:after="283"/>
        <w:jc w:val="both"/>
        <w:rPr>
          <w:rFonts w:ascii="Arial" w:hAnsi="Arial"/>
          <w:i/>
          <w:color w:val="000000"/>
          <w:sz w:val="20"/>
        </w:rPr>
      </w:pPr>
      <w:r>
        <w:rPr>
          <w:rFonts w:ascii="Arial" w:hAnsi="Arial"/>
          <w:i/>
          <w:color w:val="000000"/>
          <w:sz w:val="20"/>
        </w:rPr>
        <w:t>Sales and Marketing Expenses</w:t>
      </w:r>
    </w:p>
    <w:p>
      <w:pPr>
        <w:pStyle w:val="TextBody"/>
        <w:bidi w:val="0"/>
        <w:spacing w:before="120" w:after="283"/>
        <w:jc w:val="both"/>
        <w:rPr>
          <w:rFonts w:ascii="Arial" w:hAnsi="Arial"/>
          <w:color w:val="000000"/>
          <w:sz w:val="20"/>
        </w:rPr>
      </w:pPr>
      <w:r>
        <w:rPr>
          <w:rFonts w:ascii="Arial" w:hAnsi="Arial"/>
          <w:color w:val="000000"/>
          <w:sz w:val="20"/>
        </w:rPr>
        <w:t>The increase in sales and marketing expenses was primarily due to increased employee-related costs as a result of increased hiring, including higher stock-based compensation expenses, and reseller commissions including amortization of warrants.</w:t>
      </w:r>
    </w:p>
    <w:p>
      <w:pPr>
        <w:pStyle w:val="TextBody"/>
        <w:bidi w:val="0"/>
        <w:spacing w:before="12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both"/>
        <w:rPr>
          <w:rFonts w:ascii="Times New Roman" w:hAnsi="Times New Roman"/>
          <w:sz w:val="20"/>
        </w:rPr>
      </w:pPr>
      <w:r>
        <w:rPr>
          <w:rFonts w:ascii="Arial" w:hAnsi="Arial"/>
          <w:color w:val="000000"/>
          <w:sz w:val="20"/>
        </w:rPr>
        <w:t>The marginal increase in general and administrative expenses was primarily due to increases in professional fees, legal fees and lease expenses, which were offset by lower cost of insurance premiums of certain business policies.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Interest income, net</w:t>
      </w:r>
    </w:p>
    <w:p>
      <w:pPr>
        <w:pStyle w:val="TextBody"/>
        <w:bidi w:val="0"/>
        <w:spacing w:before="120" w:after="283"/>
        <w:jc w:val="both"/>
        <w:rPr>
          <w:rFonts w:ascii="Arial" w:hAnsi="Arial"/>
          <w:color w:val="000000"/>
          <w:sz w:val="20"/>
        </w:rPr>
      </w:pPr>
      <w:r>
        <w:rPr>
          <w:rFonts w:ascii="Arial" w:hAnsi="Arial"/>
          <w:color w:val="000000"/>
          <w:sz w:val="20"/>
        </w:rPr>
        <w:t>The increase in interest income, net was a result of higher cash balances held with banks for the nine months ended September 30, 2024 compared to the same period in 2023, together with increases in the Federal Reserve rates.</w:t>
      </w:r>
    </w:p>
    <w:p>
      <w:pPr>
        <w:pStyle w:val="TextBody"/>
        <w:bidi w:val="0"/>
        <w:spacing w:before="120" w:after="283"/>
        <w:jc w:val="both"/>
        <w:rPr>
          <w:rFonts w:ascii="Arial" w:hAnsi="Arial"/>
          <w:i/>
          <w:color w:val="000000"/>
          <w:sz w:val="20"/>
        </w:rPr>
      </w:pPr>
      <w:r>
        <w:rPr>
          <w:rFonts w:ascii="Arial" w:hAnsi="Arial"/>
          <w:i/>
          <w:color w:val="000000"/>
          <w:sz w:val="20"/>
        </w:rPr>
        <w:t xml:space="preserve">Income Taxes </w:t>
      </w:r>
    </w:p>
    <w:p>
      <w:pPr>
        <w:pStyle w:val="TextBody"/>
        <w:bidi w:val="0"/>
        <w:spacing w:before="120" w:after="283"/>
        <w:jc w:val="both"/>
        <w:rPr>
          <w:rFonts w:ascii="Times New Roman" w:hAnsi="Times New Roman"/>
          <w:sz w:val="20"/>
        </w:rPr>
      </w:pPr>
      <w:r>
        <w:rPr>
          <w:rFonts w:ascii="Arial" w:hAnsi="Arial"/>
          <w:color w:val="000000"/>
          <w:sz w:val="20"/>
        </w:rPr>
        <w:t>The change in provision for income taxes as well as the increase in the Company's effective tax rate, which was 17.6% for the nine months ended September 30, 2024 as compared to 7.2% for the same period in the prior year, was primarily due to an increase in income before income taxes as well as the results of permanent differences for disallowed stock-based compensation pursuant to IRC Section 162(m) and state taxes, offset by the release of the valuation allowance. In 2023, it was primarily the result of near break-even pre-tax income from operations, state taxes, the impact of the full valuation allowance and other permanent adjustments in addition to a return to provision benefit recorded in connection with a change in estimate of costs required to be capitalized under IRC Section 174.</w:t>
      </w:r>
      <w:r>
        <w:rPr>
          <w:rFonts w:ascii="Times New Roman" w:hAnsi="Times New Roman"/>
          <w:color w:val="000000"/>
          <w:sz w:val="20"/>
        </w:rPr>
        <w:t xml:space="preserve"> </w:t>
      </w:r>
    </w:p>
    <w:p>
      <w:pPr>
        <w:pStyle w:val="TextBody"/>
        <w:bidi w:val="0"/>
        <w:spacing w:before="12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120" w:after="283"/>
        <w:jc w:val="both"/>
        <w:rPr>
          <w:rFonts w:ascii="Arial" w:hAnsi="Arial"/>
          <w:b/>
          <w:i/>
          <w:color w:val="000000"/>
          <w:sz w:val="20"/>
        </w:rPr>
      </w:pPr>
      <w:r>
        <w:rPr>
          <w:rFonts w:ascii="Arial" w:hAnsi="Arial"/>
          <w:b/>
          <w:i/>
          <w:color w:val="000000"/>
          <w:sz w:val="20"/>
        </w:rPr>
        <w:t>Sources and Uses of Funds</w:t>
      </w:r>
    </w:p>
    <w:p>
      <w:pPr>
        <w:pStyle w:val="TextBody"/>
        <w:bidi w:val="0"/>
        <w:spacing w:before="120" w:after="283"/>
        <w:jc w:val="both"/>
        <w:rPr>
          <w:rFonts w:ascii="Arial" w:hAnsi="Arial"/>
          <w:color w:val="000000"/>
          <w:sz w:val="20"/>
        </w:rPr>
      </w:pPr>
      <w:r>
        <w:rPr>
          <w:rFonts w:ascii="Arial" w:hAnsi="Arial"/>
          <w:color w:val="000000"/>
          <w:sz w:val="20"/>
        </w:rPr>
        <w:t>As of September 30, 2024, we had $187.5 million of unrestricted cash and cash equivalents. We believe that existing unrestricted cash and cash equivalents will be sufficient to support our working capital and capital expenditure requirements for at least the next 12 months. Since inception, we have financed operations primarily through the sale of equity securities and revenue from payment transaction fees and subscriptions. Our principal uses of cash are funding operations and capital expenditures.</w:t>
      </w:r>
    </w:p>
    <w:p>
      <w:pPr>
        <w:pStyle w:val="TextBody"/>
        <w:bidi w:val="0"/>
        <w:spacing w:before="120" w:after="283"/>
        <w:jc w:val="both"/>
        <w:rPr>
          <w:rFonts w:ascii="Times New Roman" w:hAnsi="Times New Roman"/>
          <w:sz w:val="20"/>
        </w:rPr>
      </w:pPr>
      <w:r>
        <w:rPr>
          <w:rFonts w:ascii="Arial" w:hAnsi="Arial"/>
          <w:color w:val="000000"/>
          <w:sz w:val="20"/>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ability to incur additional debt, and other operating restrictions that could adversely impact our ability to conduct our business or execute our growth strategy. Any future indebtedness we incur may result in terms that could be unfavorable to equity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i/>
          <w:color w:val="000000"/>
          <w:sz w:val="20"/>
        </w:rPr>
        <w:t>Historical Cash Flows</w:t>
      </w:r>
      <w:r>
        <w:rPr>
          <w:rFonts w:ascii="Times New Roman" w:hAnsi="Times New Roman"/>
          <w:color w:val="000000"/>
          <w:sz w:val="20"/>
        </w:rPr>
        <w:t xml:space="preserve"> </w:t>
      </w:r>
    </w:p>
    <w:p>
      <w:pPr>
        <w:pStyle w:val="TextBody"/>
        <w:bidi w:val="0"/>
        <w:spacing w:before="120" w:after="120"/>
        <w:jc w:val="both"/>
        <w:rPr>
          <w:rFonts w:ascii="Arial" w:hAnsi="Arial"/>
          <w:color w:val="000000"/>
          <w:sz w:val="20"/>
        </w:rPr>
      </w:pPr>
      <w:r>
        <w:rPr>
          <w:rFonts w:ascii="Arial" w:hAnsi="Arial"/>
          <w:color w:val="000000"/>
          <w:sz w:val="20"/>
        </w:rPr>
        <w:t>The following table summarizes our condensed consolidated cash flows.</w:t>
      </w:r>
    </w:p>
    <w:tbl>
      <w:tblPr>
        <w:tblW w:w="9741" w:type="dxa"/>
        <w:jc w:val="left"/>
        <w:tblInd w:w="0" w:type="dxa"/>
        <w:tblLayout w:type="fixed"/>
        <w:tblCellMar>
          <w:top w:w="28" w:type="dxa"/>
          <w:left w:w="28" w:type="dxa"/>
          <w:bottom w:w="28" w:type="dxa"/>
          <w:right w:w="28" w:type="dxa"/>
        </w:tblCellMar>
      </w:tblPr>
      <w:tblGrid>
        <w:gridCol w:w="5356"/>
        <w:gridCol w:w="706"/>
        <w:gridCol w:w="314"/>
        <w:gridCol w:w="1118"/>
        <w:gridCol w:w="247"/>
        <w:gridCol w:w="217"/>
        <w:gridCol w:w="314"/>
        <w:gridCol w:w="1118"/>
        <w:gridCol w:w="351"/>
      </w:tblGrid>
      <w:tr>
        <w:trPr/>
        <w:tc>
          <w:tcPr>
            <w:tcW w:w="535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35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33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3328"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51" w:type="dxa"/>
            <w:tcBorders/>
            <w:shd w:fill="FFFFFF" w:val="clear"/>
            <w:vAlign w:val="center"/>
          </w:tcPr>
          <w:p>
            <w:pPr>
              <w:pStyle w:val="TableContents"/>
              <w:bidi w:val="0"/>
              <w:spacing w:before="0" w:after="283"/>
              <w:jc w:val="center"/>
              <w:rPr/>
            </w:pPr>
            <w:r>
              <w:rPr/>
              <w:t> </w:t>
            </w:r>
          </w:p>
        </w:tc>
      </w:tr>
      <w:tr>
        <w:trPr/>
        <w:tc>
          <w:tcPr>
            <w:tcW w:w="5356"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Net cash provided by (used in):</w:t>
            </w:r>
          </w:p>
        </w:tc>
        <w:tc>
          <w:tcPr>
            <w:tcW w:w="706" w:type="dxa"/>
            <w:tcBorders/>
            <w:shd w:fill="CFF0FC" w:val="clear"/>
            <w:vAlign w:val="center"/>
          </w:tcPr>
          <w:p>
            <w:pPr>
              <w:pStyle w:val="TableContents"/>
              <w:bidi w:val="0"/>
              <w:spacing w:before="0" w:after="283"/>
              <w:jc w:val="left"/>
              <w:rPr/>
            </w:pPr>
            <w:r>
              <w:rPr/>
              <w:t> </w:t>
            </w:r>
          </w:p>
        </w:tc>
        <w:tc>
          <w:tcPr>
            <w:tcW w:w="1432" w:type="dxa"/>
            <w:gridSpan w:val="2"/>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right"/>
              <w:rPr/>
            </w:pPr>
            <w:r>
              <w:rPr/>
              <w:t> </w:t>
            </w:r>
          </w:p>
        </w:tc>
        <w:tc>
          <w:tcPr>
            <w:tcW w:w="1432" w:type="dxa"/>
            <w:gridSpan w:val="2"/>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ind w:left="0" w:right="0" w:firstLine="140"/>
              <w:jc w:val="left"/>
              <w:rPr/>
            </w:pPr>
            <w:r>
              <w:rPr/>
              <w:t> </w:t>
            </w:r>
          </w:p>
        </w:tc>
      </w:tr>
      <w:tr>
        <w:trPr/>
        <w:tc>
          <w:tcPr>
            <w:tcW w:w="5356"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Operating activities</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31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35,721</w:t>
            </w:r>
          </w:p>
        </w:tc>
        <w:tc>
          <w:tcPr>
            <w:tcW w:w="24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44,387</w:t>
            </w:r>
          </w:p>
        </w:tc>
        <w:tc>
          <w:tcPr>
            <w:tcW w:w="351" w:type="dxa"/>
            <w:tcBorders/>
            <w:shd w:fill="FFFFFF" w:val="clear"/>
            <w:vAlign w:val="center"/>
          </w:tcPr>
          <w:p>
            <w:pPr>
              <w:pStyle w:val="TableContents"/>
              <w:bidi w:val="0"/>
              <w:spacing w:before="0" w:after="283"/>
              <w:ind w:left="0" w:right="0" w:firstLine="140"/>
              <w:jc w:val="left"/>
              <w:rPr/>
            </w:pPr>
            <w:r>
              <w:rPr/>
              <w:t> </w:t>
            </w:r>
          </w:p>
        </w:tc>
      </w:tr>
      <w:tr>
        <w:trPr/>
        <w:tc>
          <w:tcPr>
            <w:tcW w:w="5356" w:type="dxa"/>
            <w:tcBorders/>
            <w:shd w:fill="CFF0FC"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Investing activities</w:t>
            </w:r>
          </w:p>
        </w:tc>
        <w:tc>
          <w:tcPr>
            <w:tcW w:w="706" w:type="dxa"/>
            <w:tcBorders/>
            <w:shd w:fill="CFF0FC" w:val="clear"/>
            <w:vAlign w:val="center"/>
          </w:tcPr>
          <w:p>
            <w:pPr>
              <w:pStyle w:val="TableContents"/>
              <w:bidi w:val="0"/>
              <w:spacing w:before="0" w:after="283"/>
              <w:ind w:left="560" w:right="0" w:firstLine="560"/>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(27,617</w:t>
            </w:r>
          </w:p>
        </w:tc>
        <w:tc>
          <w:tcPr>
            <w:tcW w:w="24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7"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(25,850</w:t>
            </w:r>
          </w:p>
        </w:tc>
        <w:tc>
          <w:tcPr>
            <w:tcW w:w="35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356"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Financing activities</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(389</w:t>
            </w:r>
          </w:p>
        </w:tc>
        <w:tc>
          <w:tcPr>
            <w:tcW w:w="24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7"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(1,376</w:t>
            </w:r>
          </w:p>
        </w:tc>
        <w:tc>
          <w:tcPr>
            <w:tcW w:w="3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56"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Effects of foreign exchange on cash</w:t>
            </w:r>
          </w:p>
        </w:tc>
        <w:tc>
          <w:tcPr>
            <w:tcW w:w="706"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7" w:type="dxa"/>
            <w:tcBorders/>
            <w:shd w:fill="CFF0FC" w:val="cle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56"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Net increase in cash, cash equivalents and Restricted cash</w:t>
            </w:r>
          </w:p>
        </w:tc>
        <w:tc>
          <w:tcPr>
            <w:tcW w:w="706" w:type="dxa"/>
            <w:tcBorders/>
            <w:shd w:fill="FFFFFF" w:val="cle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7,590</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17,207</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i/>
          <w:color w:val="000000"/>
          <w:sz w:val="20"/>
        </w:rPr>
        <w:t>Net Cash Provided by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for the nine months ended September 30, 2024 was $35.7 million. Net income was $31.0 million, adjusted for non-cash charges of $38.0 million consisting primarily of depreciation and amortization, stock-based compensation, amortization of contract assets and non-cash lease expense, which contributed positively to cash provided from operating activities. This was decreased by net cash outflows of $33.3 million for changes in our operating assets and liabilities.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Net cash provided by operating activities for the nine months ended September 30, 2023 was $44.4 million. Net income was $12.9 million, adjusted for non-cash charges of $32.9 million consisting primarily of depreciation and amortization, stock-based compensation, amortization of contract assets and non-cash lease expense, which contributed positively to cash provided from operating activities. This was decreased by net cash outflows of $1.4 million for changes in our operating assets and liabilities.</w:t>
      </w:r>
    </w:p>
    <w:p>
      <w:pPr>
        <w:pStyle w:val="TextBody"/>
        <w:bidi w:val="0"/>
        <w:spacing w:before="120" w:after="120"/>
        <w:jc w:val="both"/>
        <w:rPr>
          <w:rFonts w:ascii="Times New Roman" w:hAnsi="Times New Roman"/>
          <w:sz w:val="20"/>
        </w:rPr>
      </w:pPr>
      <w:r>
        <w:rPr>
          <w:rFonts w:ascii="Arial" w:hAnsi="Arial"/>
          <w:i/>
          <w:color w:val="000000"/>
          <w:sz w:val="20"/>
        </w:rPr>
        <w:t>Net Cash Used in Investing Activities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Net cash used in investing activities for the nine months ended September 30, 2024 consisted of $27.2 million of capitalized software development costs and $0.4 million of purchases of property and equipment.</w:t>
      </w:r>
    </w:p>
    <w:p>
      <w:pPr>
        <w:pStyle w:val="TextBody"/>
        <w:bidi w:val="0"/>
        <w:spacing w:before="120" w:after="120"/>
        <w:jc w:val="both"/>
        <w:rPr>
          <w:rFonts w:ascii="Arial" w:hAnsi="Arial"/>
          <w:color w:val="000000"/>
          <w:sz w:val="20"/>
        </w:rPr>
      </w:pPr>
      <w:r>
        <w:rPr>
          <w:rFonts w:ascii="Arial" w:hAnsi="Arial"/>
          <w:color w:val="000000"/>
          <w:sz w:val="20"/>
        </w:rPr>
        <w:t>Net cash used in investing activities for the nine months ended September 30, 2023 consisted of $25.3 million of capitalized internal-use software development costs and $0.5 million of purchases of property and equipment.</w:t>
      </w:r>
    </w:p>
    <w:p>
      <w:pPr>
        <w:pStyle w:val="TextBody"/>
        <w:bidi w:val="0"/>
        <w:spacing w:before="120" w:after="283"/>
        <w:jc w:val="both"/>
        <w:rPr>
          <w:rFonts w:ascii="Arial" w:hAnsi="Arial"/>
          <w:i/>
          <w:color w:val="000000"/>
          <w:sz w:val="20"/>
        </w:rPr>
      </w:pPr>
      <w:r>
        <w:rPr>
          <w:rFonts w:ascii="Arial" w:hAnsi="Arial"/>
          <w:i/>
          <w:color w:val="000000"/>
          <w:sz w:val="20"/>
        </w:rPr>
        <w:t>Net Cash Used in Financing Activities</w:t>
      </w:r>
    </w:p>
    <w:p>
      <w:pPr>
        <w:pStyle w:val="TextBody"/>
        <w:bidi w:val="0"/>
        <w:spacing w:before="120" w:after="283"/>
        <w:jc w:val="both"/>
        <w:rPr>
          <w:rFonts w:ascii="Arial" w:hAnsi="Arial"/>
          <w:color w:val="000000"/>
          <w:sz w:val="20"/>
        </w:rPr>
      </w:pPr>
      <w:r>
        <w:rPr>
          <w:rFonts w:ascii="Arial" w:hAnsi="Arial"/>
          <w:color w:val="000000"/>
          <w:sz w:val="20"/>
        </w:rPr>
        <w:t>Net cash used in financing activities for the nine months ended September 30, 2024 consisted of $0.6 million of settlement of holdback liability relating to a prior acquisition, which was offset by $0.2 million of proceeds from exercise of stock-based awards by employees.</w:t>
      </w:r>
    </w:p>
    <w:p>
      <w:pPr>
        <w:pStyle w:val="TextBody"/>
        <w:bidi w:val="0"/>
        <w:spacing w:before="120" w:after="283"/>
        <w:jc w:val="both"/>
        <w:rPr>
          <w:rFonts w:ascii="Arial" w:hAnsi="Arial"/>
          <w:color w:val="000000"/>
          <w:sz w:val="20"/>
        </w:rPr>
      </w:pPr>
      <w:r>
        <w:rPr>
          <w:rFonts w:ascii="Arial" w:hAnsi="Arial"/>
          <w:color w:val="000000"/>
          <w:sz w:val="20"/>
        </w:rPr>
        <w:t>Net cash used in financing activities for the nine months ended September 30, 2023 consisted of $1.7 million of payments on other financing obligations, $0.1 million of payments on finance leases and $0.4 million of proceeds from exercise of stock-based awards by employees.</w:t>
      </w:r>
    </w:p>
    <w:p>
      <w:pPr>
        <w:pStyle w:val="TextBody"/>
        <w:bidi w:val="0"/>
        <w:spacing w:before="120" w:after="283"/>
        <w:jc w:val="both"/>
        <w:rPr>
          <w:rFonts w:ascii="Arial" w:hAnsi="Arial"/>
          <w:b/>
          <w:color w:val="000000"/>
          <w:sz w:val="20"/>
        </w:rPr>
      </w:pPr>
      <w:r>
        <w:rPr>
          <w:rFonts w:ascii="Arial" w:hAnsi="Arial"/>
          <w:b/>
          <w:color w:val="000000"/>
          <w:sz w:val="20"/>
        </w:rPr>
        <w:t>Critical Accounting Policies and Estimates</w:t>
      </w:r>
    </w:p>
    <w:p>
      <w:pPr>
        <w:pStyle w:val="TextBody"/>
        <w:bidi w:val="0"/>
        <w:spacing w:before="120" w:after="283"/>
        <w:jc w:val="both"/>
        <w:rPr>
          <w:rFonts w:ascii="Arial" w:hAnsi="Arial"/>
          <w:color w:val="000000"/>
          <w:sz w:val="20"/>
        </w:rPr>
      </w:pPr>
      <w:r>
        <w:rPr>
          <w:rFonts w:ascii="Arial" w:hAnsi="Arial"/>
          <w:color w:val="000000"/>
          <w:sz w:val="20"/>
        </w:rPr>
        <w:t>The preparation of financial statements in conformity with U.S. GAAP requires management to make estimates and assumptions that affect the reported amounts of assets, liabilities, and disclosures of contingencies at the date of the financial statements and the reported amounts of revenues and expenses during the reporting period. Our significant accounting policies are described in Note 2, “Basis of Presentation and Summary of Significant Accounting Policies” to our consolidated financial statements included in our 2023 Form 10-K. There have been no material changes in our critical accounting policies and estimates since December 31, 2023.</w:t>
      </w:r>
    </w:p>
    <w:p>
      <w:pPr>
        <w:pStyle w:val="TextBody"/>
        <w:bidi w:val="0"/>
        <w:spacing w:before="120" w:after="283"/>
        <w:jc w:val="both"/>
        <w:rPr>
          <w:rFonts w:ascii="Arial" w:hAnsi="Arial"/>
          <w:b/>
          <w:color w:val="000000"/>
          <w:sz w:val="20"/>
        </w:rPr>
      </w:pPr>
      <w:r>
        <w:rPr>
          <w:rFonts w:ascii="Arial" w:hAnsi="Arial"/>
          <w:b/>
          <w:color w:val="000000"/>
          <w:sz w:val="20"/>
        </w:rPr>
        <w:t>Recent Accounting Pronouncements</w:t>
      </w:r>
    </w:p>
    <w:p>
      <w:pPr>
        <w:pStyle w:val="TextBody"/>
        <w:bidi w:val="0"/>
        <w:spacing w:before="120" w:after="283"/>
        <w:jc w:val="both"/>
        <w:rPr>
          <w:rFonts w:ascii="Times New Roman" w:hAnsi="Times New Roman"/>
          <w:sz w:val="20"/>
        </w:rPr>
      </w:pPr>
      <w:r>
        <w:rPr>
          <w:rFonts w:ascii="Arial" w:hAnsi="Arial"/>
          <w:color w:val="000000"/>
          <w:sz w:val="20"/>
        </w:rPr>
        <w:t>See Note 2 “Basis of Presentation and Summary of Significant Accounting Policies” in the unaudited condensed consolidated financial statements included elsewhere in this Quarterly Report for a full description of recent accounting</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pronouncements, including the respective dates of adoption or expected adoption and effects on our condensed consolidated financial statements contained in Item 1 of this Quarterly Report.</w:t>
      </w:r>
    </w:p>
    <w:p>
      <w:pPr>
        <w:pStyle w:val="TextBody"/>
        <w:bidi w:val="0"/>
        <w:spacing w:before="240" w:after="283"/>
        <w:jc w:val="both"/>
        <w:rPr>
          <w:rFonts w:ascii="Arial" w:hAnsi="Arial"/>
          <w:b/>
          <w:color w:val="000000"/>
          <w:sz w:val="20"/>
        </w:rPr>
      </w:pPr>
      <w:bookmarkStart w:id="14" w:name="item_3_quantitative_and_qualitative"/>
      <w:bookmarkEnd w:id="14"/>
      <w:r>
        <w:rPr>
          <w:rFonts w:ascii="Arial" w:hAnsi="Arial"/>
          <w:b/>
          <w:color w:val="000000"/>
          <w:sz w:val="20"/>
        </w:rPr>
        <w:t>Item 3. Quantitative and Qualitative Disclosures about Market Risk.</w:t>
      </w:r>
    </w:p>
    <w:p>
      <w:pPr>
        <w:pStyle w:val="TextBody"/>
        <w:bidi w:val="0"/>
        <w:spacing w:before="120" w:after="283"/>
        <w:jc w:val="both"/>
        <w:rPr>
          <w:rFonts w:ascii="Arial" w:hAnsi="Arial"/>
          <w:color w:val="000000"/>
          <w:sz w:val="20"/>
        </w:rPr>
      </w:pPr>
      <w:r>
        <w:rPr>
          <w:rFonts w:ascii="Arial" w:hAnsi="Arial"/>
          <w:color w:val="000000"/>
          <w:sz w:val="20"/>
        </w:rPr>
        <w:t>There have been no material changes in our exposures to market risk since December 31, 2023. For details on the Company’s interest rate, foreign currency exchange, and inflation risks, see Part I, Item 7A. “Quantitative and Qualitative Information About Market Risk” in our 2023 Form 10-K.</w:t>
      </w:r>
    </w:p>
    <w:p>
      <w:pPr>
        <w:pStyle w:val="TextBody"/>
        <w:bidi w:val="0"/>
        <w:spacing w:before="240" w:after="283"/>
        <w:jc w:val="both"/>
        <w:rPr>
          <w:rFonts w:ascii="Arial" w:hAnsi="Arial"/>
          <w:b/>
          <w:color w:val="000000"/>
          <w:sz w:val="20"/>
        </w:rPr>
      </w:pPr>
      <w:bookmarkStart w:id="15" w:name="item_4_controls_and_procedures"/>
      <w:bookmarkEnd w:id="15"/>
      <w:r>
        <w:rPr>
          <w:rFonts w:ascii="Arial" w:hAnsi="Arial"/>
          <w:b/>
          <w:color w:val="000000"/>
          <w:sz w:val="20"/>
        </w:rPr>
        <w:t>Item 4. Controls and Procedures</w:t>
      </w:r>
    </w:p>
    <w:p>
      <w:pPr>
        <w:pStyle w:val="TextBody"/>
        <w:bidi w:val="0"/>
        <w:spacing w:before="12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120" w:after="283"/>
        <w:jc w:val="both"/>
        <w:rPr>
          <w:rFonts w:ascii="Arial" w:hAnsi="Arial"/>
          <w:color w:val="000000"/>
          <w:sz w:val="20"/>
        </w:rPr>
      </w:pPr>
      <w:r>
        <w:rPr>
          <w:rFonts w:ascii="Arial" w:hAnsi="Arial"/>
          <w:color w:val="000000"/>
          <w:sz w:val="20"/>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or the Exchange Act). Based on that evaluation, and as a result of the material weaknesses in internal control over financial reporting described below, our Chief Executive Officer and Chief Financial Officer concluded that, as of September 30, 2024, our disclosure controls and procedures were not effective at the reasonable assurance level. In light of this fact, our management has performed additional analyses, reconciliations, and other post-closing procedures and has concluded that, notwithstanding the material weaknesses in our internal control over financial reporting, the unaudited condensed consolidated financial statements for the periods covered by and included in this Quarterly Report on Form 10-Q fairly state, in all material respects, our financial position, results of operations and cash flows for the periods presented in conformity with GAAP.</w:t>
      </w:r>
    </w:p>
    <w:p>
      <w:pPr>
        <w:pStyle w:val="TextBody"/>
        <w:bidi w:val="0"/>
        <w:spacing w:before="120" w:after="283"/>
        <w:jc w:val="both"/>
        <w:rPr>
          <w:rFonts w:ascii="Arial" w:hAnsi="Arial"/>
          <w:b/>
          <w:i/>
          <w:color w:val="000000"/>
          <w:sz w:val="20"/>
        </w:rPr>
      </w:pPr>
      <w:r>
        <w:rPr>
          <w:rFonts w:ascii="Arial" w:hAnsi="Arial"/>
          <w:b/>
          <w:i/>
          <w:color w:val="000000"/>
          <w:sz w:val="20"/>
        </w:rPr>
        <w:t>Material Weaknesses in Internal Control over Financial Reporting</w:t>
      </w:r>
    </w:p>
    <w:p>
      <w:pPr>
        <w:pStyle w:val="TextBody"/>
        <w:bidi w:val="0"/>
        <w:spacing w:before="120" w:after="283"/>
        <w:jc w:val="both"/>
        <w:rPr>
          <w:rFonts w:ascii="Arial" w:hAnsi="Arial"/>
          <w:color w:val="000000"/>
          <w:sz w:val="20"/>
        </w:rPr>
      </w:pPr>
      <w:r>
        <w:rPr>
          <w:rFonts w:ascii="Arial" w:hAnsi="Arial"/>
          <w:color w:val="000000"/>
          <w:sz w:val="20"/>
        </w:rPr>
        <w:t>A material weakness is a deficiency, or a combination of deficiencies, in internal control over financial reporting such that there is a reasonable possibility that a material misstatement of our financial statements will not be prevented or detected on a timely basis. As of September 30, 2024, our material weaknesses were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Additionally, we did not design and maintain effective controls over verifying the appropriate review and approval of journal entries.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did not design and maintain effective controls relevant to the preparation of our financial statements with respect to certain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 and (2) user access controls to ensure appropriate segregation of duties and that adequately restrict user and privileged access to financial applications, programs and data to appropriate company personnel.</w:t>
      </w:r>
    </w:p>
    <w:p>
      <w:pPr>
        <w:pStyle w:val="TextBody"/>
        <w:bidi w:val="0"/>
        <w:spacing w:before="120" w:after="283"/>
        <w:jc w:val="both"/>
        <w:rPr>
          <w:rFonts w:ascii="Arial" w:hAnsi="Arial"/>
          <w:b/>
          <w:i/>
          <w:color w:val="000000"/>
          <w:sz w:val="20"/>
        </w:rPr>
      </w:pPr>
      <w:r>
        <w:rPr>
          <w:rFonts w:ascii="Arial" w:hAnsi="Arial"/>
          <w:b/>
          <w:i/>
          <w:color w:val="000000"/>
          <w:sz w:val="20"/>
        </w:rPr>
        <w:t>Status of Remediation Plan</w:t>
      </w:r>
    </w:p>
    <w:p>
      <w:pPr>
        <w:pStyle w:val="TextBody"/>
        <w:bidi w:val="0"/>
        <w:spacing w:before="120" w:after="283"/>
        <w:jc w:val="both"/>
        <w:rPr>
          <w:rFonts w:ascii="Arial" w:hAnsi="Arial"/>
          <w:color w:val="000000"/>
          <w:sz w:val="20"/>
        </w:rPr>
      </w:pPr>
      <w:r>
        <w:rPr>
          <w:rFonts w:ascii="Arial" w:hAnsi="Arial"/>
          <w:color w:val="000000"/>
          <w:sz w:val="20"/>
        </w:rPr>
        <w:t>We believe we have made significant progress towards remediation of the material weaknesses described above. As previously disclosed, we have completed the following remediation measures: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onboarded experienced finance and accounting professionals at various senior roles;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updated the design of our general ledger accounting system to allow for effective restricted access and segregation of duties to govern the preparation and review of journal entries;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implemented management review controls over journal entries and the identification and review of complex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secured the general ledger accounting system by implementing single sign-on (SSO);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implemented additional change management and access controls for our relevant IT applications to further restrict privileged access and implemented controls to review activities, which may materially affect our financial statements, for those users who have privileged access.</w:t>
      </w:r>
    </w:p>
    <w:p>
      <w:pPr>
        <w:pStyle w:val="TextBody"/>
        <w:bidi w:val="0"/>
        <w:spacing w:before="120" w:after="283"/>
        <w:jc w:val="both"/>
        <w:rPr>
          <w:rFonts w:ascii="Times New Roman" w:hAnsi="Times New Roman"/>
          <w:sz w:val="20"/>
        </w:rPr>
      </w:pPr>
      <w:r>
        <w:rPr>
          <w:rFonts w:ascii="Arial" w:hAnsi="Arial"/>
          <w:color w:val="000000"/>
          <w:sz w:val="20"/>
        </w:rPr>
        <w:t>In addition to the aforementioned actions that have been completed to date, during the third quarter, we continued to enhance the design and implementation of certain IT general controls for information systems. While we believe that these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actions will remediate the material weaknesses, the material weaknesses will not be considered remediated until the applicable controls have operated for a sufficient period of time, and management has concluded, through testing, that these controls are designed and operating effectively.</w:t>
      </w:r>
    </w:p>
    <w:p>
      <w:pPr>
        <w:pStyle w:val="TextBody"/>
        <w:bidi w:val="0"/>
        <w:spacing w:before="120" w:after="283"/>
        <w:jc w:val="both"/>
        <w:rPr>
          <w:rFonts w:ascii="Times New Roman" w:hAnsi="Times New Roman"/>
          <w:sz w:val="20"/>
        </w:rPr>
      </w:pPr>
      <w:r>
        <w:rPr>
          <w:rFonts w:ascii="Arial" w:hAnsi="Arial"/>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Other than continuing to make progress on the ongoing remediation efforts described above, there were no changes in our internal control over financial reporting (as defined in Rules 13a-15(f) and 15d-15(f) under the Exchange Act) during the three months ended September 30, 2024 that have materially affected, or are reasonably likely to materially affect, our internal control over financial reporting.</w:t>
      </w:r>
    </w:p>
    <w:p>
      <w:pPr>
        <w:pStyle w:val="TextBody"/>
        <w:bidi w:val="0"/>
        <w:spacing w:before="120" w:after="283"/>
        <w:jc w:val="both"/>
        <w:rPr>
          <w:rFonts w:ascii="Arial" w:hAnsi="Arial"/>
          <w:b/>
          <w:i/>
          <w:color w:val="000000"/>
          <w:sz w:val="20"/>
        </w:rPr>
      </w:pPr>
      <w:r>
        <w:rPr>
          <w:rFonts w:ascii="Arial" w:hAnsi="Arial"/>
          <w:b/>
          <w:i/>
          <w:color w:val="000000"/>
          <w:sz w:val="20"/>
        </w:rPr>
        <w:t>Inherent Limitations on Effectiveness of Controls</w:t>
      </w:r>
    </w:p>
    <w:p>
      <w:pPr>
        <w:pStyle w:val="TextBody"/>
        <w:bidi w:val="0"/>
        <w:spacing w:before="120" w:after="283"/>
        <w:jc w:val="both"/>
        <w:rPr>
          <w:rFonts w:ascii="Arial" w:hAnsi="Arial"/>
          <w:color w:val="000000"/>
          <w:sz w:val="20"/>
        </w:rPr>
      </w:pPr>
      <w:r>
        <w:rPr>
          <w:rFonts w:ascii="Arial" w:hAnsi="Arial"/>
          <w:color w:val="000000"/>
          <w:sz w:val="20"/>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12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b/>
          <w:color w:val="000000"/>
          <w:sz w:val="20"/>
        </w:rPr>
      </w:pPr>
      <w:r>
        <w:rPr>
          <w:rFonts w:ascii="Arial" w:hAnsi="Arial"/>
          <w:b/>
          <w:color w:val="000000"/>
          <w:sz w:val="20"/>
        </w:rPr>
        <w:t>PART II—OTHER INFORMATION</w:t>
      </w:r>
    </w:p>
    <w:p>
      <w:pPr>
        <w:pStyle w:val="TextBody"/>
        <w:bidi w:val="0"/>
        <w:spacing w:before="120" w:after="283"/>
        <w:jc w:val="both"/>
        <w:rPr>
          <w:rFonts w:ascii="Arial" w:hAnsi="Arial"/>
          <w:b/>
          <w:color w:val="000000"/>
          <w:sz w:val="20"/>
        </w:rPr>
      </w:pPr>
      <w:bookmarkStart w:id="16" w:name="item_1_legal_proceedings"/>
      <w:bookmarkEnd w:id="16"/>
      <w:r>
        <w:rPr>
          <w:rFonts w:ascii="Arial" w:hAnsi="Arial"/>
          <w:b/>
          <w:color w:val="000000"/>
          <w:sz w:val="20"/>
        </w:rPr>
        <w:t>Item 1. Legal Proceedings.</w:t>
      </w:r>
    </w:p>
    <w:p>
      <w:pPr>
        <w:pStyle w:val="TextBody"/>
        <w:bidi w:val="0"/>
        <w:spacing w:before="120" w:after="283"/>
        <w:jc w:val="both"/>
        <w:rPr>
          <w:rFonts w:ascii="Arial" w:hAnsi="Arial"/>
          <w:color w:val="000000"/>
          <w:sz w:val="20"/>
        </w:rPr>
      </w:pPr>
      <w:r>
        <w:rPr>
          <w:rFonts w:ascii="Arial" w:hAnsi="Arial"/>
          <w:color w:val="000000"/>
          <w:sz w:val="20"/>
        </w:rPr>
        <w:t>From time to time, we may be involved in claims, regulatory examinations or investigations and legal proceedings arising in the ordinary course of our business. The outcome of any such claims or proceedings, regardless of the merits, and the Company’s ultimate liability, if any, is inherently uncertain. Furthermore, we may become subject to stockholder inspection demands under Delaware law and derivative or other similar litigation. We are not currently party to any material legal proceedings, and we are not aware of any pending or threatened legal proceeding against us that we believe could have a material adverse effect on our business, operating results, cash flows or financial condition.</w:t>
      </w:r>
    </w:p>
    <w:p>
      <w:pPr>
        <w:pStyle w:val="TextBody"/>
        <w:bidi w:val="0"/>
        <w:spacing w:before="120" w:after="283"/>
        <w:jc w:val="both"/>
        <w:rPr>
          <w:rFonts w:ascii="Arial" w:hAnsi="Arial"/>
          <w:b/>
          <w:color w:val="000000"/>
          <w:sz w:val="20"/>
        </w:rPr>
      </w:pPr>
      <w:bookmarkStart w:id="17" w:name="item_1a_risk_factors"/>
      <w:bookmarkEnd w:id="17"/>
      <w:r>
        <w:rPr>
          <w:rFonts w:ascii="Arial" w:hAnsi="Arial"/>
          <w:b/>
          <w:color w:val="000000"/>
          <w:sz w:val="20"/>
        </w:rPr>
        <w:t>Item 1A. Risk Factors.</w:t>
      </w:r>
    </w:p>
    <w:p>
      <w:pPr>
        <w:pStyle w:val="TextBody"/>
        <w:bidi w:val="0"/>
        <w:spacing w:before="120" w:after="283"/>
        <w:jc w:val="both"/>
        <w:rPr>
          <w:rFonts w:ascii="Arial" w:hAnsi="Arial"/>
          <w:color w:val="000000"/>
          <w:sz w:val="20"/>
        </w:rPr>
      </w:pPr>
      <w:r>
        <w:rPr>
          <w:rFonts w:ascii="Arial" w:hAnsi="Arial"/>
          <w:color w:val="000000"/>
          <w:sz w:val="20"/>
        </w:rPr>
        <w:t>There have been no material changes in the risk factors previously disclosed in Item 1A. of our 2023 Form 10-K.</w:t>
      </w:r>
    </w:p>
    <w:p>
      <w:pPr>
        <w:pStyle w:val="TextBody"/>
        <w:bidi w:val="0"/>
        <w:spacing w:before="120" w:after="283"/>
        <w:jc w:val="left"/>
        <w:rPr>
          <w:rFonts w:ascii="Arial" w:hAnsi="Arial"/>
          <w:b/>
          <w:color w:val="000000"/>
          <w:sz w:val="20"/>
        </w:rPr>
      </w:pPr>
      <w:bookmarkStart w:id="18" w:name="item_2_unregistered_sales_of_equity"/>
      <w:bookmarkEnd w:id="18"/>
      <w:r>
        <w:rPr>
          <w:rFonts w:ascii="Arial" w:hAnsi="Arial"/>
          <w:b/>
          <w:color w:val="000000"/>
          <w:sz w:val="20"/>
        </w:rPr>
        <w:t>Item 2. Unregistered Sales of Equity Securities and Use of Proceeds.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120" w:after="283"/>
        <w:jc w:val="left"/>
        <w:rPr>
          <w:rFonts w:ascii="Arial" w:hAnsi="Arial"/>
          <w:b/>
          <w:color w:val="000000"/>
          <w:sz w:val="20"/>
        </w:rPr>
      </w:pPr>
      <w:bookmarkStart w:id="19" w:name="item_3_defaults_upon_senior_securities"/>
      <w:bookmarkEnd w:id="19"/>
      <w:r>
        <w:rPr>
          <w:rFonts w:ascii="Arial" w:hAnsi="Arial"/>
          <w:b/>
          <w:color w:val="000000"/>
          <w:sz w:val="20"/>
        </w:rPr>
        <w:t>Item 3. Defaults upon Senior Securities.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120" w:after="283"/>
        <w:jc w:val="left"/>
        <w:rPr>
          <w:rFonts w:ascii="Arial" w:hAnsi="Arial"/>
          <w:b/>
          <w:color w:val="000000"/>
          <w:sz w:val="20"/>
        </w:rPr>
      </w:pPr>
      <w:bookmarkStart w:id="20" w:name="item_4_mine_safety_disclosures"/>
      <w:bookmarkEnd w:id="20"/>
      <w:r>
        <w:rPr>
          <w:rFonts w:ascii="Arial" w:hAnsi="Arial"/>
          <w:b/>
          <w:color w:val="000000"/>
          <w:sz w:val="20"/>
        </w:rPr>
        <w:t>Item 4. Mine Safety Disclosures.</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spacing w:before="120" w:after="283"/>
        <w:jc w:val="left"/>
        <w:rPr>
          <w:rFonts w:ascii="Arial" w:hAnsi="Arial"/>
          <w:b/>
          <w:color w:val="000000"/>
          <w:sz w:val="20"/>
        </w:rPr>
      </w:pPr>
      <w:bookmarkStart w:id="21" w:name="item_5_other_information"/>
      <w:bookmarkEnd w:id="21"/>
      <w:r>
        <w:rPr>
          <w:rFonts w:ascii="Arial" w:hAnsi="Arial"/>
          <w:b/>
          <w:color w:val="000000"/>
          <w:sz w:val="20"/>
        </w:rPr>
        <w:t>Item 5. Other Information.</w:t>
      </w:r>
    </w:p>
    <w:p>
      <w:pPr>
        <w:pStyle w:val="TextBody"/>
        <w:bidi w:val="0"/>
        <w:spacing w:before="120" w:after="283"/>
        <w:jc w:val="left"/>
        <w:rPr>
          <w:rFonts w:ascii="Times New Roman" w:hAnsi="Times New Roman"/>
          <w:sz w:val="20"/>
        </w:rPr>
      </w:pPr>
      <w:r>
        <w:rPr>
          <w:rFonts w:ascii="Arial" w:hAnsi="Arial"/>
          <w:color w:val="000000"/>
          <w:sz w:val="20"/>
        </w:rPr>
        <w:t>Except as set forth below, during the quarter ended September 30, 2024, none of the Company’s directors or officers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“non-Rule 10b5-1 trading arrangement,” as such terms are defined in Item 408(a) of Regulation S</w:t>
        <w:noBreakHyphen/>
        <w:t>K.</w:t>
      </w:r>
    </w:p>
    <w:p>
      <w:pPr>
        <w:pStyle w:val="TextBody"/>
        <w:bidi w:val="0"/>
        <w:spacing w:before="120" w:after="283"/>
        <w:jc w:val="left"/>
        <w:rPr>
          <w:rFonts w:ascii="Times New Roman" w:hAnsi="Times New Roman"/>
          <w:sz w:val="20"/>
        </w:rPr>
      </w:pPr>
      <w:r>
        <w:rPr>
          <w:rFonts w:ascii="Arial" w:hAnsi="Arial"/>
          <w:color w:val="000000"/>
          <w:sz w:val="20"/>
        </w:rPr>
        <w:t>On September 4, 2024, Andrew Gerber, the Company’s General Counsel, adopted</w:t>
      </w:r>
      <w:r>
        <w:rPr>
          <w:rFonts w:ascii="Times New Roman" w:hAnsi="Times New Roman"/>
          <w:color w:val="000000"/>
          <w:sz w:val="20"/>
        </w:rPr>
        <w:t xml:space="preserve"> </w:t>
      </w:r>
      <w:r>
        <w:rPr>
          <w:rFonts w:ascii="Arial" w:hAnsi="Arial"/>
          <w:color w:val="000000"/>
          <w:sz w:val="20"/>
        </w:rPr>
        <w:t>a trading arrangement for the sale of the Company’s Class A common stock (a “Rule 10b5-1 Trading Plan”) that is intended to satisfy the affirmative defense conditions of Securities Exchange Act Rule 10b5-1(c). Mr. Gerber’s Rule 10b5-1 Trading Plan, which expires February 27, 2026, provides for the sale of up to 56,765</w:t>
      </w:r>
      <w:r>
        <w:rPr>
          <w:rFonts w:ascii="Times New Roman" w:hAnsi="Times New Roman"/>
          <w:color w:val="000000"/>
          <w:sz w:val="20"/>
        </w:rPr>
        <w:t xml:space="preserve"> </w:t>
      </w:r>
      <w:r>
        <w:rPr>
          <w:rFonts w:ascii="Arial" w:hAnsi="Arial"/>
          <w:color w:val="000000"/>
          <w:sz w:val="20"/>
        </w:rPr>
        <w:t>shares of common stock pursuant to the terms of the plan.</w:t>
      </w:r>
    </w:p>
    <w:p>
      <w:pPr>
        <w:pStyle w:val="TextBody"/>
        <w:bidi w:val="0"/>
        <w:spacing w:before="12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Arial" w:hAnsi="Arial"/>
          <w:b/>
          <w:color w:val="000000"/>
          <w:sz w:val="20"/>
        </w:rPr>
      </w:pPr>
      <w:bookmarkStart w:id="22" w:name="item_6_exhibits"/>
      <w:bookmarkEnd w:id="22"/>
      <w:r>
        <w:rPr>
          <w:rFonts w:ascii="Arial" w:hAnsi="Arial"/>
          <w:b/>
          <w:color w:val="000000"/>
          <w:sz w:val="20"/>
        </w:rPr>
        <w:t>Item 6. Exhibits.</w:t>
      </w:r>
    </w:p>
    <w:p>
      <w:pPr>
        <w:pStyle w:val="TextBody"/>
        <w:bidi w:val="0"/>
        <w:spacing w:before="240" w:after="120"/>
        <w:jc w:val="left"/>
        <w:rPr>
          <w:rFonts w:ascii="Arial" w:hAnsi="Arial"/>
          <w:b/>
          <w:color w:val="000000"/>
          <w:sz w:val="20"/>
        </w:rPr>
      </w:pPr>
      <w:r>
        <w:rPr>
          <w:rFonts w:ascii="Arial" w:hAnsi="Arial"/>
          <w:b/>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863"/>
        <w:gridCol w:w="146"/>
        <w:gridCol w:w="4056"/>
        <w:gridCol w:w="146"/>
        <w:gridCol w:w="601"/>
        <w:gridCol w:w="146"/>
        <w:gridCol w:w="690"/>
        <w:gridCol w:w="146"/>
        <w:gridCol w:w="766"/>
        <w:gridCol w:w="146"/>
        <w:gridCol w:w="1118"/>
        <w:gridCol w:w="146"/>
        <w:gridCol w:w="1235"/>
      </w:tblGrid>
      <w:tr>
        <w:trPr/>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8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9" w:type="dxa"/>
            <w:gridSpan w:val="8"/>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23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63"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9"/>
              </w:rPr>
            </w:pPr>
            <w:r>
              <w:rPr>
                <w:rFonts w:ascii="Arial" w:hAnsi="Arial"/>
                <w:b/>
                <w:color w:val="000000"/>
                <w:sz w:val="19"/>
              </w:rPr>
              <w:t>Exhibit</w:t>
            </w:r>
          </w:p>
          <w:p>
            <w:pPr>
              <w:pStyle w:val="TableContents"/>
              <w:bidi w:val="0"/>
              <w:spacing w:before="0" w:after="283"/>
              <w:jc w:val="center"/>
              <w:rPr>
                <w:rFonts w:ascii="Arial" w:hAnsi="Arial"/>
                <w:b/>
                <w:color w:val="000000"/>
                <w:sz w:val="19"/>
              </w:rPr>
            </w:pPr>
            <w:r>
              <w:rPr>
                <w:rFonts w:ascii="Arial" w:hAnsi="Arial"/>
                <w:b/>
                <w:color w:val="000000"/>
                <w:sz w:val="19"/>
              </w:rPr>
              <w:t>Number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File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Filing 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235"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9"/>
              </w:rPr>
            </w:pPr>
            <w:r>
              <w:rPr>
                <w:rFonts w:ascii="Arial" w:hAnsi="Arial"/>
                <w:b/>
                <w:color w:val="000000"/>
                <w:sz w:val="19"/>
              </w:rPr>
              <w:t>Filed/</w:t>
            </w:r>
          </w:p>
          <w:p>
            <w:pPr>
              <w:pStyle w:val="TableContents"/>
              <w:bidi w:val="0"/>
              <w:spacing w:before="0" w:after="283"/>
              <w:jc w:val="center"/>
              <w:rPr>
                <w:rFonts w:ascii="Arial" w:hAnsi="Arial"/>
                <w:b/>
                <w:color w:val="000000"/>
                <w:sz w:val="19"/>
              </w:rPr>
            </w:pPr>
            <w:r>
              <w:rPr>
                <w:rFonts w:ascii="Arial" w:hAnsi="Arial"/>
                <w:b/>
                <w:color w:val="000000"/>
                <w:sz w:val="19"/>
              </w:rPr>
              <w:t>Furnished Herewith</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19"/>
                  <w:u w:val="single"/>
                </w:rPr>
                <w:t>Amended and Restated Certificate of Incorporation of Paymentus Holdings,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001-40429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May 28, 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19"/>
                  <w:u w:val="single"/>
                </w:rPr>
                <w:t>Amendment to Amended and Restated Certificate of Incorporation of Paymentus Holdings,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001-40429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August 7,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19"/>
                  <w:u w:val="single"/>
                </w:rPr>
                <w:t>Amended and Restated Bylaws of Paymentus Holdings,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001-40429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November 14, 2022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pPr>
            <w:hyperlink w:anchor="pay-ex31_1.htm">
              <w:r>
                <w:rPr>
                  <w:rStyle w:val="InternetLink"/>
                  <w:rFonts w:ascii="Arial" w:hAnsi="Arial"/>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X</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pPr>
            <w:hyperlink w:anchor="pay-ex31_2.htm">
              <w:r>
                <w:rPr>
                  <w:rStyle w:val="InternetLink"/>
                  <w:rFonts w:ascii="Arial" w:hAnsi="Arial"/>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X</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pPr>
            <w:hyperlink w:anchor="pay-ex32_1.htm">
              <w:r>
                <w:rPr>
                  <w:rStyle w:val="InternetLink"/>
                  <w:rFonts w:ascii="Arial" w:hAnsi="Arial"/>
                  <w:color w:val="0000FF"/>
                  <w:sz w:val="19"/>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X</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pPr>
            <w:hyperlink w:anchor="pay-ex32_2.htm">
              <w:r>
                <w:rPr>
                  <w:rStyle w:val="InternetLink"/>
                  <w:rFonts w:ascii="Arial" w:hAnsi="Arial"/>
                  <w:color w:val="0000FF"/>
                  <w:sz w:val="19"/>
                  <w:u w:val="single"/>
                </w:rPr>
                <w:t>Certification of Principal Financial Officer Pursuant to 18 U.S.C. Section 1350, as Adopted Pursuant to Section 906 of the Sarbanes-Oxley Act of 2002.</w:t>
              </w:r>
            </w:hyperlink>
            <w:hyperlink w:anchor="pay-ex32_2.htm">
              <w:r>
                <w:rPr>
                  <w:rStyle w:val="InternetLink"/>
                  <w:rFonts w:ascii="Times New Roman" w:hAnsi="Times New Roman"/>
                  <w:color w:val="0000FF"/>
                  <w:sz w:val="19"/>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X</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 The certifications attached as Exhibit 32.1 and 32.2 that accompany this report are not deemed filed with the Securities and Exchange Commission and are not to be incorporated by reference into any filing of Paymentus Holdings, Inc. under the Securities Act of 1933, as amended, or the Securities Exchange Act of 1934, as amended, whether made before or after the date of this report, irrespective of any general incorporation language contained in such filing.</w:t>
      </w:r>
    </w:p>
    <w:p>
      <w:pPr>
        <w:pStyle w:val="TextBody"/>
        <w:bidi w:val="0"/>
        <w:spacing w:before="12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3" w:name="signatures"/>
      <w:bookmarkEnd w:id="23"/>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604" w:type="dxa"/>
        <w:jc w:val="left"/>
        <w:tblInd w:w="0" w:type="dxa"/>
        <w:tblLayout w:type="fixed"/>
        <w:tblCellMar>
          <w:top w:w="28" w:type="dxa"/>
          <w:left w:w="28" w:type="dxa"/>
          <w:bottom w:w="28" w:type="dxa"/>
          <w:right w:w="28" w:type="dxa"/>
        </w:tblCellMar>
      </w:tblPr>
      <w:tblGrid>
        <w:gridCol w:w="2341"/>
        <w:gridCol w:w="146"/>
        <w:gridCol w:w="406"/>
        <w:gridCol w:w="471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71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PAYMENTUS HOLDINGS, INC.</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7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Dushyant Sharma</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Dushyant Sharma</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Chairman, President and Chief Executive Officer</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(Principal Executive Officer)</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Sanjay Kalra</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Sanjay Kalra</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Senior Vice President and Chief Financial Officer</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(Principal Financial and Accounting Officer)</w:t>
            </w:r>
          </w:p>
        </w:tc>
      </w:tr>
    </w:tbl>
    <w:p>
      <w:pPr>
        <w:pStyle w:val="TextBody"/>
        <w:bidi w:val="0"/>
        <w:spacing w:before="12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bookmarkStart w:id="24" w:name="pay-ex31_1.htm"/>
      <w:bookmarkStart w:id="25" w:name="kspayex31_1"/>
      <w:bookmarkEnd w:id="24"/>
      <w:bookmarkEnd w:id="25"/>
      <w:r>
        <w:rPr/>
        <w:t> </w:t>
      </w:r>
      <w:r>
        <w:br w:type="page"/>
      </w:r>
    </w:p>
    <w:p>
      <w:pPr>
        <w:pStyle w:val="TextBody"/>
        <w:bidi w:val="0"/>
        <w:spacing w:before="0" w:after="160"/>
        <w:jc w:val="left"/>
        <w:rPr>
          <w:rFonts w:ascii="Arial" w:hAnsi="Arial"/>
          <w:b/>
          <w:color w:val="000000"/>
          <w:sz w:val="18"/>
        </w:rPr>
      </w:pPr>
      <w:r>
        <w:rPr>
          <w:rFonts w:ascii="Arial" w:hAnsi="Arial"/>
          <w:b/>
          <w:color w:val="000000"/>
          <w:sz w:val="18"/>
        </w:rPr>
        <w:t>Exhibit 31.1</w:t>
      </w:r>
    </w:p>
    <w:p>
      <w:pPr>
        <w:pStyle w:val="TextBody"/>
        <w:bidi w:val="0"/>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SECTION 302 OF THE SARBANES-OXLEY ACT OF 2002</w:t>
      </w:r>
    </w:p>
    <w:p>
      <w:pPr>
        <w:pStyle w:val="TextBody"/>
        <w:bidi w:val="0"/>
        <w:jc w:val="center"/>
        <w:rPr/>
      </w:pPr>
      <w:r>
        <w:rPr/>
        <w:t> </w:t>
      </w:r>
    </w:p>
    <w:p>
      <w:pPr>
        <w:pStyle w:val="TextBody"/>
        <w:bidi w:val="0"/>
        <w:spacing w:before="0" w:after="240"/>
        <w:jc w:val="left"/>
        <w:rPr>
          <w:rFonts w:ascii="Times New Roman" w:hAnsi="Times New Roman"/>
          <w:sz w:val="20"/>
        </w:rPr>
      </w:pPr>
      <w:r>
        <w:rPr>
          <w:rFonts w:ascii="Arial" w:hAnsi="Arial"/>
          <w:color w:val="000000"/>
          <w:sz w:val="18"/>
        </w:rPr>
        <w:t>I, Dushyant Sharma, certify that:</w:t>
      </w:r>
      <w:r>
        <w:rPr>
          <w:rFonts w:ascii="Times New Roman" w:hAnsi="Times New Roman"/>
          <w:color w:val="000000"/>
          <w:sz w:val="20"/>
        </w:rPr>
        <w:t xml:space="preserve"> </w:t>
      </w:r>
    </w:p>
    <w:p>
      <w:pPr>
        <w:pStyle w:val="TextBody"/>
        <w:bidi w:val="0"/>
        <w:spacing w:before="0" w:after="240"/>
        <w:jc w:val="left"/>
        <w:rPr>
          <w:rFonts w:ascii="Arial" w:hAnsi="Arial"/>
          <w:color w:val="000000"/>
          <w:sz w:val="18"/>
        </w:rPr>
      </w:pPr>
      <w:r>
        <w:rPr>
          <w:rFonts w:ascii="Arial" w:hAnsi="Arial"/>
          <w:color w:val="000000"/>
          <w:sz w:val="18"/>
        </w:rPr>
        <w:t>1.</w:t>
      </w:r>
    </w:p>
    <w:p>
      <w:pPr>
        <w:pStyle w:val="TextBody"/>
        <w:bidi w:val="0"/>
        <w:spacing w:before="0" w:after="240"/>
        <w:jc w:val="left"/>
        <w:rPr>
          <w:rFonts w:ascii="Arial" w:hAnsi="Arial"/>
          <w:color w:val="000000"/>
          <w:sz w:val="18"/>
        </w:rPr>
      </w:pPr>
      <w:r>
        <w:rPr>
          <w:rFonts w:ascii="Arial" w:hAnsi="Arial"/>
          <w:color w:val="000000"/>
          <w:sz w:val="18"/>
        </w:rPr>
        <w:t>I have reviewed this Quarterly Report on Form 10-Q of Paymentus Holdings, Inc.;</w:t>
      </w:r>
    </w:p>
    <w:p>
      <w:pPr>
        <w:pStyle w:val="TextBody"/>
        <w:bidi w:val="0"/>
        <w:spacing w:before="120" w:after="160"/>
        <w:jc w:val="left"/>
        <w:rPr>
          <w:rFonts w:ascii="Arial" w:hAnsi="Arial"/>
          <w:color w:val="000000"/>
          <w:sz w:val="18"/>
        </w:rPr>
      </w:pPr>
      <w:r>
        <w:rPr>
          <w:rFonts w:ascii="Arial" w:hAnsi="Arial"/>
          <w:color w:val="000000"/>
          <w:sz w:val="18"/>
        </w:rPr>
        <w:t>2.</w:t>
      </w:r>
    </w:p>
    <w:p>
      <w:pPr>
        <w:pStyle w:val="TextBody"/>
        <w:bidi w:val="0"/>
        <w:spacing w:before="120" w:after="160"/>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160"/>
        <w:jc w:val="left"/>
        <w:rPr>
          <w:rFonts w:ascii="Arial" w:hAnsi="Arial"/>
          <w:color w:val="000000"/>
          <w:sz w:val="18"/>
        </w:rPr>
      </w:pPr>
      <w:r>
        <w:rPr>
          <w:rFonts w:ascii="Arial" w:hAnsi="Arial"/>
          <w:color w:val="000000"/>
          <w:sz w:val="18"/>
        </w:rPr>
        <w:t>3.</w:t>
      </w:r>
    </w:p>
    <w:p>
      <w:pPr>
        <w:pStyle w:val="TextBody"/>
        <w:bidi w:val="0"/>
        <w:spacing w:before="120" w:after="160"/>
        <w:jc w:val="left"/>
        <w:rPr>
          <w:rFonts w:ascii="Arial" w:hAnsi="Arial"/>
          <w:color w:val="000000"/>
          <w:sz w:val="18"/>
        </w:rPr>
      </w:pPr>
      <w:r>
        <w:rPr>
          <w:rFonts w:ascii="Arial" w:hAnsi="Arial"/>
          <w:color w:val="000000"/>
          <w:sz w:val="18"/>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160"/>
        <w:jc w:val="left"/>
        <w:rPr>
          <w:rFonts w:ascii="Arial" w:hAnsi="Arial"/>
          <w:color w:val="000000"/>
          <w:sz w:val="18"/>
        </w:rPr>
      </w:pPr>
      <w:r>
        <w:rPr>
          <w:rFonts w:ascii="Arial" w:hAnsi="Arial"/>
          <w:color w:val="000000"/>
          <w:sz w:val="18"/>
        </w:rPr>
        <w:t>4.</w:t>
      </w:r>
    </w:p>
    <w:p>
      <w:pPr>
        <w:pStyle w:val="TextBody"/>
        <w:bidi w:val="0"/>
        <w:spacing w:before="120" w:after="160"/>
        <w:jc w:val="left"/>
        <w:rPr>
          <w:rFonts w:ascii="Arial" w:hAnsi="Arial"/>
          <w:color w:val="000000"/>
          <w:sz w:val="18"/>
        </w:rPr>
      </w:pPr>
      <w:r>
        <w:rPr>
          <w:rFonts w:ascii="Arial" w:hAnsi="Arial"/>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rFonts w:ascii="Times New Roman" w:hAnsi="Times New Roman"/>
          <w:sz w:val="20"/>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60"/>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jc w:val="left"/>
        <w:rPr>
          <w:rFonts w:ascii="Times New Roman" w:hAnsi="Times New Roman"/>
          <w:sz w:val="20"/>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160"/>
        <w:jc w:val="left"/>
        <w:rPr>
          <w:rFonts w:ascii="Arial" w:hAnsi="Arial"/>
          <w:color w:val="000000"/>
          <w:sz w:val="18"/>
        </w:rPr>
      </w:pPr>
      <w:r>
        <w:rPr>
          <w:rFonts w:ascii="Arial" w:hAnsi="Arial"/>
          <w:color w:val="000000"/>
          <w:sz w:val="18"/>
        </w:rPr>
        <w:t>5.</w:t>
      </w:r>
    </w:p>
    <w:p>
      <w:pPr>
        <w:pStyle w:val="TextBody"/>
        <w:bidi w:val="0"/>
        <w:spacing w:before="120" w:after="160"/>
        <w:jc w:val="left"/>
        <w:rPr>
          <w:rFonts w:ascii="Arial" w:hAnsi="Arial"/>
          <w:color w:val="000000"/>
          <w:sz w:val="18"/>
        </w:rPr>
      </w:pPr>
      <w:r>
        <w:rPr>
          <w:rFonts w:ascii="Arial" w:hAnsi="Arial"/>
          <w:color w:val="000000"/>
          <w:sz w:val="18"/>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60"/>
        <w:jc w:val="left"/>
        <w:rPr>
          <w:rFonts w:ascii="Times New Roman" w:hAnsi="Times New Roman"/>
          <w:sz w:val="20"/>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480"/>
        <w:jc w:val="left"/>
        <w:rPr>
          <w:rFonts w:ascii="Times New Roman" w:hAnsi="Times New Roman"/>
          <w:sz w:val="20"/>
        </w:rPr>
      </w:pPr>
      <w:r>
        <w:rPr>
          <w:rFonts w:ascii="Arial" w:hAnsi="Arial"/>
          <w:color w:val="000000"/>
          <w:sz w:val="18"/>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7019" w:type="dxa"/>
        <w:jc w:val="left"/>
        <w:tblInd w:w="0" w:type="dxa"/>
        <w:tblLayout w:type="fixed"/>
        <w:tblCellMar>
          <w:top w:w="28" w:type="dxa"/>
          <w:left w:w="28" w:type="dxa"/>
          <w:bottom w:w="28" w:type="dxa"/>
          <w:right w:w="28" w:type="dxa"/>
        </w:tblCellMar>
      </w:tblPr>
      <w:tblGrid>
        <w:gridCol w:w="2221"/>
        <w:gridCol w:w="146"/>
        <w:gridCol w:w="361"/>
        <w:gridCol w:w="42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November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 xml:space="preserve">/s/ </w:t>
            </w:r>
            <w:r>
              <w:rPr>
                <w:rFonts w:ascii="Arial" w:hAnsi="Arial"/>
                <w:i/>
                <w:color w:val="000000"/>
                <w:sz w:val="18"/>
              </w:rPr>
              <w:t>Dushyant Sharma</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Dushyant Sharma</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Chairman, President and Chief Executive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Executive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0" w:after="48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pay-ex31_2.htm"/>
      <w:bookmarkStart w:id="27" w:name="kspayex31_2"/>
      <w:bookmarkEnd w:id="26"/>
      <w:bookmarkEnd w:id="27"/>
      <w:r>
        <w:rPr/>
        <w:t> </w:t>
      </w:r>
      <w:r>
        <w:br w:type="page"/>
      </w:r>
    </w:p>
    <w:p>
      <w:pPr>
        <w:pStyle w:val="TextBody"/>
        <w:bidi w:val="0"/>
        <w:spacing w:before="0" w:after="160"/>
        <w:jc w:val="right"/>
        <w:rPr>
          <w:rFonts w:ascii="Times New Roman" w:hAnsi="Times New Roman"/>
          <w:sz w:val="20"/>
        </w:rPr>
      </w:pPr>
      <w:r>
        <w:rPr>
          <w:rFonts w:ascii="Arial" w:hAnsi="Arial"/>
          <w:b/>
          <w:color w:val="000000"/>
          <w:sz w:val="18"/>
        </w:rPr>
        <w:t>Exhibit 31.2</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SECTION 302 OF THE SARBANES-OXLEY ACT OF 2002</w:t>
      </w:r>
    </w:p>
    <w:p>
      <w:pPr>
        <w:pStyle w:val="TextBody"/>
        <w:bidi w:val="0"/>
        <w:jc w:val="center"/>
        <w:rPr/>
      </w:pPr>
      <w:r>
        <w:rPr/>
        <w:t> </w:t>
      </w:r>
    </w:p>
    <w:p>
      <w:pPr>
        <w:pStyle w:val="TextBody"/>
        <w:bidi w:val="0"/>
        <w:spacing w:before="0" w:after="240"/>
        <w:jc w:val="left"/>
        <w:rPr>
          <w:rFonts w:ascii="Times New Roman" w:hAnsi="Times New Roman"/>
          <w:sz w:val="20"/>
        </w:rPr>
      </w:pPr>
      <w:r>
        <w:rPr>
          <w:rFonts w:ascii="Arial" w:hAnsi="Arial"/>
          <w:color w:val="000000"/>
          <w:sz w:val="18"/>
        </w:rPr>
        <w:t>I, Sanjay Kalra, certify that:</w:t>
      </w:r>
      <w:r>
        <w:rPr>
          <w:rFonts w:ascii="Times New Roman" w:hAnsi="Times New Roman"/>
          <w:color w:val="000000"/>
          <w:sz w:val="20"/>
        </w:rPr>
        <w:t xml:space="preserve"> </w:t>
      </w:r>
    </w:p>
    <w:p>
      <w:pPr>
        <w:pStyle w:val="TextBody"/>
        <w:bidi w:val="0"/>
        <w:spacing w:before="0" w:after="240"/>
        <w:jc w:val="left"/>
        <w:rPr>
          <w:rFonts w:ascii="Arial" w:hAnsi="Arial"/>
          <w:color w:val="000000"/>
          <w:sz w:val="18"/>
        </w:rPr>
      </w:pPr>
      <w:r>
        <w:rPr>
          <w:rFonts w:ascii="Arial" w:hAnsi="Arial"/>
          <w:color w:val="000000"/>
          <w:sz w:val="18"/>
        </w:rPr>
        <w:t>1.</w:t>
      </w:r>
    </w:p>
    <w:p>
      <w:pPr>
        <w:pStyle w:val="TextBody"/>
        <w:bidi w:val="0"/>
        <w:spacing w:before="0" w:after="240"/>
        <w:jc w:val="left"/>
        <w:rPr>
          <w:rFonts w:ascii="Arial" w:hAnsi="Arial"/>
          <w:color w:val="000000"/>
          <w:sz w:val="18"/>
        </w:rPr>
      </w:pPr>
      <w:r>
        <w:rPr>
          <w:rFonts w:ascii="Arial" w:hAnsi="Arial"/>
          <w:color w:val="000000"/>
          <w:sz w:val="18"/>
        </w:rPr>
        <w:t>I have reviewed this Quarterly Report on Form 10-Q of Paymentus Holdings, Inc.;</w:t>
      </w:r>
    </w:p>
    <w:p>
      <w:pPr>
        <w:pStyle w:val="TextBody"/>
        <w:bidi w:val="0"/>
        <w:spacing w:before="120" w:after="160"/>
        <w:jc w:val="left"/>
        <w:rPr>
          <w:rFonts w:ascii="Arial" w:hAnsi="Arial"/>
          <w:color w:val="000000"/>
          <w:sz w:val="18"/>
        </w:rPr>
      </w:pPr>
      <w:r>
        <w:rPr>
          <w:rFonts w:ascii="Arial" w:hAnsi="Arial"/>
          <w:color w:val="000000"/>
          <w:sz w:val="18"/>
        </w:rPr>
        <w:t>2.</w:t>
      </w:r>
    </w:p>
    <w:p>
      <w:pPr>
        <w:pStyle w:val="TextBody"/>
        <w:bidi w:val="0"/>
        <w:spacing w:before="120" w:after="160"/>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160"/>
        <w:jc w:val="left"/>
        <w:rPr>
          <w:rFonts w:ascii="Arial" w:hAnsi="Arial"/>
          <w:color w:val="000000"/>
          <w:sz w:val="18"/>
        </w:rPr>
      </w:pPr>
      <w:r>
        <w:rPr>
          <w:rFonts w:ascii="Arial" w:hAnsi="Arial"/>
          <w:color w:val="000000"/>
          <w:sz w:val="18"/>
        </w:rPr>
        <w:t>3.</w:t>
      </w:r>
    </w:p>
    <w:p>
      <w:pPr>
        <w:pStyle w:val="TextBody"/>
        <w:bidi w:val="0"/>
        <w:spacing w:before="120" w:after="160"/>
        <w:jc w:val="left"/>
        <w:rPr>
          <w:rFonts w:ascii="Arial" w:hAnsi="Arial"/>
          <w:color w:val="000000"/>
          <w:sz w:val="18"/>
        </w:rPr>
      </w:pPr>
      <w:r>
        <w:rPr>
          <w:rFonts w:ascii="Arial" w:hAnsi="Arial"/>
          <w:color w:val="000000"/>
          <w:sz w:val="18"/>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160"/>
        <w:jc w:val="left"/>
        <w:rPr>
          <w:rFonts w:ascii="Arial" w:hAnsi="Arial"/>
          <w:color w:val="000000"/>
          <w:sz w:val="18"/>
        </w:rPr>
      </w:pPr>
      <w:r>
        <w:rPr>
          <w:rFonts w:ascii="Arial" w:hAnsi="Arial"/>
          <w:color w:val="000000"/>
          <w:sz w:val="18"/>
        </w:rPr>
        <w:t>4.</w:t>
      </w:r>
    </w:p>
    <w:p>
      <w:pPr>
        <w:pStyle w:val="TextBody"/>
        <w:bidi w:val="0"/>
        <w:spacing w:before="120" w:after="160"/>
        <w:jc w:val="left"/>
        <w:rPr>
          <w:rFonts w:ascii="Arial" w:hAnsi="Arial"/>
          <w:color w:val="000000"/>
          <w:sz w:val="18"/>
        </w:rPr>
      </w:pPr>
      <w:r>
        <w:rPr>
          <w:rFonts w:ascii="Arial" w:hAnsi="Arial"/>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rFonts w:ascii="Times New Roman" w:hAnsi="Times New Roman"/>
          <w:sz w:val="20"/>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60"/>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jc w:val="left"/>
        <w:rPr>
          <w:rFonts w:ascii="Times New Roman" w:hAnsi="Times New Roman"/>
          <w:sz w:val="20"/>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160"/>
        <w:jc w:val="left"/>
        <w:rPr>
          <w:rFonts w:ascii="Arial" w:hAnsi="Arial"/>
          <w:color w:val="000000"/>
          <w:sz w:val="18"/>
        </w:rPr>
      </w:pPr>
      <w:r>
        <w:rPr>
          <w:rFonts w:ascii="Arial" w:hAnsi="Arial"/>
          <w:color w:val="000000"/>
          <w:sz w:val="18"/>
        </w:rPr>
        <w:t>5.</w:t>
      </w:r>
    </w:p>
    <w:p>
      <w:pPr>
        <w:pStyle w:val="TextBody"/>
        <w:bidi w:val="0"/>
        <w:spacing w:before="120" w:after="160"/>
        <w:jc w:val="left"/>
        <w:rPr>
          <w:rFonts w:ascii="Arial" w:hAnsi="Arial"/>
          <w:color w:val="000000"/>
          <w:sz w:val="18"/>
        </w:rPr>
      </w:pPr>
      <w:r>
        <w:rPr>
          <w:rFonts w:ascii="Arial" w:hAnsi="Arial"/>
          <w:color w:val="000000"/>
          <w:sz w:val="18"/>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60"/>
        <w:jc w:val="left"/>
        <w:rPr>
          <w:rFonts w:ascii="Times New Roman" w:hAnsi="Times New Roman"/>
          <w:sz w:val="20"/>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480"/>
        <w:jc w:val="left"/>
        <w:rPr>
          <w:rFonts w:ascii="Times New Roman" w:hAnsi="Times New Roman"/>
          <w:sz w:val="20"/>
        </w:rPr>
      </w:pPr>
      <w:r>
        <w:rPr>
          <w:rFonts w:ascii="Arial" w:hAnsi="Arial"/>
          <w:color w:val="000000"/>
          <w:sz w:val="18"/>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7019" w:type="dxa"/>
        <w:jc w:val="left"/>
        <w:tblInd w:w="0" w:type="dxa"/>
        <w:tblLayout w:type="fixed"/>
        <w:tblCellMar>
          <w:top w:w="28" w:type="dxa"/>
          <w:left w:w="28" w:type="dxa"/>
          <w:bottom w:w="28" w:type="dxa"/>
          <w:right w:w="28" w:type="dxa"/>
        </w:tblCellMar>
      </w:tblPr>
      <w:tblGrid>
        <w:gridCol w:w="2221"/>
        <w:gridCol w:w="146"/>
        <w:gridCol w:w="361"/>
        <w:gridCol w:w="42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November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Sanjay Kalra</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Sanjay Kalra</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Senior Vice President and Chief Financial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Financial Officer)</w:t>
            </w:r>
          </w:p>
        </w:tc>
      </w:tr>
    </w:tbl>
    <w:p>
      <w:pPr>
        <w:pStyle w:val="TextBody"/>
        <w:bidi w:val="0"/>
        <w:spacing w:before="0" w:after="48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pay-ex32_1.htm"/>
      <w:bookmarkStart w:id="29" w:name="kspayex32_1"/>
      <w:bookmarkEnd w:id="28"/>
      <w:bookmarkEnd w:id="29"/>
      <w:r>
        <w:rPr/>
        <w:t> </w:t>
      </w:r>
      <w:r>
        <w:br w:type="page"/>
      </w:r>
    </w:p>
    <w:p>
      <w:pPr>
        <w:pStyle w:val="TextBody"/>
        <w:bidi w:val="0"/>
        <w:jc w:val="right"/>
        <w:rPr>
          <w:rFonts w:ascii="Arial" w:hAnsi="Arial"/>
          <w:b/>
          <w:color w:val="000000"/>
          <w:sz w:val="18"/>
        </w:rPr>
      </w:pPr>
      <w:r>
        <w:rPr>
          <w:rFonts w:ascii="Arial" w:hAnsi="Arial"/>
          <w:b/>
          <w:color w:val="000000"/>
          <w:sz w:val="18"/>
        </w:rPr>
        <w:t>Exhibit 32.1</w:t>
      </w:r>
    </w:p>
    <w:p>
      <w:pPr>
        <w:pStyle w:val="TextBody"/>
        <w:bidi w:val="0"/>
        <w:spacing w:before="360" w:after="283"/>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on Form 10-Q of Paymentus Holdings, Inc. (the “Company”) for the three and nine months period ended September 30, 2024 as filed with the Securities and Exchange Commission on the date hereof (the “Report”), I certify, pursuant to 18 U.S.C. § 1350, as adopted pursuant to § 906 of the Sarbanes-Oxley Act of 2002, that, to the best of my knowledge and belief:</w:t>
      </w:r>
    </w:p>
    <w:tbl>
      <w:tblPr>
        <w:tblW w:w="10205" w:type="dxa"/>
        <w:jc w:val="left"/>
        <w:tblInd w:w="0" w:type="dxa"/>
        <w:tblLayout w:type="fixed"/>
        <w:tblCellMar>
          <w:top w:w="28" w:type="dxa"/>
          <w:left w:w="28" w:type="dxa"/>
          <w:bottom w:w="28" w:type="dxa"/>
          <w:right w:w="28" w:type="dxa"/>
        </w:tblCellMar>
      </w:tblPr>
      <w:tblGrid>
        <w:gridCol w:w="340"/>
        <w:gridCol w:w="9865"/>
      </w:tblGrid>
      <w:tr>
        <w:trPr/>
        <w:tc>
          <w:tcPr>
            <w:tcW w:w="340" w:type="dxa"/>
            <w:tcBorders/>
            <w:vAlign w:val="center"/>
          </w:tcPr>
          <w:p>
            <w:pPr>
              <w:pStyle w:val="TableContents"/>
              <w:bidi w:val="0"/>
              <w:spacing w:before="0" w:after="283"/>
              <w:jc w:val="left"/>
              <w:rPr>
                <w:sz w:val="4"/>
                <w:szCs w:val="4"/>
              </w:rPr>
            </w:pPr>
            <w:r>
              <w:rPr>
                <w:sz w:val="4"/>
                <w:szCs w:val="4"/>
              </w:rPr>
            </w:r>
          </w:p>
        </w:tc>
        <w:tc>
          <w:tcPr>
            <w:tcW w:w="9865" w:type="dxa"/>
            <w:tcBorders/>
            <w:vAlign w:val="center"/>
          </w:tcPr>
          <w:p>
            <w:pPr>
              <w:pStyle w:val="TableContents"/>
              <w:bidi w:val="0"/>
              <w:spacing w:before="0" w:after="283"/>
              <w:jc w:val="left"/>
              <w:rPr>
                <w:sz w:val="4"/>
                <w:szCs w:val="4"/>
              </w:rPr>
            </w:pPr>
            <w:r>
              <w:rPr>
                <w:sz w:val="4"/>
                <w:szCs w:val="4"/>
              </w:rPr>
            </w:r>
          </w:p>
        </w:tc>
      </w:tr>
      <w:tr>
        <w:trPr/>
        <w:tc>
          <w:tcPr>
            <w:tcW w:w="340"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(1)</w:t>
            </w:r>
          </w:p>
        </w:tc>
        <w:tc>
          <w:tcPr>
            <w:tcW w:w="9865"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
        <w:gridCol w:w="146"/>
        <w:gridCol w:w="9738"/>
      </w:tblGrid>
      <w:tr>
        <w:trPr/>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8" w:type="dxa"/>
            <w:tcBorders/>
            <w:vAlign w:val="center"/>
          </w:tcPr>
          <w:p>
            <w:pPr>
              <w:pStyle w:val="TableContents"/>
              <w:bidi w:val="0"/>
              <w:spacing w:before="0" w:after="283"/>
              <w:jc w:val="left"/>
              <w:rPr>
                <w:sz w:val="4"/>
                <w:szCs w:val="4"/>
              </w:rPr>
            </w:pPr>
            <w:r>
              <w:rPr>
                <w:sz w:val="4"/>
                <w:szCs w:val="4"/>
              </w:rPr>
            </w:r>
          </w:p>
        </w:tc>
      </w:tr>
      <w:tr>
        <w:trPr/>
        <w:tc>
          <w:tcPr>
            <w:tcW w:w="321"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(2)</w:t>
            </w:r>
          </w:p>
        </w:tc>
        <w:tc>
          <w:tcPr>
            <w:tcW w:w="146" w:type="dxa"/>
            <w:tcBorders/>
            <w:vAlign w:val="center"/>
          </w:tcPr>
          <w:p>
            <w:pPr>
              <w:pStyle w:val="TableContents"/>
              <w:bidi w:val="0"/>
              <w:spacing w:before="240" w:after="283"/>
              <w:jc w:val="left"/>
              <w:rPr/>
            </w:pPr>
            <w:r>
              <w:rPr/>
              <w:t> </w:t>
            </w:r>
          </w:p>
        </w:tc>
        <w:tc>
          <w:tcPr>
            <w:tcW w:w="9738"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 as of and for the periods presented in the Report.</w:t>
            </w:r>
          </w:p>
        </w:tc>
      </w:tr>
    </w:tbl>
    <w:tbl>
      <w:tblPr>
        <w:tblW w:w="5279" w:type="dxa"/>
        <w:jc w:val="left"/>
        <w:tblInd w:w="0" w:type="dxa"/>
        <w:tblLayout w:type="fixed"/>
        <w:tblCellMar>
          <w:top w:w="28" w:type="dxa"/>
          <w:left w:w="28" w:type="dxa"/>
          <w:bottom w:w="28" w:type="dxa"/>
          <w:right w:w="28" w:type="dxa"/>
        </w:tblCellMar>
      </w:tblPr>
      <w:tblGrid>
        <w:gridCol w:w="2221"/>
        <w:gridCol w:w="146"/>
        <w:gridCol w:w="361"/>
        <w:gridCol w:w="255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November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25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 xml:space="preserve">/s/ </w:t>
            </w:r>
            <w:r>
              <w:rPr>
                <w:rFonts w:ascii="Arial" w:hAnsi="Arial"/>
                <w:i/>
                <w:color w:val="000000"/>
                <w:sz w:val="18"/>
              </w:rPr>
              <w:t>Dushyant Sharma</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Dushyant Sharma</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Chairman, President and,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Chief Executive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Executive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pay-ex32_2.htm"/>
      <w:bookmarkStart w:id="31" w:name="kspayex32_2"/>
      <w:bookmarkEnd w:id="30"/>
      <w:bookmarkEnd w:id="31"/>
      <w:r>
        <w:rPr/>
        <w:t> </w:t>
      </w:r>
      <w:r>
        <w:br w:type="page"/>
      </w:r>
    </w:p>
    <w:p>
      <w:pPr>
        <w:pStyle w:val="TextBody"/>
        <w:bidi w:val="0"/>
        <w:jc w:val="right"/>
        <w:rPr>
          <w:rFonts w:ascii="Arial" w:hAnsi="Arial"/>
          <w:b/>
          <w:color w:val="000000"/>
          <w:sz w:val="18"/>
        </w:rPr>
      </w:pPr>
      <w:r>
        <w:rPr>
          <w:rFonts w:ascii="Arial" w:hAnsi="Arial"/>
          <w:b/>
          <w:color w:val="000000"/>
          <w:sz w:val="18"/>
        </w:rPr>
        <w:t>Exhibit 32.2</w:t>
      </w:r>
    </w:p>
    <w:p>
      <w:pPr>
        <w:pStyle w:val="TextBody"/>
        <w:bidi w:val="0"/>
        <w:spacing w:before="360" w:after="283"/>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on Form 10-Q of Paymentus Holdings, Inc. (the “Company”) for the three and nine months period ended September 30, 2024 as filed with the Securities and Exchange Commission on the date hereof (the “Report”), I certify, pursuant to 18 U.S.C. § 1350, as adopted pursuant to § 906 of the Sarbanes-Oxley Act of 2002, that, to the best of my knowledge and belief:</w:t>
      </w:r>
    </w:p>
    <w:tbl>
      <w:tblPr>
        <w:tblW w:w="10205" w:type="dxa"/>
        <w:jc w:val="left"/>
        <w:tblInd w:w="0" w:type="dxa"/>
        <w:tblLayout w:type="fixed"/>
        <w:tblCellMar>
          <w:top w:w="28" w:type="dxa"/>
          <w:left w:w="28" w:type="dxa"/>
          <w:bottom w:w="28" w:type="dxa"/>
          <w:right w:w="28" w:type="dxa"/>
        </w:tblCellMar>
      </w:tblPr>
      <w:tblGrid>
        <w:gridCol w:w="340"/>
        <w:gridCol w:w="9865"/>
      </w:tblGrid>
      <w:tr>
        <w:trPr/>
        <w:tc>
          <w:tcPr>
            <w:tcW w:w="340" w:type="dxa"/>
            <w:tcBorders/>
            <w:vAlign w:val="center"/>
          </w:tcPr>
          <w:p>
            <w:pPr>
              <w:pStyle w:val="TableContents"/>
              <w:bidi w:val="0"/>
              <w:spacing w:before="0" w:after="283"/>
              <w:jc w:val="left"/>
              <w:rPr>
                <w:sz w:val="4"/>
                <w:szCs w:val="4"/>
              </w:rPr>
            </w:pPr>
            <w:r>
              <w:rPr>
                <w:sz w:val="4"/>
                <w:szCs w:val="4"/>
              </w:rPr>
            </w:r>
          </w:p>
        </w:tc>
        <w:tc>
          <w:tcPr>
            <w:tcW w:w="9865" w:type="dxa"/>
            <w:tcBorders/>
            <w:vAlign w:val="center"/>
          </w:tcPr>
          <w:p>
            <w:pPr>
              <w:pStyle w:val="TableContents"/>
              <w:bidi w:val="0"/>
              <w:spacing w:before="0" w:after="283"/>
              <w:jc w:val="left"/>
              <w:rPr>
                <w:sz w:val="4"/>
                <w:szCs w:val="4"/>
              </w:rPr>
            </w:pPr>
            <w:r>
              <w:rPr>
                <w:sz w:val="4"/>
                <w:szCs w:val="4"/>
              </w:rPr>
            </w:r>
          </w:p>
        </w:tc>
      </w:tr>
      <w:tr>
        <w:trPr/>
        <w:tc>
          <w:tcPr>
            <w:tcW w:w="340"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(1)</w:t>
            </w:r>
          </w:p>
        </w:tc>
        <w:tc>
          <w:tcPr>
            <w:tcW w:w="9865"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
        <w:gridCol w:w="146"/>
        <w:gridCol w:w="9738"/>
      </w:tblGrid>
      <w:tr>
        <w:trPr/>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8" w:type="dxa"/>
            <w:tcBorders/>
            <w:vAlign w:val="center"/>
          </w:tcPr>
          <w:p>
            <w:pPr>
              <w:pStyle w:val="TableContents"/>
              <w:bidi w:val="0"/>
              <w:spacing w:before="0" w:after="283"/>
              <w:jc w:val="left"/>
              <w:rPr>
                <w:sz w:val="4"/>
                <w:szCs w:val="4"/>
              </w:rPr>
            </w:pPr>
            <w:r>
              <w:rPr>
                <w:sz w:val="4"/>
                <w:szCs w:val="4"/>
              </w:rPr>
            </w:r>
          </w:p>
        </w:tc>
      </w:tr>
      <w:tr>
        <w:trPr/>
        <w:tc>
          <w:tcPr>
            <w:tcW w:w="321"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(2)</w:t>
            </w:r>
          </w:p>
        </w:tc>
        <w:tc>
          <w:tcPr>
            <w:tcW w:w="146" w:type="dxa"/>
            <w:tcBorders/>
            <w:vAlign w:val="center"/>
          </w:tcPr>
          <w:p>
            <w:pPr>
              <w:pStyle w:val="TableContents"/>
              <w:bidi w:val="0"/>
              <w:spacing w:before="240" w:after="283"/>
              <w:jc w:val="left"/>
              <w:rPr/>
            </w:pPr>
            <w:r>
              <w:rPr/>
              <w:t> </w:t>
            </w:r>
          </w:p>
        </w:tc>
        <w:tc>
          <w:tcPr>
            <w:tcW w:w="9738"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 as of and for the periods presented in the Report.</w:t>
            </w:r>
          </w:p>
        </w:tc>
      </w:tr>
    </w:tbl>
    <w:tbl>
      <w:tblPr>
        <w:tblW w:w="7019" w:type="dxa"/>
        <w:jc w:val="left"/>
        <w:tblInd w:w="0" w:type="dxa"/>
        <w:tblLayout w:type="fixed"/>
        <w:tblCellMar>
          <w:top w:w="28" w:type="dxa"/>
          <w:left w:w="28" w:type="dxa"/>
          <w:bottom w:w="28" w:type="dxa"/>
          <w:right w:w="28" w:type="dxa"/>
        </w:tblCellMar>
      </w:tblPr>
      <w:tblGrid>
        <w:gridCol w:w="2221"/>
        <w:gridCol w:w="146"/>
        <w:gridCol w:w="361"/>
        <w:gridCol w:w="42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November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Sanjay Kalra</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Sanjay Kalra</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Senior Vice President and Chief Financial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156/000156459021030840/ck7045120534-ex31_9.htm" TargetMode="External"/><Relationship Id="rId3" Type="http://schemas.openxmlformats.org/officeDocument/2006/relationships/hyperlink" Target="https://www.sec.gov/Archives/edgar/data/1841156/000095017023039173/pay-ex3_1.htm" TargetMode="External"/><Relationship Id="rId4" Type="http://schemas.openxmlformats.org/officeDocument/2006/relationships/hyperlink" Target="https://www.sec.gov/Archives/edgar/data/1841156/000095017022025091/pay-ex3_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14249</Words>
  <Characters>79861</Characters>
  <CharactersWithSpaces>94520</CharactersWithSpaces>
  <Paragraphs>4932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