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8</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Paymentus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70439P108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70439P108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7,655,433.00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7,655,433.00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7,655,433.00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Paymentus Holdings,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11605 N. COMMUNITY HOUSE ROAD, SUITE 300, CHARLOTTE, NC 28277</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70439P108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Times New Roman" w:cs="Times New Roman" w:eastAsia="Times New Roman" w:hAnsi="Times New Roman"/>
          <w:sz w:val="21"/>
          <w:szCs w:val="21"/>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right="6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20"/>
        <w:spacing w:after="0" w:line="241" w:lineRule="auto"/>
        <w:rPr>
          <w:sz w:val="20"/>
          <w:szCs w:val="20"/>
          <w:color w:val="auto"/>
        </w:rPr>
      </w:pPr>
      <w:r>
        <w:rPr>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00" w:lineRule="exact"/>
        <w:rPr>
          <w:sz w:val="20"/>
          <w:szCs w:val="20"/>
          <w:color w:val="auto"/>
        </w:rPr>
      </w:pPr>
    </w:p>
    <w:p>
      <w:pPr>
        <w:sectPr>
          <w:pgSz w:w="11900" w:h="16838" w:orient="portrait"/>
          <w:cols w:equalWidth="0" w:num="2">
            <w:col w:w="620" w:space="300"/>
            <w:col w:w="10220"/>
          </w:cols>
          <w:pgMar w:left="360" w:top="111" w:right="399" w:bottom="0" w:gutter="0" w:footer="0" w:header="0"/>
        </w:sectPr>
      </w:pPr>
    </w:p>
    <w:p>
      <w:pPr>
        <w:spacing w:after="0" w:line="33" w:lineRule="exact"/>
        <w:rPr>
          <w:sz w:val="20"/>
          <w:szCs w:val="20"/>
          <w:color w:val="auto"/>
        </w:rPr>
      </w:pPr>
    </w:p>
    <w:p>
      <w:pPr>
        <w:ind w:left="920" w:right="220"/>
        <w:spacing w:after="0" w:line="253" w:lineRule="auto"/>
        <w:rPr>
          <w:sz w:val="20"/>
          <w:szCs w:val="20"/>
          <w:color w:val="auto"/>
        </w:rPr>
      </w:pPr>
      <w:r>
        <w:rPr>
          <w:rFonts w:ascii="Times New Roman" w:cs="Times New Roman" w:eastAsia="Times New Roman" w:hAnsi="Times New Roman"/>
          <w:sz w:val="21"/>
          <w:szCs w:val="21"/>
          <w:color w:val="auto"/>
        </w:rPr>
        <w:t>7,655,433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45" w:lineRule="auto"/>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7,655,433 shares or 13.8% of the 55,578,758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13.8 %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7,655,433</w:t>
      </w:r>
    </w:p>
    <w:p>
      <w:pPr>
        <w:spacing w:after="0" w:line="287" w:lineRule="exact"/>
        <w:rPr>
          <w:sz w:val="20"/>
          <w:szCs w:val="20"/>
          <w:color w:val="auto"/>
        </w:rPr>
      </w:pPr>
    </w:p>
    <w:p>
      <w:pPr>
        <w:ind w:left="1240" w:hanging="314"/>
        <w:spacing w:after="0"/>
        <w:tabs>
          <w:tab w:leader="none" w:pos="12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7,655,433</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SMALLCAP World Fund, Inc.</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1" w:right="399" w:bottom="0" w:gutter="0" w:footer="0" w:header="0"/>
          <w:type w:val="continuous"/>
        </w:sect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11" w:right="399" w:bottom="0" w:gutter="0" w:footer="0" w:header="0"/>
          <w:type w:val="continuous"/>
        </w:sectPr>
      </w:pPr>
    </w:p>
    <w:bookmarkStart w:id="3" w:name="page4"/>
    <w:bookmarkEnd w:id="3"/>
    <w:p>
      <w:pPr>
        <w:ind w:left="72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152"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Jae Won Chung</w:t>
      </w:r>
    </w:p>
    <w:p>
      <w:pPr>
        <w:ind w:left="544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Vice President and Senior Counsel II, Capital</w:t>
      </w:r>
    </w:p>
    <w:p>
      <w:pPr>
        <w:spacing w:after="0" w:line="1" w:lineRule="exact"/>
        <w:rPr>
          <w:sz w:val="20"/>
          <w:szCs w:val="20"/>
          <w:color w:val="auto"/>
        </w:rPr>
      </w:pPr>
    </w:p>
    <w:p>
      <w:pPr>
        <w:ind w:left="6520"/>
        <w:spacing w:after="0"/>
        <w:rPr>
          <w:sz w:val="20"/>
          <w:szCs w:val="20"/>
          <w:color w:val="auto"/>
        </w:rPr>
      </w:pPr>
      <w:r>
        <w:rPr>
          <w:rFonts w:ascii="Times New Roman" w:cs="Times New Roman" w:eastAsia="Times New Roman" w:hAnsi="Times New Roman"/>
          <w:sz w:val="22"/>
          <w:szCs w:val="22"/>
          <w:color w:val="auto"/>
        </w:rPr>
        <w:t>Research and Management Company</w:t>
      </w:r>
    </w:p>
    <w:p>
      <w:pPr>
        <w:spacing w:after="0" w:line="20" w:lineRule="exact"/>
        <w:rPr>
          <w:sz w:val="20"/>
          <w:szCs w:val="20"/>
          <w:color w:val="auto"/>
        </w:rPr>
      </w:pPr>
    </w:p>
    <w:p>
      <w:pPr>
        <w:ind w:left="5440"/>
        <w:spacing w:after="0"/>
        <w:tabs>
          <w:tab w:leader="none" w:pos="65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2026-02-13T15:38:53Z</dcterms:created>
  <dcterms:modified xsi:type="dcterms:W3CDTF">2026-02-13T15:38:53Z</dcterms:modified>
</cp:coreProperties>
</file>